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FB8E9" w14:textId="77777777" w:rsidR="00E01509" w:rsidRPr="00CF10A3" w:rsidRDefault="00E7460A">
      <w:pPr>
        <w:jc w:val="both"/>
        <w:rPr>
          <w:rStyle w:val="Emphasis"/>
          <w:rFonts w:ascii="Times New Roman" w:hAnsi="Times New Roman" w:cs="Times New Roman"/>
          <w:b/>
          <w:bCs/>
          <w:i w:val="0"/>
          <w:sz w:val="24"/>
          <w:szCs w:val="24"/>
        </w:rPr>
      </w:pPr>
      <w:r w:rsidRPr="00CF10A3">
        <w:rPr>
          <w:rStyle w:val="Emphasis"/>
          <w:rFonts w:ascii="Times New Roman" w:hAnsi="Times New Roman" w:cs="Times New Roman"/>
          <w:b/>
          <w:bCs/>
          <w:i w:val="0"/>
          <w:sz w:val="24"/>
          <w:szCs w:val="24"/>
        </w:rPr>
        <w:t>Extraction of Cu²⁺ and Ni²⁺ from Aqueous Media Using Biodegradable Oil from</w:t>
      </w:r>
      <w:r w:rsidRPr="00CF10A3">
        <w:rPr>
          <w:rStyle w:val="Emphasis"/>
          <w:rFonts w:ascii="Times New Roman" w:hAnsi="Times New Roman" w:cs="Times New Roman"/>
          <w:b/>
          <w:bCs/>
          <w:sz w:val="24"/>
          <w:szCs w:val="24"/>
        </w:rPr>
        <w:t xml:space="preserve"> Phaseolus vulgaris </w:t>
      </w:r>
      <w:r w:rsidRPr="00CF10A3">
        <w:rPr>
          <w:rStyle w:val="Emphasis"/>
          <w:rFonts w:ascii="Times New Roman" w:hAnsi="Times New Roman" w:cs="Times New Roman"/>
          <w:b/>
          <w:bCs/>
          <w:i w:val="0"/>
          <w:sz w:val="24"/>
          <w:szCs w:val="24"/>
        </w:rPr>
        <w:t>Seeds</w:t>
      </w:r>
    </w:p>
    <w:p w14:paraId="489C958B" w14:textId="77777777" w:rsidR="003120F2" w:rsidRDefault="003120F2">
      <w:pPr>
        <w:spacing w:before="240"/>
        <w:jc w:val="both"/>
        <w:rPr>
          <w:rFonts w:ascii="Times New Roman" w:hAnsi="Times New Roman" w:cs="Times New Roman"/>
          <w:b/>
          <w:sz w:val="24"/>
          <w:szCs w:val="24"/>
        </w:rPr>
      </w:pPr>
    </w:p>
    <w:p w14:paraId="3DA7DE0B" w14:textId="56279C1B" w:rsidR="00E01509" w:rsidRPr="00CF10A3" w:rsidRDefault="00E7460A">
      <w:pPr>
        <w:spacing w:before="240"/>
        <w:jc w:val="both"/>
        <w:rPr>
          <w:rFonts w:ascii="Times New Roman" w:hAnsi="Times New Roman" w:cs="Times New Roman"/>
          <w:sz w:val="24"/>
          <w:szCs w:val="24"/>
        </w:rPr>
      </w:pPr>
      <w:bookmarkStart w:id="0" w:name="_GoBack"/>
      <w:bookmarkEnd w:id="0"/>
      <w:r w:rsidRPr="00CF10A3">
        <w:rPr>
          <w:rFonts w:ascii="Times New Roman" w:hAnsi="Times New Roman" w:cs="Times New Roman"/>
          <w:b/>
          <w:sz w:val="24"/>
          <w:szCs w:val="24"/>
        </w:rPr>
        <w:t>Abstract</w:t>
      </w:r>
    </w:p>
    <w:p w14:paraId="6BFE1E91" w14:textId="77777777" w:rsidR="00E01509" w:rsidRPr="00CF10A3" w:rsidRDefault="00E7460A">
      <w:pPr>
        <w:pStyle w:val="NormalWeb"/>
        <w:spacing w:line="276" w:lineRule="auto"/>
        <w:jc w:val="both"/>
      </w:pPr>
      <w:r w:rsidRPr="00CF10A3">
        <w:t xml:space="preserve">The persistent contamination of aquatic environments by metal ions such as Cu²⁺ and Ni²⁺ poses serious environmental and public health risks. This study explores the use of oil extracted from </w:t>
      </w:r>
      <w:r w:rsidRPr="00CF10A3">
        <w:rPr>
          <w:rStyle w:val="Emphasis"/>
        </w:rPr>
        <w:t>Phaseolus vulgaris</w:t>
      </w:r>
      <w:r w:rsidRPr="00CF10A3">
        <w:t xml:space="preserve"> (common bean) as a green, biodegradable extractant for the removal of Cu²⁺ and Ni²⁺ from aqueous solutions. The oil was extracted using Soxhlet extraction with n-hexane and characterized by Gas Chromatography–Mass Spectrometry (GC-MS) to identify its fatty acid composition. Batch solvent extraction experiments were performed to evaluate the effects of extractant volume, pH, temperature, and contact time on metal ion removal efficiency. Under optimized conditions, removal efficiencies ranged from 97.50% to 99.96%, with performance strongly influenced by pH, favoring near-neutral conditions (pH 6). Thermodynamic analysis revealed that the extraction process is spontaneous and endothermic, with positive entropy changes indicating increased molecular disorder during metal-ligand interaction. The fatty acid profile of the oil revealed a rich presence of linoleic, oleic, and palmitic acids, whose carboxylic groups serve as active sites for complexation with divalent metal ions. These findings demonstrate the potential of </w:t>
      </w:r>
      <w:r w:rsidRPr="00CF10A3">
        <w:rPr>
          <w:rStyle w:val="Emphasis"/>
        </w:rPr>
        <w:t>Phaseolus vulgaris</w:t>
      </w:r>
      <w:r w:rsidRPr="00CF10A3">
        <w:t xml:space="preserve"> oil as an effective, sustainable, and low-cost medium for removing metal ions from contaminated water. The work lays a foundation for further research and application of plant-derived oils as environmentally friendly alternatives in wastewater treatment and environmental remediation.</w:t>
      </w:r>
    </w:p>
    <w:p w14:paraId="0EE780F6" w14:textId="77777777"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b/>
          <w:sz w:val="24"/>
          <w:szCs w:val="24"/>
        </w:rPr>
        <w:t xml:space="preserve">Keywords: </w:t>
      </w:r>
      <w:r w:rsidRPr="00CF10A3">
        <w:rPr>
          <w:rFonts w:ascii="Times New Roman" w:hAnsi="Times New Roman" w:cs="Times New Roman"/>
          <w:i/>
          <w:iCs/>
          <w:sz w:val="24"/>
          <w:szCs w:val="24"/>
        </w:rPr>
        <w:t>Phaseolus vulgaris</w:t>
      </w:r>
      <w:r w:rsidRPr="00CF10A3">
        <w:rPr>
          <w:rFonts w:ascii="Times New Roman" w:hAnsi="Times New Roman" w:cs="Times New Roman"/>
          <w:sz w:val="24"/>
          <w:szCs w:val="24"/>
        </w:rPr>
        <w:t xml:space="preserve"> oil; Metal ions removal; solvent extraction; Fatty acid complexation; Sustainable water treatment</w:t>
      </w:r>
    </w:p>
    <w:p w14:paraId="624B2093" w14:textId="77777777"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b/>
          <w:sz w:val="24"/>
          <w:szCs w:val="24"/>
        </w:rPr>
        <w:t>1.0 Introduction</w:t>
      </w:r>
    </w:p>
    <w:p w14:paraId="772DA4FB" w14:textId="77777777" w:rsidR="00E01509" w:rsidRPr="00CF10A3" w:rsidRDefault="00E7460A">
      <w:pPr>
        <w:pStyle w:val="NormalWeb"/>
        <w:spacing w:before="240" w:beforeAutospacing="0" w:line="276" w:lineRule="auto"/>
        <w:jc w:val="both"/>
      </w:pPr>
      <w:r w:rsidRPr="00CF10A3">
        <w:t>The persistent contamination of water bodies by metal ions, especially Cu²⁺ and Ni²⁺ has emerged as a significant environmental concern due to their non-biodegradability, toxicity, and bioaccumulation potential. These metal ions are commonly released through anthropogenic activities such as electroplating, mining, metal finishing, and industrial effluent discharge (</w:t>
      </w:r>
      <w:proofErr w:type="spellStart"/>
      <w:r w:rsidRPr="00CF10A3">
        <w:t>Tchounwou</w:t>
      </w:r>
      <w:proofErr w:type="spellEnd"/>
      <w:r w:rsidRPr="00CF10A3">
        <w:t xml:space="preserve"> et al., 2012; Barakat, 2011, Effiong et al, 2023). Once introduced into aquatic ecosystems, Cu²⁺ and Ni²⁺ can adversely affect water quality, aquatic life, and pose serious health risks to humans through bioaccumulation and biomagnification (Fu &amp; Wang, 2011; Effiong et al, 2023).</w:t>
      </w:r>
    </w:p>
    <w:p w14:paraId="2D1F1B82" w14:textId="77777777" w:rsidR="00E01509" w:rsidRPr="00CF10A3" w:rsidRDefault="00E7460A">
      <w:pPr>
        <w:pStyle w:val="NormalWeb"/>
        <w:spacing w:before="240" w:beforeAutospacing="0" w:line="276" w:lineRule="auto"/>
        <w:jc w:val="both"/>
      </w:pPr>
      <w:r w:rsidRPr="00CF10A3">
        <w:t xml:space="preserve">Conventional metal removal techniques such as chemical precipitation, membrane filtration, ion exchange, and adsorption are often limited by high operational costs, sludge generation, inefficiency at trace concentrations, and the use of toxic chemical extractants (Halim et al., 2020; </w:t>
      </w:r>
      <w:proofErr w:type="spellStart"/>
      <w:r w:rsidRPr="00CF10A3">
        <w:lastRenderedPageBreak/>
        <w:t>Qasem</w:t>
      </w:r>
      <w:proofErr w:type="spellEnd"/>
      <w:r w:rsidRPr="00CF10A3">
        <w:t xml:space="preserve"> et al., 2021; </w:t>
      </w:r>
      <w:proofErr w:type="spellStart"/>
      <w:r w:rsidRPr="00CF10A3">
        <w:t>Ite</w:t>
      </w:r>
      <w:proofErr w:type="spellEnd"/>
      <w:r w:rsidRPr="00CF10A3">
        <w:t xml:space="preserve"> et al, 2023). Among these, solvent extraction has gained attention due to its simplicity, high selectivity, and operational feasibility (Chang, 2014).</w:t>
      </w:r>
    </w:p>
    <w:p w14:paraId="1D6F1A7A" w14:textId="77777777" w:rsidR="00E01509" w:rsidRPr="00CF10A3" w:rsidRDefault="00E7460A">
      <w:pPr>
        <w:pStyle w:val="NormalWeb"/>
        <w:spacing w:before="240" w:beforeAutospacing="0" w:line="276" w:lineRule="auto"/>
        <w:jc w:val="both"/>
      </w:pPr>
      <w:r w:rsidRPr="00CF10A3">
        <w:t>Recent research has turned toward green and sustainable alternatives using bio-based extractants. Vegetable oils, particularly those rich in fatty acids have been proposed as promising candidates for metal ion extraction (</w:t>
      </w:r>
      <w:proofErr w:type="spellStart"/>
      <w:r w:rsidRPr="00CF10A3">
        <w:t>Kalhapure</w:t>
      </w:r>
      <w:proofErr w:type="spellEnd"/>
      <w:r w:rsidRPr="00CF10A3">
        <w:t xml:space="preserve"> &amp; </w:t>
      </w:r>
      <w:proofErr w:type="spellStart"/>
      <w:r w:rsidRPr="00CF10A3">
        <w:t>Akamanchi</w:t>
      </w:r>
      <w:proofErr w:type="spellEnd"/>
      <w:r w:rsidRPr="00CF10A3">
        <w:t xml:space="preserve">, 2013; Alexander et al, 2023). These fatty acids act as ligands capable of forming stable complexes with divalent metal ions through chelation or ion-pair mechanisms (Carta et al., 2017). </w:t>
      </w:r>
      <w:r w:rsidRPr="00CF10A3">
        <w:rPr>
          <w:rStyle w:val="Emphasis"/>
        </w:rPr>
        <w:t>Phaseolus vulgaris</w:t>
      </w:r>
      <w:r w:rsidRPr="00CF10A3">
        <w:t xml:space="preserve"> is known to contain high levels of palmitic acid (C16:0), oleic acid (C18:1), and linoleic acid (C18:2), which are recognized for their ability to interact with metal ions via the carboxylate functionality. Palmitic acid, in particular, is well-documented for forming thermodynamically stable complexes with divalent cations like Cu²⁺ and Ni²⁺ (Abdel Salam et al., 2011). The use of </w:t>
      </w:r>
      <w:r w:rsidRPr="00CF10A3">
        <w:rPr>
          <w:rStyle w:val="Emphasis"/>
        </w:rPr>
        <w:t>Phaseolus vulgaris</w:t>
      </w:r>
      <w:r w:rsidRPr="00CF10A3">
        <w:t xml:space="preserve"> oil will not only leverage its fatty acid content but also promotes sustainable wastewater treatment practices by replacing synthetic and toxic organic solvents.</w:t>
      </w:r>
    </w:p>
    <w:p w14:paraId="4A578267" w14:textId="77777777" w:rsidR="00E01509" w:rsidRPr="00CF10A3" w:rsidRDefault="00E7460A">
      <w:pPr>
        <w:pStyle w:val="NormalWeb"/>
        <w:spacing w:before="240" w:beforeAutospacing="0" w:line="276" w:lineRule="auto"/>
        <w:jc w:val="both"/>
      </w:pPr>
      <w:r w:rsidRPr="00CF10A3">
        <w:t xml:space="preserve">The solvent extraction mechanism using oils such as that of </w:t>
      </w:r>
      <w:r w:rsidRPr="00CF10A3">
        <w:rPr>
          <w:rStyle w:val="Emphasis"/>
        </w:rPr>
        <w:t>Phaseolus vulgaris</w:t>
      </w:r>
      <w:r w:rsidRPr="00CF10A3">
        <w:t xml:space="preserve"> is based on the transfer of metal ions from the aqueous to the oil phase, facilitated by complexation and diffusion. This approach simplifies the treatment process and allows for efficient recovery of metals from aqueous </w:t>
      </w:r>
      <w:proofErr w:type="spellStart"/>
      <w:proofErr w:type="gramStart"/>
      <w:r w:rsidRPr="00CF10A3">
        <w:t>phases.In</w:t>
      </w:r>
      <w:proofErr w:type="spellEnd"/>
      <w:proofErr w:type="gramEnd"/>
      <w:r w:rsidRPr="00CF10A3">
        <w:t xml:space="preserve"> light of these considerations, this study investigates the efficacy of oil extracted from </w:t>
      </w:r>
      <w:r w:rsidRPr="00CF10A3">
        <w:rPr>
          <w:rStyle w:val="Emphasis"/>
        </w:rPr>
        <w:t>Phaseolus vulgaris</w:t>
      </w:r>
      <w:r w:rsidRPr="00CF10A3">
        <w:t xml:space="preserve"> in removing Cu²⁺ and Ni²⁺ ions from aqueous solutions. By analyzing the effects of extractant volume, pH, temperature, and contact time, along with thermodynamic parameters, the research aims to provide a comprehensive understanding of the underlying mechanisms and practical potential of </w:t>
      </w:r>
      <w:proofErr w:type="spellStart"/>
      <w:r w:rsidRPr="00CF10A3">
        <w:rPr>
          <w:rStyle w:val="Emphasis"/>
        </w:rPr>
        <w:t>Phaselus</w:t>
      </w:r>
      <w:proofErr w:type="spellEnd"/>
      <w:r w:rsidRPr="00CF10A3">
        <w:rPr>
          <w:rStyle w:val="Emphasis"/>
        </w:rPr>
        <w:t xml:space="preserve"> vulgaris</w:t>
      </w:r>
      <w:r w:rsidRPr="00CF10A3">
        <w:t xml:space="preserve"> oil as a natural extractant for heavy metal removal.</w:t>
      </w:r>
    </w:p>
    <w:p w14:paraId="1A327938" w14:textId="77777777" w:rsidR="00E01509" w:rsidRPr="00CF10A3" w:rsidRDefault="00E7460A">
      <w:pPr>
        <w:pStyle w:val="NormalWeb"/>
        <w:spacing w:before="240" w:beforeAutospacing="0" w:line="276" w:lineRule="auto"/>
        <w:jc w:val="both"/>
      </w:pPr>
      <w:r w:rsidRPr="00CF10A3">
        <w:rPr>
          <w:b/>
        </w:rPr>
        <w:t>2.0 Materials and Method</w:t>
      </w:r>
    </w:p>
    <w:p w14:paraId="1D611DFB" w14:textId="77777777"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sz w:val="24"/>
          <w:szCs w:val="24"/>
        </w:rPr>
        <w:t xml:space="preserve">The experimental procedures for investigating the removal of Cu²⁺ and Ni²⁺ ions from aqueous solutions using oil extracted from </w:t>
      </w:r>
      <w:r w:rsidRPr="00CF10A3">
        <w:rPr>
          <w:rStyle w:val="Emphasis"/>
          <w:rFonts w:ascii="Times New Roman" w:hAnsi="Times New Roman" w:cs="Times New Roman"/>
          <w:sz w:val="24"/>
          <w:szCs w:val="24"/>
        </w:rPr>
        <w:t>Phaseolus vulgaris</w:t>
      </w:r>
      <w:r w:rsidRPr="00CF10A3">
        <w:rPr>
          <w:rFonts w:ascii="Times New Roman" w:hAnsi="Times New Roman" w:cs="Times New Roman"/>
          <w:sz w:val="24"/>
          <w:szCs w:val="24"/>
        </w:rPr>
        <w:t xml:space="preserve"> include the preparation of materials and the extraction of oil for the organic phase, characterization of the </w:t>
      </w:r>
      <w:r w:rsidRPr="00CF10A3">
        <w:rPr>
          <w:rStyle w:val="Emphasis"/>
          <w:rFonts w:ascii="Times New Roman" w:hAnsi="Times New Roman" w:cs="Times New Roman"/>
          <w:sz w:val="24"/>
          <w:szCs w:val="24"/>
        </w:rPr>
        <w:t>Phaseolus vulgaris</w:t>
      </w:r>
      <w:r w:rsidRPr="00CF10A3">
        <w:rPr>
          <w:rFonts w:ascii="Times New Roman" w:hAnsi="Times New Roman" w:cs="Times New Roman"/>
          <w:sz w:val="24"/>
          <w:szCs w:val="24"/>
        </w:rPr>
        <w:t xml:space="preserve"> oil, and the setup of metal-ions removal studies. Additionally, analytical techniques were employed to quantify metal ion concentrations left and appropriate methods were applied for data analysis.</w:t>
      </w:r>
    </w:p>
    <w:p w14:paraId="31C7E859" w14:textId="77777777" w:rsidR="00E01509" w:rsidRPr="00CF10A3" w:rsidRDefault="00E7460A">
      <w:pPr>
        <w:pStyle w:val="ListParagraph"/>
        <w:numPr>
          <w:ilvl w:val="2"/>
          <w:numId w:val="1"/>
        </w:numPr>
        <w:spacing w:before="240"/>
        <w:jc w:val="both"/>
        <w:rPr>
          <w:rFonts w:ascii="Times New Roman" w:hAnsi="Times New Roman" w:cs="Times New Roman"/>
          <w:b/>
          <w:sz w:val="24"/>
          <w:szCs w:val="24"/>
        </w:rPr>
      </w:pPr>
      <w:r w:rsidRPr="00CF10A3">
        <w:rPr>
          <w:rFonts w:ascii="Times New Roman" w:hAnsi="Times New Roman" w:cs="Times New Roman"/>
          <w:b/>
          <w:sz w:val="24"/>
          <w:szCs w:val="24"/>
        </w:rPr>
        <w:t>Materials</w:t>
      </w:r>
    </w:p>
    <w:p w14:paraId="5D2960B8" w14:textId="77777777"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sz w:val="24"/>
          <w:szCs w:val="24"/>
        </w:rPr>
        <w:t>The chemical reagents used in this work include copper sulfate (</w:t>
      </w:r>
      <w:proofErr w:type="spellStart"/>
      <w:r w:rsidRPr="00CF10A3">
        <w:rPr>
          <w:rFonts w:ascii="Times New Roman" w:hAnsi="Times New Roman" w:cs="Times New Roman"/>
          <w:sz w:val="24"/>
          <w:szCs w:val="24"/>
        </w:rPr>
        <w:t>CuSO</w:t>
      </w:r>
      <w:proofErr w:type="spellEnd"/>
      <w:r w:rsidRPr="00CF10A3">
        <w:rPr>
          <w:rFonts w:ascii="Times New Roman" w:hAnsi="Times New Roman" w:cs="Times New Roman"/>
          <w:sz w:val="24"/>
          <w:szCs w:val="24"/>
        </w:rPr>
        <w:t>₄) and nickel sulfate (</w:t>
      </w:r>
      <w:proofErr w:type="spellStart"/>
      <w:r w:rsidRPr="00CF10A3">
        <w:rPr>
          <w:rFonts w:ascii="Times New Roman" w:hAnsi="Times New Roman" w:cs="Times New Roman"/>
          <w:sz w:val="24"/>
          <w:szCs w:val="24"/>
        </w:rPr>
        <w:t>NiSO</w:t>
      </w:r>
      <w:proofErr w:type="spellEnd"/>
      <w:r w:rsidRPr="00CF10A3">
        <w:rPr>
          <w:rFonts w:ascii="Times New Roman" w:hAnsi="Times New Roman" w:cs="Times New Roman"/>
          <w:sz w:val="24"/>
          <w:szCs w:val="24"/>
        </w:rPr>
        <w:t>₄) salts, both sourced from Sigma-</w:t>
      </w:r>
      <w:proofErr w:type="spellStart"/>
      <w:r w:rsidRPr="00CF10A3">
        <w:rPr>
          <w:rFonts w:ascii="Times New Roman" w:hAnsi="Times New Roman" w:cs="Times New Roman"/>
          <w:sz w:val="24"/>
          <w:szCs w:val="24"/>
        </w:rPr>
        <w:t>Aldrichm</w:t>
      </w:r>
      <w:proofErr w:type="spellEnd"/>
      <w:r w:rsidRPr="00CF10A3">
        <w:rPr>
          <w:rFonts w:ascii="Times New Roman" w:hAnsi="Times New Roman" w:cs="Times New Roman"/>
          <w:sz w:val="24"/>
          <w:szCs w:val="24"/>
        </w:rPr>
        <w:t xml:space="preserve">, UK. The </w:t>
      </w:r>
      <w:r w:rsidRPr="00CF10A3">
        <w:rPr>
          <w:rFonts w:ascii="Times New Roman" w:hAnsi="Times New Roman" w:cs="Times New Roman"/>
          <w:i/>
          <w:sz w:val="24"/>
          <w:szCs w:val="24"/>
        </w:rPr>
        <w:t>Phaseolus vulgaris</w:t>
      </w:r>
      <w:r w:rsidRPr="00CF10A3">
        <w:rPr>
          <w:rFonts w:ascii="Times New Roman" w:hAnsi="Times New Roman" w:cs="Times New Roman"/>
          <w:sz w:val="24"/>
          <w:szCs w:val="24"/>
        </w:rPr>
        <w:t xml:space="preserve"> seeds were purchased from a local store in </w:t>
      </w:r>
      <w:proofErr w:type="spellStart"/>
      <w:r w:rsidRPr="00CF10A3">
        <w:rPr>
          <w:rFonts w:ascii="Times New Roman" w:hAnsi="Times New Roman" w:cs="Times New Roman"/>
          <w:sz w:val="24"/>
          <w:szCs w:val="24"/>
        </w:rPr>
        <w:t>Akwa</w:t>
      </w:r>
      <w:proofErr w:type="spellEnd"/>
      <w:r w:rsidRPr="00CF10A3">
        <w:rPr>
          <w:rFonts w:ascii="Times New Roman" w:hAnsi="Times New Roman" w:cs="Times New Roman"/>
          <w:sz w:val="24"/>
          <w:szCs w:val="24"/>
        </w:rPr>
        <w:t xml:space="preserve"> Ibom State, Nigeria and were used for the oil extraction. N-hexane, used as a solvent for the oil extraction from </w:t>
      </w:r>
      <w:r w:rsidRPr="00CF10A3">
        <w:rPr>
          <w:rFonts w:ascii="Times New Roman" w:hAnsi="Times New Roman" w:cs="Times New Roman"/>
          <w:i/>
          <w:sz w:val="24"/>
          <w:szCs w:val="24"/>
        </w:rPr>
        <w:t xml:space="preserve">Phaseolus vulgaris, </w:t>
      </w:r>
      <w:r w:rsidRPr="00CF10A3">
        <w:rPr>
          <w:rFonts w:ascii="Times New Roman" w:hAnsi="Times New Roman" w:cs="Times New Roman"/>
          <w:sz w:val="24"/>
          <w:szCs w:val="24"/>
        </w:rPr>
        <w:t xml:space="preserve">was purchased from Merck. Deionized water was used in all experimental procedures to prepare solutions. Other </w:t>
      </w:r>
      <w:proofErr w:type="spellStart"/>
      <w:r w:rsidRPr="00CF10A3">
        <w:rPr>
          <w:rFonts w:ascii="Times New Roman" w:hAnsi="Times New Roman" w:cs="Times New Roman"/>
          <w:sz w:val="24"/>
          <w:szCs w:val="24"/>
        </w:rPr>
        <w:t>chemicalsinclude</w:t>
      </w:r>
      <w:proofErr w:type="spellEnd"/>
      <w:r w:rsidRPr="00CF10A3">
        <w:rPr>
          <w:rFonts w:ascii="Times New Roman" w:hAnsi="Times New Roman" w:cs="Times New Roman"/>
          <w:sz w:val="24"/>
          <w:szCs w:val="24"/>
        </w:rPr>
        <w:t xml:space="preserve"> sodium hydroxide (NaOH) and hydrochloric acid (HCl), which were used for </w:t>
      </w:r>
      <w:r w:rsidRPr="00CF10A3">
        <w:rPr>
          <w:rFonts w:ascii="Times New Roman" w:hAnsi="Times New Roman" w:cs="Times New Roman"/>
          <w:sz w:val="24"/>
          <w:szCs w:val="24"/>
        </w:rPr>
        <w:lastRenderedPageBreak/>
        <w:t>pH adjustment. In terms of equipment, Buck Scientific VGP 210 model Atomic Absorption Spectrophotometer (AAS</w:t>
      </w:r>
      <w:bookmarkStart w:id="1" w:name="_Hlk202879971"/>
      <w:r w:rsidRPr="00CF10A3">
        <w:rPr>
          <w:rFonts w:ascii="Times New Roman" w:hAnsi="Times New Roman" w:cs="Times New Roman"/>
          <w:sz w:val="24"/>
          <w:szCs w:val="24"/>
        </w:rPr>
        <w:t>)</w:t>
      </w:r>
      <w:bookmarkEnd w:id="1"/>
      <w:r w:rsidRPr="00CF10A3">
        <w:rPr>
          <w:rFonts w:ascii="Times New Roman" w:hAnsi="Times New Roman" w:cs="Times New Roman"/>
          <w:sz w:val="24"/>
          <w:szCs w:val="24"/>
        </w:rPr>
        <w:t xml:space="preserve"> was used for analyzing the residual metal ions concentration present in the aqueous phase after the metal ions removal process. Furthermore, magnetic stirrers for agitation as well as a pH meter were also used in the course of our experimentation. Other </w:t>
      </w:r>
      <w:proofErr w:type="spellStart"/>
      <w:r w:rsidRPr="00CF10A3">
        <w:rPr>
          <w:rFonts w:ascii="Times New Roman" w:hAnsi="Times New Roman" w:cs="Times New Roman"/>
          <w:sz w:val="24"/>
          <w:szCs w:val="24"/>
        </w:rPr>
        <w:t>equipments</w:t>
      </w:r>
      <w:proofErr w:type="spellEnd"/>
      <w:r w:rsidRPr="00CF10A3">
        <w:rPr>
          <w:rFonts w:ascii="Times New Roman" w:hAnsi="Times New Roman" w:cs="Times New Roman"/>
          <w:sz w:val="24"/>
          <w:szCs w:val="24"/>
        </w:rPr>
        <w:t xml:space="preserve"> such as an oven and grinder where also used in the series of experimentation.</w:t>
      </w:r>
    </w:p>
    <w:p w14:paraId="17704A23" w14:textId="77777777" w:rsidR="00E01509" w:rsidRPr="00CF10A3" w:rsidRDefault="00E7460A">
      <w:pPr>
        <w:spacing w:before="240"/>
        <w:jc w:val="both"/>
        <w:rPr>
          <w:rFonts w:ascii="Times New Roman" w:hAnsi="Times New Roman" w:cs="Times New Roman"/>
          <w:b/>
          <w:bCs/>
          <w:sz w:val="24"/>
          <w:szCs w:val="24"/>
        </w:rPr>
      </w:pPr>
      <w:r w:rsidRPr="00CF10A3">
        <w:rPr>
          <w:rFonts w:ascii="Times New Roman" w:hAnsi="Times New Roman" w:cs="Times New Roman"/>
          <w:b/>
          <w:bCs/>
          <w:sz w:val="24"/>
          <w:szCs w:val="24"/>
        </w:rPr>
        <w:t>2.0.2 Method</w:t>
      </w:r>
    </w:p>
    <w:p w14:paraId="49D8EBA5" w14:textId="77777777"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b/>
          <w:sz w:val="24"/>
          <w:szCs w:val="24"/>
        </w:rPr>
        <w:t xml:space="preserve">2.0.2 (a) Preparation of metal ion solutions for the aqueous phase: </w:t>
      </w:r>
      <w:r w:rsidRPr="00CF10A3">
        <w:rPr>
          <w:rFonts w:ascii="Times New Roman" w:hAnsi="Times New Roman" w:cs="Times New Roman"/>
          <w:sz w:val="24"/>
          <w:szCs w:val="24"/>
        </w:rPr>
        <w:t xml:space="preserve">1000 ppm Stock solutions of Cu²⁺ and Ni²⁺ ions were prepared by dissolving 2.51g of </w:t>
      </w:r>
      <w:proofErr w:type="spellStart"/>
      <w:r w:rsidRPr="00CF10A3">
        <w:rPr>
          <w:rFonts w:ascii="Times New Roman" w:hAnsi="Times New Roman" w:cs="Times New Roman"/>
          <w:sz w:val="24"/>
          <w:szCs w:val="24"/>
        </w:rPr>
        <w:t>CuSO</w:t>
      </w:r>
      <w:proofErr w:type="spellEnd"/>
      <w:r w:rsidRPr="00CF10A3">
        <w:rPr>
          <w:rFonts w:ascii="Times New Roman" w:hAnsi="Times New Roman" w:cs="Times New Roman"/>
          <w:sz w:val="24"/>
          <w:szCs w:val="24"/>
        </w:rPr>
        <w:t xml:space="preserve">₄ and 2.64g of </w:t>
      </w:r>
      <w:proofErr w:type="spellStart"/>
      <w:r w:rsidRPr="00CF10A3">
        <w:rPr>
          <w:rFonts w:ascii="Times New Roman" w:hAnsi="Times New Roman" w:cs="Times New Roman"/>
          <w:sz w:val="24"/>
          <w:szCs w:val="24"/>
        </w:rPr>
        <w:t>NiSO</w:t>
      </w:r>
      <w:proofErr w:type="spellEnd"/>
      <w:r w:rsidRPr="00CF10A3">
        <w:rPr>
          <w:rFonts w:ascii="Times New Roman" w:hAnsi="Times New Roman" w:cs="Times New Roman"/>
          <w:sz w:val="24"/>
          <w:szCs w:val="24"/>
        </w:rPr>
        <w:t xml:space="preserve">₄ in 1000 ml volumetric flask with deionized water. Working solutions, for the aqueous phase, of 50 ppm and 100 ppm concentrations were then prepared by diluting the stock solutions with deionized water. The pH of the solutions was adjusted using </w:t>
      </w:r>
      <w:bookmarkStart w:id="2" w:name="_Hlk205200255"/>
      <w:r w:rsidRPr="00CF10A3">
        <w:rPr>
          <w:rFonts w:ascii="Times New Roman" w:hAnsi="Times New Roman" w:cs="Times New Roman"/>
          <w:sz w:val="24"/>
          <w:szCs w:val="24"/>
        </w:rPr>
        <w:t xml:space="preserve">0.1 M HCl and 0.1 M NaOH </w:t>
      </w:r>
      <w:bookmarkEnd w:id="2"/>
      <w:r w:rsidRPr="00CF10A3">
        <w:rPr>
          <w:rFonts w:ascii="Times New Roman" w:hAnsi="Times New Roman" w:cs="Times New Roman"/>
          <w:sz w:val="24"/>
          <w:szCs w:val="24"/>
        </w:rPr>
        <w:t>as required.</w:t>
      </w:r>
    </w:p>
    <w:p w14:paraId="21D4E4FF" w14:textId="77777777" w:rsidR="00E01509" w:rsidRPr="00CF10A3" w:rsidRDefault="00E7460A">
      <w:pPr>
        <w:spacing w:before="240"/>
        <w:jc w:val="both"/>
        <w:rPr>
          <w:rFonts w:ascii="Times New Roman" w:hAnsi="Times New Roman" w:cs="Times New Roman"/>
          <w:b/>
          <w:sz w:val="24"/>
          <w:szCs w:val="24"/>
        </w:rPr>
      </w:pPr>
      <w:r w:rsidRPr="00CF10A3">
        <w:rPr>
          <w:rFonts w:ascii="Times New Roman" w:hAnsi="Times New Roman" w:cs="Times New Roman"/>
          <w:b/>
          <w:sz w:val="24"/>
          <w:szCs w:val="24"/>
        </w:rPr>
        <w:t>2.0.2 (b) Preparation of organic phase</w:t>
      </w:r>
    </w:p>
    <w:p w14:paraId="7F61CC1F" w14:textId="77777777" w:rsidR="00E01509" w:rsidRPr="00CF10A3" w:rsidRDefault="00E7460A">
      <w:pPr>
        <w:spacing w:before="240"/>
        <w:jc w:val="both"/>
        <w:rPr>
          <w:rFonts w:ascii="Times New Roman" w:hAnsi="Times New Roman" w:cs="Times New Roman"/>
          <w:b/>
          <w:bCs/>
          <w:sz w:val="24"/>
          <w:szCs w:val="24"/>
        </w:rPr>
      </w:pPr>
      <w:bookmarkStart w:id="3" w:name="_Hlk202887559"/>
      <w:r w:rsidRPr="00CF10A3">
        <w:rPr>
          <w:rFonts w:ascii="Times New Roman" w:hAnsi="Times New Roman" w:cs="Times New Roman"/>
          <w:b/>
          <w:bCs/>
          <w:sz w:val="24"/>
          <w:szCs w:val="24"/>
        </w:rPr>
        <w:t>2.0.2 (b) (</w:t>
      </w:r>
      <w:proofErr w:type="spellStart"/>
      <w:r w:rsidRPr="00CF10A3">
        <w:rPr>
          <w:rFonts w:ascii="Times New Roman" w:hAnsi="Times New Roman" w:cs="Times New Roman"/>
          <w:b/>
          <w:bCs/>
          <w:sz w:val="24"/>
          <w:szCs w:val="24"/>
        </w:rPr>
        <w:t>i</w:t>
      </w:r>
      <w:proofErr w:type="spellEnd"/>
      <w:r w:rsidRPr="00CF10A3">
        <w:rPr>
          <w:rFonts w:ascii="Times New Roman" w:hAnsi="Times New Roman" w:cs="Times New Roman"/>
          <w:b/>
          <w:bCs/>
          <w:sz w:val="24"/>
          <w:szCs w:val="24"/>
        </w:rPr>
        <w:t xml:space="preserve">) </w:t>
      </w:r>
      <w:bookmarkEnd w:id="3"/>
      <w:r w:rsidRPr="00CF10A3">
        <w:rPr>
          <w:rFonts w:ascii="Times New Roman" w:hAnsi="Times New Roman" w:cs="Times New Roman"/>
          <w:b/>
          <w:bCs/>
          <w:sz w:val="24"/>
          <w:szCs w:val="24"/>
        </w:rPr>
        <w:t xml:space="preserve">Extraction of oil from </w:t>
      </w:r>
      <w:r w:rsidRPr="00CF10A3">
        <w:rPr>
          <w:rFonts w:ascii="Times New Roman" w:hAnsi="Times New Roman" w:cs="Times New Roman"/>
          <w:b/>
          <w:bCs/>
          <w:i/>
          <w:sz w:val="24"/>
          <w:szCs w:val="24"/>
        </w:rPr>
        <w:t>Phaseolus vulgaris</w:t>
      </w:r>
      <w:r w:rsidRPr="00CF10A3">
        <w:rPr>
          <w:rFonts w:ascii="Times New Roman" w:hAnsi="Times New Roman" w:cs="Times New Roman"/>
          <w:b/>
          <w:bCs/>
          <w:sz w:val="24"/>
          <w:szCs w:val="24"/>
        </w:rPr>
        <w:t xml:space="preserve"> seeds</w:t>
      </w:r>
    </w:p>
    <w:p w14:paraId="65E0B805" w14:textId="77777777"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sz w:val="24"/>
          <w:szCs w:val="24"/>
        </w:rPr>
        <w:t xml:space="preserve">The oil was extracted from </w:t>
      </w:r>
      <w:r w:rsidRPr="00CF10A3">
        <w:rPr>
          <w:rFonts w:ascii="Times New Roman" w:hAnsi="Times New Roman" w:cs="Times New Roman"/>
          <w:i/>
          <w:sz w:val="24"/>
          <w:szCs w:val="24"/>
        </w:rPr>
        <w:t>Phaseolus vulgaris</w:t>
      </w:r>
      <w:r w:rsidRPr="00CF10A3">
        <w:rPr>
          <w:rFonts w:ascii="Times New Roman" w:hAnsi="Times New Roman" w:cs="Times New Roman"/>
          <w:sz w:val="24"/>
          <w:szCs w:val="24"/>
        </w:rPr>
        <w:t xml:space="preserve"> seeds through the solvent extraction method, using the Soxhlet extractor. </w:t>
      </w:r>
      <w:r w:rsidRPr="00CF10A3">
        <w:rPr>
          <w:rFonts w:ascii="Times New Roman" w:hAnsi="Times New Roman" w:cs="Times New Roman"/>
          <w:i/>
          <w:sz w:val="24"/>
          <w:szCs w:val="24"/>
        </w:rPr>
        <w:t>Phaseolus vulgaris</w:t>
      </w:r>
      <w:r w:rsidRPr="00CF10A3">
        <w:rPr>
          <w:rFonts w:ascii="Times New Roman" w:hAnsi="Times New Roman" w:cs="Times New Roman"/>
          <w:sz w:val="24"/>
          <w:szCs w:val="24"/>
        </w:rPr>
        <w:t xml:space="preserve"> seeds were washed with deionized water to remove dirt and other impurities that may have accumulated during the harvesting, handling as well as storage. It also helps to remove microbial contaminants, pesticides, or chemical residues that may also be present, further enhancing the purity of the extracted oil. Thereafter, the seeds were oven dried to remove residual moisture as can be seen in Figure 1. </w:t>
      </w:r>
    </w:p>
    <w:p w14:paraId="79009445" w14:textId="77777777" w:rsidR="00E01509" w:rsidRPr="00CF10A3" w:rsidRDefault="00E7460A">
      <w:pPr>
        <w:spacing w:before="240"/>
        <w:jc w:val="center"/>
        <w:rPr>
          <w:rFonts w:ascii="Times New Roman" w:hAnsi="Times New Roman" w:cs="Times New Roman"/>
          <w:sz w:val="24"/>
          <w:szCs w:val="24"/>
        </w:rPr>
      </w:pPr>
      <w:r w:rsidRPr="00CF10A3">
        <w:rPr>
          <w:rFonts w:ascii="Times New Roman" w:hAnsi="Times New Roman" w:cs="Times New Roman"/>
          <w:noProof/>
          <w:sz w:val="24"/>
          <w:szCs w:val="24"/>
        </w:rPr>
        <w:drawing>
          <wp:inline distT="0" distB="0" distL="0" distR="0" wp14:anchorId="4E61DFC2" wp14:editId="1BD1FD7B">
            <wp:extent cx="2742565" cy="2101850"/>
            <wp:effectExtent l="0" t="0" r="635"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pic:cNvPicPr>
                      <a:picLocks noChangeAspect="1" noChangeArrowheads="1"/>
                    </pic:cNvPicPr>
                  </pic:nvPicPr>
                  <pic:blipFill>
                    <a:blip r:embed="rId7"/>
                    <a:srcRect/>
                    <a:stretch>
                      <a:fillRect/>
                    </a:stretch>
                  </pic:blipFill>
                  <pic:spPr>
                    <a:xfrm>
                      <a:off x="0" y="0"/>
                      <a:ext cx="2743167" cy="2102266"/>
                    </a:xfrm>
                    <a:prstGeom prst="rect">
                      <a:avLst/>
                    </a:prstGeom>
                    <a:noFill/>
                  </pic:spPr>
                </pic:pic>
              </a:graphicData>
            </a:graphic>
          </wp:inline>
        </w:drawing>
      </w:r>
    </w:p>
    <w:p w14:paraId="26450FF5" w14:textId="77777777" w:rsidR="00E01509" w:rsidRPr="00CF10A3" w:rsidRDefault="00E7460A">
      <w:pPr>
        <w:spacing w:before="240"/>
        <w:jc w:val="center"/>
        <w:rPr>
          <w:rFonts w:ascii="Times New Roman" w:hAnsi="Times New Roman" w:cs="Times New Roman"/>
          <w:sz w:val="24"/>
          <w:szCs w:val="24"/>
        </w:rPr>
      </w:pPr>
      <w:r w:rsidRPr="00CF10A3">
        <w:rPr>
          <w:rFonts w:ascii="Times New Roman" w:hAnsi="Times New Roman" w:cs="Times New Roman"/>
          <w:b/>
          <w:sz w:val="24"/>
          <w:szCs w:val="24"/>
        </w:rPr>
        <w:t>Figure 1:</w:t>
      </w:r>
      <w:r w:rsidRPr="00CF10A3">
        <w:rPr>
          <w:rFonts w:ascii="Times New Roman" w:hAnsi="Times New Roman" w:cs="Times New Roman"/>
          <w:sz w:val="24"/>
          <w:szCs w:val="24"/>
        </w:rPr>
        <w:t xml:space="preserve"> Phaseolus vulgaris seeds being dried in the oven</w:t>
      </w:r>
    </w:p>
    <w:p w14:paraId="4281EB44" w14:textId="77777777"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sz w:val="24"/>
          <w:szCs w:val="24"/>
        </w:rPr>
        <w:t>After washing and drying, the seeds were ground into a fine powdered form with a manual grinding machine, to increase the surface area for solvent penetration and better contact between the oil and the extracting solvent.</w:t>
      </w:r>
    </w:p>
    <w:p w14:paraId="0D2B7190" w14:textId="77777777" w:rsidR="00E01509" w:rsidRPr="00CF10A3" w:rsidRDefault="00E7460A">
      <w:pPr>
        <w:spacing w:before="240" w:after="0"/>
        <w:jc w:val="both"/>
        <w:rPr>
          <w:rFonts w:ascii="Times New Roman" w:hAnsi="Times New Roman" w:cs="Times New Roman"/>
          <w:sz w:val="24"/>
          <w:szCs w:val="24"/>
        </w:rPr>
      </w:pPr>
      <w:r w:rsidRPr="00CF10A3">
        <w:rPr>
          <w:rFonts w:ascii="Times New Roman" w:hAnsi="Times New Roman" w:cs="Times New Roman"/>
          <w:sz w:val="24"/>
          <w:szCs w:val="24"/>
        </w:rPr>
        <w:lastRenderedPageBreak/>
        <w:t>100 g of the powdered seeds was measured and placed in a Soxhlet apparatus and n-hexane was used as the solvent for extraction. The process was carried out for 2 hours at a temperature of 60°C (Harris, 2010). The extracted oil was separated from the solvent using a rotary evaporator set at 40°C. The oil was then stored in a dark bottle in a desiccator until further use.</w:t>
      </w:r>
    </w:p>
    <w:p w14:paraId="56B05D54" w14:textId="77777777" w:rsidR="00E01509" w:rsidRPr="00CF10A3" w:rsidRDefault="00E7460A">
      <w:pPr>
        <w:spacing w:before="240"/>
        <w:jc w:val="center"/>
        <w:rPr>
          <w:rFonts w:ascii="Times New Roman" w:hAnsi="Times New Roman" w:cs="Times New Roman"/>
          <w:sz w:val="24"/>
          <w:szCs w:val="24"/>
        </w:rPr>
      </w:pPr>
      <w:r w:rsidRPr="00CF10A3">
        <w:rPr>
          <w:rFonts w:ascii="Times New Roman" w:hAnsi="Times New Roman" w:cs="Times New Roman"/>
          <w:noProof/>
          <w:sz w:val="24"/>
          <w:szCs w:val="24"/>
        </w:rPr>
        <w:drawing>
          <wp:inline distT="0" distB="0" distL="0" distR="0" wp14:anchorId="61F60FA7" wp14:editId="37C36DCF">
            <wp:extent cx="4973955" cy="1858010"/>
            <wp:effectExtent l="0" t="0" r="0" b="8890"/>
            <wp:docPr id="2"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3"/>
                    <pic:cNvPicPr>
                      <a:picLocks noChangeAspect="1" noChangeArrowheads="1"/>
                    </pic:cNvPicPr>
                  </pic:nvPicPr>
                  <pic:blipFill>
                    <a:blip r:embed="rId8"/>
                    <a:srcRect/>
                    <a:stretch>
                      <a:fillRect/>
                    </a:stretch>
                  </pic:blipFill>
                  <pic:spPr>
                    <a:xfrm>
                      <a:off x="0" y="0"/>
                      <a:ext cx="5030457" cy="1878917"/>
                    </a:xfrm>
                    <a:prstGeom prst="rect">
                      <a:avLst/>
                    </a:prstGeom>
                    <a:noFill/>
                  </pic:spPr>
                </pic:pic>
              </a:graphicData>
            </a:graphic>
          </wp:inline>
        </w:drawing>
      </w:r>
    </w:p>
    <w:p w14:paraId="46F94C50" w14:textId="77777777"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b/>
          <w:sz w:val="24"/>
          <w:szCs w:val="24"/>
        </w:rPr>
        <w:t xml:space="preserve">Figure 2 (A &amp; B): </w:t>
      </w:r>
      <w:r w:rsidRPr="00CF10A3">
        <w:rPr>
          <w:rFonts w:ascii="Times New Roman" w:hAnsi="Times New Roman" w:cs="Times New Roman"/>
          <w:sz w:val="24"/>
          <w:szCs w:val="24"/>
        </w:rPr>
        <w:t xml:space="preserve">Extracted </w:t>
      </w:r>
      <w:r w:rsidRPr="00CF10A3">
        <w:rPr>
          <w:rFonts w:ascii="Times New Roman" w:hAnsi="Times New Roman" w:cs="Times New Roman"/>
          <w:i/>
          <w:iCs/>
          <w:sz w:val="24"/>
          <w:szCs w:val="24"/>
        </w:rPr>
        <w:t>Phaseolus vulgaris</w:t>
      </w:r>
      <w:r w:rsidRPr="00CF10A3">
        <w:rPr>
          <w:rFonts w:ascii="Times New Roman" w:hAnsi="Times New Roman" w:cs="Times New Roman"/>
          <w:sz w:val="24"/>
          <w:szCs w:val="24"/>
        </w:rPr>
        <w:t xml:space="preserve"> oil before solvent removal (A) and after solvent removal (B)</w:t>
      </w:r>
    </w:p>
    <w:p w14:paraId="64F16902" w14:textId="77777777" w:rsidR="00E01509" w:rsidRPr="00CF10A3" w:rsidRDefault="00E7460A">
      <w:pPr>
        <w:spacing w:before="240"/>
        <w:jc w:val="both"/>
        <w:rPr>
          <w:rFonts w:ascii="Times New Roman" w:hAnsi="Times New Roman" w:cs="Times New Roman"/>
          <w:b/>
          <w:sz w:val="24"/>
          <w:szCs w:val="24"/>
        </w:rPr>
      </w:pPr>
      <w:r w:rsidRPr="00CF10A3">
        <w:rPr>
          <w:rFonts w:ascii="Times New Roman" w:hAnsi="Times New Roman" w:cs="Times New Roman"/>
          <w:b/>
          <w:bCs/>
          <w:sz w:val="24"/>
          <w:szCs w:val="24"/>
        </w:rPr>
        <w:t xml:space="preserve">2.0.2 (b) (ii) </w:t>
      </w:r>
      <w:r w:rsidRPr="00CF10A3">
        <w:rPr>
          <w:rFonts w:ascii="Times New Roman" w:hAnsi="Times New Roman" w:cs="Times New Roman"/>
          <w:b/>
          <w:sz w:val="24"/>
          <w:szCs w:val="24"/>
        </w:rPr>
        <w:t xml:space="preserve">Characterization of </w:t>
      </w:r>
      <w:r w:rsidRPr="00CF10A3">
        <w:rPr>
          <w:rFonts w:ascii="Times New Roman" w:hAnsi="Times New Roman" w:cs="Times New Roman"/>
          <w:b/>
          <w:i/>
          <w:sz w:val="24"/>
          <w:szCs w:val="24"/>
        </w:rPr>
        <w:t>Phaseolus vulgaris</w:t>
      </w:r>
      <w:r w:rsidRPr="00CF10A3">
        <w:rPr>
          <w:rFonts w:ascii="Times New Roman" w:hAnsi="Times New Roman" w:cs="Times New Roman"/>
          <w:b/>
          <w:sz w:val="24"/>
          <w:szCs w:val="24"/>
        </w:rPr>
        <w:t xml:space="preserve"> oil</w:t>
      </w:r>
    </w:p>
    <w:p w14:paraId="1C566AAA" w14:textId="77777777" w:rsidR="00E01509" w:rsidRPr="00CF10A3" w:rsidRDefault="00E7460A">
      <w:pPr>
        <w:pStyle w:val="NormalWeb"/>
        <w:spacing w:before="240" w:beforeAutospacing="0" w:line="276" w:lineRule="auto"/>
        <w:jc w:val="both"/>
      </w:pPr>
      <w:r w:rsidRPr="00CF10A3">
        <w:t xml:space="preserve">The oil extracted from </w:t>
      </w:r>
      <w:r w:rsidRPr="00CF10A3">
        <w:rPr>
          <w:rStyle w:val="Emphasis"/>
          <w:rFonts w:eastAsiaTheme="majorEastAsia"/>
        </w:rPr>
        <w:t>Phaseolus vulgaris</w:t>
      </w:r>
      <w:r w:rsidRPr="00CF10A3">
        <w:t xml:space="preserve"> was characterized by analyzing its fatty acid methyl esters profile using Gas Chromatography–Mass Spectrometry (GC-MS). Prior to analysis, the oil samples underwent derivatization to convert fatty acids into their corresponding methyl esters. </w:t>
      </w:r>
    </w:p>
    <w:p w14:paraId="3A46B5AE" w14:textId="77777777" w:rsidR="00E01509" w:rsidRPr="00CF10A3" w:rsidRDefault="00E7460A">
      <w:pPr>
        <w:pStyle w:val="Heading4"/>
        <w:spacing w:before="240"/>
        <w:jc w:val="both"/>
        <w:rPr>
          <w:rFonts w:ascii="Times New Roman" w:hAnsi="Times New Roman" w:cs="Times New Roman"/>
          <w:bCs w:val="0"/>
          <w:i w:val="0"/>
          <w:color w:val="auto"/>
          <w:sz w:val="24"/>
          <w:szCs w:val="24"/>
        </w:rPr>
      </w:pPr>
      <w:r w:rsidRPr="00CF10A3">
        <w:rPr>
          <w:rFonts w:ascii="Times New Roman" w:hAnsi="Times New Roman" w:cs="Times New Roman"/>
          <w:bCs w:val="0"/>
          <w:i w:val="0"/>
          <w:color w:val="auto"/>
          <w:sz w:val="24"/>
          <w:szCs w:val="24"/>
        </w:rPr>
        <w:t>2.0.3 Derivatization Procedure</w:t>
      </w:r>
    </w:p>
    <w:p w14:paraId="45B49759" w14:textId="77777777" w:rsidR="00E01509" w:rsidRPr="00CF10A3" w:rsidRDefault="00E7460A">
      <w:pPr>
        <w:pStyle w:val="NormalWeb"/>
        <w:spacing w:before="240" w:beforeAutospacing="0" w:line="276" w:lineRule="auto"/>
        <w:jc w:val="both"/>
      </w:pPr>
      <w:r w:rsidRPr="00CF10A3">
        <w:t>One gram of the oil extract was dissolved in 10 ml of n-hexane, followed by the addition of 1 ml of 2N methanolic potassium hydroxide (KOH). The mixture was vigorously shaken for 30 seconds and then centrifuged to separate the phases. The supernatant containing the fatty acid methyl esters was collected and transferred into 2 ml vials for GC-MS analysis.</w:t>
      </w:r>
    </w:p>
    <w:p w14:paraId="3C1F0195" w14:textId="77777777" w:rsidR="00E01509" w:rsidRPr="00CF10A3" w:rsidRDefault="00E7460A">
      <w:pPr>
        <w:pStyle w:val="Heading4"/>
        <w:spacing w:before="240"/>
        <w:jc w:val="both"/>
        <w:rPr>
          <w:rFonts w:ascii="Times New Roman" w:hAnsi="Times New Roman" w:cs="Times New Roman"/>
          <w:bCs w:val="0"/>
          <w:i w:val="0"/>
          <w:color w:val="auto"/>
          <w:sz w:val="24"/>
          <w:szCs w:val="24"/>
        </w:rPr>
      </w:pPr>
      <w:r w:rsidRPr="00CF10A3">
        <w:rPr>
          <w:rFonts w:ascii="Times New Roman" w:hAnsi="Times New Roman" w:cs="Times New Roman"/>
          <w:bCs w:val="0"/>
          <w:i w:val="0"/>
          <w:color w:val="auto"/>
          <w:sz w:val="24"/>
          <w:szCs w:val="24"/>
        </w:rPr>
        <w:t>2.0.4 Instrumentation and Analytical Conditions</w:t>
      </w:r>
    </w:p>
    <w:p w14:paraId="0C8C7937" w14:textId="77777777" w:rsidR="00E01509" w:rsidRPr="00CF10A3" w:rsidRDefault="00E7460A">
      <w:pPr>
        <w:pStyle w:val="NormalWeb"/>
        <w:spacing w:before="240" w:beforeAutospacing="0" w:line="276" w:lineRule="auto"/>
        <w:jc w:val="both"/>
      </w:pPr>
      <w:r w:rsidRPr="00CF10A3">
        <w:t>The fatty acid methyl esters analysis was performed using an Agilent 8860 Gas Chromatograph coupled with an Agilent 5977 inert Mass Selective Detector (MSD), equipped with an electron-impact ionization source. Separation was achieved in an HP-5 capillary column coated with 5% phenyl methyl siloxane.</w:t>
      </w:r>
    </w:p>
    <w:p w14:paraId="0412DC6B" w14:textId="77777777" w:rsidR="00E01509" w:rsidRPr="00CF10A3" w:rsidRDefault="00E7460A">
      <w:pPr>
        <w:pStyle w:val="NormalWeb"/>
        <w:spacing w:before="240" w:beforeAutospacing="0" w:line="276" w:lineRule="auto"/>
        <w:jc w:val="both"/>
      </w:pPr>
      <w:r w:rsidRPr="00CF10A3">
        <w:t>The mass spectrometer was auto-tuned using perfluorotributylamine (PFTBA) to ensure optimal detection sensitivity, monitoring key ions at m/z 69, 219, and 502. The MSD was operated in both scan and selective ion monitoring (SIM) modes to accurately quantify the fatty acid components.</w:t>
      </w:r>
    </w:p>
    <w:p w14:paraId="629EB981" w14:textId="77777777" w:rsidR="00E01509" w:rsidRPr="00CF10A3" w:rsidRDefault="00E7460A">
      <w:pPr>
        <w:pStyle w:val="NormalWeb"/>
        <w:spacing w:before="240" w:beforeAutospacing="0" w:line="276" w:lineRule="auto"/>
        <w:jc w:val="both"/>
      </w:pPr>
      <w:r w:rsidRPr="00CF10A3">
        <w:lastRenderedPageBreak/>
        <w:t xml:space="preserve">Chromatographic conditions included a helium carrier gas flow rate of 1.3 ml/min, injection of 1 µL sample in </w:t>
      </w:r>
      <w:proofErr w:type="spellStart"/>
      <w:r w:rsidRPr="00CF10A3">
        <w:t>splitless</w:t>
      </w:r>
      <w:proofErr w:type="spellEnd"/>
      <w:r w:rsidRPr="00CF10A3">
        <w:t xml:space="preserve"> mode at 250 °C, and an oven temperature program starting at 60 °C ramping to 300 °C at 15 °C/min. The transfer line, quadrupole, and ion source temperatures were set at 280 °C, 150 °C, and 230 °C, respectively. The quantification was carried out using a commercially available fatty acid methyl esters standard mix containing 37 components (</w:t>
      </w:r>
      <w:proofErr w:type="spellStart"/>
      <w:r w:rsidRPr="00CF10A3">
        <w:t>AccuStandard</w:t>
      </w:r>
      <w:proofErr w:type="spellEnd"/>
      <w:r w:rsidRPr="00CF10A3">
        <w:t>, Catalog No. FAMQ 005). Calibration standards were prepared by serial dilution at concentrations of 5.0, 10.0, and 20.0 ppm. The standards were analyzed prior to sample injection to establish calibration curves, enabling determination of the fatty acid composition, concentration, and mass spectral identification of the oil sample.</w:t>
      </w:r>
    </w:p>
    <w:p w14:paraId="7E3F7263" w14:textId="77777777" w:rsidR="00E01509" w:rsidRPr="00CF10A3" w:rsidRDefault="00E7460A">
      <w:pPr>
        <w:spacing w:before="240"/>
        <w:jc w:val="both"/>
        <w:rPr>
          <w:rFonts w:ascii="Times New Roman" w:hAnsi="Times New Roman" w:cs="Times New Roman"/>
          <w:b/>
          <w:bCs/>
          <w:sz w:val="24"/>
          <w:szCs w:val="24"/>
        </w:rPr>
      </w:pPr>
      <w:r w:rsidRPr="00CF10A3">
        <w:rPr>
          <w:rFonts w:ascii="Times New Roman" w:hAnsi="Times New Roman" w:cs="Times New Roman"/>
          <w:b/>
          <w:bCs/>
          <w:sz w:val="24"/>
          <w:szCs w:val="24"/>
        </w:rPr>
        <w:t>2.0.5 Liquid-Liquid extraction procedures</w:t>
      </w:r>
    </w:p>
    <w:p w14:paraId="631428B6" w14:textId="77777777"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sz w:val="24"/>
          <w:szCs w:val="24"/>
        </w:rPr>
        <w:t xml:space="preserve">Liquid-Liquid extraction experiments were conducted to evaluate the removal of Cu²⁺ and Ni²⁺ ions from aqueous solutions. The experiments were carried out in 150 ml beakers containing 50 ml of metal ion solution at a known concentration (50 ppm and 100 ppm). 2 ml to 10 ml of </w:t>
      </w:r>
      <w:r w:rsidRPr="00CF10A3">
        <w:rPr>
          <w:rFonts w:ascii="Times New Roman" w:hAnsi="Times New Roman" w:cs="Times New Roman"/>
          <w:i/>
          <w:iCs/>
          <w:sz w:val="24"/>
          <w:szCs w:val="24"/>
        </w:rPr>
        <w:t>Phaseolus vulgaris oil</w:t>
      </w:r>
      <w:r w:rsidRPr="00CF10A3">
        <w:rPr>
          <w:rFonts w:ascii="Times New Roman" w:hAnsi="Times New Roman" w:cs="Times New Roman"/>
          <w:sz w:val="24"/>
          <w:szCs w:val="24"/>
        </w:rPr>
        <w:t xml:space="preserve"> were added to each beaker, and the mixture was agitated on magnetic stirrer at 3 rpm for 25 minutes.</w:t>
      </w:r>
    </w:p>
    <w:p w14:paraId="176ACBED" w14:textId="77777777"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sz w:val="24"/>
          <w:szCs w:val="24"/>
        </w:rPr>
        <w:t xml:space="preserve">The desired pH was achieved by adding drops of 0.1 M HCl or 0.1 M NaOH while monitoring with a pH meter. At the target pH, the solution was further adjusted and allowed to stabilize until the pH remained </w:t>
      </w:r>
      <w:proofErr w:type="spellStart"/>
      <w:proofErr w:type="gramStart"/>
      <w:r w:rsidRPr="00CF10A3">
        <w:rPr>
          <w:rFonts w:ascii="Times New Roman" w:hAnsi="Times New Roman" w:cs="Times New Roman"/>
          <w:sz w:val="24"/>
          <w:szCs w:val="24"/>
        </w:rPr>
        <w:t>constant.The</w:t>
      </w:r>
      <w:proofErr w:type="spellEnd"/>
      <w:proofErr w:type="gramEnd"/>
      <w:r w:rsidRPr="00CF10A3">
        <w:rPr>
          <w:rFonts w:ascii="Times New Roman" w:hAnsi="Times New Roman" w:cs="Times New Roman"/>
          <w:sz w:val="24"/>
          <w:szCs w:val="24"/>
        </w:rPr>
        <w:t xml:space="preserve"> extraction of the Cu²⁺ and Ni²⁺ions from the aqueous phase was based on a quick-stirring process. In this case, 50 ml of the aqueous phase containing the Cu²⁺ and Ni²⁺ ions </w:t>
      </w:r>
      <w:proofErr w:type="gramStart"/>
      <w:r w:rsidRPr="00CF10A3">
        <w:rPr>
          <w:rFonts w:ascii="Times New Roman" w:hAnsi="Times New Roman" w:cs="Times New Roman"/>
          <w:sz w:val="24"/>
          <w:szCs w:val="24"/>
        </w:rPr>
        <w:t>was</w:t>
      </w:r>
      <w:proofErr w:type="gramEnd"/>
      <w:r w:rsidRPr="00CF10A3">
        <w:rPr>
          <w:rFonts w:ascii="Times New Roman" w:hAnsi="Times New Roman" w:cs="Times New Roman"/>
          <w:sz w:val="24"/>
          <w:szCs w:val="24"/>
        </w:rPr>
        <w:t xml:space="preserve"> mixed with 50 ml of the organic phase, consisting of the </w:t>
      </w:r>
      <w:proofErr w:type="spellStart"/>
      <w:r w:rsidRPr="00CF10A3">
        <w:rPr>
          <w:rFonts w:ascii="Times New Roman" w:hAnsi="Times New Roman" w:cs="Times New Roman"/>
          <w:sz w:val="24"/>
          <w:szCs w:val="24"/>
        </w:rPr>
        <w:t>oilfrom</w:t>
      </w:r>
      <w:proofErr w:type="spellEnd"/>
      <w:r w:rsidRPr="00CF10A3">
        <w:rPr>
          <w:rFonts w:ascii="Times New Roman" w:hAnsi="Times New Roman" w:cs="Times New Roman"/>
          <w:sz w:val="24"/>
          <w:szCs w:val="24"/>
        </w:rPr>
        <w:t xml:space="preserve"> the </w:t>
      </w:r>
      <w:r w:rsidRPr="00CF10A3">
        <w:rPr>
          <w:rFonts w:ascii="Times New Roman" w:hAnsi="Times New Roman" w:cs="Times New Roman"/>
          <w:i/>
          <w:iCs/>
          <w:sz w:val="24"/>
          <w:szCs w:val="24"/>
        </w:rPr>
        <w:t xml:space="preserve">Phaseolus </w:t>
      </w:r>
      <w:proofErr w:type="spellStart"/>
      <w:r w:rsidRPr="00CF10A3">
        <w:rPr>
          <w:rFonts w:ascii="Times New Roman" w:hAnsi="Times New Roman" w:cs="Times New Roman"/>
          <w:i/>
          <w:iCs/>
          <w:sz w:val="24"/>
          <w:szCs w:val="24"/>
        </w:rPr>
        <w:t>vulgaris</w:t>
      </w:r>
      <w:r w:rsidRPr="00CF10A3">
        <w:rPr>
          <w:rFonts w:ascii="Times New Roman" w:hAnsi="Times New Roman" w:cs="Times New Roman"/>
          <w:sz w:val="24"/>
          <w:szCs w:val="24"/>
        </w:rPr>
        <w:t>seeds</w:t>
      </w:r>
      <w:proofErr w:type="spellEnd"/>
      <w:r w:rsidRPr="00CF10A3">
        <w:rPr>
          <w:rFonts w:ascii="Times New Roman" w:hAnsi="Times New Roman" w:cs="Times New Roman"/>
          <w:i/>
          <w:iCs/>
          <w:sz w:val="24"/>
          <w:szCs w:val="24"/>
        </w:rPr>
        <w:t xml:space="preserve">, </w:t>
      </w:r>
      <w:r w:rsidRPr="00CF10A3">
        <w:rPr>
          <w:rFonts w:ascii="Times New Roman" w:hAnsi="Times New Roman" w:cs="Times New Roman"/>
          <w:sz w:val="24"/>
          <w:szCs w:val="24"/>
        </w:rPr>
        <w:t xml:space="preserve">in a 1:1 volume ratio. The mixtures of the aqueous and organic phases were then agitated by means of a stirrer at 7.0 rotations per second for 15 minutes at a fixed </w:t>
      </w:r>
      <w:proofErr w:type="spellStart"/>
      <w:r w:rsidRPr="00CF10A3">
        <w:rPr>
          <w:rFonts w:ascii="Times New Roman" w:hAnsi="Times New Roman" w:cs="Times New Roman"/>
          <w:sz w:val="24"/>
          <w:szCs w:val="24"/>
        </w:rPr>
        <w:t>temperatureof</w:t>
      </w:r>
      <w:proofErr w:type="spellEnd"/>
      <w:r w:rsidRPr="00CF10A3">
        <w:rPr>
          <w:rFonts w:ascii="Times New Roman" w:hAnsi="Times New Roman" w:cs="Times New Roman"/>
          <w:sz w:val="24"/>
          <w:szCs w:val="24"/>
        </w:rPr>
        <w:t xml:space="preserve"> 25 ˚C, using the magnetic stirrer/hotplate.</w:t>
      </w:r>
    </w:p>
    <w:p w14:paraId="771DF599" w14:textId="77777777"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sz w:val="24"/>
          <w:szCs w:val="24"/>
        </w:rPr>
        <w:t xml:space="preserve">After the agitation, the system was allowed to equilibrate for 5 minutes, for the phases to separate and a small syringe, with a needle attached to it, was used to draw a portion of the aqueous phase consisting of the metal ions for the evaluation of their concentrations using Atomic Absorption Spectrophotometry (AAS). A Buck Scientific VGP 210 spectrometer was used, with the analyses carried out at wavelengths of 324.8 nm for Cu and 232.0 nm for Ni.  Standard calibration curves were prepared using known concentrations of Cu²⁺ and Ni²⁺ solutions based on the Beer-Lambert's law. </w:t>
      </w:r>
    </w:p>
    <w:p w14:paraId="5363D8C1" w14:textId="77777777"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sz w:val="24"/>
          <w:szCs w:val="24"/>
        </w:rPr>
        <w:t xml:space="preserve">The effect of volume of organic phase on metal ion removal was investigated by varying the volume of the </w:t>
      </w:r>
      <w:r w:rsidRPr="00CF10A3">
        <w:rPr>
          <w:rFonts w:ascii="Times New Roman" w:hAnsi="Times New Roman" w:cs="Times New Roman"/>
          <w:i/>
          <w:sz w:val="24"/>
          <w:szCs w:val="24"/>
        </w:rPr>
        <w:t>Phaseolus vulgaris</w:t>
      </w:r>
      <w:r w:rsidRPr="00CF10A3">
        <w:rPr>
          <w:rFonts w:ascii="Times New Roman" w:hAnsi="Times New Roman" w:cs="Times New Roman"/>
          <w:sz w:val="24"/>
          <w:szCs w:val="24"/>
        </w:rPr>
        <w:t xml:space="preserve"> oil in the range of 2 ml to 10 ml.  For the effect of pH on the extraction of Cu²⁺ and Ni²⁺ ions, the initial pH of the aqueous solutions was adjusted to values ranging from 3 to 7 using 0.1 M HCl and 0.1 M NaOH. The extraction capacity of the organic phase was evaluated for the initial concentrations of Cu²⁺ and Ni²⁺ ions of 50 ppm and 100ppm respectively. The effect of temperature on the removal of Cu²⁺ and Ni²⁺ ions from aqueous </w:t>
      </w:r>
      <w:r w:rsidRPr="00CF10A3">
        <w:rPr>
          <w:rFonts w:ascii="Times New Roman" w:hAnsi="Times New Roman" w:cs="Times New Roman"/>
          <w:sz w:val="24"/>
          <w:szCs w:val="24"/>
        </w:rPr>
        <w:lastRenderedPageBreak/>
        <w:t xml:space="preserve">solution using </w:t>
      </w:r>
      <w:bookmarkStart w:id="4" w:name="_Hlk205204402"/>
      <w:r w:rsidRPr="00CF10A3">
        <w:rPr>
          <w:rStyle w:val="Emphasis"/>
          <w:rFonts w:ascii="Times New Roman" w:hAnsi="Times New Roman" w:cs="Times New Roman"/>
          <w:sz w:val="24"/>
          <w:szCs w:val="24"/>
        </w:rPr>
        <w:t xml:space="preserve">Phaseolus </w:t>
      </w:r>
      <w:proofErr w:type="spellStart"/>
      <w:r w:rsidRPr="00CF10A3">
        <w:rPr>
          <w:rStyle w:val="Emphasis"/>
          <w:rFonts w:ascii="Times New Roman" w:hAnsi="Times New Roman" w:cs="Times New Roman"/>
          <w:sz w:val="24"/>
          <w:szCs w:val="24"/>
        </w:rPr>
        <w:t>vulgaris</w:t>
      </w:r>
      <w:bookmarkEnd w:id="4"/>
      <w:r w:rsidRPr="00CF10A3">
        <w:rPr>
          <w:rFonts w:ascii="Times New Roman" w:hAnsi="Times New Roman" w:cs="Times New Roman"/>
          <w:sz w:val="24"/>
          <w:szCs w:val="24"/>
        </w:rPr>
        <w:t>oil</w:t>
      </w:r>
      <w:proofErr w:type="spellEnd"/>
      <w:r w:rsidRPr="00CF10A3">
        <w:rPr>
          <w:rFonts w:ascii="Times New Roman" w:hAnsi="Times New Roman" w:cs="Times New Roman"/>
          <w:sz w:val="24"/>
          <w:szCs w:val="24"/>
        </w:rPr>
        <w:t xml:space="preserve"> were investigated by conducting the liquid-liquid extraction experiments at </w:t>
      </w:r>
      <w:r w:rsidRPr="00CF10A3">
        <w:rPr>
          <w:rStyle w:val="Strong"/>
          <w:rFonts w:ascii="Times New Roman" w:eastAsiaTheme="majorEastAsia" w:hAnsi="Times New Roman" w:cs="Times New Roman"/>
          <w:b w:val="0"/>
          <w:sz w:val="24"/>
          <w:szCs w:val="24"/>
        </w:rPr>
        <w:t xml:space="preserve">25 °C, 35 °C, 45 °C, 55 °C and 65 °C. </w:t>
      </w:r>
    </w:p>
    <w:p w14:paraId="387F4CCA" w14:textId="77777777" w:rsidR="00E01509" w:rsidRPr="00CF10A3" w:rsidRDefault="00E7460A">
      <w:pPr>
        <w:spacing w:before="240"/>
        <w:jc w:val="both"/>
        <w:rPr>
          <w:rFonts w:ascii="Times New Roman" w:hAnsi="Times New Roman" w:cs="Times New Roman"/>
          <w:b/>
          <w:sz w:val="24"/>
          <w:szCs w:val="24"/>
        </w:rPr>
      </w:pPr>
      <w:r w:rsidRPr="00CF10A3">
        <w:rPr>
          <w:rFonts w:ascii="Times New Roman" w:hAnsi="Times New Roman" w:cs="Times New Roman"/>
          <w:b/>
          <w:sz w:val="24"/>
          <w:szCs w:val="24"/>
        </w:rPr>
        <w:t xml:space="preserve">2.0.6 Data Analysis </w:t>
      </w:r>
    </w:p>
    <w:p w14:paraId="06B1B1B6" w14:textId="77777777"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sz w:val="24"/>
          <w:szCs w:val="24"/>
        </w:rPr>
        <w:t xml:space="preserve">The Extraction Removal Efficiency, R (%), for the removal of the Cu²⁺ and Ni²⁺ ions from the aqueous phase into the organic phase consisting of the oil from the </w:t>
      </w:r>
      <w:r w:rsidRPr="00CF10A3">
        <w:rPr>
          <w:rFonts w:ascii="Times New Roman" w:hAnsi="Times New Roman" w:cs="Times New Roman"/>
          <w:i/>
          <w:iCs/>
          <w:sz w:val="24"/>
          <w:szCs w:val="24"/>
        </w:rPr>
        <w:t xml:space="preserve">Phaseolus vulgaris </w:t>
      </w:r>
      <w:r w:rsidRPr="00CF10A3">
        <w:rPr>
          <w:rFonts w:ascii="Times New Roman" w:hAnsi="Times New Roman" w:cs="Times New Roman"/>
          <w:sz w:val="24"/>
          <w:szCs w:val="24"/>
        </w:rPr>
        <w:t>seeds was calculated based on equation (6):</w:t>
      </w:r>
    </w:p>
    <w:p w14:paraId="69FB3BCD" w14:textId="77777777" w:rsidR="00E01509" w:rsidRPr="00CF10A3" w:rsidRDefault="00E01509">
      <w:pPr>
        <w:spacing w:before="240"/>
        <w:jc w:val="both"/>
        <w:rPr>
          <w:rFonts w:ascii="Times New Roman" w:hAnsi="Times New Roman" w:cs="Times New Roman"/>
          <w:position w:val="-30"/>
          <w:sz w:val="24"/>
          <w:szCs w:val="24"/>
        </w:rPr>
      </w:pPr>
      <w:r w:rsidRPr="00CF10A3">
        <w:rPr>
          <w:rFonts w:ascii="Times New Roman" w:hAnsi="Times New Roman" w:cs="Times New Roman"/>
          <w:position w:val="-30"/>
          <w:sz w:val="24"/>
          <w:szCs w:val="24"/>
        </w:rPr>
        <w:object w:dxaOrig="1900" w:dyaOrig="720" w14:anchorId="5F586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36pt" o:ole="">
            <v:imagedata r:id="rId9" o:title=""/>
          </v:shape>
          <o:OLEObject Type="Embed" ProgID="Equation.3" ShapeID="_x0000_i1025" DrawAspect="Content" ObjectID="_1828353421" r:id="rId10"/>
        </w:object>
      </w:r>
      <w:r w:rsidR="00E7460A" w:rsidRPr="00CF10A3">
        <w:rPr>
          <w:rFonts w:ascii="Times New Roman" w:hAnsi="Times New Roman" w:cs="Times New Roman"/>
          <w:sz w:val="24"/>
          <w:szCs w:val="24"/>
        </w:rPr>
        <w:t xml:space="preserve">                                          (6)</w:t>
      </w:r>
    </w:p>
    <w:p w14:paraId="66321983" w14:textId="77777777" w:rsidR="00E01509" w:rsidRPr="00CF10A3" w:rsidRDefault="00E7460A">
      <w:pPr>
        <w:pStyle w:val="NormalWeb"/>
        <w:spacing w:before="240" w:beforeAutospacing="0" w:line="276" w:lineRule="auto"/>
        <w:jc w:val="both"/>
      </w:pPr>
      <w:r w:rsidRPr="00CF10A3">
        <w:t xml:space="preserve">Equally, the distribution coefficient </w:t>
      </w:r>
      <w:r w:rsidR="00E01509" w:rsidRPr="00CF10A3">
        <w:rPr>
          <w:position w:val="-12"/>
        </w:rPr>
        <w:object w:dxaOrig="520" w:dyaOrig="360" w14:anchorId="5D614791">
          <v:shape id="_x0000_i1026" type="#_x0000_t75" style="width:26.55pt;height:18.85pt" o:ole="">
            <v:imagedata r:id="rId11" o:title=""/>
          </v:shape>
          <o:OLEObject Type="Embed" ProgID="Equation.3" ShapeID="_x0000_i1026" DrawAspect="Content" ObjectID="_1828353422" r:id="rId12"/>
        </w:object>
      </w:r>
      <w:r w:rsidRPr="00CF10A3">
        <w:t xml:space="preserve">  which represents the extent of metal ion extraction relative to its concentration in the aqueous phase was determined using the following relationship:</w:t>
      </w:r>
    </w:p>
    <w:p w14:paraId="2B09A1F7" w14:textId="77777777" w:rsidR="00E01509" w:rsidRPr="00CF10A3" w:rsidRDefault="008B3845">
      <w:pPr>
        <w:spacing w:before="24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d</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f</m:t>
                </m:r>
              </m:sub>
            </m:sSub>
            <m:r>
              <w:rPr>
                <w:rFonts w:ascii="Cambria Math" w:hAnsi="Cambria Math" w:cs="Times New Roman"/>
                <w:sz w:val="24"/>
                <w:szCs w:val="24"/>
              </w:rPr>
              <m:t>)</m:t>
            </m:r>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f</m:t>
                </m:r>
              </m:sub>
            </m:sSub>
          </m:den>
        </m:f>
        <m:r>
          <w:rPr>
            <w:rFonts w:ascii="Cambria Math" w:hAnsi="Cambria Math" w:cs="Times New Roman"/>
            <w:sz w:val="24"/>
            <w:szCs w:val="24"/>
          </w:rPr>
          <m:t>×100</m:t>
        </m:r>
      </m:oMath>
      <w:r w:rsidR="00E7460A" w:rsidRPr="00CF10A3">
        <w:rPr>
          <w:rFonts w:ascii="Times New Roman" w:hAnsi="Times New Roman" w:cs="Times New Roman"/>
          <w:sz w:val="24"/>
          <w:szCs w:val="24"/>
        </w:rPr>
        <w:t xml:space="preserve">                                             (7)</w:t>
      </w:r>
    </w:p>
    <w:p w14:paraId="2B973F5F" w14:textId="77777777"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sz w:val="24"/>
          <w:szCs w:val="24"/>
        </w:rPr>
        <w:t>In both cases in equations (6) and (7), C</w:t>
      </w:r>
      <w:r w:rsidRPr="00CF10A3">
        <w:rPr>
          <w:rFonts w:ascii="Times New Roman" w:hAnsi="Times New Roman" w:cs="Times New Roman"/>
          <w:sz w:val="24"/>
          <w:szCs w:val="24"/>
          <w:vertAlign w:val="subscript"/>
        </w:rPr>
        <w:t>i</w:t>
      </w:r>
      <w:r w:rsidRPr="00CF10A3">
        <w:rPr>
          <w:rFonts w:ascii="Times New Roman" w:hAnsi="Times New Roman" w:cs="Times New Roman"/>
          <w:sz w:val="24"/>
          <w:szCs w:val="24"/>
        </w:rPr>
        <w:t xml:space="preserve"> is the initial </w:t>
      </w:r>
      <w:bookmarkStart w:id="5" w:name="_Hlk205206131"/>
      <w:r w:rsidRPr="00CF10A3">
        <w:rPr>
          <w:rFonts w:ascii="Times New Roman" w:hAnsi="Times New Roman" w:cs="Times New Roman"/>
          <w:sz w:val="24"/>
          <w:szCs w:val="24"/>
        </w:rPr>
        <w:t xml:space="preserve">Cu²⁺ and Ni²⁺ ions </w:t>
      </w:r>
      <w:proofErr w:type="spellStart"/>
      <w:r w:rsidRPr="00CF10A3">
        <w:rPr>
          <w:rFonts w:ascii="Times New Roman" w:hAnsi="Times New Roman" w:cs="Times New Roman"/>
          <w:sz w:val="24"/>
          <w:szCs w:val="24"/>
        </w:rPr>
        <w:t>ions</w:t>
      </w:r>
      <w:proofErr w:type="spellEnd"/>
      <w:r w:rsidRPr="00CF10A3">
        <w:rPr>
          <w:rFonts w:ascii="Times New Roman" w:hAnsi="Times New Roman" w:cs="Times New Roman"/>
          <w:sz w:val="24"/>
          <w:szCs w:val="24"/>
        </w:rPr>
        <w:t xml:space="preserve"> </w:t>
      </w:r>
      <w:bookmarkEnd w:id="5"/>
      <w:r w:rsidRPr="00CF10A3">
        <w:rPr>
          <w:rFonts w:ascii="Times New Roman" w:hAnsi="Times New Roman" w:cs="Times New Roman"/>
          <w:sz w:val="24"/>
          <w:szCs w:val="24"/>
        </w:rPr>
        <w:t xml:space="preserve">concentrations in the aqueous phase before the extraction and </w:t>
      </w:r>
      <w:proofErr w:type="spellStart"/>
      <w:r w:rsidRPr="00CF10A3">
        <w:rPr>
          <w:rFonts w:ascii="Times New Roman" w:hAnsi="Times New Roman" w:cs="Times New Roman"/>
          <w:sz w:val="24"/>
          <w:szCs w:val="24"/>
        </w:rPr>
        <w:t>C</w:t>
      </w:r>
      <w:r w:rsidRPr="00CF10A3">
        <w:rPr>
          <w:rFonts w:ascii="Times New Roman" w:hAnsi="Times New Roman" w:cs="Times New Roman"/>
          <w:sz w:val="24"/>
          <w:szCs w:val="24"/>
          <w:vertAlign w:val="subscript"/>
        </w:rPr>
        <w:t>f</w:t>
      </w:r>
      <w:proofErr w:type="spellEnd"/>
      <w:r w:rsidRPr="00CF10A3">
        <w:rPr>
          <w:rFonts w:ascii="Times New Roman" w:hAnsi="Times New Roman" w:cs="Times New Roman"/>
          <w:sz w:val="24"/>
          <w:szCs w:val="24"/>
          <w:vertAlign w:val="subscript"/>
        </w:rPr>
        <w:t xml:space="preserve"> </w:t>
      </w:r>
      <w:r w:rsidRPr="00CF10A3">
        <w:rPr>
          <w:rFonts w:ascii="Times New Roman" w:hAnsi="Times New Roman" w:cs="Times New Roman"/>
          <w:sz w:val="24"/>
          <w:szCs w:val="24"/>
        </w:rPr>
        <w:t xml:space="preserve">is the final Cu²⁺ and Ni²⁺ ions concentration in the aqueous phase, after the extraction process. </w:t>
      </w:r>
    </w:p>
    <w:p w14:paraId="6466F3A7" w14:textId="77777777"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b/>
          <w:sz w:val="24"/>
          <w:szCs w:val="24"/>
        </w:rPr>
        <w:t>2.0.7 Statistical Analysis</w:t>
      </w:r>
    </w:p>
    <w:p w14:paraId="5C9E4D32" w14:textId="77777777"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sz w:val="24"/>
          <w:szCs w:val="24"/>
        </w:rPr>
        <w:t>The experimental data were analyzed using Microsoft Excel, all experiments were performed in triplicate, and results were expressed as mean values with standard deviations.</w:t>
      </w:r>
    </w:p>
    <w:p w14:paraId="400456D9" w14:textId="77777777" w:rsidR="00E01509" w:rsidRPr="00CF10A3" w:rsidRDefault="00E7460A">
      <w:pPr>
        <w:spacing w:before="240"/>
        <w:jc w:val="both"/>
        <w:rPr>
          <w:rFonts w:ascii="Times New Roman" w:hAnsi="Times New Roman" w:cs="Times New Roman"/>
          <w:b/>
          <w:sz w:val="24"/>
          <w:szCs w:val="24"/>
        </w:rPr>
      </w:pPr>
      <w:r w:rsidRPr="00CF10A3">
        <w:rPr>
          <w:rFonts w:ascii="Times New Roman" w:hAnsi="Times New Roman" w:cs="Times New Roman"/>
          <w:b/>
          <w:sz w:val="24"/>
          <w:szCs w:val="24"/>
        </w:rPr>
        <w:t xml:space="preserve">3.0 Results and Discussions </w:t>
      </w:r>
    </w:p>
    <w:p w14:paraId="01849AF4" w14:textId="77777777" w:rsidR="00E01509" w:rsidRPr="00CF10A3" w:rsidRDefault="00E7460A">
      <w:pPr>
        <w:spacing w:before="240"/>
        <w:jc w:val="both"/>
        <w:rPr>
          <w:rFonts w:ascii="Times New Roman" w:hAnsi="Times New Roman" w:cs="Times New Roman"/>
          <w:bCs/>
          <w:sz w:val="24"/>
          <w:szCs w:val="24"/>
        </w:rPr>
      </w:pPr>
      <w:r w:rsidRPr="00CF10A3">
        <w:rPr>
          <w:rFonts w:ascii="Times New Roman" w:hAnsi="Times New Roman" w:cs="Times New Roman"/>
          <w:bCs/>
          <w:sz w:val="24"/>
          <w:szCs w:val="24"/>
        </w:rPr>
        <w:t>The results from these experiments are as presented and discussed below.</w:t>
      </w:r>
    </w:p>
    <w:p w14:paraId="57392721" w14:textId="77777777" w:rsidR="00E01509" w:rsidRPr="00CF10A3" w:rsidRDefault="00E7460A">
      <w:pPr>
        <w:pStyle w:val="Heading3"/>
        <w:jc w:val="both"/>
        <w:rPr>
          <w:rFonts w:ascii="Times New Roman" w:hAnsi="Times New Roman" w:cs="Times New Roman"/>
          <w:b w:val="0"/>
          <w:color w:val="auto"/>
          <w:sz w:val="24"/>
          <w:szCs w:val="24"/>
        </w:rPr>
      </w:pPr>
      <w:r w:rsidRPr="00CF10A3">
        <w:rPr>
          <w:rStyle w:val="Strong"/>
          <w:rFonts w:ascii="Times New Roman" w:hAnsi="Times New Roman" w:cs="Times New Roman"/>
          <w:b/>
          <w:bCs/>
          <w:color w:val="auto"/>
          <w:sz w:val="24"/>
          <w:szCs w:val="24"/>
        </w:rPr>
        <w:t xml:space="preserve">3.1 Fatty Acid Composition of </w:t>
      </w:r>
      <w:r w:rsidRPr="00CF10A3">
        <w:rPr>
          <w:rStyle w:val="Emphasis"/>
          <w:rFonts w:ascii="Times New Roman" w:hAnsi="Times New Roman" w:cs="Times New Roman"/>
          <w:b w:val="0"/>
          <w:color w:val="auto"/>
          <w:sz w:val="24"/>
          <w:szCs w:val="24"/>
        </w:rPr>
        <w:t>Phaseolus vulgaris</w:t>
      </w:r>
      <w:r w:rsidRPr="00CF10A3">
        <w:rPr>
          <w:rStyle w:val="Strong"/>
          <w:rFonts w:ascii="Times New Roman" w:hAnsi="Times New Roman" w:cs="Times New Roman"/>
          <w:b/>
          <w:bCs/>
          <w:color w:val="auto"/>
          <w:sz w:val="24"/>
          <w:szCs w:val="24"/>
        </w:rPr>
        <w:t xml:space="preserve"> Oil</w:t>
      </w:r>
    </w:p>
    <w:p w14:paraId="469F0870" w14:textId="77777777" w:rsidR="00E01509" w:rsidRPr="00CF10A3" w:rsidRDefault="00E7460A">
      <w:pPr>
        <w:pStyle w:val="NormalWeb"/>
        <w:spacing w:line="276" w:lineRule="auto"/>
        <w:jc w:val="both"/>
        <w:rPr>
          <w:rStyle w:val="Strong"/>
          <w:b w:val="0"/>
          <w:bCs w:val="0"/>
        </w:rPr>
      </w:pPr>
      <w:r w:rsidRPr="00CF10A3">
        <w:t xml:space="preserve">In this study, the fatty acid profile of </w:t>
      </w:r>
      <w:r w:rsidRPr="00CF10A3">
        <w:rPr>
          <w:i/>
          <w:iCs/>
        </w:rPr>
        <w:t>Phaseolus vulgaris</w:t>
      </w:r>
      <w:r w:rsidRPr="00CF10A3">
        <w:t xml:space="preserve"> oil was analyzed using Gas Chromatography–Mass Spectrometry (GC-MS). The major peaks were observed between retention times 3.0 and 14.0 minutes, indicating the presence of both medium- and long-chain fatty acid methyl esters (</w:t>
      </w:r>
      <w:proofErr w:type="spellStart"/>
      <w:r w:rsidRPr="00CF10A3">
        <w:t>Darfizzi</w:t>
      </w:r>
      <w:proofErr w:type="spellEnd"/>
      <w:r w:rsidRPr="00CF10A3">
        <w:t xml:space="preserve"> et al., 2017). Quantitative results, including concentrations of the identified fatty acids, are summarized in Table 1.</w:t>
      </w:r>
    </w:p>
    <w:p w14:paraId="5E1381C2" w14:textId="77777777" w:rsidR="00E01509" w:rsidRPr="00CF10A3" w:rsidRDefault="00E7460A">
      <w:pPr>
        <w:spacing w:before="240"/>
        <w:jc w:val="both"/>
        <w:rPr>
          <w:rFonts w:ascii="Times New Roman" w:hAnsi="Times New Roman" w:cs="Times New Roman"/>
          <w:bCs/>
          <w:sz w:val="24"/>
          <w:szCs w:val="24"/>
        </w:rPr>
      </w:pPr>
      <w:r w:rsidRPr="00CF10A3">
        <w:rPr>
          <w:rStyle w:val="Strong"/>
          <w:rFonts w:ascii="Times New Roman" w:eastAsiaTheme="majorEastAsia" w:hAnsi="Times New Roman" w:cs="Times New Roman"/>
          <w:sz w:val="24"/>
          <w:szCs w:val="24"/>
        </w:rPr>
        <w:t xml:space="preserve">Table 1: </w:t>
      </w:r>
      <w:r w:rsidRPr="00CF10A3">
        <w:rPr>
          <w:rFonts w:ascii="Times New Roman" w:hAnsi="Times New Roman" w:cs="Times New Roman"/>
          <w:sz w:val="24"/>
          <w:szCs w:val="24"/>
        </w:rPr>
        <w:t xml:space="preserve">Fatty Acid Composition of </w:t>
      </w:r>
      <w:r w:rsidRPr="00CF10A3">
        <w:rPr>
          <w:rStyle w:val="Emphasis"/>
          <w:rFonts w:ascii="Times New Roman" w:eastAsiaTheme="majorEastAsia" w:hAnsi="Times New Roman" w:cs="Times New Roman"/>
          <w:sz w:val="24"/>
          <w:szCs w:val="24"/>
        </w:rPr>
        <w:t>Phaseolus vulgaris</w:t>
      </w:r>
      <w:r w:rsidRPr="00CF10A3">
        <w:rPr>
          <w:rFonts w:ascii="Times New Roman" w:hAnsi="Times New Roman" w:cs="Times New Roman"/>
          <w:sz w:val="24"/>
          <w:szCs w:val="24"/>
        </w:rPr>
        <w:t xml:space="preserve"> Oil</w:t>
      </w:r>
    </w:p>
    <w:p w14:paraId="2D65DDD9" w14:textId="77777777" w:rsidR="00E01509" w:rsidRPr="00CF10A3" w:rsidRDefault="00E01509">
      <w:pPr>
        <w:spacing w:after="0"/>
        <w:jc w:val="both"/>
        <w:rPr>
          <w:rFonts w:ascii="Times New Roman" w:eastAsiaTheme="minorEastAsia" w:hAnsi="Times New Roman" w:cs="Times New Roman"/>
          <w:sz w:val="24"/>
          <w:szCs w:val="24"/>
        </w:rPr>
        <w:sectPr w:rsidR="00E01509" w:rsidRPr="00CF10A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18" w:left="1440" w:header="720" w:footer="720" w:gutter="0"/>
          <w:cols w:space="720"/>
          <w:docGrid w:linePitch="360"/>
        </w:sectPr>
      </w:pPr>
    </w:p>
    <w:tbl>
      <w:tblPr>
        <w:tblStyle w:val="TableGrid"/>
        <w:tblW w:w="7992" w:type="dxa"/>
        <w:jc w:val="center"/>
        <w:tblLayout w:type="fixed"/>
        <w:tblLook w:val="04A0" w:firstRow="1" w:lastRow="0" w:firstColumn="1" w:lastColumn="0" w:noHBand="0" w:noVBand="1"/>
      </w:tblPr>
      <w:tblGrid>
        <w:gridCol w:w="630"/>
        <w:gridCol w:w="4332"/>
        <w:gridCol w:w="1410"/>
        <w:gridCol w:w="1620"/>
      </w:tblGrid>
      <w:tr w:rsidR="00E01509" w:rsidRPr="00CF10A3" w14:paraId="07F62D2D" w14:textId="77777777">
        <w:trPr>
          <w:jc w:val="center"/>
        </w:trPr>
        <w:tc>
          <w:tcPr>
            <w:tcW w:w="630" w:type="dxa"/>
            <w:tcBorders>
              <w:top w:val="single" w:sz="4" w:space="0" w:color="auto"/>
              <w:left w:val="nil"/>
              <w:bottom w:val="single" w:sz="4" w:space="0" w:color="auto"/>
              <w:right w:val="nil"/>
            </w:tcBorders>
          </w:tcPr>
          <w:p w14:paraId="37FC96AA"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S/N</w:t>
            </w:r>
          </w:p>
        </w:tc>
        <w:tc>
          <w:tcPr>
            <w:tcW w:w="4332" w:type="dxa"/>
            <w:tcBorders>
              <w:top w:val="single" w:sz="4" w:space="0" w:color="auto"/>
              <w:left w:val="nil"/>
              <w:bottom w:val="single" w:sz="4" w:space="0" w:color="auto"/>
              <w:right w:val="nil"/>
            </w:tcBorders>
          </w:tcPr>
          <w:p w14:paraId="702CC083"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Fatty acid</w:t>
            </w:r>
          </w:p>
        </w:tc>
        <w:tc>
          <w:tcPr>
            <w:tcW w:w="1410" w:type="dxa"/>
            <w:tcBorders>
              <w:top w:val="single" w:sz="4" w:space="0" w:color="auto"/>
              <w:left w:val="nil"/>
              <w:bottom w:val="single" w:sz="4" w:space="0" w:color="auto"/>
              <w:right w:val="nil"/>
            </w:tcBorders>
          </w:tcPr>
          <w:p w14:paraId="7FE249BD"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 xml:space="preserve">Retention </w:t>
            </w:r>
            <w:r w:rsidRPr="00CF10A3">
              <w:rPr>
                <w:rFonts w:ascii="Times New Roman" w:eastAsiaTheme="minorEastAsia" w:hAnsi="Times New Roman" w:cs="Times New Roman"/>
                <w:sz w:val="24"/>
                <w:szCs w:val="24"/>
              </w:rPr>
              <w:lastRenderedPageBreak/>
              <w:t>Time (Min)</w:t>
            </w:r>
          </w:p>
        </w:tc>
        <w:tc>
          <w:tcPr>
            <w:tcW w:w="1620" w:type="dxa"/>
            <w:tcBorders>
              <w:top w:val="single" w:sz="4" w:space="0" w:color="auto"/>
              <w:left w:val="nil"/>
              <w:bottom w:val="single" w:sz="4" w:space="0" w:color="auto"/>
              <w:right w:val="nil"/>
            </w:tcBorders>
          </w:tcPr>
          <w:p w14:paraId="2733C415"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lastRenderedPageBreak/>
              <w:t xml:space="preserve">Concentration </w:t>
            </w:r>
            <w:r w:rsidRPr="00CF10A3">
              <w:rPr>
                <w:rFonts w:ascii="Times New Roman" w:eastAsiaTheme="minorEastAsia" w:hAnsi="Times New Roman" w:cs="Times New Roman"/>
                <w:sz w:val="24"/>
                <w:szCs w:val="24"/>
              </w:rPr>
              <w:lastRenderedPageBreak/>
              <w:t>(mg/L)</w:t>
            </w:r>
          </w:p>
        </w:tc>
      </w:tr>
      <w:tr w:rsidR="00E01509" w:rsidRPr="00CF10A3" w14:paraId="3C17C6F5" w14:textId="77777777">
        <w:trPr>
          <w:jc w:val="center"/>
        </w:trPr>
        <w:tc>
          <w:tcPr>
            <w:tcW w:w="630" w:type="dxa"/>
            <w:tcBorders>
              <w:top w:val="nil"/>
              <w:left w:val="nil"/>
              <w:bottom w:val="nil"/>
              <w:right w:val="nil"/>
            </w:tcBorders>
          </w:tcPr>
          <w:p w14:paraId="0A2FDF22"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lastRenderedPageBreak/>
              <w:t>1</w:t>
            </w:r>
          </w:p>
        </w:tc>
        <w:tc>
          <w:tcPr>
            <w:tcW w:w="4332" w:type="dxa"/>
            <w:tcBorders>
              <w:top w:val="nil"/>
              <w:left w:val="nil"/>
              <w:bottom w:val="nil"/>
              <w:right w:val="nil"/>
            </w:tcBorders>
            <w:vAlign w:val="bottom"/>
          </w:tcPr>
          <w:p w14:paraId="698FCF46"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Capric acid, methyl ester</w:t>
            </w:r>
          </w:p>
        </w:tc>
        <w:tc>
          <w:tcPr>
            <w:tcW w:w="1410" w:type="dxa"/>
            <w:tcBorders>
              <w:top w:val="nil"/>
              <w:left w:val="nil"/>
              <w:bottom w:val="nil"/>
              <w:right w:val="nil"/>
            </w:tcBorders>
            <w:vAlign w:val="bottom"/>
          </w:tcPr>
          <w:p w14:paraId="4D0FABE9"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3.958</w:t>
            </w:r>
          </w:p>
        </w:tc>
        <w:tc>
          <w:tcPr>
            <w:tcW w:w="1620" w:type="dxa"/>
            <w:tcBorders>
              <w:top w:val="nil"/>
              <w:left w:val="nil"/>
              <w:bottom w:val="nil"/>
              <w:right w:val="nil"/>
            </w:tcBorders>
            <w:vAlign w:val="bottom"/>
          </w:tcPr>
          <w:p w14:paraId="6D42F0AB"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0.038772</w:t>
            </w:r>
          </w:p>
        </w:tc>
      </w:tr>
      <w:tr w:rsidR="00E01509" w:rsidRPr="00CF10A3" w14:paraId="37AE9D36" w14:textId="77777777">
        <w:trPr>
          <w:jc w:val="center"/>
        </w:trPr>
        <w:tc>
          <w:tcPr>
            <w:tcW w:w="630" w:type="dxa"/>
            <w:tcBorders>
              <w:top w:val="nil"/>
              <w:left w:val="nil"/>
              <w:bottom w:val="nil"/>
              <w:right w:val="nil"/>
            </w:tcBorders>
          </w:tcPr>
          <w:p w14:paraId="77388223"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w:t>
            </w:r>
          </w:p>
        </w:tc>
        <w:tc>
          <w:tcPr>
            <w:tcW w:w="4332" w:type="dxa"/>
            <w:tcBorders>
              <w:top w:val="nil"/>
              <w:left w:val="nil"/>
              <w:bottom w:val="nil"/>
              <w:right w:val="nil"/>
            </w:tcBorders>
            <w:vAlign w:val="bottom"/>
          </w:tcPr>
          <w:p w14:paraId="4DE57073"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Undecanoic acid, methyl ester</w:t>
            </w:r>
          </w:p>
        </w:tc>
        <w:tc>
          <w:tcPr>
            <w:tcW w:w="1410" w:type="dxa"/>
            <w:tcBorders>
              <w:top w:val="nil"/>
              <w:left w:val="nil"/>
              <w:bottom w:val="nil"/>
              <w:right w:val="nil"/>
            </w:tcBorders>
            <w:vAlign w:val="bottom"/>
          </w:tcPr>
          <w:p w14:paraId="7617CFCE"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4.776</w:t>
            </w:r>
          </w:p>
        </w:tc>
        <w:tc>
          <w:tcPr>
            <w:tcW w:w="1620" w:type="dxa"/>
            <w:tcBorders>
              <w:top w:val="nil"/>
              <w:left w:val="nil"/>
              <w:bottom w:val="nil"/>
              <w:right w:val="nil"/>
            </w:tcBorders>
            <w:vAlign w:val="bottom"/>
          </w:tcPr>
          <w:p w14:paraId="0A8BFE7C"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0.017142</w:t>
            </w:r>
          </w:p>
        </w:tc>
      </w:tr>
      <w:tr w:rsidR="00E01509" w:rsidRPr="00CF10A3" w14:paraId="6DFF88B8" w14:textId="77777777">
        <w:trPr>
          <w:jc w:val="center"/>
        </w:trPr>
        <w:tc>
          <w:tcPr>
            <w:tcW w:w="630" w:type="dxa"/>
            <w:tcBorders>
              <w:top w:val="nil"/>
              <w:left w:val="nil"/>
              <w:bottom w:val="nil"/>
              <w:right w:val="nil"/>
            </w:tcBorders>
          </w:tcPr>
          <w:p w14:paraId="40D1E301"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w:t>
            </w:r>
          </w:p>
        </w:tc>
        <w:tc>
          <w:tcPr>
            <w:tcW w:w="4332" w:type="dxa"/>
            <w:tcBorders>
              <w:top w:val="nil"/>
              <w:left w:val="nil"/>
              <w:bottom w:val="nil"/>
              <w:right w:val="nil"/>
            </w:tcBorders>
            <w:vAlign w:val="bottom"/>
          </w:tcPr>
          <w:p w14:paraId="4EFE74A7"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Lauric acid, methyl ester</w:t>
            </w:r>
          </w:p>
        </w:tc>
        <w:tc>
          <w:tcPr>
            <w:tcW w:w="1410" w:type="dxa"/>
            <w:tcBorders>
              <w:top w:val="nil"/>
              <w:left w:val="nil"/>
              <w:bottom w:val="nil"/>
              <w:right w:val="nil"/>
            </w:tcBorders>
            <w:vAlign w:val="bottom"/>
          </w:tcPr>
          <w:p w14:paraId="12CE1BF6"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5.669</w:t>
            </w:r>
          </w:p>
        </w:tc>
        <w:tc>
          <w:tcPr>
            <w:tcW w:w="1620" w:type="dxa"/>
            <w:tcBorders>
              <w:top w:val="nil"/>
              <w:left w:val="nil"/>
              <w:bottom w:val="nil"/>
              <w:right w:val="nil"/>
            </w:tcBorders>
            <w:vAlign w:val="bottom"/>
          </w:tcPr>
          <w:p w14:paraId="0813786C"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0.11566</w:t>
            </w:r>
          </w:p>
        </w:tc>
      </w:tr>
      <w:tr w:rsidR="00E01509" w:rsidRPr="00CF10A3" w14:paraId="42FAB0F7" w14:textId="77777777">
        <w:trPr>
          <w:jc w:val="center"/>
        </w:trPr>
        <w:tc>
          <w:tcPr>
            <w:tcW w:w="630" w:type="dxa"/>
            <w:tcBorders>
              <w:top w:val="nil"/>
              <w:left w:val="nil"/>
              <w:bottom w:val="nil"/>
              <w:right w:val="nil"/>
            </w:tcBorders>
          </w:tcPr>
          <w:p w14:paraId="7F2CF19A"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4</w:t>
            </w:r>
          </w:p>
        </w:tc>
        <w:tc>
          <w:tcPr>
            <w:tcW w:w="4332" w:type="dxa"/>
            <w:tcBorders>
              <w:top w:val="nil"/>
              <w:left w:val="nil"/>
              <w:bottom w:val="nil"/>
              <w:right w:val="nil"/>
            </w:tcBorders>
            <w:vAlign w:val="bottom"/>
          </w:tcPr>
          <w:p w14:paraId="7A3D9D66"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Tridecanoic acid, methyl ester</w:t>
            </w:r>
          </w:p>
        </w:tc>
        <w:tc>
          <w:tcPr>
            <w:tcW w:w="1410" w:type="dxa"/>
            <w:tcBorders>
              <w:top w:val="nil"/>
              <w:left w:val="nil"/>
              <w:bottom w:val="nil"/>
              <w:right w:val="nil"/>
            </w:tcBorders>
            <w:vAlign w:val="bottom"/>
          </w:tcPr>
          <w:p w14:paraId="28CC4705"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6.39</w:t>
            </w:r>
          </w:p>
        </w:tc>
        <w:tc>
          <w:tcPr>
            <w:tcW w:w="1620" w:type="dxa"/>
            <w:tcBorders>
              <w:top w:val="nil"/>
              <w:left w:val="nil"/>
              <w:bottom w:val="nil"/>
              <w:right w:val="nil"/>
            </w:tcBorders>
            <w:vAlign w:val="bottom"/>
          </w:tcPr>
          <w:p w14:paraId="3FCD531F"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0.013727</w:t>
            </w:r>
          </w:p>
        </w:tc>
      </w:tr>
      <w:tr w:rsidR="00E01509" w:rsidRPr="00CF10A3" w14:paraId="72FAB882" w14:textId="77777777">
        <w:trPr>
          <w:jc w:val="center"/>
        </w:trPr>
        <w:tc>
          <w:tcPr>
            <w:tcW w:w="630" w:type="dxa"/>
            <w:tcBorders>
              <w:top w:val="nil"/>
              <w:left w:val="nil"/>
              <w:bottom w:val="nil"/>
              <w:right w:val="nil"/>
            </w:tcBorders>
          </w:tcPr>
          <w:p w14:paraId="2663D25E"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w:t>
            </w:r>
          </w:p>
        </w:tc>
        <w:tc>
          <w:tcPr>
            <w:tcW w:w="4332" w:type="dxa"/>
            <w:tcBorders>
              <w:top w:val="nil"/>
              <w:left w:val="nil"/>
              <w:bottom w:val="nil"/>
              <w:right w:val="nil"/>
            </w:tcBorders>
            <w:vAlign w:val="bottom"/>
          </w:tcPr>
          <w:p w14:paraId="5E8A236F" w14:textId="77777777" w:rsidR="00E01509" w:rsidRPr="00CF10A3" w:rsidRDefault="00E7460A">
            <w:pPr>
              <w:spacing w:after="0"/>
              <w:jc w:val="both"/>
              <w:rPr>
                <w:rFonts w:ascii="Times New Roman" w:eastAsiaTheme="minorEastAsia" w:hAnsi="Times New Roman" w:cs="Times New Roman"/>
                <w:sz w:val="24"/>
                <w:szCs w:val="24"/>
              </w:rPr>
            </w:pPr>
            <w:proofErr w:type="spellStart"/>
            <w:r w:rsidRPr="00CF10A3">
              <w:rPr>
                <w:rFonts w:ascii="Times New Roman" w:eastAsiaTheme="minorEastAsia" w:hAnsi="Times New Roman" w:cs="Times New Roman"/>
                <w:sz w:val="24"/>
                <w:szCs w:val="24"/>
              </w:rPr>
              <w:t>Myristoleic</w:t>
            </w:r>
            <w:proofErr w:type="spellEnd"/>
            <w:r w:rsidRPr="00CF10A3">
              <w:rPr>
                <w:rFonts w:ascii="Times New Roman" w:eastAsiaTheme="minorEastAsia" w:hAnsi="Times New Roman" w:cs="Times New Roman"/>
                <w:sz w:val="24"/>
                <w:szCs w:val="24"/>
              </w:rPr>
              <w:t xml:space="preserve"> acid, methyl ester</w:t>
            </w:r>
          </w:p>
        </w:tc>
        <w:tc>
          <w:tcPr>
            <w:tcW w:w="1410" w:type="dxa"/>
            <w:tcBorders>
              <w:top w:val="nil"/>
              <w:left w:val="nil"/>
              <w:bottom w:val="nil"/>
              <w:right w:val="nil"/>
            </w:tcBorders>
            <w:vAlign w:val="bottom"/>
          </w:tcPr>
          <w:p w14:paraId="747E3782"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7.065</w:t>
            </w:r>
          </w:p>
        </w:tc>
        <w:tc>
          <w:tcPr>
            <w:tcW w:w="1620" w:type="dxa"/>
            <w:tcBorders>
              <w:top w:val="nil"/>
              <w:left w:val="nil"/>
              <w:bottom w:val="nil"/>
              <w:right w:val="nil"/>
            </w:tcBorders>
            <w:vAlign w:val="bottom"/>
          </w:tcPr>
          <w:p w14:paraId="29245C6E"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0.189093</w:t>
            </w:r>
          </w:p>
        </w:tc>
      </w:tr>
      <w:tr w:rsidR="00E01509" w:rsidRPr="00CF10A3" w14:paraId="313FE38A" w14:textId="77777777">
        <w:trPr>
          <w:jc w:val="center"/>
        </w:trPr>
        <w:tc>
          <w:tcPr>
            <w:tcW w:w="630" w:type="dxa"/>
            <w:tcBorders>
              <w:top w:val="nil"/>
              <w:left w:val="nil"/>
              <w:bottom w:val="nil"/>
              <w:right w:val="nil"/>
            </w:tcBorders>
          </w:tcPr>
          <w:p w14:paraId="1785372F"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6</w:t>
            </w:r>
          </w:p>
        </w:tc>
        <w:tc>
          <w:tcPr>
            <w:tcW w:w="4332" w:type="dxa"/>
            <w:tcBorders>
              <w:top w:val="nil"/>
              <w:left w:val="nil"/>
              <w:bottom w:val="nil"/>
              <w:right w:val="nil"/>
            </w:tcBorders>
            <w:vAlign w:val="bottom"/>
          </w:tcPr>
          <w:p w14:paraId="6CA2C589"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Myristic acid, methyl ester</w:t>
            </w:r>
          </w:p>
        </w:tc>
        <w:tc>
          <w:tcPr>
            <w:tcW w:w="1410" w:type="dxa"/>
            <w:tcBorders>
              <w:top w:val="nil"/>
              <w:left w:val="nil"/>
              <w:bottom w:val="nil"/>
              <w:right w:val="nil"/>
            </w:tcBorders>
            <w:vAlign w:val="bottom"/>
          </w:tcPr>
          <w:p w14:paraId="3B811334"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7.128</w:t>
            </w:r>
          </w:p>
        </w:tc>
        <w:tc>
          <w:tcPr>
            <w:tcW w:w="1620" w:type="dxa"/>
            <w:tcBorders>
              <w:top w:val="nil"/>
              <w:left w:val="nil"/>
              <w:bottom w:val="nil"/>
              <w:right w:val="nil"/>
            </w:tcBorders>
            <w:vAlign w:val="bottom"/>
          </w:tcPr>
          <w:p w14:paraId="61CA843C"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2.63527</w:t>
            </w:r>
          </w:p>
        </w:tc>
      </w:tr>
      <w:tr w:rsidR="00E01509" w:rsidRPr="00CF10A3" w14:paraId="522E8E10" w14:textId="77777777">
        <w:trPr>
          <w:jc w:val="center"/>
        </w:trPr>
        <w:tc>
          <w:tcPr>
            <w:tcW w:w="630" w:type="dxa"/>
            <w:tcBorders>
              <w:top w:val="nil"/>
              <w:left w:val="nil"/>
              <w:bottom w:val="nil"/>
              <w:right w:val="nil"/>
            </w:tcBorders>
          </w:tcPr>
          <w:p w14:paraId="7B08F4A1"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7</w:t>
            </w:r>
          </w:p>
        </w:tc>
        <w:tc>
          <w:tcPr>
            <w:tcW w:w="4332" w:type="dxa"/>
            <w:tcBorders>
              <w:top w:val="nil"/>
              <w:left w:val="nil"/>
              <w:bottom w:val="nil"/>
              <w:right w:val="nil"/>
            </w:tcBorders>
            <w:vAlign w:val="bottom"/>
          </w:tcPr>
          <w:p w14:paraId="219DB9FA"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cis-10-pentadecanoic acid, methyl ester</w:t>
            </w:r>
          </w:p>
        </w:tc>
        <w:tc>
          <w:tcPr>
            <w:tcW w:w="1410" w:type="dxa"/>
            <w:tcBorders>
              <w:top w:val="nil"/>
              <w:left w:val="nil"/>
              <w:bottom w:val="nil"/>
              <w:right w:val="nil"/>
            </w:tcBorders>
            <w:vAlign w:val="bottom"/>
          </w:tcPr>
          <w:p w14:paraId="3AF47E78"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7.706</w:t>
            </w:r>
          </w:p>
        </w:tc>
        <w:tc>
          <w:tcPr>
            <w:tcW w:w="1620" w:type="dxa"/>
            <w:tcBorders>
              <w:top w:val="nil"/>
              <w:left w:val="nil"/>
              <w:bottom w:val="nil"/>
              <w:right w:val="nil"/>
            </w:tcBorders>
            <w:vAlign w:val="bottom"/>
          </w:tcPr>
          <w:p w14:paraId="50A4827B"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0.210447</w:t>
            </w:r>
          </w:p>
        </w:tc>
      </w:tr>
      <w:tr w:rsidR="00E01509" w:rsidRPr="00CF10A3" w14:paraId="64DD72A6" w14:textId="77777777">
        <w:trPr>
          <w:jc w:val="center"/>
        </w:trPr>
        <w:tc>
          <w:tcPr>
            <w:tcW w:w="630" w:type="dxa"/>
            <w:tcBorders>
              <w:top w:val="nil"/>
              <w:left w:val="nil"/>
              <w:bottom w:val="nil"/>
              <w:right w:val="nil"/>
            </w:tcBorders>
          </w:tcPr>
          <w:p w14:paraId="5F0CCC6F"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8</w:t>
            </w:r>
          </w:p>
        </w:tc>
        <w:tc>
          <w:tcPr>
            <w:tcW w:w="4332" w:type="dxa"/>
            <w:tcBorders>
              <w:top w:val="nil"/>
              <w:left w:val="nil"/>
              <w:bottom w:val="nil"/>
              <w:right w:val="nil"/>
            </w:tcBorders>
            <w:vAlign w:val="bottom"/>
          </w:tcPr>
          <w:p w14:paraId="090BA940"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Pentadecanoic acid, methyl ester</w:t>
            </w:r>
          </w:p>
        </w:tc>
        <w:tc>
          <w:tcPr>
            <w:tcW w:w="1410" w:type="dxa"/>
            <w:tcBorders>
              <w:top w:val="nil"/>
              <w:left w:val="nil"/>
              <w:bottom w:val="nil"/>
              <w:right w:val="nil"/>
            </w:tcBorders>
            <w:vAlign w:val="bottom"/>
          </w:tcPr>
          <w:p w14:paraId="1F68B772"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7.843</w:t>
            </w:r>
          </w:p>
        </w:tc>
        <w:tc>
          <w:tcPr>
            <w:tcW w:w="1620" w:type="dxa"/>
            <w:tcBorders>
              <w:top w:val="nil"/>
              <w:left w:val="nil"/>
              <w:bottom w:val="nil"/>
              <w:right w:val="nil"/>
            </w:tcBorders>
            <w:vAlign w:val="bottom"/>
          </w:tcPr>
          <w:p w14:paraId="0F5256ED"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0.379107</w:t>
            </w:r>
          </w:p>
        </w:tc>
      </w:tr>
      <w:tr w:rsidR="00E01509" w:rsidRPr="00CF10A3" w14:paraId="160F90BF" w14:textId="77777777">
        <w:trPr>
          <w:jc w:val="center"/>
        </w:trPr>
        <w:tc>
          <w:tcPr>
            <w:tcW w:w="630" w:type="dxa"/>
            <w:tcBorders>
              <w:top w:val="nil"/>
              <w:left w:val="nil"/>
              <w:bottom w:val="nil"/>
              <w:right w:val="nil"/>
            </w:tcBorders>
          </w:tcPr>
          <w:p w14:paraId="1E843F1F"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9</w:t>
            </w:r>
          </w:p>
        </w:tc>
        <w:tc>
          <w:tcPr>
            <w:tcW w:w="4332" w:type="dxa"/>
            <w:tcBorders>
              <w:top w:val="nil"/>
              <w:left w:val="nil"/>
              <w:bottom w:val="nil"/>
              <w:right w:val="nil"/>
            </w:tcBorders>
            <w:vAlign w:val="bottom"/>
          </w:tcPr>
          <w:p w14:paraId="5276428E"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Palmitic acid, methyl ester</w:t>
            </w:r>
          </w:p>
        </w:tc>
        <w:tc>
          <w:tcPr>
            <w:tcW w:w="1410" w:type="dxa"/>
            <w:tcBorders>
              <w:top w:val="nil"/>
              <w:left w:val="nil"/>
              <w:bottom w:val="nil"/>
              <w:right w:val="nil"/>
            </w:tcBorders>
            <w:vAlign w:val="bottom"/>
          </w:tcPr>
          <w:p w14:paraId="1DE42791"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8.524</w:t>
            </w:r>
          </w:p>
        </w:tc>
        <w:tc>
          <w:tcPr>
            <w:tcW w:w="1620" w:type="dxa"/>
            <w:tcBorders>
              <w:top w:val="nil"/>
              <w:left w:val="nil"/>
              <w:bottom w:val="nil"/>
              <w:right w:val="nil"/>
            </w:tcBorders>
            <w:vAlign w:val="bottom"/>
          </w:tcPr>
          <w:p w14:paraId="54CEA151"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17.3714</w:t>
            </w:r>
          </w:p>
        </w:tc>
      </w:tr>
      <w:tr w:rsidR="00E01509" w:rsidRPr="00CF10A3" w14:paraId="4BCEE7C8" w14:textId="77777777">
        <w:trPr>
          <w:jc w:val="center"/>
        </w:trPr>
        <w:tc>
          <w:tcPr>
            <w:tcW w:w="630" w:type="dxa"/>
            <w:tcBorders>
              <w:top w:val="nil"/>
              <w:left w:val="nil"/>
              <w:bottom w:val="nil"/>
              <w:right w:val="nil"/>
            </w:tcBorders>
          </w:tcPr>
          <w:p w14:paraId="6E30AD93"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w:t>
            </w:r>
          </w:p>
        </w:tc>
        <w:tc>
          <w:tcPr>
            <w:tcW w:w="4332" w:type="dxa"/>
            <w:tcBorders>
              <w:top w:val="nil"/>
              <w:left w:val="nil"/>
              <w:bottom w:val="nil"/>
              <w:right w:val="nil"/>
            </w:tcBorders>
            <w:vAlign w:val="bottom"/>
          </w:tcPr>
          <w:p w14:paraId="5C7FD776"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Linoleic/Oleic acid, methyl ester</w:t>
            </w:r>
          </w:p>
        </w:tc>
        <w:tc>
          <w:tcPr>
            <w:tcW w:w="1410" w:type="dxa"/>
            <w:tcBorders>
              <w:top w:val="nil"/>
              <w:left w:val="nil"/>
              <w:bottom w:val="nil"/>
              <w:right w:val="nil"/>
            </w:tcBorders>
            <w:vAlign w:val="bottom"/>
          </w:tcPr>
          <w:p w14:paraId="2F79BBD6"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9.594</w:t>
            </w:r>
          </w:p>
        </w:tc>
        <w:tc>
          <w:tcPr>
            <w:tcW w:w="1620" w:type="dxa"/>
            <w:tcBorders>
              <w:top w:val="nil"/>
              <w:left w:val="nil"/>
              <w:bottom w:val="nil"/>
              <w:right w:val="nil"/>
            </w:tcBorders>
            <w:vAlign w:val="bottom"/>
          </w:tcPr>
          <w:p w14:paraId="6C27BEC8"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106.609</w:t>
            </w:r>
          </w:p>
        </w:tc>
      </w:tr>
      <w:tr w:rsidR="00E01509" w:rsidRPr="00CF10A3" w14:paraId="104AAEBC" w14:textId="77777777">
        <w:trPr>
          <w:jc w:val="center"/>
        </w:trPr>
        <w:tc>
          <w:tcPr>
            <w:tcW w:w="630" w:type="dxa"/>
            <w:tcBorders>
              <w:top w:val="nil"/>
              <w:left w:val="nil"/>
              <w:bottom w:val="nil"/>
              <w:right w:val="nil"/>
            </w:tcBorders>
          </w:tcPr>
          <w:p w14:paraId="5B9EB780"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11</w:t>
            </w:r>
          </w:p>
        </w:tc>
        <w:tc>
          <w:tcPr>
            <w:tcW w:w="4332" w:type="dxa"/>
            <w:tcBorders>
              <w:top w:val="nil"/>
              <w:left w:val="nil"/>
              <w:bottom w:val="nil"/>
              <w:right w:val="nil"/>
            </w:tcBorders>
            <w:vAlign w:val="bottom"/>
          </w:tcPr>
          <w:p w14:paraId="72F28D27"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Stearic acid, methyl ester</w:t>
            </w:r>
          </w:p>
        </w:tc>
        <w:tc>
          <w:tcPr>
            <w:tcW w:w="1410" w:type="dxa"/>
            <w:tcBorders>
              <w:top w:val="nil"/>
              <w:left w:val="nil"/>
              <w:bottom w:val="nil"/>
              <w:right w:val="nil"/>
            </w:tcBorders>
            <w:vAlign w:val="bottom"/>
          </w:tcPr>
          <w:p w14:paraId="5E1E0156"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9.783</w:t>
            </w:r>
          </w:p>
        </w:tc>
        <w:tc>
          <w:tcPr>
            <w:tcW w:w="1620" w:type="dxa"/>
            <w:tcBorders>
              <w:top w:val="nil"/>
              <w:left w:val="nil"/>
              <w:bottom w:val="nil"/>
              <w:right w:val="nil"/>
            </w:tcBorders>
            <w:vAlign w:val="bottom"/>
          </w:tcPr>
          <w:p w14:paraId="402616EF"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4.23616</w:t>
            </w:r>
          </w:p>
        </w:tc>
      </w:tr>
      <w:tr w:rsidR="00E01509" w:rsidRPr="00CF10A3" w14:paraId="7C3E1DCF" w14:textId="77777777">
        <w:trPr>
          <w:jc w:val="center"/>
        </w:trPr>
        <w:tc>
          <w:tcPr>
            <w:tcW w:w="630" w:type="dxa"/>
            <w:tcBorders>
              <w:top w:val="nil"/>
              <w:left w:val="nil"/>
              <w:bottom w:val="nil"/>
              <w:right w:val="nil"/>
            </w:tcBorders>
          </w:tcPr>
          <w:p w14:paraId="1C1E28F5"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12</w:t>
            </w:r>
          </w:p>
        </w:tc>
        <w:tc>
          <w:tcPr>
            <w:tcW w:w="4332" w:type="dxa"/>
            <w:tcBorders>
              <w:top w:val="nil"/>
              <w:left w:val="nil"/>
              <w:bottom w:val="nil"/>
              <w:right w:val="nil"/>
            </w:tcBorders>
            <w:vAlign w:val="bottom"/>
          </w:tcPr>
          <w:p w14:paraId="4C15FD7E"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cis-5,8,11,14-Eicosapentaenoic acid, met</w:t>
            </w:r>
          </w:p>
        </w:tc>
        <w:tc>
          <w:tcPr>
            <w:tcW w:w="1410" w:type="dxa"/>
            <w:tcBorders>
              <w:top w:val="nil"/>
              <w:left w:val="nil"/>
              <w:bottom w:val="nil"/>
              <w:right w:val="nil"/>
            </w:tcBorders>
            <w:vAlign w:val="bottom"/>
          </w:tcPr>
          <w:p w14:paraId="02AAB759"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10.424</w:t>
            </w:r>
          </w:p>
        </w:tc>
        <w:tc>
          <w:tcPr>
            <w:tcW w:w="1620" w:type="dxa"/>
            <w:tcBorders>
              <w:top w:val="nil"/>
              <w:left w:val="nil"/>
              <w:bottom w:val="nil"/>
              <w:right w:val="nil"/>
            </w:tcBorders>
            <w:vAlign w:val="bottom"/>
          </w:tcPr>
          <w:p w14:paraId="6A488C60"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0.385504</w:t>
            </w:r>
          </w:p>
        </w:tc>
      </w:tr>
      <w:tr w:rsidR="00E01509" w:rsidRPr="00CF10A3" w14:paraId="6000006F" w14:textId="77777777">
        <w:trPr>
          <w:jc w:val="center"/>
        </w:trPr>
        <w:tc>
          <w:tcPr>
            <w:tcW w:w="630" w:type="dxa"/>
            <w:tcBorders>
              <w:top w:val="nil"/>
              <w:left w:val="nil"/>
              <w:bottom w:val="nil"/>
              <w:right w:val="nil"/>
            </w:tcBorders>
          </w:tcPr>
          <w:p w14:paraId="760A845C"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13</w:t>
            </w:r>
          </w:p>
        </w:tc>
        <w:tc>
          <w:tcPr>
            <w:tcW w:w="4332" w:type="dxa"/>
            <w:tcBorders>
              <w:top w:val="nil"/>
              <w:left w:val="nil"/>
              <w:bottom w:val="nil"/>
              <w:right w:val="nil"/>
            </w:tcBorders>
            <w:vAlign w:val="bottom"/>
          </w:tcPr>
          <w:p w14:paraId="0C84A87F"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8,11,14-Eicosatrienoic acid, methyl ester</w:t>
            </w:r>
          </w:p>
        </w:tc>
        <w:tc>
          <w:tcPr>
            <w:tcW w:w="1410" w:type="dxa"/>
            <w:tcBorders>
              <w:top w:val="nil"/>
              <w:left w:val="nil"/>
              <w:bottom w:val="nil"/>
              <w:right w:val="nil"/>
            </w:tcBorders>
            <w:vAlign w:val="bottom"/>
          </w:tcPr>
          <w:p w14:paraId="5840D957"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10.527</w:t>
            </w:r>
          </w:p>
        </w:tc>
        <w:tc>
          <w:tcPr>
            <w:tcW w:w="1620" w:type="dxa"/>
            <w:tcBorders>
              <w:top w:val="nil"/>
              <w:left w:val="nil"/>
              <w:bottom w:val="nil"/>
              <w:right w:val="nil"/>
            </w:tcBorders>
            <w:vAlign w:val="bottom"/>
          </w:tcPr>
          <w:p w14:paraId="4ADECA34"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3.61936</w:t>
            </w:r>
          </w:p>
        </w:tc>
      </w:tr>
      <w:tr w:rsidR="00E01509" w:rsidRPr="00CF10A3" w14:paraId="7D25F9DF" w14:textId="77777777">
        <w:trPr>
          <w:jc w:val="center"/>
        </w:trPr>
        <w:tc>
          <w:tcPr>
            <w:tcW w:w="630" w:type="dxa"/>
            <w:tcBorders>
              <w:top w:val="nil"/>
              <w:left w:val="nil"/>
              <w:bottom w:val="nil"/>
              <w:right w:val="nil"/>
            </w:tcBorders>
          </w:tcPr>
          <w:p w14:paraId="7B1D9077"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14</w:t>
            </w:r>
          </w:p>
        </w:tc>
        <w:tc>
          <w:tcPr>
            <w:tcW w:w="4332" w:type="dxa"/>
            <w:tcBorders>
              <w:top w:val="nil"/>
              <w:left w:val="nil"/>
              <w:bottom w:val="nil"/>
              <w:right w:val="nil"/>
            </w:tcBorders>
            <w:vAlign w:val="bottom"/>
          </w:tcPr>
          <w:p w14:paraId="383C25E2"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cis-11,14-Eicosadienoic acid, methyl ester</w:t>
            </w:r>
          </w:p>
        </w:tc>
        <w:tc>
          <w:tcPr>
            <w:tcW w:w="1410" w:type="dxa"/>
            <w:tcBorders>
              <w:top w:val="nil"/>
              <w:left w:val="nil"/>
              <w:bottom w:val="nil"/>
              <w:right w:val="nil"/>
            </w:tcBorders>
            <w:vAlign w:val="bottom"/>
          </w:tcPr>
          <w:p w14:paraId="7686244B"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10.721</w:t>
            </w:r>
          </w:p>
        </w:tc>
        <w:tc>
          <w:tcPr>
            <w:tcW w:w="1620" w:type="dxa"/>
            <w:tcBorders>
              <w:top w:val="nil"/>
              <w:left w:val="nil"/>
              <w:bottom w:val="nil"/>
              <w:right w:val="nil"/>
            </w:tcBorders>
            <w:vAlign w:val="bottom"/>
          </w:tcPr>
          <w:p w14:paraId="132B3F3E"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0.342797</w:t>
            </w:r>
          </w:p>
        </w:tc>
      </w:tr>
      <w:tr w:rsidR="00E01509" w:rsidRPr="00CF10A3" w14:paraId="63E66717" w14:textId="77777777">
        <w:trPr>
          <w:jc w:val="center"/>
        </w:trPr>
        <w:tc>
          <w:tcPr>
            <w:tcW w:w="630" w:type="dxa"/>
            <w:tcBorders>
              <w:top w:val="nil"/>
              <w:left w:val="nil"/>
              <w:bottom w:val="nil"/>
              <w:right w:val="nil"/>
            </w:tcBorders>
          </w:tcPr>
          <w:p w14:paraId="34EFE3BD"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15</w:t>
            </w:r>
          </w:p>
        </w:tc>
        <w:tc>
          <w:tcPr>
            <w:tcW w:w="4332" w:type="dxa"/>
            <w:tcBorders>
              <w:top w:val="nil"/>
              <w:left w:val="nil"/>
              <w:bottom w:val="nil"/>
              <w:right w:val="nil"/>
            </w:tcBorders>
            <w:vAlign w:val="bottom"/>
          </w:tcPr>
          <w:p w14:paraId="720089B9"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cis-11-14-17-Eicosatri-, methyl ester</w:t>
            </w:r>
          </w:p>
        </w:tc>
        <w:tc>
          <w:tcPr>
            <w:tcW w:w="1410" w:type="dxa"/>
            <w:tcBorders>
              <w:top w:val="nil"/>
              <w:left w:val="nil"/>
              <w:bottom w:val="nil"/>
              <w:right w:val="nil"/>
            </w:tcBorders>
            <w:vAlign w:val="bottom"/>
          </w:tcPr>
          <w:p w14:paraId="19B063AA"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10.767</w:t>
            </w:r>
          </w:p>
        </w:tc>
        <w:tc>
          <w:tcPr>
            <w:tcW w:w="1620" w:type="dxa"/>
            <w:tcBorders>
              <w:top w:val="nil"/>
              <w:left w:val="nil"/>
              <w:bottom w:val="nil"/>
              <w:right w:val="nil"/>
            </w:tcBorders>
            <w:vAlign w:val="bottom"/>
          </w:tcPr>
          <w:p w14:paraId="1EEC2223"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0.746745</w:t>
            </w:r>
          </w:p>
        </w:tc>
      </w:tr>
      <w:tr w:rsidR="00E01509" w:rsidRPr="00CF10A3" w14:paraId="3B3A4DEE" w14:textId="77777777">
        <w:trPr>
          <w:jc w:val="center"/>
        </w:trPr>
        <w:tc>
          <w:tcPr>
            <w:tcW w:w="630" w:type="dxa"/>
            <w:tcBorders>
              <w:top w:val="nil"/>
              <w:left w:val="nil"/>
              <w:bottom w:val="nil"/>
              <w:right w:val="nil"/>
            </w:tcBorders>
          </w:tcPr>
          <w:p w14:paraId="190DB70C"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16</w:t>
            </w:r>
          </w:p>
        </w:tc>
        <w:tc>
          <w:tcPr>
            <w:tcW w:w="4332" w:type="dxa"/>
            <w:tcBorders>
              <w:top w:val="nil"/>
              <w:left w:val="nil"/>
              <w:bottom w:val="nil"/>
              <w:right w:val="nil"/>
            </w:tcBorders>
            <w:vAlign w:val="bottom"/>
          </w:tcPr>
          <w:p w14:paraId="3E340B18" w14:textId="77777777" w:rsidR="00E01509" w:rsidRPr="00CF10A3" w:rsidRDefault="00E7460A">
            <w:pPr>
              <w:spacing w:after="0"/>
              <w:jc w:val="both"/>
              <w:rPr>
                <w:rFonts w:ascii="Times New Roman" w:eastAsiaTheme="minorEastAsia" w:hAnsi="Times New Roman" w:cs="Times New Roman"/>
                <w:sz w:val="24"/>
                <w:szCs w:val="24"/>
              </w:rPr>
            </w:pPr>
            <w:proofErr w:type="spellStart"/>
            <w:r w:rsidRPr="00CF10A3">
              <w:rPr>
                <w:rFonts w:ascii="Times New Roman" w:eastAsiaTheme="minorEastAsia" w:hAnsi="Times New Roman" w:cs="Times New Roman"/>
                <w:sz w:val="24"/>
                <w:szCs w:val="24"/>
              </w:rPr>
              <w:t>Eicosanoic</w:t>
            </w:r>
            <w:proofErr w:type="spellEnd"/>
            <w:r w:rsidRPr="00CF10A3">
              <w:rPr>
                <w:rFonts w:ascii="Times New Roman" w:eastAsiaTheme="minorEastAsia" w:hAnsi="Times New Roman" w:cs="Times New Roman"/>
                <w:sz w:val="24"/>
                <w:szCs w:val="24"/>
              </w:rPr>
              <w:t xml:space="preserve"> acid, methyl ester</w:t>
            </w:r>
          </w:p>
        </w:tc>
        <w:tc>
          <w:tcPr>
            <w:tcW w:w="1410" w:type="dxa"/>
            <w:tcBorders>
              <w:top w:val="nil"/>
              <w:left w:val="nil"/>
              <w:bottom w:val="nil"/>
              <w:right w:val="nil"/>
            </w:tcBorders>
            <w:vAlign w:val="bottom"/>
          </w:tcPr>
          <w:p w14:paraId="6D9A7959"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10.939</w:t>
            </w:r>
          </w:p>
        </w:tc>
        <w:tc>
          <w:tcPr>
            <w:tcW w:w="1620" w:type="dxa"/>
            <w:tcBorders>
              <w:top w:val="nil"/>
              <w:left w:val="nil"/>
              <w:bottom w:val="nil"/>
              <w:right w:val="nil"/>
            </w:tcBorders>
            <w:vAlign w:val="bottom"/>
          </w:tcPr>
          <w:p w14:paraId="5A2E3F2B"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0.687394</w:t>
            </w:r>
          </w:p>
        </w:tc>
      </w:tr>
      <w:tr w:rsidR="00E01509" w:rsidRPr="00CF10A3" w14:paraId="3E5164F4" w14:textId="77777777">
        <w:trPr>
          <w:jc w:val="center"/>
        </w:trPr>
        <w:tc>
          <w:tcPr>
            <w:tcW w:w="630" w:type="dxa"/>
            <w:tcBorders>
              <w:top w:val="nil"/>
              <w:left w:val="nil"/>
              <w:bottom w:val="nil"/>
              <w:right w:val="nil"/>
            </w:tcBorders>
          </w:tcPr>
          <w:p w14:paraId="46CC8039"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17</w:t>
            </w:r>
          </w:p>
        </w:tc>
        <w:tc>
          <w:tcPr>
            <w:tcW w:w="4332" w:type="dxa"/>
            <w:tcBorders>
              <w:top w:val="nil"/>
              <w:left w:val="nil"/>
              <w:bottom w:val="nil"/>
              <w:right w:val="nil"/>
            </w:tcBorders>
            <w:vAlign w:val="bottom"/>
          </w:tcPr>
          <w:p w14:paraId="2E5FDF9A" w14:textId="77777777" w:rsidR="00E01509" w:rsidRPr="00CF10A3" w:rsidRDefault="00E7460A">
            <w:pPr>
              <w:spacing w:after="0"/>
              <w:jc w:val="both"/>
              <w:rPr>
                <w:rFonts w:ascii="Times New Roman" w:eastAsiaTheme="minorEastAsia" w:hAnsi="Times New Roman" w:cs="Times New Roman"/>
                <w:sz w:val="24"/>
                <w:szCs w:val="24"/>
              </w:rPr>
            </w:pPr>
            <w:proofErr w:type="spellStart"/>
            <w:r w:rsidRPr="00CF10A3">
              <w:rPr>
                <w:rFonts w:ascii="Times New Roman" w:eastAsiaTheme="minorEastAsia" w:hAnsi="Times New Roman" w:cs="Times New Roman"/>
                <w:sz w:val="24"/>
                <w:szCs w:val="24"/>
              </w:rPr>
              <w:t>Heneicosanoic</w:t>
            </w:r>
            <w:proofErr w:type="spellEnd"/>
            <w:r w:rsidRPr="00CF10A3">
              <w:rPr>
                <w:rFonts w:ascii="Times New Roman" w:eastAsiaTheme="minorEastAsia" w:hAnsi="Times New Roman" w:cs="Times New Roman"/>
                <w:sz w:val="24"/>
                <w:szCs w:val="24"/>
              </w:rPr>
              <w:t xml:space="preserve"> acid, methyl ester</w:t>
            </w:r>
          </w:p>
        </w:tc>
        <w:tc>
          <w:tcPr>
            <w:tcW w:w="1410" w:type="dxa"/>
            <w:tcBorders>
              <w:top w:val="nil"/>
              <w:left w:val="nil"/>
              <w:bottom w:val="nil"/>
              <w:right w:val="nil"/>
            </w:tcBorders>
            <w:vAlign w:val="bottom"/>
          </w:tcPr>
          <w:p w14:paraId="2F11E911"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11.494</w:t>
            </w:r>
          </w:p>
        </w:tc>
        <w:tc>
          <w:tcPr>
            <w:tcW w:w="1620" w:type="dxa"/>
            <w:tcBorders>
              <w:top w:val="nil"/>
              <w:left w:val="nil"/>
              <w:bottom w:val="nil"/>
              <w:right w:val="nil"/>
            </w:tcBorders>
            <w:vAlign w:val="bottom"/>
          </w:tcPr>
          <w:p w14:paraId="5D270E03"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0.155495</w:t>
            </w:r>
          </w:p>
        </w:tc>
      </w:tr>
      <w:tr w:rsidR="00E01509" w:rsidRPr="00CF10A3" w14:paraId="21EB41B0" w14:textId="77777777">
        <w:trPr>
          <w:jc w:val="center"/>
        </w:trPr>
        <w:tc>
          <w:tcPr>
            <w:tcW w:w="630" w:type="dxa"/>
            <w:tcBorders>
              <w:top w:val="nil"/>
              <w:left w:val="nil"/>
              <w:bottom w:val="nil"/>
              <w:right w:val="nil"/>
            </w:tcBorders>
          </w:tcPr>
          <w:p w14:paraId="539AB2A4"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18</w:t>
            </w:r>
          </w:p>
        </w:tc>
        <w:tc>
          <w:tcPr>
            <w:tcW w:w="4332" w:type="dxa"/>
            <w:tcBorders>
              <w:top w:val="nil"/>
              <w:left w:val="nil"/>
              <w:bottom w:val="nil"/>
              <w:right w:val="nil"/>
            </w:tcBorders>
            <w:vAlign w:val="bottom"/>
          </w:tcPr>
          <w:p w14:paraId="70C41AC9"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cis-13,16-Docasadienoic acid, methyl ester</w:t>
            </w:r>
          </w:p>
        </w:tc>
        <w:tc>
          <w:tcPr>
            <w:tcW w:w="1410" w:type="dxa"/>
            <w:tcBorders>
              <w:top w:val="nil"/>
              <w:left w:val="nil"/>
              <w:bottom w:val="nil"/>
              <w:right w:val="nil"/>
            </w:tcBorders>
            <w:vAlign w:val="bottom"/>
          </w:tcPr>
          <w:p w14:paraId="2E448FBA"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11.82</w:t>
            </w:r>
          </w:p>
        </w:tc>
        <w:tc>
          <w:tcPr>
            <w:tcW w:w="1620" w:type="dxa"/>
            <w:tcBorders>
              <w:top w:val="nil"/>
              <w:left w:val="nil"/>
              <w:bottom w:val="nil"/>
              <w:right w:val="nil"/>
            </w:tcBorders>
            <w:vAlign w:val="bottom"/>
          </w:tcPr>
          <w:p w14:paraId="174A8C0B"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0.239554</w:t>
            </w:r>
          </w:p>
        </w:tc>
      </w:tr>
      <w:tr w:rsidR="00E01509" w:rsidRPr="00CF10A3" w14:paraId="29BBEBC7" w14:textId="77777777">
        <w:trPr>
          <w:jc w:val="center"/>
        </w:trPr>
        <w:tc>
          <w:tcPr>
            <w:tcW w:w="630" w:type="dxa"/>
            <w:tcBorders>
              <w:top w:val="nil"/>
              <w:left w:val="nil"/>
              <w:bottom w:val="nil"/>
              <w:right w:val="nil"/>
            </w:tcBorders>
          </w:tcPr>
          <w:p w14:paraId="5943BF8C"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19</w:t>
            </w:r>
          </w:p>
        </w:tc>
        <w:tc>
          <w:tcPr>
            <w:tcW w:w="4332" w:type="dxa"/>
            <w:tcBorders>
              <w:top w:val="nil"/>
              <w:left w:val="nil"/>
              <w:bottom w:val="nil"/>
              <w:right w:val="nil"/>
            </w:tcBorders>
            <w:vAlign w:val="bottom"/>
          </w:tcPr>
          <w:p w14:paraId="17184A0F"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Erucic acid, methyl ester</w:t>
            </w:r>
          </w:p>
        </w:tc>
        <w:tc>
          <w:tcPr>
            <w:tcW w:w="1410" w:type="dxa"/>
            <w:tcBorders>
              <w:top w:val="nil"/>
              <w:left w:val="nil"/>
              <w:bottom w:val="nil"/>
              <w:right w:val="nil"/>
            </w:tcBorders>
            <w:vAlign w:val="bottom"/>
          </w:tcPr>
          <w:p w14:paraId="19DDE004"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11.837</w:t>
            </w:r>
          </w:p>
        </w:tc>
        <w:tc>
          <w:tcPr>
            <w:tcW w:w="1620" w:type="dxa"/>
            <w:tcBorders>
              <w:top w:val="nil"/>
              <w:left w:val="nil"/>
              <w:bottom w:val="nil"/>
              <w:right w:val="nil"/>
            </w:tcBorders>
            <w:vAlign w:val="bottom"/>
          </w:tcPr>
          <w:p w14:paraId="6FE7C6A0"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0.118892</w:t>
            </w:r>
          </w:p>
        </w:tc>
      </w:tr>
      <w:tr w:rsidR="00E01509" w:rsidRPr="00CF10A3" w14:paraId="450897D6" w14:textId="77777777">
        <w:trPr>
          <w:jc w:val="center"/>
        </w:trPr>
        <w:tc>
          <w:tcPr>
            <w:tcW w:w="630" w:type="dxa"/>
            <w:tcBorders>
              <w:top w:val="nil"/>
              <w:left w:val="nil"/>
              <w:bottom w:val="nil"/>
              <w:right w:val="nil"/>
            </w:tcBorders>
          </w:tcPr>
          <w:p w14:paraId="2950EA51"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20</w:t>
            </w:r>
          </w:p>
        </w:tc>
        <w:tc>
          <w:tcPr>
            <w:tcW w:w="4332" w:type="dxa"/>
            <w:tcBorders>
              <w:top w:val="nil"/>
              <w:left w:val="nil"/>
              <w:bottom w:val="nil"/>
              <w:right w:val="nil"/>
            </w:tcBorders>
            <w:vAlign w:val="bottom"/>
          </w:tcPr>
          <w:p w14:paraId="2039E1AC"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Behenic acid, methyl ester</w:t>
            </w:r>
          </w:p>
        </w:tc>
        <w:tc>
          <w:tcPr>
            <w:tcW w:w="1410" w:type="dxa"/>
            <w:tcBorders>
              <w:top w:val="nil"/>
              <w:left w:val="nil"/>
              <w:bottom w:val="nil"/>
              <w:right w:val="nil"/>
            </w:tcBorders>
            <w:vAlign w:val="bottom"/>
          </w:tcPr>
          <w:p w14:paraId="67933875"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12.015</w:t>
            </w:r>
          </w:p>
        </w:tc>
        <w:tc>
          <w:tcPr>
            <w:tcW w:w="1620" w:type="dxa"/>
            <w:tcBorders>
              <w:top w:val="nil"/>
              <w:left w:val="nil"/>
              <w:bottom w:val="nil"/>
              <w:right w:val="nil"/>
            </w:tcBorders>
            <w:vAlign w:val="bottom"/>
          </w:tcPr>
          <w:p w14:paraId="15E9CA75"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0.823403</w:t>
            </w:r>
          </w:p>
        </w:tc>
      </w:tr>
      <w:tr w:rsidR="00E01509" w:rsidRPr="00CF10A3" w14:paraId="737985EF" w14:textId="77777777">
        <w:trPr>
          <w:jc w:val="center"/>
        </w:trPr>
        <w:tc>
          <w:tcPr>
            <w:tcW w:w="630" w:type="dxa"/>
            <w:tcBorders>
              <w:top w:val="nil"/>
              <w:left w:val="nil"/>
              <w:bottom w:val="nil"/>
              <w:right w:val="nil"/>
            </w:tcBorders>
          </w:tcPr>
          <w:p w14:paraId="75B5C275"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21</w:t>
            </w:r>
          </w:p>
        </w:tc>
        <w:tc>
          <w:tcPr>
            <w:tcW w:w="4332" w:type="dxa"/>
            <w:tcBorders>
              <w:top w:val="nil"/>
              <w:left w:val="nil"/>
              <w:bottom w:val="nil"/>
              <w:right w:val="nil"/>
            </w:tcBorders>
            <w:vAlign w:val="bottom"/>
          </w:tcPr>
          <w:p w14:paraId="58F1FAEA" w14:textId="77777777" w:rsidR="00E01509" w:rsidRPr="00CF10A3" w:rsidRDefault="00E7460A">
            <w:pPr>
              <w:spacing w:after="0"/>
              <w:jc w:val="both"/>
              <w:rPr>
                <w:rFonts w:ascii="Times New Roman" w:eastAsiaTheme="minorEastAsia" w:hAnsi="Times New Roman" w:cs="Times New Roman"/>
                <w:sz w:val="24"/>
                <w:szCs w:val="24"/>
              </w:rPr>
            </w:pPr>
            <w:proofErr w:type="spellStart"/>
            <w:r w:rsidRPr="00CF10A3">
              <w:rPr>
                <w:rFonts w:ascii="Times New Roman" w:eastAsiaTheme="minorEastAsia" w:hAnsi="Times New Roman" w:cs="Times New Roman"/>
                <w:sz w:val="24"/>
                <w:szCs w:val="24"/>
              </w:rPr>
              <w:t>Tricosanoic</w:t>
            </w:r>
            <w:proofErr w:type="spellEnd"/>
            <w:r w:rsidRPr="00CF10A3">
              <w:rPr>
                <w:rFonts w:ascii="Times New Roman" w:eastAsiaTheme="minorEastAsia" w:hAnsi="Times New Roman" w:cs="Times New Roman"/>
                <w:sz w:val="24"/>
                <w:szCs w:val="24"/>
              </w:rPr>
              <w:t xml:space="preserve"> acid, methyl ester</w:t>
            </w:r>
          </w:p>
        </w:tc>
        <w:tc>
          <w:tcPr>
            <w:tcW w:w="1410" w:type="dxa"/>
            <w:tcBorders>
              <w:top w:val="nil"/>
              <w:left w:val="nil"/>
              <w:bottom w:val="nil"/>
              <w:right w:val="nil"/>
            </w:tcBorders>
            <w:vAlign w:val="bottom"/>
          </w:tcPr>
          <w:p w14:paraId="5633B8F3"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12.524</w:t>
            </w:r>
          </w:p>
        </w:tc>
        <w:tc>
          <w:tcPr>
            <w:tcW w:w="1620" w:type="dxa"/>
            <w:tcBorders>
              <w:top w:val="nil"/>
              <w:left w:val="nil"/>
              <w:bottom w:val="nil"/>
              <w:right w:val="nil"/>
            </w:tcBorders>
            <w:vAlign w:val="bottom"/>
          </w:tcPr>
          <w:p w14:paraId="194B293B"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0.712439</w:t>
            </w:r>
          </w:p>
        </w:tc>
      </w:tr>
      <w:tr w:rsidR="00E01509" w:rsidRPr="00CF10A3" w14:paraId="51C68234" w14:textId="77777777">
        <w:trPr>
          <w:jc w:val="center"/>
        </w:trPr>
        <w:tc>
          <w:tcPr>
            <w:tcW w:w="630" w:type="dxa"/>
            <w:tcBorders>
              <w:top w:val="nil"/>
              <w:left w:val="nil"/>
              <w:bottom w:val="nil"/>
              <w:right w:val="nil"/>
            </w:tcBorders>
          </w:tcPr>
          <w:p w14:paraId="1814294C"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22</w:t>
            </w:r>
          </w:p>
        </w:tc>
        <w:tc>
          <w:tcPr>
            <w:tcW w:w="4332" w:type="dxa"/>
            <w:tcBorders>
              <w:top w:val="nil"/>
              <w:left w:val="nil"/>
              <w:bottom w:val="nil"/>
              <w:right w:val="nil"/>
            </w:tcBorders>
            <w:vAlign w:val="bottom"/>
          </w:tcPr>
          <w:p w14:paraId="58810BAB"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Nervonic acid, methyl ester</w:t>
            </w:r>
          </w:p>
        </w:tc>
        <w:tc>
          <w:tcPr>
            <w:tcW w:w="1410" w:type="dxa"/>
            <w:tcBorders>
              <w:top w:val="nil"/>
              <w:left w:val="nil"/>
              <w:bottom w:val="nil"/>
              <w:right w:val="nil"/>
            </w:tcBorders>
            <w:vAlign w:val="bottom"/>
          </w:tcPr>
          <w:p w14:paraId="69A98EC3"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12.844</w:t>
            </w:r>
          </w:p>
        </w:tc>
        <w:tc>
          <w:tcPr>
            <w:tcW w:w="1620" w:type="dxa"/>
            <w:tcBorders>
              <w:top w:val="nil"/>
              <w:left w:val="nil"/>
              <w:bottom w:val="nil"/>
              <w:right w:val="nil"/>
            </w:tcBorders>
            <w:vAlign w:val="bottom"/>
          </w:tcPr>
          <w:p w14:paraId="28D6C168"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0.260437</w:t>
            </w:r>
          </w:p>
        </w:tc>
      </w:tr>
      <w:tr w:rsidR="00E01509" w:rsidRPr="00CF10A3" w14:paraId="04FC9436" w14:textId="77777777">
        <w:trPr>
          <w:jc w:val="center"/>
        </w:trPr>
        <w:tc>
          <w:tcPr>
            <w:tcW w:w="630" w:type="dxa"/>
            <w:tcBorders>
              <w:top w:val="nil"/>
              <w:left w:val="nil"/>
              <w:bottom w:val="single" w:sz="4" w:space="0" w:color="auto"/>
              <w:right w:val="nil"/>
            </w:tcBorders>
          </w:tcPr>
          <w:p w14:paraId="477DF369"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23</w:t>
            </w:r>
          </w:p>
        </w:tc>
        <w:tc>
          <w:tcPr>
            <w:tcW w:w="4332" w:type="dxa"/>
            <w:tcBorders>
              <w:top w:val="nil"/>
              <w:left w:val="nil"/>
              <w:bottom w:val="single" w:sz="4" w:space="0" w:color="auto"/>
              <w:right w:val="nil"/>
            </w:tcBorders>
            <w:vAlign w:val="bottom"/>
          </w:tcPr>
          <w:p w14:paraId="45EFD9E9"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Lignoceric acid, methyl ester</w:t>
            </w:r>
          </w:p>
        </w:tc>
        <w:tc>
          <w:tcPr>
            <w:tcW w:w="1410" w:type="dxa"/>
            <w:tcBorders>
              <w:top w:val="nil"/>
              <w:left w:val="nil"/>
              <w:bottom w:val="single" w:sz="4" w:space="0" w:color="auto"/>
              <w:right w:val="nil"/>
            </w:tcBorders>
            <w:vAlign w:val="bottom"/>
          </w:tcPr>
          <w:p w14:paraId="1D87A686"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13.016</w:t>
            </w:r>
          </w:p>
        </w:tc>
        <w:tc>
          <w:tcPr>
            <w:tcW w:w="1620" w:type="dxa"/>
            <w:tcBorders>
              <w:top w:val="nil"/>
              <w:left w:val="nil"/>
              <w:bottom w:val="single" w:sz="4" w:space="0" w:color="auto"/>
              <w:right w:val="nil"/>
            </w:tcBorders>
            <w:vAlign w:val="bottom"/>
          </w:tcPr>
          <w:p w14:paraId="780C2537"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1.25966</w:t>
            </w:r>
          </w:p>
        </w:tc>
      </w:tr>
    </w:tbl>
    <w:p w14:paraId="68CE9E60" w14:textId="77777777" w:rsidR="00E01509" w:rsidRPr="00CF10A3" w:rsidRDefault="00E01509">
      <w:pPr>
        <w:pStyle w:val="Heading3"/>
        <w:jc w:val="both"/>
        <w:rPr>
          <w:rStyle w:val="Strong"/>
          <w:rFonts w:ascii="Times New Roman" w:hAnsi="Times New Roman" w:cs="Times New Roman"/>
          <w:b/>
          <w:bCs/>
          <w:color w:val="auto"/>
          <w:sz w:val="24"/>
          <w:szCs w:val="24"/>
        </w:rPr>
        <w:sectPr w:rsidR="00E01509" w:rsidRPr="00CF10A3">
          <w:type w:val="continuous"/>
          <w:pgSz w:w="12240" w:h="15840"/>
          <w:pgMar w:top="1440" w:right="1440" w:bottom="1440" w:left="1440" w:header="720" w:footer="720" w:gutter="0"/>
          <w:cols w:space="720"/>
          <w:docGrid w:linePitch="360"/>
        </w:sectPr>
      </w:pPr>
    </w:p>
    <w:p w14:paraId="599EC302" w14:textId="77777777" w:rsidR="00E01509" w:rsidRPr="00CF10A3" w:rsidRDefault="00E7460A">
      <w:pPr>
        <w:pStyle w:val="NormalWeb"/>
        <w:spacing w:line="276" w:lineRule="auto"/>
        <w:jc w:val="both"/>
        <w:rPr>
          <w:rStyle w:val="Strong"/>
          <w:rFonts w:eastAsiaTheme="majorEastAsia"/>
          <w:b w:val="0"/>
        </w:rPr>
      </w:pPr>
      <w:r w:rsidRPr="00CF10A3">
        <w:t xml:space="preserve">Among the fatty acids detected, three were present in significant concentrations and are considered as the </w:t>
      </w:r>
      <w:r w:rsidRPr="00CF10A3">
        <w:rPr>
          <w:rStyle w:val="Strong"/>
          <w:rFonts w:eastAsiaTheme="majorEastAsia"/>
          <w:b w:val="0"/>
        </w:rPr>
        <w:t>key contributors</w:t>
      </w:r>
      <w:r w:rsidRPr="00CF10A3">
        <w:t xml:space="preserve"> to the metal ion removal process. These were l</w:t>
      </w:r>
      <w:r w:rsidRPr="00CF10A3">
        <w:rPr>
          <w:rStyle w:val="Strong"/>
          <w:rFonts w:eastAsiaTheme="majorEastAsia"/>
          <w:b w:val="0"/>
        </w:rPr>
        <w:t xml:space="preserve">inoleic/oleic acid methyl ester (C18:2/C18:1), palmitic acid methyl ester (C16:0) and stearic acid methyl ester (C18:0) noted at retention times of </w:t>
      </w:r>
      <w:r w:rsidRPr="00CF10A3">
        <w:t>9.594, 8.524 and 9.783 minutes and c</w:t>
      </w:r>
      <w:r w:rsidRPr="00CF10A3">
        <w:rPr>
          <w:rStyle w:val="Strong"/>
          <w:rFonts w:eastAsiaTheme="majorEastAsia"/>
          <w:b w:val="0"/>
        </w:rPr>
        <w:t>oncentrations of 106.609 mg/L, 17.371 mg/L and 4.236 mg/L respectively.</w:t>
      </w:r>
    </w:p>
    <w:p w14:paraId="3AAC006A" w14:textId="77777777" w:rsidR="00E01509" w:rsidRPr="00CF10A3" w:rsidRDefault="00E7460A">
      <w:pPr>
        <w:pStyle w:val="NormalWeb"/>
        <w:spacing w:line="276" w:lineRule="auto"/>
        <w:jc w:val="both"/>
      </w:pPr>
      <w:r w:rsidRPr="00CF10A3">
        <w:t xml:space="preserve">These unsaturated fatty acids contain double </w:t>
      </w:r>
      <w:r w:rsidR="00D0241D" w:rsidRPr="00CF10A3">
        <w:t>bonds which enhance the polarity and facilitate</w:t>
      </w:r>
      <w:r w:rsidRPr="00CF10A3">
        <w:t xml:space="preserve"> interaction with metal ions (</w:t>
      </w:r>
      <w:r w:rsidR="003C7C42" w:rsidRPr="00CF10A3">
        <w:t>Zhao et al., 2014</w:t>
      </w:r>
      <w:r w:rsidRPr="00CF10A3">
        <w:t xml:space="preserve">). The carboxylic functional </w:t>
      </w:r>
      <w:r w:rsidR="00D0241D" w:rsidRPr="00CF10A3">
        <w:t>group on these compounds also serves</w:t>
      </w:r>
      <w:r w:rsidRPr="00CF10A3">
        <w:t xml:space="preserve"> as electron donors in metal-ligand complexation (</w:t>
      </w:r>
      <w:proofErr w:type="spellStart"/>
      <w:r w:rsidRPr="00CF10A3">
        <w:t>Nyong</w:t>
      </w:r>
      <w:proofErr w:type="spellEnd"/>
      <w:r w:rsidRPr="00CF10A3">
        <w:t xml:space="preserve"> et al, 2020). Therefore, a fatty acid with a well-defined linear structure, such as the palmitic acid, can play a dominant role in forming stable complexes with divalent metal ions such as Cu²⁺ and Ni²⁺ (</w:t>
      </w:r>
      <w:r w:rsidR="003C7C42" w:rsidRPr="00CF10A3">
        <w:t>(</w:t>
      </w:r>
      <w:proofErr w:type="spellStart"/>
      <w:r w:rsidR="003C7C42" w:rsidRPr="00CF10A3">
        <w:t>Juang</w:t>
      </w:r>
      <w:proofErr w:type="spellEnd"/>
      <w:r w:rsidR="003C7C42" w:rsidRPr="00CF10A3">
        <w:t xml:space="preserve"> &amp; Lee, 2002</w:t>
      </w:r>
      <w:r w:rsidRPr="00CF10A3">
        <w:t xml:space="preserve">). </w:t>
      </w:r>
      <w:r w:rsidR="00D0241D" w:rsidRPr="00CF10A3">
        <w:t>These acids are also long-chained and contribute</w:t>
      </w:r>
      <w:r w:rsidRPr="00CF10A3">
        <w:t xml:space="preserve"> to the hydrophobic character of the oil phase. The other fatty acids found in the oil were present in minor concentrations as can be seen in Table 1. Though individually less abundant, these acids still </w:t>
      </w:r>
      <w:r w:rsidRPr="00CF10A3">
        <w:lastRenderedPageBreak/>
        <w:t>contribute to the overall extraction capacity through their structural diversity and cumulative binding potential.</w:t>
      </w:r>
    </w:p>
    <w:p w14:paraId="7398B06E" w14:textId="77777777" w:rsidR="00E01509" w:rsidRPr="00CF10A3" w:rsidRDefault="00E7460A">
      <w:pPr>
        <w:spacing w:before="100" w:beforeAutospacing="1" w:after="240"/>
        <w:jc w:val="both"/>
        <w:outlineLvl w:val="2"/>
        <w:rPr>
          <w:rFonts w:ascii="Times New Roman" w:eastAsia="Times New Roman" w:hAnsi="Times New Roman" w:cs="Times New Roman"/>
          <w:b/>
          <w:bCs/>
          <w:sz w:val="24"/>
          <w:szCs w:val="24"/>
        </w:rPr>
      </w:pPr>
      <w:r w:rsidRPr="00CF10A3">
        <w:rPr>
          <w:rStyle w:val="Strong"/>
          <w:rFonts w:ascii="Times New Roman" w:hAnsi="Times New Roman" w:cs="Times New Roman"/>
          <w:sz w:val="24"/>
          <w:szCs w:val="24"/>
        </w:rPr>
        <w:t xml:space="preserve">3.2 </w:t>
      </w:r>
      <w:r w:rsidRPr="00CF10A3">
        <w:rPr>
          <w:rFonts w:ascii="Times New Roman" w:eastAsia="Times New Roman" w:hAnsi="Times New Roman" w:cs="Times New Roman"/>
          <w:b/>
          <w:bCs/>
          <w:sz w:val="24"/>
          <w:szCs w:val="24"/>
        </w:rPr>
        <w:t>Effect of Extractant Concentration</w:t>
      </w:r>
    </w:p>
    <w:p w14:paraId="43B56891" w14:textId="77777777" w:rsidR="00E01509" w:rsidRPr="00CF10A3" w:rsidRDefault="00E7460A">
      <w:pPr>
        <w:spacing w:before="100" w:beforeAutospacing="1" w:after="240"/>
        <w:jc w:val="both"/>
        <w:outlineLvl w:val="2"/>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 xml:space="preserve">The concentration of </w:t>
      </w:r>
      <w:r w:rsidRPr="00CF10A3">
        <w:rPr>
          <w:rFonts w:ascii="Times New Roman" w:eastAsia="Times New Roman" w:hAnsi="Times New Roman" w:cs="Times New Roman"/>
          <w:i/>
          <w:iCs/>
          <w:sz w:val="24"/>
          <w:szCs w:val="24"/>
        </w:rPr>
        <w:t>Phaseolus vulgaris</w:t>
      </w:r>
      <w:r w:rsidRPr="00CF10A3">
        <w:rPr>
          <w:rFonts w:ascii="Times New Roman" w:eastAsia="Times New Roman" w:hAnsi="Times New Roman" w:cs="Times New Roman"/>
          <w:sz w:val="24"/>
          <w:szCs w:val="24"/>
        </w:rPr>
        <w:t xml:space="preserve"> oil showed a strong inverse relationship with metal ion removal efficiency. As the oil concentration decreased from 1.00 C₁ to 0.20 C₁ (C₁ = 17.371 mg/L palmitic acid methyl esters and 106.609 mg/L </w:t>
      </w:r>
      <w:r w:rsidRPr="00CF10A3">
        <w:rPr>
          <w:rStyle w:val="Strong"/>
          <w:rFonts w:ascii="Times New Roman" w:hAnsi="Times New Roman" w:cs="Times New Roman"/>
          <w:b w:val="0"/>
          <w:sz w:val="24"/>
          <w:szCs w:val="24"/>
        </w:rPr>
        <w:t>linoleic</w:t>
      </w:r>
      <w:r w:rsidRPr="00CF10A3">
        <w:rPr>
          <w:rFonts w:ascii="Times New Roman" w:eastAsia="Times New Roman" w:hAnsi="Times New Roman" w:cs="Times New Roman"/>
          <w:sz w:val="24"/>
          <w:szCs w:val="24"/>
        </w:rPr>
        <w:t xml:space="preserve">/oleic acid methyl esters), the removal efficiency of Cu²⁺ at 50 ppm increased markedly from 99.55% to 99.96%, and at 100 ppm from 99.38% to 99.65% (Table 2 and Figures 3 &amp; 4). </w:t>
      </w:r>
    </w:p>
    <w:p w14:paraId="21795F37" w14:textId="77777777" w:rsidR="00E01509" w:rsidRPr="00CF10A3" w:rsidRDefault="00E7460A">
      <w:pPr>
        <w:spacing w:before="240" w:after="0"/>
        <w:jc w:val="both"/>
        <w:rPr>
          <w:rFonts w:ascii="Times New Roman" w:hAnsi="Times New Roman" w:cs="Times New Roman"/>
          <w:sz w:val="24"/>
          <w:szCs w:val="24"/>
        </w:rPr>
      </w:pPr>
      <w:r w:rsidRPr="00CF10A3">
        <w:rPr>
          <w:rFonts w:ascii="Times New Roman" w:hAnsi="Times New Roman" w:cs="Times New Roman"/>
          <w:b/>
          <w:sz w:val="24"/>
          <w:szCs w:val="24"/>
        </w:rPr>
        <w:t>Table 2</w:t>
      </w:r>
      <w:r w:rsidRPr="00CF10A3">
        <w:rPr>
          <w:rFonts w:ascii="Times New Roman" w:hAnsi="Times New Roman" w:cs="Times New Roman"/>
          <w:sz w:val="24"/>
          <w:szCs w:val="24"/>
        </w:rPr>
        <w:t>: Removal efficiency of Cu</w:t>
      </w:r>
      <w:r w:rsidRPr="00CF10A3">
        <w:rPr>
          <w:rFonts w:ascii="Times New Roman" w:hAnsi="Times New Roman" w:cs="Times New Roman"/>
          <w:sz w:val="24"/>
          <w:szCs w:val="24"/>
          <w:vertAlign w:val="superscript"/>
        </w:rPr>
        <w:t>2+</w:t>
      </w:r>
      <w:bookmarkStart w:id="6" w:name="_Hlk205273529"/>
      <w:r w:rsidRPr="00CF10A3">
        <w:rPr>
          <w:rFonts w:ascii="Times New Roman" w:hAnsi="Times New Roman" w:cs="Times New Roman"/>
          <w:sz w:val="24"/>
          <w:szCs w:val="24"/>
        </w:rPr>
        <w:t>and Ni</w:t>
      </w:r>
      <w:r w:rsidRPr="00CF10A3">
        <w:rPr>
          <w:rFonts w:ascii="Times New Roman" w:hAnsi="Times New Roman" w:cs="Times New Roman"/>
          <w:sz w:val="24"/>
          <w:szCs w:val="24"/>
          <w:vertAlign w:val="superscript"/>
        </w:rPr>
        <w:t>2+</w:t>
      </w:r>
      <w:bookmarkEnd w:id="6"/>
      <w:r w:rsidRPr="00CF10A3">
        <w:rPr>
          <w:rFonts w:ascii="Times New Roman" w:hAnsi="Times New Roman" w:cs="Times New Roman"/>
          <w:sz w:val="24"/>
          <w:szCs w:val="24"/>
        </w:rPr>
        <w:t xml:space="preserve">at 50ppm and 100ppm with different volume of </w:t>
      </w:r>
      <w:r w:rsidRPr="00CF10A3">
        <w:rPr>
          <w:rFonts w:ascii="Times New Roman" w:hAnsi="Times New Roman" w:cs="Times New Roman"/>
          <w:i/>
          <w:sz w:val="24"/>
          <w:szCs w:val="24"/>
        </w:rPr>
        <w:t>Phaseolus vulgaris</w:t>
      </w:r>
      <w:r w:rsidRPr="00CF10A3">
        <w:rPr>
          <w:rFonts w:ascii="Times New Roman" w:hAnsi="Times New Roman" w:cs="Times New Roman"/>
          <w:sz w:val="24"/>
          <w:szCs w:val="24"/>
        </w:rPr>
        <w:t xml:space="preserve"> oil</w:t>
      </w:r>
    </w:p>
    <w:tbl>
      <w:tblPr>
        <w:tblStyle w:val="TableGrid"/>
        <w:tblpPr w:leftFromText="180" w:rightFromText="180" w:vertAnchor="text" w:horzAnchor="margin" w:tblpY="148"/>
        <w:tblW w:w="0" w:type="auto"/>
        <w:tblLook w:val="04A0" w:firstRow="1" w:lastRow="0" w:firstColumn="1" w:lastColumn="0" w:noHBand="0" w:noVBand="1"/>
      </w:tblPr>
      <w:tblGrid>
        <w:gridCol w:w="715"/>
        <w:gridCol w:w="1620"/>
        <w:gridCol w:w="1890"/>
        <w:gridCol w:w="2007"/>
        <w:gridCol w:w="1559"/>
        <w:gridCol w:w="1559"/>
      </w:tblGrid>
      <w:tr w:rsidR="00E01509" w:rsidRPr="00CF10A3" w14:paraId="69C03BBF" w14:textId="77777777">
        <w:trPr>
          <w:trHeight w:val="272"/>
        </w:trPr>
        <w:tc>
          <w:tcPr>
            <w:tcW w:w="715" w:type="dxa"/>
            <w:vMerge w:val="restart"/>
          </w:tcPr>
          <w:p w14:paraId="484680F8" w14:textId="77777777" w:rsidR="00E01509" w:rsidRPr="00CF10A3" w:rsidRDefault="00E7460A">
            <w:pPr>
              <w:spacing w:after="0"/>
              <w:jc w:val="both"/>
              <w:rPr>
                <w:rFonts w:ascii="Times New Roman" w:eastAsiaTheme="minorEastAsia" w:hAnsi="Times New Roman" w:cs="Times New Roman"/>
                <w:sz w:val="24"/>
                <w:szCs w:val="24"/>
              </w:rPr>
            </w:pPr>
            <w:bookmarkStart w:id="7" w:name="_Hlk205273415"/>
            <w:r w:rsidRPr="00CF10A3">
              <w:rPr>
                <w:rFonts w:ascii="Times New Roman" w:eastAsiaTheme="minorEastAsia" w:hAnsi="Times New Roman" w:cs="Times New Roman"/>
                <w:sz w:val="24"/>
                <w:szCs w:val="24"/>
              </w:rPr>
              <w:t>S/N</w:t>
            </w:r>
          </w:p>
        </w:tc>
        <w:tc>
          <w:tcPr>
            <w:tcW w:w="1620" w:type="dxa"/>
            <w:vMerge w:val="restart"/>
            <w:tcBorders>
              <w:left w:val="nil"/>
              <w:right w:val="nil"/>
            </w:tcBorders>
          </w:tcPr>
          <w:p w14:paraId="53CE8894"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 xml:space="preserve">Vol. of </w:t>
            </w:r>
            <w:r w:rsidRPr="00CF10A3">
              <w:rPr>
                <w:rFonts w:ascii="Times New Roman" w:eastAsia="Calibri" w:hAnsi="Times New Roman" w:cs="Times New Roman"/>
                <w:i/>
                <w:iCs/>
                <w:sz w:val="24"/>
                <w:szCs w:val="24"/>
              </w:rPr>
              <w:t xml:space="preserve">P. vulgaris </w:t>
            </w:r>
            <w:r w:rsidRPr="00CF10A3">
              <w:rPr>
                <w:rFonts w:ascii="Times New Roman" w:eastAsiaTheme="minorEastAsia" w:hAnsi="Times New Roman" w:cs="Times New Roman"/>
                <w:sz w:val="24"/>
                <w:szCs w:val="24"/>
              </w:rPr>
              <w:t>oil (ml)</w:t>
            </w:r>
          </w:p>
        </w:tc>
        <w:tc>
          <w:tcPr>
            <w:tcW w:w="7015" w:type="dxa"/>
            <w:gridSpan w:val="4"/>
          </w:tcPr>
          <w:p w14:paraId="355A717B"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Removal Efficiency (%)</w:t>
            </w:r>
          </w:p>
        </w:tc>
      </w:tr>
      <w:tr w:rsidR="00E01509" w:rsidRPr="00CF10A3" w14:paraId="60E3A23E" w14:textId="77777777">
        <w:trPr>
          <w:trHeight w:val="262"/>
        </w:trPr>
        <w:tc>
          <w:tcPr>
            <w:tcW w:w="715" w:type="dxa"/>
            <w:vMerge/>
          </w:tcPr>
          <w:p w14:paraId="0EC0F3D8" w14:textId="77777777" w:rsidR="00E01509" w:rsidRPr="00CF10A3" w:rsidRDefault="00E01509">
            <w:pPr>
              <w:spacing w:after="0"/>
              <w:jc w:val="both"/>
              <w:rPr>
                <w:rFonts w:ascii="Times New Roman" w:eastAsiaTheme="minorEastAsia" w:hAnsi="Times New Roman" w:cs="Times New Roman"/>
                <w:sz w:val="24"/>
                <w:szCs w:val="24"/>
              </w:rPr>
            </w:pPr>
          </w:p>
        </w:tc>
        <w:tc>
          <w:tcPr>
            <w:tcW w:w="1620" w:type="dxa"/>
            <w:vMerge/>
            <w:tcBorders>
              <w:left w:val="nil"/>
              <w:right w:val="nil"/>
            </w:tcBorders>
          </w:tcPr>
          <w:p w14:paraId="1B5756B3" w14:textId="77777777" w:rsidR="00E01509" w:rsidRPr="00CF10A3" w:rsidRDefault="00E01509">
            <w:pPr>
              <w:spacing w:after="0"/>
              <w:jc w:val="both"/>
              <w:rPr>
                <w:rFonts w:ascii="Times New Roman" w:eastAsiaTheme="minorEastAsia" w:hAnsi="Times New Roman" w:cs="Times New Roman"/>
                <w:sz w:val="24"/>
                <w:szCs w:val="24"/>
              </w:rPr>
            </w:pPr>
          </w:p>
        </w:tc>
        <w:tc>
          <w:tcPr>
            <w:tcW w:w="3897" w:type="dxa"/>
            <w:gridSpan w:val="2"/>
          </w:tcPr>
          <w:p w14:paraId="00A5D178"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Cu</w:t>
            </w:r>
            <w:r w:rsidRPr="00CF10A3">
              <w:rPr>
                <w:rFonts w:ascii="Times New Roman" w:eastAsiaTheme="minorEastAsia" w:hAnsi="Times New Roman" w:cs="Times New Roman"/>
                <w:sz w:val="24"/>
                <w:szCs w:val="24"/>
                <w:vertAlign w:val="superscript"/>
              </w:rPr>
              <w:t>2+</w:t>
            </w:r>
          </w:p>
        </w:tc>
        <w:tc>
          <w:tcPr>
            <w:tcW w:w="3118" w:type="dxa"/>
            <w:gridSpan w:val="2"/>
          </w:tcPr>
          <w:p w14:paraId="7461A429"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Ni</w:t>
            </w:r>
            <w:r w:rsidRPr="00CF10A3">
              <w:rPr>
                <w:rFonts w:ascii="Times New Roman" w:eastAsiaTheme="minorEastAsia" w:hAnsi="Times New Roman" w:cs="Times New Roman"/>
                <w:sz w:val="24"/>
                <w:szCs w:val="24"/>
                <w:vertAlign w:val="superscript"/>
              </w:rPr>
              <w:t>2+</w:t>
            </w:r>
          </w:p>
        </w:tc>
      </w:tr>
      <w:tr w:rsidR="00E01509" w:rsidRPr="00CF10A3" w14:paraId="3D0E8591" w14:textId="77777777">
        <w:trPr>
          <w:trHeight w:val="282"/>
        </w:trPr>
        <w:tc>
          <w:tcPr>
            <w:tcW w:w="715" w:type="dxa"/>
            <w:vMerge/>
          </w:tcPr>
          <w:p w14:paraId="17D418BD" w14:textId="77777777" w:rsidR="00E01509" w:rsidRPr="00CF10A3" w:rsidRDefault="00E01509">
            <w:pPr>
              <w:spacing w:after="0"/>
              <w:jc w:val="both"/>
              <w:rPr>
                <w:rFonts w:ascii="Times New Roman" w:eastAsiaTheme="minorEastAsia" w:hAnsi="Times New Roman" w:cs="Times New Roman"/>
                <w:sz w:val="24"/>
                <w:szCs w:val="24"/>
              </w:rPr>
            </w:pPr>
          </w:p>
        </w:tc>
        <w:tc>
          <w:tcPr>
            <w:tcW w:w="1620" w:type="dxa"/>
            <w:vMerge/>
            <w:tcBorders>
              <w:left w:val="nil"/>
              <w:right w:val="nil"/>
            </w:tcBorders>
          </w:tcPr>
          <w:p w14:paraId="3EC5D9EF" w14:textId="77777777" w:rsidR="00E01509" w:rsidRPr="00CF10A3" w:rsidRDefault="00E01509">
            <w:pPr>
              <w:spacing w:after="0"/>
              <w:jc w:val="both"/>
              <w:rPr>
                <w:rFonts w:ascii="Times New Roman" w:eastAsiaTheme="minorEastAsia" w:hAnsi="Times New Roman" w:cs="Times New Roman"/>
                <w:sz w:val="24"/>
                <w:szCs w:val="24"/>
              </w:rPr>
            </w:pPr>
          </w:p>
        </w:tc>
        <w:tc>
          <w:tcPr>
            <w:tcW w:w="1890" w:type="dxa"/>
          </w:tcPr>
          <w:p w14:paraId="47468668"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50 ppm</w:t>
            </w:r>
          </w:p>
        </w:tc>
        <w:tc>
          <w:tcPr>
            <w:tcW w:w="2007" w:type="dxa"/>
          </w:tcPr>
          <w:p w14:paraId="779F22CA"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100 ppm</w:t>
            </w:r>
          </w:p>
        </w:tc>
        <w:tc>
          <w:tcPr>
            <w:tcW w:w="1559" w:type="dxa"/>
          </w:tcPr>
          <w:p w14:paraId="2F068583"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50 ppm</w:t>
            </w:r>
          </w:p>
        </w:tc>
        <w:tc>
          <w:tcPr>
            <w:tcW w:w="1559" w:type="dxa"/>
          </w:tcPr>
          <w:p w14:paraId="283CBC3F"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100 ppm</w:t>
            </w:r>
          </w:p>
        </w:tc>
      </w:tr>
      <w:tr w:rsidR="00E01509" w:rsidRPr="00CF10A3" w14:paraId="5032FB5E" w14:textId="77777777">
        <w:tc>
          <w:tcPr>
            <w:tcW w:w="715" w:type="dxa"/>
          </w:tcPr>
          <w:p w14:paraId="7126ECDB"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w:t>
            </w:r>
          </w:p>
        </w:tc>
        <w:tc>
          <w:tcPr>
            <w:tcW w:w="1620" w:type="dxa"/>
          </w:tcPr>
          <w:p w14:paraId="7D597DF3"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w:t>
            </w:r>
          </w:p>
        </w:tc>
        <w:tc>
          <w:tcPr>
            <w:tcW w:w="1890" w:type="dxa"/>
          </w:tcPr>
          <w:p w14:paraId="6D41BECC"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99.55</w:t>
            </w:r>
          </w:p>
        </w:tc>
        <w:tc>
          <w:tcPr>
            <w:tcW w:w="2007" w:type="dxa"/>
          </w:tcPr>
          <w:p w14:paraId="0E418B21"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99.38</w:t>
            </w:r>
          </w:p>
        </w:tc>
        <w:tc>
          <w:tcPr>
            <w:tcW w:w="1559" w:type="dxa"/>
          </w:tcPr>
          <w:p w14:paraId="03831D93"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99.54</w:t>
            </w:r>
          </w:p>
        </w:tc>
        <w:tc>
          <w:tcPr>
            <w:tcW w:w="1559" w:type="dxa"/>
          </w:tcPr>
          <w:p w14:paraId="581246CD" w14:textId="77777777" w:rsidR="00E01509" w:rsidRPr="00CF10A3" w:rsidRDefault="00E7460A">
            <w:pPr>
              <w:spacing w:after="0"/>
              <w:jc w:val="both"/>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97.56</w:t>
            </w:r>
          </w:p>
        </w:tc>
      </w:tr>
      <w:tr w:rsidR="00E01509" w:rsidRPr="00CF10A3" w14:paraId="492D4F1E" w14:textId="77777777">
        <w:tc>
          <w:tcPr>
            <w:tcW w:w="715" w:type="dxa"/>
          </w:tcPr>
          <w:p w14:paraId="4EE21745"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w:t>
            </w:r>
          </w:p>
        </w:tc>
        <w:tc>
          <w:tcPr>
            <w:tcW w:w="1620" w:type="dxa"/>
          </w:tcPr>
          <w:p w14:paraId="52A38EE7"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4</w:t>
            </w:r>
          </w:p>
        </w:tc>
        <w:tc>
          <w:tcPr>
            <w:tcW w:w="1890" w:type="dxa"/>
          </w:tcPr>
          <w:p w14:paraId="67AE0FC7"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99.82</w:t>
            </w:r>
          </w:p>
        </w:tc>
        <w:tc>
          <w:tcPr>
            <w:tcW w:w="2007" w:type="dxa"/>
          </w:tcPr>
          <w:p w14:paraId="1BA039A9"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99.50</w:t>
            </w:r>
          </w:p>
        </w:tc>
        <w:tc>
          <w:tcPr>
            <w:tcW w:w="1559" w:type="dxa"/>
          </w:tcPr>
          <w:p w14:paraId="6CD0BF3D"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99.60</w:t>
            </w:r>
          </w:p>
        </w:tc>
        <w:tc>
          <w:tcPr>
            <w:tcW w:w="1559" w:type="dxa"/>
          </w:tcPr>
          <w:p w14:paraId="1F4585DE" w14:textId="77777777" w:rsidR="00E01509" w:rsidRPr="00CF10A3" w:rsidRDefault="00E7460A">
            <w:pPr>
              <w:spacing w:after="0"/>
              <w:jc w:val="both"/>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98.26</w:t>
            </w:r>
          </w:p>
        </w:tc>
      </w:tr>
      <w:tr w:rsidR="00E01509" w:rsidRPr="00CF10A3" w14:paraId="676480C5" w14:textId="77777777">
        <w:tc>
          <w:tcPr>
            <w:tcW w:w="715" w:type="dxa"/>
          </w:tcPr>
          <w:p w14:paraId="6A4117F3"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w:t>
            </w:r>
          </w:p>
        </w:tc>
        <w:tc>
          <w:tcPr>
            <w:tcW w:w="1620" w:type="dxa"/>
          </w:tcPr>
          <w:p w14:paraId="5E40AE40"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6</w:t>
            </w:r>
          </w:p>
        </w:tc>
        <w:tc>
          <w:tcPr>
            <w:tcW w:w="1890" w:type="dxa"/>
          </w:tcPr>
          <w:p w14:paraId="7269B972"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99.80</w:t>
            </w:r>
          </w:p>
        </w:tc>
        <w:tc>
          <w:tcPr>
            <w:tcW w:w="2007" w:type="dxa"/>
          </w:tcPr>
          <w:p w14:paraId="5CFC2F57"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99.42</w:t>
            </w:r>
          </w:p>
        </w:tc>
        <w:tc>
          <w:tcPr>
            <w:tcW w:w="1559" w:type="dxa"/>
          </w:tcPr>
          <w:p w14:paraId="51B11038"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99.70</w:t>
            </w:r>
          </w:p>
        </w:tc>
        <w:tc>
          <w:tcPr>
            <w:tcW w:w="1559" w:type="dxa"/>
          </w:tcPr>
          <w:p w14:paraId="10C8189A" w14:textId="77777777" w:rsidR="00E01509" w:rsidRPr="00CF10A3" w:rsidRDefault="00E7460A">
            <w:pPr>
              <w:spacing w:after="0"/>
              <w:jc w:val="both"/>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98.49</w:t>
            </w:r>
          </w:p>
        </w:tc>
      </w:tr>
      <w:tr w:rsidR="00E01509" w:rsidRPr="00CF10A3" w14:paraId="219B1DE2" w14:textId="77777777">
        <w:tc>
          <w:tcPr>
            <w:tcW w:w="715" w:type="dxa"/>
          </w:tcPr>
          <w:p w14:paraId="15ACE195"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4</w:t>
            </w:r>
          </w:p>
        </w:tc>
        <w:tc>
          <w:tcPr>
            <w:tcW w:w="1620" w:type="dxa"/>
          </w:tcPr>
          <w:p w14:paraId="2456C6B4"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8</w:t>
            </w:r>
          </w:p>
        </w:tc>
        <w:tc>
          <w:tcPr>
            <w:tcW w:w="1890" w:type="dxa"/>
          </w:tcPr>
          <w:p w14:paraId="3011BC5C"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99.90</w:t>
            </w:r>
          </w:p>
        </w:tc>
        <w:tc>
          <w:tcPr>
            <w:tcW w:w="2007" w:type="dxa"/>
          </w:tcPr>
          <w:p w14:paraId="3373EE83"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99.48</w:t>
            </w:r>
          </w:p>
        </w:tc>
        <w:tc>
          <w:tcPr>
            <w:tcW w:w="1559" w:type="dxa"/>
          </w:tcPr>
          <w:p w14:paraId="0191F04F"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99.80</w:t>
            </w:r>
          </w:p>
        </w:tc>
        <w:tc>
          <w:tcPr>
            <w:tcW w:w="1559" w:type="dxa"/>
          </w:tcPr>
          <w:p w14:paraId="56BCBC92" w14:textId="77777777" w:rsidR="00E01509" w:rsidRPr="00CF10A3" w:rsidRDefault="00E7460A">
            <w:pPr>
              <w:spacing w:after="0"/>
              <w:jc w:val="both"/>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99.57</w:t>
            </w:r>
          </w:p>
        </w:tc>
      </w:tr>
      <w:tr w:rsidR="00E01509" w:rsidRPr="00CF10A3" w14:paraId="7F7A63E2" w14:textId="77777777">
        <w:tc>
          <w:tcPr>
            <w:tcW w:w="715" w:type="dxa"/>
          </w:tcPr>
          <w:p w14:paraId="56D63B2C"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w:t>
            </w:r>
          </w:p>
        </w:tc>
        <w:tc>
          <w:tcPr>
            <w:tcW w:w="1620" w:type="dxa"/>
          </w:tcPr>
          <w:p w14:paraId="73A8D92E"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w:t>
            </w:r>
          </w:p>
        </w:tc>
        <w:tc>
          <w:tcPr>
            <w:tcW w:w="1890" w:type="dxa"/>
          </w:tcPr>
          <w:p w14:paraId="2FA09D84"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99.96</w:t>
            </w:r>
          </w:p>
        </w:tc>
        <w:tc>
          <w:tcPr>
            <w:tcW w:w="2007" w:type="dxa"/>
          </w:tcPr>
          <w:p w14:paraId="3FC7A8B2"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99.65</w:t>
            </w:r>
          </w:p>
        </w:tc>
        <w:tc>
          <w:tcPr>
            <w:tcW w:w="1559" w:type="dxa"/>
          </w:tcPr>
          <w:p w14:paraId="699F8309"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99.90</w:t>
            </w:r>
          </w:p>
        </w:tc>
        <w:tc>
          <w:tcPr>
            <w:tcW w:w="1559" w:type="dxa"/>
          </w:tcPr>
          <w:p w14:paraId="2772F053" w14:textId="77777777" w:rsidR="00E01509" w:rsidRPr="00CF10A3" w:rsidRDefault="00E7460A">
            <w:pPr>
              <w:spacing w:after="0"/>
              <w:jc w:val="both"/>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99.65</w:t>
            </w:r>
          </w:p>
        </w:tc>
      </w:tr>
      <w:bookmarkEnd w:id="7"/>
    </w:tbl>
    <w:p w14:paraId="1556DD19" w14:textId="77777777" w:rsidR="00E01509" w:rsidRPr="00CF10A3" w:rsidRDefault="00E01509">
      <w:pPr>
        <w:spacing w:before="240"/>
        <w:rPr>
          <w:rFonts w:ascii="Times New Roman" w:hAnsi="Times New Roman" w:cs="Times New Roman"/>
          <w:sz w:val="24"/>
          <w:szCs w:val="24"/>
        </w:rPr>
      </w:pPr>
    </w:p>
    <w:p w14:paraId="406CD5A2" w14:textId="77777777"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noProof/>
          <w:sz w:val="24"/>
          <w:szCs w:val="24"/>
        </w:rPr>
        <w:drawing>
          <wp:inline distT="0" distB="0" distL="0" distR="0" wp14:anchorId="7803644F" wp14:editId="352C1459">
            <wp:extent cx="2882265" cy="2075815"/>
            <wp:effectExtent l="4445" t="4445" r="8890" b="1524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CF10A3">
        <w:rPr>
          <w:rFonts w:ascii="Times New Roman" w:hAnsi="Times New Roman" w:cs="Times New Roman"/>
          <w:noProof/>
          <w:sz w:val="24"/>
          <w:szCs w:val="24"/>
        </w:rPr>
        <w:drawing>
          <wp:inline distT="0" distB="0" distL="0" distR="0" wp14:anchorId="771578AA" wp14:editId="0DC305E6">
            <wp:extent cx="2891155" cy="2067560"/>
            <wp:effectExtent l="19050" t="0" r="23495" b="8890"/>
            <wp:docPr id="3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A4C819E" w14:textId="77777777" w:rsidR="00E01509" w:rsidRPr="00CF10A3" w:rsidRDefault="00E7460A">
      <w:pPr>
        <w:spacing w:before="240" w:after="240"/>
        <w:jc w:val="both"/>
        <w:outlineLvl w:val="2"/>
        <w:rPr>
          <w:rFonts w:ascii="Times New Roman" w:eastAsia="Times New Roman" w:hAnsi="Times New Roman" w:cs="Times New Roman"/>
          <w:sz w:val="24"/>
          <w:szCs w:val="24"/>
        </w:rPr>
      </w:pPr>
      <w:r w:rsidRPr="00CF10A3">
        <w:rPr>
          <w:rFonts w:ascii="Times New Roman" w:hAnsi="Times New Roman" w:cs="Times New Roman"/>
          <w:b/>
          <w:sz w:val="24"/>
          <w:szCs w:val="24"/>
        </w:rPr>
        <w:t>Figure 3:</w:t>
      </w:r>
      <w:r w:rsidRPr="00CF10A3">
        <w:rPr>
          <w:rFonts w:ascii="Times New Roman" w:hAnsi="Times New Roman" w:cs="Times New Roman"/>
          <w:sz w:val="24"/>
          <w:szCs w:val="24"/>
        </w:rPr>
        <w:t xml:space="preserve"> Variation in the Removal efficiency of Cu</w:t>
      </w:r>
      <w:r w:rsidRPr="00CF10A3">
        <w:rPr>
          <w:rFonts w:ascii="Times New Roman" w:hAnsi="Times New Roman" w:cs="Times New Roman"/>
          <w:sz w:val="24"/>
          <w:szCs w:val="24"/>
          <w:vertAlign w:val="superscript"/>
        </w:rPr>
        <w:t>2+</w:t>
      </w:r>
      <w:r w:rsidRPr="00CF10A3">
        <w:rPr>
          <w:rFonts w:ascii="Times New Roman" w:hAnsi="Times New Roman" w:cs="Times New Roman"/>
          <w:sz w:val="24"/>
          <w:szCs w:val="24"/>
        </w:rPr>
        <w:t>and Ni</w:t>
      </w:r>
      <w:r w:rsidRPr="00CF10A3">
        <w:rPr>
          <w:rFonts w:ascii="Times New Roman" w:hAnsi="Times New Roman" w:cs="Times New Roman"/>
          <w:sz w:val="24"/>
          <w:szCs w:val="24"/>
          <w:vertAlign w:val="superscript"/>
        </w:rPr>
        <w:t>2+</w:t>
      </w:r>
      <w:r w:rsidRPr="00CF10A3">
        <w:rPr>
          <w:rFonts w:ascii="Times New Roman" w:hAnsi="Times New Roman" w:cs="Times New Roman"/>
          <w:sz w:val="24"/>
          <w:szCs w:val="24"/>
        </w:rPr>
        <w:t xml:space="preserve"> </w:t>
      </w:r>
      <w:proofErr w:type="spellStart"/>
      <w:r w:rsidRPr="00CF10A3">
        <w:rPr>
          <w:rFonts w:ascii="Times New Roman" w:hAnsi="Times New Roman" w:cs="Times New Roman"/>
          <w:sz w:val="24"/>
          <w:szCs w:val="24"/>
        </w:rPr>
        <w:t>ionsat</w:t>
      </w:r>
      <w:proofErr w:type="spellEnd"/>
      <w:r w:rsidRPr="00CF10A3">
        <w:rPr>
          <w:rFonts w:ascii="Times New Roman" w:hAnsi="Times New Roman" w:cs="Times New Roman"/>
          <w:sz w:val="24"/>
          <w:szCs w:val="24"/>
        </w:rPr>
        <w:t xml:space="preserve"> 50ppm and 100ppm with different concentration of </w:t>
      </w:r>
      <w:r w:rsidRPr="00CF10A3">
        <w:rPr>
          <w:rFonts w:ascii="Times New Roman" w:hAnsi="Times New Roman" w:cs="Times New Roman"/>
          <w:i/>
          <w:sz w:val="24"/>
          <w:szCs w:val="24"/>
        </w:rPr>
        <w:t>Phaseolus vulgaris</w:t>
      </w:r>
      <w:r w:rsidRPr="00CF10A3">
        <w:rPr>
          <w:rFonts w:ascii="Times New Roman" w:hAnsi="Times New Roman" w:cs="Times New Roman"/>
          <w:sz w:val="24"/>
          <w:szCs w:val="24"/>
        </w:rPr>
        <w:t xml:space="preserve"> oil</w:t>
      </w:r>
    </w:p>
    <w:p w14:paraId="5415551A" w14:textId="77777777" w:rsidR="00E01509" w:rsidRPr="00CF10A3" w:rsidRDefault="00E7460A">
      <w:pPr>
        <w:spacing w:before="100" w:beforeAutospacing="1" w:after="240"/>
        <w:jc w:val="both"/>
        <w:outlineLvl w:val="2"/>
        <w:rPr>
          <w:rFonts w:ascii="Times New Roman" w:eastAsia="Times New Roman" w:hAnsi="Times New Roman" w:cs="Times New Roman"/>
          <w:bCs/>
          <w:sz w:val="24"/>
          <w:szCs w:val="24"/>
        </w:rPr>
      </w:pPr>
      <w:r w:rsidRPr="00CF10A3">
        <w:rPr>
          <w:rFonts w:ascii="Times New Roman" w:eastAsia="Times New Roman" w:hAnsi="Times New Roman" w:cs="Times New Roman"/>
          <w:sz w:val="24"/>
          <w:szCs w:val="24"/>
        </w:rPr>
        <w:t>Ni²⁺ removal also improved significantly, increasing from 98.54% to 99.90% at 50 ppm and from 97.56% to 99.65% at 100 ppm (Tables 2 and Figure 4).</w:t>
      </w:r>
    </w:p>
    <w:p w14:paraId="516EA3F5" w14:textId="77777777" w:rsidR="00E01509" w:rsidRPr="00CF10A3" w:rsidRDefault="00E01509">
      <w:pPr>
        <w:jc w:val="center"/>
        <w:rPr>
          <w:rFonts w:ascii="Times New Roman" w:hAnsi="Times New Roman" w:cs="Times New Roman"/>
          <w:sz w:val="24"/>
          <w:szCs w:val="24"/>
        </w:rPr>
      </w:pPr>
    </w:p>
    <w:p w14:paraId="1C94BBDB" w14:textId="77777777" w:rsidR="00E01509" w:rsidRPr="00CF10A3" w:rsidRDefault="00E7460A">
      <w:pPr>
        <w:spacing w:before="100" w:beforeAutospacing="1" w:after="240"/>
        <w:jc w:val="both"/>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lastRenderedPageBreak/>
        <w:t xml:space="preserve">This </w:t>
      </w:r>
      <w:r w:rsidR="00633D95" w:rsidRPr="00CF10A3">
        <w:rPr>
          <w:rFonts w:ascii="Times New Roman" w:eastAsia="Times New Roman" w:hAnsi="Times New Roman" w:cs="Times New Roman"/>
          <w:sz w:val="24"/>
          <w:szCs w:val="24"/>
        </w:rPr>
        <w:t>behavior</w:t>
      </w:r>
      <w:r w:rsidRPr="00CF10A3">
        <w:rPr>
          <w:rFonts w:ascii="Times New Roman" w:eastAsia="Times New Roman" w:hAnsi="Times New Roman" w:cs="Times New Roman"/>
          <w:sz w:val="24"/>
          <w:szCs w:val="24"/>
        </w:rPr>
        <w:t xml:space="preserve"> is indicative of surface saturation and phase interference at higher extractant concentrations. At high concentrations of </w:t>
      </w:r>
      <w:r w:rsidRPr="00CF10A3">
        <w:rPr>
          <w:rFonts w:ascii="Times New Roman" w:eastAsia="Times New Roman" w:hAnsi="Times New Roman" w:cs="Times New Roman"/>
          <w:i/>
          <w:iCs/>
          <w:sz w:val="24"/>
          <w:szCs w:val="24"/>
        </w:rPr>
        <w:t>P. vulgaris</w:t>
      </w:r>
      <w:r w:rsidRPr="00CF10A3">
        <w:rPr>
          <w:rFonts w:ascii="Times New Roman" w:eastAsia="Times New Roman" w:hAnsi="Times New Roman" w:cs="Times New Roman"/>
          <w:sz w:val="24"/>
          <w:szCs w:val="24"/>
        </w:rPr>
        <w:t xml:space="preserve"> oil, there may be aggregation of fatty acid molecules, particularly oleic acid, which is a known surfactant that can form micelles or emulsions in the organic phase. These micellar structures may encapsulate or shield the active binding sites, thereby reducing their accessibility to metal ions (Akinyemi et al., 2019; Rahman et al., 2018).</w:t>
      </w:r>
    </w:p>
    <w:p w14:paraId="10F78FD6" w14:textId="77777777" w:rsidR="00E01509" w:rsidRPr="00CF10A3" w:rsidRDefault="00E7460A">
      <w:pPr>
        <w:spacing w:before="100" w:beforeAutospacing="1" w:after="240"/>
        <w:jc w:val="both"/>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 xml:space="preserve">Additionally, the mixed fatty acid composition of </w:t>
      </w:r>
      <w:r w:rsidRPr="00CF10A3">
        <w:rPr>
          <w:rFonts w:ascii="Times New Roman" w:eastAsia="Times New Roman" w:hAnsi="Times New Roman" w:cs="Times New Roman"/>
          <w:i/>
          <w:iCs/>
          <w:sz w:val="24"/>
          <w:szCs w:val="24"/>
        </w:rPr>
        <w:t>P. vulgaris</w:t>
      </w:r>
      <w:r w:rsidRPr="00CF10A3">
        <w:rPr>
          <w:rFonts w:ascii="Times New Roman" w:eastAsia="Times New Roman" w:hAnsi="Times New Roman" w:cs="Times New Roman"/>
          <w:sz w:val="24"/>
          <w:szCs w:val="24"/>
        </w:rPr>
        <w:t xml:space="preserve"> oil, while advantageous for broad spectrum chelation, could promote inter-ligand interactions at high concentrations, leading to competitive inhibition or the formation of non-functional clusters. These aggregates may hinder the diffusion of Cu²⁺ and Ni²⁺ ions across the interface, slowing down complex formation and decreasing the overall extraction efficiency. </w:t>
      </w:r>
      <w:r w:rsidRPr="00CF10A3">
        <w:rPr>
          <w:rFonts w:ascii="Times New Roman" w:hAnsi="Times New Roman" w:cs="Times New Roman"/>
          <w:sz w:val="24"/>
          <w:szCs w:val="24"/>
        </w:rPr>
        <w:t xml:space="preserve">This behavior is </w:t>
      </w:r>
      <w:r w:rsidRPr="00CF10A3">
        <w:rPr>
          <w:rStyle w:val="Strong"/>
          <w:rFonts w:ascii="Times New Roman" w:hAnsi="Times New Roman" w:cs="Times New Roman"/>
          <w:b w:val="0"/>
          <w:sz w:val="24"/>
          <w:szCs w:val="24"/>
        </w:rPr>
        <w:t>analogous to sorbent crowding observed in biosorption systems</w:t>
      </w:r>
      <w:r w:rsidRPr="00CF10A3">
        <w:rPr>
          <w:rFonts w:ascii="Times New Roman" w:hAnsi="Times New Roman" w:cs="Times New Roman"/>
          <w:b/>
          <w:sz w:val="24"/>
          <w:szCs w:val="24"/>
        </w:rPr>
        <w:t>,</w:t>
      </w:r>
      <w:r w:rsidRPr="00CF10A3">
        <w:rPr>
          <w:rFonts w:ascii="Times New Roman" w:hAnsi="Times New Roman" w:cs="Times New Roman"/>
          <w:sz w:val="24"/>
          <w:szCs w:val="24"/>
        </w:rPr>
        <w:t xml:space="preserve"> where excessive sorbent dosages reduce performance per unit mass (Musa et al., 2022).</w:t>
      </w:r>
    </w:p>
    <w:p w14:paraId="0455BEF7" w14:textId="77777777" w:rsidR="00E01509" w:rsidRPr="00CF10A3" w:rsidRDefault="00E7460A">
      <w:pPr>
        <w:spacing w:before="100" w:beforeAutospacing="1" w:after="240"/>
        <w:jc w:val="both"/>
      </w:pPr>
      <w:r w:rsidRPr="00CF10A3">
        <w:rPr>
          <w:rFonts w:ascii="Times New Roman" w:eastAsia="Times New Roman" w:hAnsi="Times New Roman" w:cs="Times New Roman"/>
          <w:sz w:val="24"/>
          <w:szCs w:val="24"/>
        </w:rPr>
        <w:t>On the other hand, at lower concentrations, the fatty acids remain more dispersed and better oriented at the organic aqueous interface. This enhances the availability of their carboxylic groups for coordination with the metal ions, thereby promoting faster and more efficient complexation. This reflects the classical concept of mass-transfer efficiency, where low extractant loading reduces resistance to diffusion and promotes optimal interfacial contact (</w:t>
      </w:r>
      <w:proofErr w:type="spellStart"/>
      <w:r w:rsidRPr="00CF10A3">
        <w:rPr>
          <w:rFonts w:ascii="Times New Roman" w:eastAsia="Times New Roman" w:hAnsi="Times New Roman" w:cs="Times New Roman"/>
          <w:sz w:val="24"/>
          <w:szCs w:val="24"/>
        </w:rPr>
        <w:t>Su</w:t>
      </w:r>
      <w:proofErr w:type="spellEnd"/>
      <w:r w:rsidRPr="00CF10A3">
        <w:rPr>
          <w:rFonts w:ascii="Times New Roman" w:eastAsia="Times New Roman" w:hAnsi="Times New Roman" w:cs="Times New Roman"/>
          <w:sz w:val="24"/>
          <w:szCs w:val="24"/>
        </w:rPr>
        <w:t xml:space="preserve"> et al., 2018</w:t>
      </w:r>
      <w:proofErr w:type="gramStart"/>
      <w:r w:rsidRPr="00CF10A3">
        <w:rPr>
          <w:rFonts w:ascii="Times New Roman" w:eastAsia="Times New Roman" w:hAnsi="Times New Roman" w:cs="Times New Roman"/>
          <w:sz w:val="24"/>
          <w:szCs w:val="24"/>
        </w:rPr>
        <w:t>).</w:t>
      </w:r>
      <w:r w:rsidRPr="00CF10A3">
        <w:rPr>
          <w:rFonts w:ascii="Times New Roman" w:hAnsi="Times New Roman" w:cs="Times New Roman"/>
          <w:sz w:val="24"/>
          <w:szCs w:val="24"/>
        </w:rPr>
        <w:t>The</w:t>
      </w:r>
      <w:proofErr w:type="gramEnd"/>
      <w:r w:rsidRPr="00CF10A3">
        <w:rPr>
          <w:rFonts w:ascii="Times New Roman" w:hAnsi="Times New Roman" w:cs="Times New Roman"/>
          <w:sz w:val="24"/>
          <w:szCs w:val="24"/>
        </w:rPr>
        <w:t xml:space="preserve"> behavior of </w:t>
      </w:r>
      <w:r w:rsidRPr="00CF10A3">
        <w:rPr>
          <w:rFonts w:ascii="Times New Roman" w:hAnsi="Times New Roman" w:cs="Times New Roman"/>
          <w:i/>
          <w:iCs/>
          <w:sz w:val="24"/>
          <w:szCs w:val="24"/>
        </w:rPr>
        <w:t>P. vulgaris</w:t>
      </w:r>
      <w:r w:rsidRPr="00CF10A3">
        <w:rPr>
          <w:rFonts w:ascii="Times New Roman" w:hAnsi="Times New Roman" w:cs="Times New Roman"/>
          <w:sz w:val="24"/>
          <w:szCs w:val="24"/>
        </w:rPr>
        <w:t xml:space="preserve"> oil highlight the importance of extractant composition and structural purity in determining the efficiency of green extractant systems.</w:t>
      </w:r>
    </w:p>
    <w:p w14:paraId="688BC260" w14:textId="77777777" w:rsidR="00E01509" w:rsidRPr="00CF10A3" w:rsidRDefault="00E7460A">
      <w:pPr>
        <w:pStyle w:val="Heading3"/>
        <w:jc w:val="both"/>
        <w:rPr>
          <w:rFonts w:ascii="Times New Roman" w:hAnsi="Times New Roman" w:cs="Times New Roman"/>
          <w:b w:val="0"/>
          <w:color w:val="auto"/>
          <w:sz w:val="24"/>
          <w:szCs w:val="24"/>
        </w:rPr>
      </w:pPr>
      <w:r w:rsidRPr="00CF10A3">
        <w:rPr>
          <w:rStyle w:val="Strong"/>
          <w:rFonts w:ascii="Times New Roman" w:hAnsi="Times New Roman" w:cs="Times New Roman"/>
          <w:b/>
          <w:bCs/>
          <w:color w:val="auto"/>
          <w:sz w:val="24"/>
          <w:szCs w:val="24"/>
        </w:rPr>
        <w:t>3.2 Effect of pH on Removal Efficiency</w:t>
      </w:r>
    </w:p>
    <w:p w14:paraId="54ACC300" w14:textId="77777777" w:rsidR="00E01509" w:rsidRPr="00CF10A3" w:rsidRDefault="00E7460A">
      <w:pPr>
        <w:pStyle w:val="NormalWeb"/>
        <w:spacing w:line="276" w:lineRule="auto"/>
        <w:jc w:val="both"/>
      </w:pPr>
      <w:r w:rsidRPr="00CF10A3">
        <w:t xml:space="preserve">The pH of the aqueous phase influenced the extraction efficiency of Cu²⁺ and Ni²⁺ ions through chemical speciation of the metal ions and the ionization of the functional groups present in the extractant (Zolotov &amp; </w:t>
      </w:r>
      <w:proofErr w:type="spellStart"/>
      <w:r w:rsidRPr="00CF10A3">
        <w:t>Kuzmin</w:t>
      </w:r>
      <w:proofErr w:type="spellEnd"/>
      <w:r w:rsidRPr="00CF10A3">
        <w:t xml:space="preserve">, 2010). In this study, the removal of Cu²⁺ and Ni²⁺ ions using </w:t>
      </w:r>
      <w:r w:rsidRPr="00CF10A3">
        <w:rPr>
          <w:rStyle w:val="Emphasis"/>
        </w:rPr>
        <w:t>Phaseolus vulgaris</w:t>
      </w:r>
      <w:r w:rsidRPr="00CF10A3">
        <w:t xml:space="preserve"> oil was assessed over a pH range of 3.0 to 7.0 and the results are summarized in Table 3 and </w:t>
      </w:r>
      <w:proofErr w:type="spellStart"/>
      <w:r w:rsidRPr="00CF10A3">
        <w:t>and</w:t>
      </w:r>
      <w:proofErr w:type="spellEnd"/>
      <w:r w:rsidRPr="00CF10A3">
        <w:t xml:space="preserve"> illustrated Figures 5 and 6.</w:t>
      </w:r>
    </w:p>
    <w:p w14:paraId="02C1C6F2" w14:textId="77777777" w:rsidR="00E01509" w:rsidRPr="00CF10A3" w:rsidRDefault="00E7460A">
      <w:pPr>
        <w:spacing w:after="0"/>
        <w:jc w:val="both"/>
        <w:rPr>
          <w:rFonts w:ascii="Times New Roman" w:hAnsi="Times New Roman" w:cs="Times New Roman"/>
          <w:sz w:val="24"/>
          <w:szCs w:val="24"/>
        </w:rPr>
      </w:pPr>
      <w:bookmarkStart w:id="8" w:name="_Hlk205278194"/>
      <w:r w:rsidRPr="00CF10A3">
        <w:rPr>
          <w:rFonts w:ascii="Times New Roman" w:hAnsi="Times New Roman" w:cs="Times New Roman"/>
          <w:b/>
          <w:sz w:val="24"/>
          <w:szCs w:val="24"/>
        </w:rPr>
        <w:t>Table 3:</w:t>
      </w:r>
      <w:r w:rsidRPr="00CF10A3">
        <w:rPr>
          <w:rFonts w:ascii="Times New Roman" w:hAnsi="Times New Roman" w:cs="Times New Roman"/>
          <w:sz w:val="24"/>
          <w:szCs w:val="24"/>
        </w:rPr>
        <w:t xml:space="preserve"> Removal efficiency of Cu</w:t>
      </w:r>
      <w:r w:rsidRPr="00CF10A3">
        <w:rPr>
          <w:rFonts w:ascii="Times New Roman" w:hAnsi="Times New Roman" w:cs="Times New Roman"/>
          <w:sz w:val="24"/>
          <w:szCs w:val="24"/>
          <w:vertAlign w:val="superscript"/>
        </w:rPr>
        <w:t>2+</w:t>
      </w:r>
      <w:r w:rsidRPr="00CF10A3">
        <w:rPr>
          <w:rFonts w:ascii="Times New Roman" w:hAnsi="Times New Roman" w:cs="Times New Roman"/>
          <w:sz w:val="24"/>
          <w:szCs w:val="24"/>
        </w:rPr>
        <w:t xml:space="preserve"> and Ni</w:t>
      </w:r>
      <w:r w:rsidRPr="00CF10A3">
        <w:rPr>
          <w:rFonts w:ascii="Times New Roman" w:hAnsi="Times New Roman" w:cs="Times New Roman"/>
          <w:sz w:val="24"/>
          <w:szCs w:val="24"/>
          <w:vertAlign w:val="superscript"/>
        </w:rPr>
        <w:t>2+</w:t>
      </w:r>
      <w:r w:rsidRPr="00CF10A3">
        <w:rPr>
          <w:rFonts w:ascii="Times New Roman" w:hAnsi="Times New Roman" w:cs="Times New Roman"/>
          <w:sz w:val="24"/>
          <w:szCs w:val="24"/>
        </w:rPr>
        <w:t xml:space="preserve">at 50ppm and 100ppm with different pH values using </w:t>
      </w:r>
      <w:r w:rsidRPr="00CF10A3">
        <w:rPr>
          <w:rFonts w:ascii="Times New Roman" w:hAnsi="Times New Roman" w:cs="Times New Roman"/>
          <w:i/>
          <w:sz w:val="24"/>
          <w:szCs w:val="24"/>
        </w:rPr>
        <w:t>Phaseolus vulgaris</w:t>
      </w:r>
      <w:r w:rsidRPr="00CF10A3">
        <w:rPr>
          <w:rFonts w:ascii="Times New Roman" w:hAnsi="Times New Roman" w:cs="Times New Roman"/>
          <w:sz w:val="24"/>
          <w:szCs w:val="24"/>
        </w:rPr>
        <w:t xml:space="preserve"> oil</w:t>
      </w:r>
    </w:p>
    <w:tbl>
      <w:tblPr>
        <w:tblStyle w:val="TableGrid"/>
        <w:tblpPr w:leftFromText="180" w:rightFromText="180" w:vertAnchor="text" w:horzAnchor="margin" w:tblpY="81"/>
        <w:tblW w:w="0" w:type="auto"/>
        <w:tblLook w:val="04A0" w:firstRow="1" w:lastRow="0" w:firstColumn="1" w:lastColumn="0" w:noHBand="0" w:noVBand="1"/>
      </w:tblPr>
      <w:tblGrid>
        <w:gridCol w:w="715"/>
        <w:gridCol w:w="1620"/>
        <w:gridCol w:w="1890"/>
        <w:gridCol w:w="2007"/>
        <w:gridCol w:w="1559"/>
        <w:gridCol w:w="1559"/>
      </w:tblGrid>
      <w:tr w:rsidR="00E01509" w:rsidRPr="00CF10A3" w14:paraId="23C6D561" w14:textId="77777777">
        <w:trPr>
          <w:trHeight w:val="274"/>
        </w:trPr>
        <w:tc>
          <w:tcPr>
            <w:tcW w:w="715" w:type="dxa"/>
            <w:vMerge w:val="restart"/>
          </w:tcPr>
          <w:p w14:paraId="5EF9F3A0" w14:textId="77777777" w:rsidR="00E01509" w:rsidRPr="00CF10A3" w:rsidRDefault="00E7460A">
            <w:pPr>
              <w:spacing w:after="0"/>
              <w:jc w:val="both"/>
              <w:rPr>
                <w:rFonts w:ascii="Times New Roman" w:eastAsiaTheme="minorEastAsia" w:hAnsi="Times New Roman" w:cs="Times New Roman"/>
                <w:sz w:val="24"/>
                <w:szCs w:val="24"/>
              </w:rPr>
            </w:pPr>
            <w:bookmarkStart w:id="9" w:name="_Hlk205276989"/>
            <w:bookmarkEnd w:id="8"/>
            <w:r w:rsidRPr="00CF10A3">
              <w:rPr>
                <w:rFonts w:ascii="Times New Roman" w:eastAsiaTheme="minorEastAsia" w:hAnsi="Times New Roman" w:cs="Times New Roman"/>
                <w:sz w:val="24"/>
                <w:szCs w:val="24"/>
              </w:rPr>
              <w:t>S/N</w:t>
            </w:r>
          </w:p>
        </w:tc>
        <w:tc>
          <w:tcPr>
            <w:tcW w:w="1620" w:type="dxa"/>
            <w:vMerge w:val="restart"/>
            <w:tcBorders>
              <w:left w:val="nil"/>
              <w:right w:val="nil"/>
            </w:tcBorders>
          </w:tcPr>
          <w:p w14:paraId="3604266E"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pH</w:t>
            </w:r>
          </w:p>
        </w:tc>
        <w:tc>
          <w:tcPr>
            <w:tcW w:w="7015" w:type="dxa"/>
            <w:gridSpan w:val="4"/>
          </w:tcPr>
          <w:p w14:paraId="58432A9E"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Removal Efficiency (%)</w:t>
            </w:r>
          </w:p>
        </w:tc>
      </w:tr>
      <w:tr w:rsidR="00E01509" w:rsidRPr="00CF10A3" w14:paraId="0D596553" w14:textId="77777777">
        <w:trPr>
          <w:trHeight w:val="262"/>
        </w:trPr>
        <w:tc>
          <w:tcPr>
            <w:tcW w:w="715" w:type="dxa"/>
            <w:vMerge/>
          </w:tcPr>
          <w:p w14:paraId="1DF4A5E2" w14:textId="77777777" w:rsidR="00E01509" w:rsidRPr="00CF10A3" w:rsidRDefault="00E01509">
            <w:pPr>
              <w:spacing w:after="0"/>
              <w:jc w:val="both"/>
              <w:rPr>
                <w:rFonts w:ascii="Times New Roman" w:eastAsiaTheme="minorEastAsia" w:hAnsi="Times New Roman" w:cs="Times New Roman"/>
                <w:sz w:val="24"/>
                <w:szCs w:val="24"/>
              </w:rPr>
            </w:pPr>
          </w:p>
        </w:tc>
        <w:tc>
          <w:tcPr>
            <w:tcW w:w="1620" w:type="dxa"/>
            <w:vMerge/>
            <w:tcBorders>
              <w:left w:val="nil"/>
              <w:right w:val="nil"/>
            </w:tcBorders>
          </w:tcPr>
          <w:p w14:paraId="4D8C990E" w14:textId="77777777" w:rsidR="00E01509" w:rsidRPr="00CF10A3" w:rsidRDefault="00E01509">
            <w:pPr>
              <w:spacing w:after="0"/>
              <w:jc w:val="both"/>
              <w:rPr>
                <w:rFonts w:ascii="Times New Roman" w:eastAsiaTheme="minorEastAsia" w:hAnsi="Times New Roman" w:cs="Times New Roman"/>
                <w:sz w:val="24"/>
                <w:szCs w:val="24"/>
              </w:rPr>
            </w:pPr>
          </w:p>
        </w:tc>
        <w:tc>
          <w:tcPr>
            <w:tcW w:w="3897" w:type="dxa"/>
            <w:gridSpan w:val="2"/>
          </w:tcPr>
          <w:p w14:paraId="25D892A4"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Cu</w:t>
            </w:r>
            <w:r w:rsidRPr="00CF10A3">
              <w:rPr>
                <w:rFonts w:ascii="Times New Roman" w:eastAsiaTheme="minorEastAsia" w:hAnsi="Times New Roman" w:cs="Times New Roman"/>
                <w:sz w:val="24"/>
                <w:szCs w:val="24"/>
                <w:vertAlign w:val="superscript"/>
              </w:rPr>
              <w:t>2+</w:t>
            </w:r>
          </w:p>
        </w:tc>
        <w:tc>
          <w:tcPr>
            <w:tcW w:w="3118" w:type="dxa"/>
            <w:gridSpan w:val="2"/>
          </w:tcPr>
          <w:p w14:paraId="007E6E48"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Ni</w:t>
            </w:r>
            <w:r w:rsidRPr="00CF10A3">
              <w:rPr>
                <w:rFonts w:ascii="Times New Roman" w:eastAsiaTheme="minorEastAsia" w:hAnsi="Times New Roman" w:cs="Times New Roman"/>
                <w:sz w:val="24"/>
                <w:szCs w:val="24"/>
                <w:vertAlign w:val="superscript"/>
              </w:rPr>
              <w:t>2+</w:t>
            </w:r>
          </w:p>
        </w:tc>
      </w:tr>
      <w:tr w:rsidR="00E01509" w:rsidRPr="00CF10A3" w14:paraId="238ABFBB" w14:textId="77777777">
        <w:trPr>
          <w:trHeight w:val="282"/>
        </w:trPr>
        <w:tc>
          <w:tcPr>
            <w:tcW w:w="715" w:type="dxa"/>
            <w:vMerge/>
          </w:tcPr>
          <w:p w14:paraId="3990D83A" w14:textId="77777777" w:rsidR="00E01509" w:rsidRPr="00CF10A3" w:rsidRDefault="00E01509">
            <w:pPr>
              <w:spacing w:after="0"/>
              <w:jc w:val="both"/>
              <w:rPr>
                <w:rFonts w:ascii="Times New Roman" w:eastAsiaTheme="minorEastAsia" w:hAnsi="Times New Roman" w:cs="Times New Roman"/>
                <w:sz w:val="24"/>
                <w:szCs w:val="24"/>
              </w:rPr>
            </w:pPr>
          </w:p>
        </w:tc>
        <w:tc>
          <w:tcPr>
            <w:tcW w:w="1620" w:type="dxa"/>
            <w:vMerge/>
            <w:tcBorders>
              <w:left w:val="nil"/>
              <w:right w:val="nil"/>
            </w:tcBorders>
          </w:tcPr>
          <w:p w14:paraId="04C3FB75" w14:textId="77777777" w:rsidR="00E01509" w:rsidRPr="00CF10A3" w:rsidRDefault="00E01509">
            <w:pPr>
              <w:spacing w:after="0"/>
              <w:jc w:val="both"/>
              <w:rPr>
                <w:rFonts w:ascii="Times New Roman" w:eastAsiaTheme="minorEastAsia" w:hAnsi="Times New Roman" w:cs="Times New Roman"/>
                <w:sz w:val="24"/>
                <w:szCs w:val="24"/>
              </w:rPr>
            </w:pPr>
          </w:p>
        </w:tc>
        <w:tc>
          <w:tcPr>
            <w:tcW w:w="1890" w:type="dxa"/>
          </w:tcPr>
          <w:p w14:paraId="6D927325"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50 ppm</w:t>
            </w:r>
          </w:p>
        </w:tc>
        <w:tc>
          <w:tcPr>
            <w:tcW w:w="2007" w:type="dxa"/>
          </w:tcPr>
          <w:p w14:paraId="265842C3"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100 ppm</w:t>
            </w:r>
          </w:p>
        </w:tc>
        <w:tc>
          <w:tcPr>
            <w:tcW w:w="1559" w:type="dxa"/>
          </w:tcPr>
          <w:p w14:paraId="2305F11B"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50 ppm</w:t>
            </w:r>
          </w:p>
        </w:tc>
        <w:tc>
          <w:tcPr>
            <w:tcW w:w="1559" w:type="dxa"/>
          </w:tcPr>
          <w:p w14:paraId="35FF707A"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100 ppm</w:t>
            </w:r>
          </w:p>
        </w:tc>
      </w:tr>
      <w:tr w:rsidR="00E01509" w:rsidRPr="00CF10A3" w14:paraId="0DE45094" w14:textId="77777777">
        <w:trPr>
          <w:trHeight w:val="90"/>
        </w:trPr>
        <w:tc>
          <w:tcPr>
            <w:tcW w:w="715" w:type="dxa"/>
          </w:tcPr>
          <w:p w14:paraId="1CEA2062"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w:t>
            </w:r>
          </w:p>
        </w:tc>
        <w:tc>
          <w:tcPr>
            <w:tcW w:w="1620" w:type="dxa"/>
          </w:tcPr>
          <w:p w14:paraId="5CE912F6"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w:t>
            </w:r>
          </w:p>
        </w:tc>
        <w:tc>
          <w:tcPr>
            <w:tcW w:w="1890" w:type="dxa"/>
          </w:tcPr>
          <w:p w14:paraId="74894C84"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99.32</w:t>
            </w:r>
          </w:p>
        </w:tc>
        <w:tc>
          <w:tcPr>
            <w:tcW w:w="2007" w:type="dxa"/>
          </w:tcPr>
          <w:p w14:paraId="52496C66"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99.38</w:t>
            </w:r>
          </w:p>
        </w:tc>
        <w:tc>
          <w:tcPr>
            <w:tcW w:w="1559" w:type="dxa"/>
          </w:tcPr>
          <w:p w14:paraId="65D0560D"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96.90</w:t>
            </w:r>
          </w:p>
        </w:tc>
        <w:tc>
          <w:tcPr>
            <w:tcW w:w="1559" w:type="dxa"/>
          </w:tcPr>
          <w:p w14:paraId="04821821"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96.71</w:t>
            </w:r>
          </w:p>
        </w:tc>
      </w:tr>
      <w:tr w:rsidR="00E01509" w:rsidRPr="00CF10A3" w14:paraId="52812222" w14:textId="77777777">
        <w:tc>
          <w:tcPr>
            <w:tcW w:w="715" w:type="dxa"/>
          </w:tcPr>
          <w:p w14:paraId="0AF40626"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w:t>
            </w:r>
          </w:p>
        </w:tc>
        <w:tc>
          <w:tcPr>
            <w:tcW w:w="1620" w:type="dxa"/>
          </w:tcPr>
          <w:p w14:paraId="4E9CA51D"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4</w:t>
            </w:r>
          </w:p>
        </w:tc>
        <w:tc>
          <w:tcPr>
            <w:tcW w:w="1890" w:type="dxa"/>
          </w:tcPr>
          <w:p w14:paraId="6A77240C"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99.54</w:t>
            </w:r>
          </w:p>
        </w:tc>
        <w:tc>
          <w:tcPr>
            <w:tcW w:w="2007" w:type="dxa"/>
          </w:tcPr>
          <w:p w14:paraId="77AECA61"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99.67</w:t>
            </w:r>
          </w:p>
        </w:tc>
        <w:tc>
          <w:tcPr>
            <w:tcW w:w="1559" w:type="dxa"/>
          </w:tcPr>
          <w:p w14:paraId="0796EC45"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97.94</w:t>
            </w:r>
          </w:p>
        </w:tc>
        <w:tc>
          <w:tcPr>
            <w:tcW w:w="1559" w:type="dxa"/>
          </w:tcPr>
          <w:p w14:paraId="43F2BE73"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97.88</w:t>
            </w:r>
          </w:p>
        </w:tc>
      </w:tr>
      <w:tr w:rsidR="00E01509" w:rsidRPr="00CF10A3" w14:paraId="1560F7AE" w14:textId="77777777">
        <w:tc>
          <w:tcPr>
            <w:tcW w:w="715" w:type="dxa"/>
          </w:tcPr>
          <w:p w14:paraId="3F0762D2"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w:t>
            </w:r>
          </w:p>
        </w:tc>
        <w:tc>
          <w:tcPr>
            <w:tcW w:w="1620" w:type="dxa"/>
          </w:tcPr>
          <w:p w14:paraId="1966DE6B"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w:t>
            </w:r>
          </w:p>
        </w:tc>
        <w:tc>
          <w:tcPr>
            <w:tcW w:w="1890" w:type="dxa"/>
          </w:tcPr>
          <w:p w14:paraId="1A6F7754"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99.84</w:t>
            </w:r>
          </w:p>
        </w:tc>
        <w:tc>
          <w:tcPr>
            <w:tcW w:w="2007" w:type="dxa"/>
          </w:tcPr>
          <w:p w14:paraId="41419DCB"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99.90</w:t>
            </w:r>
          </w:p>
        </w:tc>
        <w:tc>
          <w:tcPr>
            <w:tcW w:w="1559" w:type="dxa"/>
          </w:tcPr>
          <w:p w14:paraId="0D4F4B24"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98.98</w:t>
            </w:r>
          </w:p>
        </w:tc>
        <w:tc>
          <w:tcPr>
            <w:tcW w:w="1559" w:type="dxa"/>
          </w:tcPr>
          <w:p w14:paraId="3602681D"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99.07</w:t>
            </w:r>
          </w:p>
        </w:tc>
      </w:tr>
      <w:tr w:rsidR="00E01509" w:rsidRPr="00CF10A3" w14:paraId="783A6FF0" w14:textId="77777777">
        <w:tc>
          <w:tcPr>
            <w:tcW w:w="715" w:type="dxa"/>
          </w:tcPr>
          <w:p w14:paraId="440A8B34"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4</w:t>
            </w:r>
          </w:p>
        </w:tc>
        <w:tc>
          <w:tcPr>
            <w:tcW w:w="1620" w:type="dxa"/>
          </w:tcPr>
          <w:p w14:paraId="638B1E2F"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6</w:t>
            </w:r>
          </w:p>
        </w:tc>
        <w:tc>
          <w:tcPr>
            <w:tcW w:w="1890" w:type="dxa"/>
          </w:tcPr>
          <w:p w14:paraId="6B11D82C"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99.96</w:t>
            </w:r>
          </w:p>
        </w:tc>
        <w:tc>
          <w:tcPr>
            <w:tcW w:w="2007" w:type="dxa"/>
          </w:tcPr>
          <w:p w14:paraId="269F0DCA"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99.95</w:t>
            </w:r>
          </w:p>
        </w:tc>
        <w:tc>
          <w:tcPr>
            <w:tcW w:w="1559" w:type="dxa"/>
          </w:tcPr>
          <w:p w14:paraId="3EE0D753"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99.90</w:t>
            </w:r>
          </w:p>
        </w:tc>
        <w:tc>
          <w:tcPr>
            <w:tcW w:w="1559" w:type="dxa"/>
          </w:tcPr>
          <w:p w14:paraId="52B155EE"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99.86</w:t>
            </w:r>
          </w:p>
        </w:tc>
      </w:tr>
      <w:tr w:rsidR="00E01509" w:rsidRPr="00CF10A3" w14:paraId="60D2E20A" w14:textId="77777777">
        <w:tc>
          <w:tcPr>
            <w:tcW w:w="715" w:type="dxa"/>
          </w:tcPr>
          <w:p w14:paraId="74E53A47"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w:t>
            </w:r>
          </w:p>
        </w:tc>
        <w:tc>
          <w:tcPr>
            <w:tcW w:w="1620" w:type="dxa"/>
          </w:tcPr>
          <w:p w14:paraId="18F9ABCF"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7</w:t>
            </w:r>
          </w:p>
        </w:tc>
        <w:tc>
          <w:tcPr>
            <w:tcW w:w="1890" w:type="dxa"/>
          </w:tcPr>
          <w:p w14:paraId="3D40DAF9"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99.94</w:t>
            </w:r>
          </w:p>
        </w:tc>
        <w:tc>
          <w:tcPr>
            <w:tcW w:w="2007" w:type="dxa"/>
          </w:tcPr>
          <w:p w14:paraId="7C1D53D3"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99.93</w:t>
            </w:r>
          </w:p>
        </w:tc>
        <w:tc>
          <w:tcPr>
            <w:tcW w:w="1559" w:type="dxa"/>
          </w:tcPr>
          <w:p w14:paraId="0C25CFE6"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99.80</w:t>
            </w:r>
          </w:p>
        </w:tc>
        <w:tc>
          <w:tcPr>
            <w:tcW w:w="1559" w:type="dxa"/>
          </w:tcPr>
          <w:p w14:paraId="21A562FA"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99.77</w:t>
            </w:r>
          </w:p>
        </w:tc>
      </w:tr>
      <w:bookmarkEnd w:id="9"/>
    </w:tbl>
    <w:p w14:paraId="153695F1" w14:textId="77777777" w:rsidR="00E01509" w:rsidRPr="00CF10A3" w:rsidRDefault="00E01509">
      <w:pPr>
        <w:pStyle w:val="NormalWeb"/>
        <w:spacing w:line="276" w:lineRule="auto"/>
        <w:jc w:val="both"/>
      </w:pPr>
    </w:p>
    <w:p w14:paraId="6A22FF23" w14:textId="77777777" w:rsidR="00E01509" w:rsidRPr="00CF10A3" w:rsidRDefault="00E7460A">
      <w:pPr>
        <w:pStyle w:val="NormalWeb"/>
        <w:spacing w:line="276" w:lineRule="auto"/>
        <w:jc w:val="both"/>
      </w:pPr>
      <w:r w:rsidRPr="00CF10A3">
        <w:lastRenderedPageBreak/>
        <w:t xml:space="preserve">For Cu²⁺ ions, the removal efficiency increased with rising pH, starting from 99.32% at pH 3.0 to a peak of 99.96% at pH 6.0 for the </w:t>
      </w:r>
      <w:proofErr w:type="gramStart"/>
      <w:r w:rsidRPr="00CF10A3">
        <w:t>50 ppm</w:t>
      </w:r>
      <w:proofErr w:type="gramEnd"/>
      <w:r w:rsidRPr="00CF10A3">
        <w:t xml:space="preserve"> solution. Similarly, the </w:t>
      </w:r>
      <w:proofErr w:type="gramStart"/>
      <w:r w:rsidRPr="00CF10A3">
        <w:t>100 ppm</w:t>
      </w:r>
      <w:proofErr w:type="gramEnd"/>
      <w:r w:rsidRPr="00CF10A3">
        <w:t xml:space="preserve"> solution showed an increase from 99.38% to 99.95%. However, a slight decrease was observed at pH 7.0, but the values remained consistently high, indicating that the extractant maintains high performance even at near-neutral pH range.</w:t>
      </w:r>
    </w:p>
    <w:p w14:paraId="5BA2D195" w14:textId="77777777" w:rsidR="00E01509" w:rsidRPr="00CF10A3" w:rsidRDefault="00E7460A">
      <w:pPr>
        <w:rPr>
          <w:rFonts w:ascii="Times New Roman" w:hAnsi="Times New Roman" w:cs="Times New Roman"/>
          <w:sz w:val="24"/>
          <w:szCs w:val="24"/>
        </w:rPr>
      </w:pPr>
      <w:r w:rsidRPr="00CF10A3">
        <w:rPr>
          <w:rFonts w:ascii="Times New Roman" w:hAnsi="Times New Roman" w:cs="Times New Roman"/>
          <w:noProof/>
          <w:sz w:val="24"/>
          <w:szCs w:val="24"/>
        </w:rPr>
        <w:drawing>
          <wp:inline distT="0" distB="0" distL="0" distR="0" wp14:anchorId="0DC61104" wp14:editId="02876C5F">
            <wp:extent cx="2888615" cy="2276475"/>
            <wp:effectExtent l="19050" t="0" r="26035" b="0"/>
            <wp:docPr id="17"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CF10A3">
        <w:rPr>
          <w:rFonts w:ascii="Times New Roman" w:hAnsi="Times New Roman" w:cs="Times New Roman"/>
          <w:noProof/>
          <w:sz w:val="24"/>
          <w:szCs w:val="24"/>
        </w:rPr>
        <w:drawing>
          <wp:inline distT="0" distB="0" distL="0" distR="0" wp14:anchorId="2055288B" wp14:editId="7E012088">
            <wp:extent cx="2893695" cy="2263140"/>
            <wp:effectExtent l="19050" t="0" r="20955" b="3810"/>
            <wp:docPr id="18"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04F223D" w14:textId="77777777" w:rsidR="00E01509" w:rsidRPr="00CF10A3" w:rsidRDefault="00E7460A">
      <w:pPr>
        <w:pStyle w:val="NormalWeb"/>
        <w:spacing w:line="276" w:lineRule="auto"/>
        <w:jc w:val="both"/>
      </w:pPr>
      <w:r w:rsidRPr="00CF10A3">
        <w:rPr>
          <w:b/>
        </w:rPr>
        <w:t>Figure 5:</w:t>
      </w:r>
      <w:r w:rsidRPr="00CF10A3">
        <w:t xml:space="preserve"> Variation in Removal efficiency of Cu</w:t>
      </w:r>
      <w:r w:rsidRPr="00CF10A3">
        <w:rPr>
          <w:vertAlign w:val="superscript"/>
        </w:rPr>
        <w:t>2+</w:t>
      </w:r>
      <w:r w:rsidRPr="00CF10A3">
        <w:t>and Ni</w:t>
      </w:r>
      <w:r w:rsidRPr="00CF10A3">
        <w:rPr>
          <w:vertAlign w:val="superscript"/>
        </w:rPr>
        <w:t>2+</w:t>
      </w:r>
      <w:r w:rsidRPr="00CF10A3">
        <w:t xml:space="preserve"> ions at 50ppm and 100ppm with different pH values using </w:t>
      </w:r>
      <w:r w:rsidRPr="00CF10A3">
        <w:rPr>
          <w:i/>
        </w:rPr>
        <w:t>Phaseolus vulgaris</w:t>
      </w:r>
      <w:r w:rsidRPr="00CF10A3">
        <w:t xml:space="preserve"> oil</w:t>
      </w:r>
    </w:p>
    <w:p w14:paraId="46E14139" w14:textId="77777777" w:rsidR="00E01509" w:rsidRPr="00CF10A3" w:rsidRDefault="00E7460A">
      <w:pPr>
        <w:pStyle w:val="NormalWeb"/>
        <w:spacing w:before="0" w:beforeAutospacing="0" w:after="0" w:afterAutospacing="0" w:line="276" w:lineRule="auto"/>
        <w:jc w:val="both"/>
      </w:pPr>
      <w:r w:rsidRPr="00CF10A3">
        <w:t xml:space="preserve">For Ni²⁺ ions, </w:t>
      </w:r>
      <w:r w:rsidR="00633D95" w:rsidRPr="00CF10A3">
        <w:t>more</w:t>
      </w:r>
      <w:r w:rsidRPr="00CF10A3">
        <w:t xml:space="preserve"> pronounced pH dependence was observed. The removal efficiency at 50 ppm improved from 96.90% at pH 3.0 and increased to a maximum of 99.90% at pH 6.0, while at 100 ppm, the efficiency increased from 96.71% to 99.86%. However, a marginal decline was noted at pH 7.0, suggesting a potential shift in the oil phase's interaction capacity at near neutrality, due to reduced ionization of the extractant’s functional groups and changes in metal speciation (</w:t>
      </w:r>
      <w:proofErr w:type="spellStart"/>
      <w:r w:rsidRPr="00CF10A3">
        <w:t>Daneshfar</w:t>
      </w:r>
      <w:proofErr w:type="spellEnd"/>
      <w:r w:rsidRPr="00CF10A3">
        <w:t xml:space="preserve"> &amp; </w:t>
      </w:r>
      <w:proofErr w:type="spellStart"/>
      <w:r w:rsidRPr="00CF10A3">
        <w:t>Ghaedi</w:t>
      </w:r>
      <w:proofErr w:type="spellEnd"/>
      <w:r w:rsidRPr="00CF10A3">
        <w:t>, 2010).</w:t>
      </w:r>
    </w:p>
    <w:p w14:paraId="4A8FF0FD" w14:textId="77777777" w:rsidR="00E01509" w:rsidRPr="00CF10A3" w:rsidRDefault="00E7460A">
      <w:pPr>
        <w:pStyle w:val="NormalWeb"/>
        <w:spacing w:line="276" w:lineRule="auto"/>
        <w:jc w:val="both"/>
      </w:pPr>
      <w:r w:rsidRPr="00CF10A3">
        <w:t>It should be noted that as the equilibrium pH increases, there is a decrease in H</w:t>
      </w:r>
      <w:r w:rsidRPr="00CF10A3">
        <w:rPr>
          <w:vertAlign w:val="superscript"/>
        </w:rPr>
        <w:t>+</w:t>
      </w:r>
      <w:r w:rsidRPr="00CF10A3">
        <w:t xml:space="preserve"> ions (Atkins &amp; de Paula, 2010</w:t>
      </w:r>
      <w:r w:rsidR="00633D95" w:rsidRPr="00CF10A3">
        <w:t xml:space="preserve">; </w:t>
      </w:r>
      <w:proofErr w:type="spellStart"/>
      <w:r w:rsidR="00633D95" w:rsidRPr="00CF10A3">
        <w:t>Ite</w:t>
      </w:r>
      <w:proofErr w:type="spellEnd"/>
      <w:r w:rsidR="00633D95" w:rsidRPr="00CF10A3">
        <w:t xml:space="preserve"> et al., 2023</w:t>
      </w:r>
      <w:r w:rsidRPr="00CF10A3">
        <w:t xml:space="preserve">). As such, the equilibrium for the ion removal at the interface between the aqueous and organic phases will move in the direction that </w:t>
      </w:r>
      <w:proofErr w:type="spellStart"/>
      <w:r w:rsidRPr="00CF10A3">
        <w:t>favours</w:t>
      </w:r>
      <w:proofErr w:type="spellEnd"/>
      <w:r w:rsidRPr="00CF10A3">
        <w:t xml:space="preserve"> metal extraction (Le </w:t>
      </w:r>
      <w:proofErr w:type="spellStart"/>
      <w:r w:rsidRPr="00CF10A3">
        <w:t>Châtelier</w:t>
      </w:r>
      <w:proofErr w:type="spellEnd"/>
      <w:r w:rsidRPr="00CF10A3">
        <w:t>, 2011</w:t>
      </w:r>
      <w:proofErr w:type="gramStart"/>
      <w:r w:rsidRPr="00CF10A3">
        <w:t>).This</w:t>
      </w:r>
      <w:proofErr w:type="gramEnd"/>
      <w:r w:rsidRPr="00CF10A3">
        <w:t xml:space="preserve"> gives rise to the increase in the percent removal efficiencies. Conversely, at low </w:t>
      </w:r>
      <w:proofErr w:type="spellStart"/>
      <w:r w:rsidRPr="00CF10A3">
        <w:t>pH</w:t>
      </w:r>
      <w:r w:rsidRPr="00CF10A3">
        <w:rPr>
          <w:vertAlign w:val="subscript"/>
        </w:rPr>
        <w:t>eq</w:t>
      </w:r>
      <w:proofErr w:type="spellEnd"/>
      <w:r w:rsidRPr="00CF10A3">
        <w:t xml:space="preserve">, the equilibrium position lies to the in the direction that is </w:t>
      </w:r>
      <w:proofErr w:type="spellStart"/>
      <w:r w:rsidRPr="00CF10A3">
        <w:t>unfavourable</w:t>
      </w:r>
      <w:proofErr w:type="spellEnd"/>
      <w:r w:rsidRPr="00CF10A3">
        <w:t xml:space="preserve"> to the removal of the metal ions from the aqueous solution, hence the lower values of the percent removal efficiencies. Thus, as the pH increases, </w:t>
      </w:r>
      <w:r w:rsidRPr="00CF10A3">
        <w:rPr>
          <w:rStyle w:val="Strong"/>
          <w:rFonts w:eastAsiaTheme="majorEastAsia"/>
          <w:b w:val="0"/>
        </w:rPr>
        <w:t>deprotonation of the carboxylic groups</w:t>
      </w:r>
      <w:r w:rsidRPr="00CF10A3">
        <w:t xml:space="preserve"> is </w:t>
      </w:r>
      <w:proofErr w:type="spellStart"/>
      <w:r w:rsidRPr="00CF10A3">
        <w:t>favoured</w:t>
      </w:r>
      <w:proofErr w:type="spellEnd"/>
      <w:r w:rsidRPr="00CF10A3">
        <w:t>, which will expose negatively charged sites that can effectively attract and bind with the positively charged Cu²⁺ and Ni²⁺ ions (</w:t>
      </w:r>
      <w:proofErr w:type="spellStart"/>
      <w:r w:rsidRPr="00CF10A3">
        <w:t>Kocaoba</w:t>
      </w:r>
      <w:proofErr w:type="spellEnd"/>
      <w:r w:rsidRPr="00CF10A3">
        <w:t xml:space="preserve"> &amp; </w:t>
      </w:r>
      <w:proofErr w:type="spellStart"/>
      <w:r w:rsidRPr="00CF10A3">
        <w:t>Gür</w:t>
      </w:r>
      <w:proofErr w:type="spellEnd"/>
      <w:r w:rsidRPr="00CF10A3">
        <w:t>, 2017</w:t>
      </w:r>
      <w:r w:rsidR="00633D95" w:rsidRPr="00CF10A3">
        <w:t>; Alexander et al., 2023</w:t>
      </w:r>
      <w:r w:rsidRPr="00CF10A3">
        <w:t xml:space="preserve">). </w:t>
      </w:r>
    </w:p>
    <w:p w14:paraId="0F1CE61E" w14:textId="77777777" w:rsidR="00E01509" w:rsidRPr="00CF10A3" w:rsidRDefault="00E7460A">
      <w:pPr>
        <w:pStyle w:val="NormalWeb"/>
        <w:spacing w:line="276" w:lineRule="auto"/>
        <w:jc w:val="both"/>
      </w:pPr>
      <w:r w:rsidRPr="00CF10A3">
        <w:t>The increase in extraction efficiency between pH 4.0 and 6.0, especially for Ni</w:t>
      </w:r>
      <w:r w:rsidRPr="00CF10A3">
        <w:rPr>
          <w:vertAlign w:val="superscript"/>
        </w:rPr>
        <w:t>2+</w:t>
      </w:r>
      <w:r w:rsidRPr="00CF10A3">
        <w:t xml:space="preserve"> ions, highlights the </w:t>
      </w:r>
      <w:r w:rsidRPr="00CF10A3">
        <w:rPr>
          <w:rStyle w:val="Strong"/>
          <w:rFonts w:eastAsiaTheme="majorEastAsia"/>
          <w:b w:val="0"/>
        </w:rPr>
        <w:t>sensitivity of the system to pH modulation</w:t>
      </w:r>
      <w:r w:rsidRPr="00CF10A3">
        <w:t xml:space="preserve">, which is important in real-world applications, where pH optimization is a controllable parameter. The high extraction performance observed near neutral pH is particularly advantageous for environmental applications, as it eliminates the need for extreme pH conditions </w:t>
      </w:r>
      <w:r w:rsidR="00633D95" w:rsidRPr="00CF10A3">
        <w:t>(</w:t>
      </w:r>
      <w:r w:rsidRPr="00CF10A3">
        <w:t>Li &amp; Lee, 2020).</w:t>
      </w:r>
    </w:p>
    <w:p w14:paraId="62B4B5F5" w14:textId="77777777" w:rsidR="00E01509" w:rsidRPr="00CF10A3" w:rsidRDefault="00E7460A">
      <w:pPr>
        <w:pStyle w:val="Heading3"/>
        <w:jc w:val="both"/>
        <w:rPr>
          <w:rFonts w:ascii="Times New Roman" w:hAnsi="Times New Roman" w:cs="Times New Roman"/>
          <w:b w:val="0"/>
          <w:color w:val="auto"/>
          <w:sz w:val="24"/>
          <w:szCs w:val="24"/>
        </w:rPr>
      </w:pPr>
      <w:r w:rsidRPr="00CF10A3">
        <w:rPr>
          <w:rStyle w:val="Strong"/>
          <w:rFonts w:ascii="Times New Roman" w:hAnsi="Times New Roman" w:cs="Times New Roman"/>
          <w:b/>
          <w:bCs/>
          <w:color w:val="auto"/>
          <w:sz w:val="24"/>
          <w:szCs w:val="24"/>
        </w:rPr>
        <w:lastRenderedPageBreak/>
        <w:t>3.3 Effect of Temperature on Removal Efficiency</w:t>
      </w:r>
    </w:p>
    <w:p w14:paraId="49B56686" w14:textId="77777777" w:rsidR="00E01509" w:rsidRPr="00CF10A3" w:rsidRDefault="00E7460A">
      <w:pPr>
        <w:pStyle w:val="NormalWeb"/>
        <w:spacing w:line="276" w:lineRule="auto"/>
        <w:jc w:val="both"/>
      </w:pPr>
      <w:r w:rsidRPr="00CF10A3">
        <w:t xml:space="preserve">Temperature is a critical factor in metal ion extraction processes because it influences the solubility of ions, diffusion rates, viscosity of the extractant, and the overall thermodynamic equilibrium (Rydberg et al., 2004). In this study, the temperature-dependent removal efficiencies for Cu²⁺ and Ni²⁺ ions using </w:t>
      </w:r>
      <w:r w:rsidRPr="00CF10A3">
        <w:rPr>
          <w:rStyle w:val="Emphasis"/>
        </w:rPr>
        <w:t>Phaseolus vulgaris</w:t>
      </w:r>
      <w:r w:rsidRPr="00CF10A3">
        <w:t xml:space="preserve"> oil were examined over the range of </w:t>
      </w:r>
      <w:r w:rsidRPr="00CF10A3">
        <w:rPr>
          <w:rStyle w:val="Strong"/>
          <w:rFonts w:eastAsiaTheme="majorEastAsia"/>
          <w:b w:val="0"/>
        </w:rPr>
        <w:t>25 °C to 65 °C</w:t>
      </w:r>
      <w:r w:rsidRPr="00CF10A3">
        <w:t xml:space="preserve"> (298 K to 338 K), with results presented in </w:t>
      </w:r>
      <w:r w:rsidRPr="00CF10A3">
        <w:rPr>
          <w:rStyle w:val="Strong"/>
          <w:rFonts w:eastAsiaTheme="majorEastAsia"/>
          <w:b w:val="0"/>
        </w:rPr>
        <w:t>Table 4</w:t>
      </w:r>
      <w:r w:rsidRPr="00CF10A3">
        <w:t xml:space="preserve"> and </w:t>
      </w:r>
      <w:proofErr w:type="spellStart"/>
      <w:r w:rsidRPr="00CF10A3">
        <w:t>and</w:t>
      </w:r>
      <w:proofErr w:type="spellEnd"/>
      <w:r w:rsidRPr="00CF10A3">
        <w:t xml:space="preserve"> illustrated in Figure 7 and 8.</w:t>
      </w:r>
    </w:p>
    <w:p w14:paraId="4F2AF972" w14:textId="77777777" w:rsidR="00E01509" w:rsidRPr="00CF10A3" w:rsidRDefault="00E7460A">
      <w:pPr>
        <w:pStyle w:val="NormalWeb"/>
        <w:spacing w:before="0" w:beforeAutospacing="0" w:line="276" w:lineRule="auto"/>
        <w:jc w:val="both"/>
      </w:pPr>
      <w:r w:rsidRPr="00CF10A3">
        <w:t>For Cu²⁺ ions, the removal efficiency at 50 ppm increased from 99.14% at 25°C to 99.92% at 65°C. At 100 ppm, efficiency improved similarly from 99.28% to 99.87% over the same temperature range. For Ni²⁺ ions, the removal efficiency rose from 99.38% to 99.96% at 50 ppm and from 98.35% to 99.92% at 100 ppm.</w:t>
      </w:r>
    </w:p>
    <w:p w14:paraId="3EB0714A" w14:textId="77777777" w:rsidR="00E01509" w:rsidRPr="00CF10A3" w:rsidRDefault="00E7460A">
      <w:pPr>
        <w:pStyle w:val="NormalWeb"/>
        <w:spacing w:after="0" w:afterAutospacing="0" w:line="276" w:lineRule="auto"/>
      </w:pPr>
      <w:r w:rsidRPr="00CF10A3">
        <w:rPr>
          <w:b/>
        </w:rPr>
        <w:t>Table 4:</w:t>
      </w:r>
      <w:r w:rsidRPr="00CF10A3">
        <w:t xml:space="preserve"> Removal efficiency of Cu</w:t>
      </w:r>
      <w:r w:rsidRPr="00CF10A3">
        <w:rPr>
          <w:vertAlign w:val="superscript"/>
        </w:rPr>
        <w:t>2+</w:t>
      </w:r>
      <w:bookmarkStart w:id="10" w:name="_Hlk205278866"/>
      <w:r w:rsidRPr="00CF10A3">
        <w:t>and Ni</w:t>
      </w:r>
      <w:r w:rsidRPr="00CF10A3">
        <w:rPr>
          <w:vertAlign w:val="superscript"/>
        </w:rPr>
        <w:t>2+</w:t>
      </w:r>
      <w:bookmarkEnd w:id="10"/>
      <w:r w:rsidRPr="00CF10A3">
        <w:t xml:space="preserve">at 50ppm and 100ppm with different temperature values using </w:t>
      </w:r>
      <w:r w:rsidRPr="00CF10A3">
        <w:rPr>
          <w:i/>
        </w:rPr>
        <w:t>Phaseolus vulgaris</w:t>
      </w:r>
      <w:r w:rsidRPr="00CF10A3">
        <w:t xml:space="preserve"> oil</w:t>
      </w:r>
    </w:p>
    <w:tbl>
      <w:tblPr>
        <w:tblStyle w:val="TableGrid"/>
        <w:tblpPr w:leftFromText="180" w:rightFromText="180" w:vertAnchor="text" w:horzAnchor="page" w:tblpX="1420" w:tblpY="312"/>
        <w:tblW w:w="0" w:type="auto"/>
        <w:tblLook w:val="04A0" w:firstRow="1" w:lastRow="0" w:firstColumn="1" w:lastColumn="0" w:noHBand="0" w:noVBand="1"/>
      </w:tblPr>
      <w:tblGrid>
        <w:gridCol w:w="715"/>
        <w:gridCol w:w="1620"/>
        <w:gridCol w:w="1890"/>
        <w:gridCol w:w="2007"/>
        <w:gridCol w:w="1559"/>
        <w:gridCol w:w="1559"/>
      </w:tblGrid>
      <w:tr w:rsidR="00E01509" w:rsidRPr="00CF10A3" w14:paraId="089EB0F9" w14:textId="77777777">
        <w:trPr>
          <w:trHeight w:val="276"/>
        </w:trPr>
        <w:tc>
          <w:tcPr>
            <w:tcW w:w="715" w:type="dxa"/>
            <w:vMerge w:val="restart"/>
          </w:tcPr>
          <w:p w14:paraId="11F70CC9" w14:textId="77777777" w:rsidR="00E01509" w:rsidRPr="00CF10A3" w:rsidRDefault="00E7460A">
            <w:pPr>
              <w:spacing w:after="0"/>
              <w:jc w:val="both"/>
              <w:rPr>
                <w:rFonts w:ascii="Times New Roman" w:eastAsiaTheme="minorEastAsia" w:hAnsi="Times New Roman" w:cs="Times New Roman"/>
                <w:sz w:val="24"/>
                <w:szCs w:val="24"/>
              </w:rPr>
            </w:pPr>
            <w:bookmarkStart w:id="11" w:name="_Hlk205278099"/>
            <w:r w:rsidRPr="00CF10A3">
              <w:rPr>
                <w:rFonts w:ascii="Times New Roman" w:eastAsiaTheme="minorEastAsia" w:hAnsi="Times New Roman" w:cs="Times New Roman"/>
                <w:sz w:val="24"/>
                <w:szCs w:val="24"/>
              </w:rPr>
              <w:t>S/N</w:t>
            </w:r>
          </w:p>
        </w:tc>
        <w:tc>
          <w:tcPr>
            <w:tcW w:w="1620" w:type="dxa"/>
            <w:vMerge w:val="restart"/>
            <w:tcBorders>
              <w:left w:val="nil"/>
              <w:right w:val="nil"/>
            </w:tcBorders>
          </w:tcPr>
          <w:p w14:paraId="4DB239E2"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Temperature (</w:t>
            </w:r>
            <w:r w:rsidRPr="00CF10A3">
              <w:rPr>
                <w:rFonts w:ascii="Times New Roman" w:eastAsiaTheme="minorEastAsia" w:hAnsi="Times New Roman" w:cs="Times New Roman"/>
                <w:sz w:val="24"/>
                <w:szCs w:val="24"/>
                <w:vertAlign w:val="superscript"/>
              </w:rPr>
              <w:t>0</w:t>
            </w:r>
            <w:r w:rsidRPr="00CF10A3">
              <w:rPr>
                <w:rFonts w:ascii="Times New Roman" w:eastAsiaTheme="minorEastAsia" w:hAnsi="Times New Roman" w:cs="Times New Roman"/>
                <w:sz w:val="24"/>
                <w:szCs w:val="24"/>
              </w:rPr>
              <w:t>C)</w:t>
            </w:r>
          </w:p>
        </w:tc>
        <w:tc>
          <w:tcPr>
            <w:tcW w:w="7015" w:type="dxa"/>
            <w:gridSpan w:val="4"/>
          </w:tcPr>
          <w:p w14:paraId="49637C27"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Removal Efficiency (%)</w:t>
            </w:r>
          </w:p>
        </w:tc>
      </w:tr>
      <w:tr w:rsidR="00E01509" w:rsidRPr="00CF10A3" w14:paraId="5DB5DB35" w14:textId="77777777">
        <w:trPr>
          <w:trHeight w:val="262"/>
        </w:trPr>
        <w:tc>
          <w:tcPr>
            <w:tcW w:w="715" w:type="dxa"/>
            <w:vMerge/>
          </w:tcPr>
          <w:p w14:paraId="4AF7FAE7" w14:textId="77777777" w:rsidR="00E01509" w:rsidRPr="00CF10A3" w:rsidRDefault="00E01509">
            <w:pPr>
              <w:spacing w:after="0"/>
              <w:jc w:val="both"/>
              <w:rPr>
                <w:rFonts w:ascii="Times New Roman" w:eastAsiaTheme="minorEastAsia" w:hAnsi="Times New Roman" w:cs="Times New Roman"/>
                <w:sz w:val="24"/>
                <w:szCs w:val="24"/>
              </w:rPr>
            </w:pPr>
          </w:p>
        </w:tc>
        <w:tc>
          <w:tcPr>
            <w:tcW w:w="1620" w:type="dxa"/>
            <w:vMerge/>
            <w:tcBorders>
              <w:left w:val="nil"/>
              <w:right w:val="nil"/>
            </w:tcBorders>
          </w:tcPr>
          <w:p w14:paraId="26613D78" w14:textId="77777777" w:rsidR="00E01509" w:rsidRPr="00CF10A3" w:rsidRDefault="00E01509">
            <w:pPr>
              <w:spacing w:after="0"/>
              <w:jc w:val="both"/>
              <w:rPr>
                <w:rFonts w:ascii="Times New Roman" w:eastAsiaTheme="minorEastAsia" w:hAnsi="Times New Roman" w:cs="Times New Roman"/>
                <w:sz w:val="24"/>
                <w:szCs w:val="24"/>
              </w:rPr>
            </w:pPr>
          </w:p>
        </w:tc>
        <w:tc>
          <w:tcPr>
            <w:tcW w:w="3897" w:type="dxa"/>
            <w:gridSpan w:val="2"/>
          </w:tcPr>
          <w:p w14:paraId="7B7FFE5B"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Cu</w:t>
            </w:r>
            <w:r w:rsidRPr="00CF10A3">
              <w:rPr>
                <w:rFonts w:ascii="Times New Roman" w:eastAsiaTheme="minorEastAsia" w:hAnsi="Times New Roman" w:cs="Times New Roman"/>
                <w:sz w:val="24"/>
                <w:szCs w:val="24"/>
                <w:vertAlign w:val="superscript"/>
              </w:rPr>
              <w:t>2+</w:t>
            </w:r>
          </w:p>
        </w:tc>
        <w:tc>
          <w:tcPr>
            <w:tcW w:w="3118" w:type="dxa"/>
            <w:gridSpan w:val="2"/>
          </w:tcPr>
          <w:p w14:paraId="784DDA1F"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Ni</w:t>
            </w:r>
            <w:r w:rsidRPr="00CF10A3">
              <w:rPr>
                <w:rFonts w:ascii="Times New Roman" w:eastAsiaTheme="minorEastAsia" w:hAnsi="Times New Roman" w:cs="Times New Roman"/>
                <w:sz w:val="24"/>
                <w:szCs w:val="24"/>
                <w:vertAlign w:val="superscript"/>
              </w:rPr>
              <w:t>2+</w:t>
            </w:r>
          </w:p>
        </w:tc>
      </w:tr>
      <w:tr w:rsidR="00E01509" w:rsidRPr="00CF10A3" w14:paraId="728CCD34" w14:textId="77777777">
        <w:trPr>
          <w:trHeight w:val="282"/>
        </w:trPr>
        <w:tc>
          <w:tcPr>
            <w:tcW w:w="715" w:type="dxa"/>
            <w:vMerge/>
          </w:tcPr>
          <w:p w14:paraId="24A77B83" w14:textId="77777777" w:rsidR="00E01509" w:rsidRPr="00CF10A3" w:rsidRDefault="00E01509">
            <w:pPr>
              <w:spacing w:after="0"/>
              <w:jc w:val="both"/>
              <w:rPr>
                <w:rFonts w:ascii="Times New Roman" w:eastAsiaTheme="minorEastAsia" w:hAnsi="Times New Roman" w:cs="Times New Roman"/>
                <w:sz w:val="24"/>
                <w:szCs w:val="24"/>
              </w:rPr>
            </w:pPr>
          </w:p>
        </w:tc>
        <w:tc>
          <w:tcPr>
            <w:tcW w:w="1620" w:type="dxa"/>
            <w:vMerge/>
            <w:tcBorders>
              <w:left w:val="nil"/>
              <w:right w:val="nil"/>
            </w:tcBorders>
          </w:tcPr>
          <w:p w14:paraId="483A22B6" w14:textId="77777777" w:rsidR="00E01509" w:rsidRPr="00CF10A3" w:rsidRDefault="00E01509">
            <w:pPr>
              <w:spacing w:after="0"/>
              <w:jc w:val="both"/>
              <w:rPr>
                <w:rFonts w:ascii="Times New Roman" w:eastAsiaTheme="minorEastAsia" w:hAnsi="Times New Roman" w:cs="Times New Roman"/>
                <w:sz w:val="24"/>
                <w:szCs w:val="24"/>
              </w:rPr>
            </w:pPr>
          </w:p>
        </w:tc>
        <w:tc>
          <w:tcPr>
            <w:tcW w:w="1890" w:type="dxa"/>
          </w:tcPr>
          <w:p w14:paraId="79527CF3"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50 ppm</w:t>
            </w:r>
          </w:p>
        </w:tc>
        <w:tc>
          <w:tcPr>
            <w:tcW w:w="2007" w:type="dxa"/>
          </w:tcPr>
          <w:p w14:paraId="6C907880"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100 ppm</w:t>
            </w:r>
          </w:p>
        </w:tc>
        <w:tc>
          <w:tcPr>
            <w:tcW w:w="1559" w:type="dxa"/>
          </w:tcPr>
          <w:p w14:paraId="7D6BBB03"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50 ppm</w:t>
            </w:r>
          </w:p>
        </w:tc>
        <w:tc>
          <w:tcPr>
            <w:tcW w:w="1559" w:type="dxa"/>
          </w:tcPr>
          <w:p w14:paraId="28F24D50"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100 ppm</w:t>
            </w:r>
          </w:p>
        </w:tc>
      </w:tr>
      <w:tr w:rsidR="00E01509" w:rsidRPr="00CF10A3" w14:paraId="28BDB8F0" w14:textId="77777777">
        <w:tc>
          <w:tcPr>
            <w:tcW w:w="715" w:type="dxa"/>
          </w:tcPr>
          <w:p w14:paraId="1EA9273F"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w:t>
            </w:r>
          </w:p>
        </w:tc>
        <w:tc>
          <w:tcPr>
            <w:tcW w:w="1620" w:type="dxa"/>
          </w:tcPr>
          <w:p w14:paraId="5A537054"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25</w:t>
            </w:r>
          </w:p>
        </w:tc>
        <w:tc>
          <w:tcPr>
            <w:tcW w:w="1890" w:type="dxa"/>
          </w:tcPr>
          <w:p w14:paraId="4E093B8E"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99.14</w:t>
            </w:r>
          </w:p>
        </w:tc>
        <w:tc>
          <w:tcPr>
            <w:tcW w:w="2007" w:type="dxa"/>
          </w:tcPr>
          <w:p w14:paraId="533E85C9"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99.28</w:t>
            </w:r>
          </w:p>
        </w:tc>
        <w:tc>
          <w:tcPr>
            <w:tcW w:w="1559" w:type="dxa"/>
          </w:tcPr>
          <w:p w14:paraId="209F49A3"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99.38</w:t>
            </w:r>
          </w:p>
        </w:tc>
        <w:tc>
          <w:tcPr>
            <w:tcW w:w="1559" w:type="dxa"/>
          </w:tcPr>
          <w:p w14:paraId="19D8AEFC"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98.35</w:t>
            </w:r>
          </w:p>
        </w:tc>
      </w:tr>
      <w:tr w:rsidR="00E01509" w:rsidRPr="00CF10A3" w14:paraId="51A09FAC" w14:textId="77777777">
        <w:tc>
          <w:tcPr>
            <w:tcW w:w="715" w:type="dxa"/>
          </w:tcPr>
          <w:p w14:paraId="116C9C4B"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w:t>
            </w:r>
          </w:p>
        </w:tc>
        <w:tc>
          <w:tcPr>
            <w:tcW w:w="1620" w:type="dxa"/>
          </w:tcPr>
          <w:p w14:paraId="0EB49934"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30</w:t>
            </w:r>
          </w:p>
        </w:tc>
        <w:tc>
          <w:tcPr>
            <w:tcW w:w="1890" w:type="dxa"/>
          </w:tcPr>
          <w:p w14:paraId="41661CF5"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99.38</w:t>
            </w:r>
          </w:p>
        </w:tc>
        <w:tc>
          <w:tcPr>
            <w:tcW w:w="2007" w:type="dxa"/>
          </w:tcPr>
          <w:p w14:paraId="0571BE45"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99.49</w:t>
            </w:r>
          </w:p>
        </w:tc>
        <w:tc>
          <w:tcPr>
            <w:tcW w:w="1559" w:type="dxa"/>
          </w:tcPr>
          <w:p w14:paraId="779D19AE"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99.54</w:t>
            </w:r>
          </w:p>
        </w:tc>
        <w:tc>
          <w:tcPr>
            <w:tcW w:w="1559" w:type="dxa"/>
          </w:tcPr>
          <w:p w14:paraId="60EF2663"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98.76</w:t>
            </w:r>
          </w:p>
        </w:tc>
      </w:tr>
      <w:tr w:rsidR="00E01509" w:rsidRPr="00CF10A3" w14:paraId="443F5F8C" w14:textId="77777777">
        <w:tc>
          <w:tcPr>
            <w:tcW w:w="715" w:type="dxa"/>
          </w:tcPr>
          <w:p w14:paraId="1A1A5F0E"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w:t>
            </w:r>
          </w:p>
        </w:tc>
        <w:tc>
          <w:tcPr>
            <w:tcW w:w="1620" w:type="dxa"/>
          </w:tcPr>
          <w:p w14:paraId="00BD6033"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35</w:t>
            </w:r>
          </w:p>
        </w:tc>
        <w:tc>
          <w:tcPr>
            <w:tcW w:w="1890" w:type="dxa"/>
          </w:tcPr>
          <w:p w14:paraId="7C203C45"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99.52</w:t>
            </w:r>
          </w:p>
        </w:tc>
        <w:tc>
          <w:tcPr>
            <w:tcW w:w="2007" w:type="dxa"/>
          </w:tcPr>
          <w:p w14:paraId="7BB528A9"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99.63</w:t>
            </w:r>
          </w:p>
        </w:tc>
        <w:tc>
          <w:tcPr>
            <w:tcW w:w="1559" w:type="dxa"/>
          </w:tcPr>
          <w:p w14:paraId="6FE5E20A"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99.66</w:t>
            </w:r>
          </w:p>
        </w:tc>
        <w:tc>
          <w:tcPr>
            <w:tcW w:w="1559" w:type="dxa"/>
          </w:tcPr>
          <w:p w14:paraId="611D8335"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99.19</w:t>
            </w:r>
          </w:p>
        </w:tc>
      </w:tr>
      <w:tr w:rsidR="00E01509" w:rsidRPr="00CF10A3" w14:paraId="6E53A9FD" w14:textId="77777777">
        <w:tc>
          <w:tcPr>
            <w:tcW w:w="715" w:type="dxa"/>
          </w:tcPr>
          <w:p w14:paraId="4E4148CA"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4</w:t>
            </w:r>
          </w:p>
        </w:tc>
        <w:tc>
          <w:tcPr>
            <w:tcW w:w="1620" w:type="dxa"/>
          </w:tcPr>
          <w:p w14:paraId="39923970"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40</w:t>
            </w:r>
          </w:p>
        </w:tc>
        <w:tc>
          <w:tcPr>
            <w:tcW w:w="1890" w:type="dxa"/>
          </w:tcPr>
          <w:p w14:paraId="39B23F2D"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99.80</w:t>
            </w:r>
          </w:p>
        </w:tc>
        <w:tc>
          <w:tcPr>
            <w:tcW w:w="2007" w:type="dxa"/>
          </w:tcPr>
          <w:p w14:paraId="062E71C0"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99.80</w:t>
            </w:r>
          </w:p>
        </w:tc>
        <w:tc>
          <w:tcPr>
            <w:tcW w:w="1559" w:type="dxa"/>
          </w:tcPr>
          <w:p w14:paraId="3ECE8268"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99.88</w:t>
            </w:r>
          </w:p>
        </w:tc>
        <w:tc>
          <w:tcPr>
            <w:tcW w:w="1559" w:type="dxa"/>
          </w:tcPr>
          <w:p w14:paraId="136D9757"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99.75</w:t>
            </w:r>
          </w:p>
        </w:tc>
      </w:tr>
      <w:tr w:rsidR="00E01509" w:rsidRPr="00CF10A3" w14:paraId="5E5AFECC" w14:textId="77777777">
        <w:tc>
          <w:tcPr>
            <w:tcW w:w="715" w:type="dxa"/>
          </w:tcPr>
          <w:p w14:paraId="1AAD3065"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w:t>
            </w:r>
          </w:p>
        </w:tc>
        <w:tc>
          <w:tcPr>
            <w:tcW w:w="1620" w:type="dxa"/>
          </w:tcPr>
          <w:p w14:paraId="0126524F"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45</w:t>
            </w:r>
          </w:p>
        </w:tc>
        <w:tc>
          <w:tcPr>
            <w:tcW w:w="1890" w:type="dxa"/>
          </w:tcPr>
          <w:p w14:paraId="36305C58"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99.92</w:t>
            </w:r>
          </w:p>
        </w:tc>
        <w:tc>
          <w:tcPr>
            <w:tcW w:w="2007" w:type="dxa"/>
          </w:tcPr>
          <w:p w14:paraId="785365EC"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99.87</w:t>
            </w:r>
          </w:p>
        </w:tc>
        <w:tc>
          <w:tcPr>
            <w:tcW w:w="1559" w:type="dxa"/>
          </w:tcPr>
          <w:p w14:paraId="3279FEC1"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99.96</w:t>
            </w:r>
          </w:p>
        </w:tc>
        <w:tc>
          <w:tcPr>
            <w:tcW w:w="1559" w:type="dxa"/>
          </w:tcPr>
          <w:p w14:paraId="0D2EFADF"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99.92</w:t>
            </w:r>
          </w:p>
        </w:tc>
      </w:tr>
      <w:bookmarkEnd w:id="11"/>
    </w:tbl>
    <w:p w14:paraId="63EDC461" w14:textId="77777777" w:rsidR="00E01509" w:rsidRPr="00CF10A3" w:rsidRDefault="00E01509">
      <w:pPr>
        <w:pStyle w:val="NormalWeb"/>
        <w:spacing w:before="0" w:beforeAutospacing="0" w:line="276" w:lineRule="auto"/>
        <w:jc w:val="both"/>
      </w:pPr>
    </w:p>
    <w:p w14:paraId="3393A923" w14:textId="77777777" w:rsidR="00E01509" w:rsidRPr="00CF10A3" w:rsidRDefault="00E7460A">
      <w:pPr>
        <w:jc w:val="both"/>
        <w:rPr>
          <w:rFonts w:ascii="Times New Roman" w:hAnsi="Times New Roman" w:cs="Times New Roman"/>
          <w:sz w:val="24"/>
          <w:szCs w:val="24"/>
        </w:rPr>
      </w:pPr>
      <w:r w:rsidRPr="00CF10A3">
        <w:rPr>
          <w:rFonts w:ascii="Times New Roman" w:hAnsi="Times New Roman" w:cs="Times New Roman"/>
          <w:noProof/>
          <w:sz w:val="24"/>
          <w:szCs w:val="24"/>
        </w:rPr>
        <w:drawing>
          <wp:inline distT="0" distB="0" distL="0" distR="0" wp14:anchorId="0C49EF8E" wp14:editId="0B77CEAA">
            <wp:extent cx="2828681" cy="2571261"/>
            <wp:effectExtent l="19050" t="0" r="9769" b="489"/>
            <wp:docPr id="42"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CF10A3">
        <w:rPr>
          <w:rFonts w:ascii="Times New Roman" w:hAnsi="Times New Roman" w:cs="Times New Roman"/>
          <w:noProof/>
          <w:sz w:val="24"/>
          <w:szCs w:val="24"/>
        </w:rPr>
        <w:drawing>
          <wp:inline distT="0" distB="0" distL="0" distR="0" wp14:anchorId="0E400C74" wp14:editId="4A2A7690">
            <wp:extent cx="2840355" cy="2571750"/>
            <wp:effectExtent l="19050" t="0" r="17145" b="0"/>
            <wp:docPr id="24"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2CC6CC5" w14:textId="77777777" w:rsidR="00E01509" w:rsidRPr="00CF10A3" w:rsidRDefault="00E7460A">
      <w:pPr>
        <w:pStyle w:val="NormalWeb"/>
        <w:spacing w:before="0" w:beforeAutospacing="0" w:line="276" w:lineRule="auto"/>
        <w:jc w:val="both"/>
      </w:pPr>
      <w:r w:rsidRPr="00CF10A3">
        <w:rPr>
          <w:b/>
        </w:rPr>
        <w:t>Figure 7:</w:t>
      </w:r>
      <w:r w:rsidRPr="00CF10A3">
        <w:t xml:space="preserve"> Variation in the Removal efficiency of Cu</w:t>
      </w:r>
      <w:r w:rsidRPr="00CF10A3">
        <w:rPr>
          <w:vertAlign w:val="superscript"/>
        </w:rPr>
        <w:t>2+</w:t>
      </w:r>
      <w:r w:rsidRPr="00CF10A3">
        <w:t>and Ni</w:t>
      </w:r>
      <w:r w:rsidRPr="00CF10A3">
        <w:rPr>
          <w:vertAlign w:val="superscript"/>
        </w:rPr>
        <w:t>2+</w:t>
      </w:r>
      <w:r w:rsidRPr="00CF10A3">
        <w:t xml:space="preserve"> ions at 50ppm and 100ppm with different temperature range using </w:t>
      </w:r>
      <w:r w:rsidRPr="00CF10A3">
        <w:rPr>
          <w:i/>
        </w:rPr>
        <w:t>Phaseolus vulgaris</w:t>
      </w:r>
      <w:r w:rsidRPr="00CF10A3">
        <w:t xml:space="preserve"> oil</w:t>
      </w:r>
    </w:p>
    <w:p w14:paraId="37759F3A" w14:textId="77777777" w:rsidR="00E01509" w:rsidRPr="00CF10A3" w:rsidRDefault="00E7460A">
      <w:pPr>
        <w:pStyle w:val="NormalWeb"/>
        <w:spacing w:line="276" w:lineRule="auto"/>
        <w:jc w:val="both"/>
      </w:pPr>
      <w:r w:rsidRPr="00CF10A3">
        <w:lastRenderedPageBreak/>
        <w:t xml:space="preserve">This enhancement in removal efficiency with increasing temperature shows that the extraction of Cu²⁺ and Ni²⁺ ions by </w:t>
      </w:r>
      <w:r w:rsidRPr="00CF10A3">
        <w:rPr>
          <w:rStyle w:val="Emphasis"/>
        </w:rPr>
        <w:t>P. vulgaris</w:t>
      </w:r>
      <w:r w:rsidRPr="00CF10A3">
        <w:t xml:space="preserve"> oil is </w:t>
      </w:r>
      <w:r w:rsidRPr="00CF10A3">
        <w:rPr>
          <w:rStyle w:val="Strong"/>
          <w:rFonts w:eastAsiaTheme="majorEastAsia"/>
          <w:b w:val="0"/>
        </w:rPr>
        <w:t>endothermic</w:t>
      </w:r>
      <w:r w:rsidRPr="00CF10A3">
        <w:t xml:space="preserve"> in nature. Increasing temperature improved the diffusion of metal ions across the interface and facilitating more rapid complexation reactions (Rydberg et al., 2004). In practical terms, the ability of </w:t>
      </w:r>
      <w:r w:rsidRPr="00CF10A3">
        <w:rPr>
          <w:rStyle w:val="Emphasis"/>
        </w:rPr>
        <w:t>Phaseolus vulgaris</w:t>
      </w:r>
      <w:r w:rsidRPr="00CF10A3">
        <w:t xml:space="preserve"> oil to perform optimally at elevated but moderate temperatures (55–65°C) makes it suitable for industrial applications, where temperatures are above the ambient values.</w:t>
      </w:r>
    </w:p>
    <w:p w14:paraId="366A4FDC" w14:textId="77777777" w:rsidR="00E01509" w:rsidRPr="00CF10A3" w:rsidRDefault="00E7460A">
      <w:pPr>
        <w:pStyle w:val="Heading3"/>
        <w:jc w:val="both"/>
        <w:rPr>
          <w:rFonts w:ascii="Times New Roman" w:hAnsi="Times New Roman" w:cs="Times New Roman"/>
          <w:b w:val="0"/>
          <w:color w:val="auto"/>
          <w:sz w:val="24"/>
          <w:szCs w:val="24"/>
        </w:rPr>
      </w:pPr>
      <w:r w:rsidRPr="00CF10A3">
        <w:rPr>
          <w:rStyle w:val="Strong"/>
          <w:rFonts w:ascii="Times New Roman" w:hAnsi="Times New Roman" w:cs="Times New Roman"/>
          <w:b/>
          <w:bCs/>
          <w:color w:val="auto"/>
          <w:sz w:val="24"/>
          <w:szCs w:val="24"/>
        </w:rPr>
        <w:t>3.4 Effect of Contact Time on Removal Efficiency</w:t>
      </w:r>
    </w:p>
    <w:p w14:paraId="278671F5" w14:textId="77777777" w:rsidR="00E01509" w:rsidRPr="00CF10A3" w:rsidRDefault="00E7460A">
      <w:pPr>
        <w:pStyle w:val="NormalWeb"/>
        <w:spacing w:line="276" w:lineRule="auto"/>
        <w:jc w:val="both"/>
      </w:pPr>
      <w:r w:rsidRPr="00CF10A3">
        <w:t xml:space="preserve">Contact time is an important parameter in the assessment of extraction efficiency, as it determines the duration required to reach equilibrium between the aqueous and organic phases. In this study, the effect of varying contact time (5 to 25 minutes) on the removal of Cu²⁺ and Ni²⁺ ions by </w:t>
      </w:r>
      <w:r w:rsidRPr="00CF10A3">
        <w:rPr>
          <w:rStyle w:val="Emphasis"/>
        </w:rPr>
        <w:t>Phaseolus vulgaris</w:t>
      </w:r>
      <w:r w:rsidRPr="00CF10A3">
        <w:t xml:space="preserve"> oil was investigated. The corresponding results are shown in </w:t>
      </w:r>
      <w:r w:rsidRPr="00CF10A3">
        <w:rPr>
          <w:rStyle w:val="Strong"/>
          <w:rFonts w:eastAsiaTheme="majorEastAsia"/>
          <w:b w:val="0"/>
        </w:rPr>
        <w:t>Table 5</w:t>
      </w:r>
      <w:r w:rsidRPr="00CF10A3">
        <w:t xml:space="preserve"> and illustrated in </w:t>
      </w:r>
      <w:r w:rsidRPr="00CF10A3">
        <w:rPr>
          <w:rStyle w:val="Strong"/>
          <w:rFonts w:eastAsiaTheme="majorEastAsia"/>
          <w:b w:val="0"/>
        </w:rPr>
        <w:t>Figures 9 &amp; 10</w:t>
      </w:r>
      <w:r w:rsidRPr="00CF10A3">
        <w:t>.</w:t>
      </w:r>
    </w:p>
    <w:p w14:paraId="6BCE7EF8" w14:textId="77777777" w:rsidR="00E01509" w:rsidRPr="00CF10A3" w:rsidRDefault="00E7460A">
      <w:pPr>
        <w:spacing w:after="0"/>
        <w:jc w:val="both"/>
        <w:rPr>
          <w:rFonts w:ascii="Times New Roman" w:hAnsi="Times New Roman" w:cs="Times New Roman"/>
          <w:sz w:val="24"/>
          <w:szCs w:val="24"/>
        </w:rPr>
      </w:pPr>
      <w:r w:rsidRPr="00CF10A3">
        <w:rPr>
          <w:rFonts w:ascii="Times New Roman" w:hAnsi="Times New Roman" w:cs="Times New Roman"/>
          <w:b/>
          <w:sz w:val="24"/>
          <w:szCs w:val="24"/>
        </w:rPr>
        <w:t>Table 5:</w:t>
      </w:r>
      <w:r w:rsidRPr="00CF10A3">
        <w:rPr>
          <w:rFonts w:ascii="Times New Roman" w:hAnsi="Times New Roman" w:cs="Times New Roman"/>
          <w:sz w:val="24"/>
          <w:szCs w:val="24"/>
        </w:rPr>
        <w:t xml:space="preserve"> Removal efficiency of Cu</w:t>
      </w:r>
      <w:r w:rsidRPr="00CF10A3">
        <w:rPr>
          <w:rFonts w:ascii="Times New Roman" w:hAnsi="Times New Roman" w:cs="Times New Roman"/>
          <w:sz w:val="24"/>
          <w:szCs w:val="24"/>
          <w:vertAlign w:val="superscript"/>
        </w:rPr>
        <w:t>2+</w:t>
      </w:r>
      <w:r w:rsidRPr="00CF10A3">
        <w:rPr>
          <w:rFonts w:ascii="Times New Roman" w:eastAsia="Times New Roman" w:hAnsi="Times New Roman" w:cs="Times New Roman"/>
          <w:sz w:val="24"/>
          <w:szCs w:val="24"/>
        </w:rPr>
        <w:t>and Ni</w:t>
      </w:r>
      <w:r w:rsidRPr="00CF10A3">
        <w:rPr>
          <w:rFonts w:ascii="Times New Roman" w:eastAsia="Times New Roman" w:hAnsi="Times New Roman" w:cs="Times New Roman"/>
          <w:sz w:val="24"/>
          <w:szCs w:val="24"/>
          <w:vertAlign w:val="superscript"/>
        </w:rPr>
        <w:t>2+</w:t>
      </w:r>
      <w:r w:rsidRPr="00CF10A3">
        <w:rPr>
          <w:rFonts w:ascii="Times New Roman" w:hAnsi="Times New Roman" w:cs="Times New Roman"/>
          <w:sz w:val="24"/>
          <w:szCs w:val="24"/>
        </w:rPr>
        <w:t xml:space="preserve">at 50ppm and 100ppm with different time interval using </w:t>
      </w:r>
      <w:r w:rsidRPr="00CF10A3">
        <w:rPr>
          <w:rFonts w:ascii="Times New Roman" w:hAnsi="Times New Roman" w:cs="Times New Roman"/>
          <w:i/>
          <w:sz w:val="24"/>
          <w:szCs w:val="24"/>
        </w:rPr>
        <w:t>Phaseolus vulgaris</w:t>
      </w:r>
      <w:r w:rsidRPr="00CF10A3">
        <w:rPr>
          <w:rFonts w:ascii="Times New Roman" w:hAnsi="Times New Roman" w:cs="Times New Roman"/>
          <w:sz w:val="24"/>
          <w:szCs w:val="24"/>
        </w:rPr>
        <w:t xml:space="preserve"> oil</w:t>
      </w:r>
    </w:p>
    <w:p w14:paraId="6BE9EE6C" w14:textId="77777777" w:rsidR="00E01509" w:rsidRPr="00CF10A3" w:rsidRDefault="00E01509">
      <w:pPr>
        <w:spacing w:after="0"/>
        <w:jc w:val="both"/>
        <w:rPr>
          <w:rFonts w:ascii="Times New Roman" w:hAnsi="Times New Roman" w:cs="Times New Roman"/>
          <w:sz w:val="24"/>
          <w:szCs w:val="24"/>
        </w:rPr>
      </w:pPr>
    </w:p>
    <w:tbl>
      <w:tblPr>
        <w:tblStyle w:val="TableGrid"/>
        <w:tblpPr w:leftFromText="180" w:rightFromText="180" w:vertAnchor="text" w:horzAnchor="margin" w:tblpY="81"/>
        <w:tblW w:w="0" w:type="auto"/>
        <w:tblLook w:val="04A0" w:firstRow="1" w:lastRow="0" w:firstColumn="1" w:lastColumn="0" w:noHBand="0" w:noVBand="1"/>
      </w:tblPr>
      <w:tblGrid>
        <w:gridCol w:w="715"/>
        <w:gridCol w:w="1620"/>
        <w:gridCol w:w="1890"/>
        <w:gridCol w:w="2007"/>
        <w:gridCol w:w="1559"/>
        <w:gridCol w:w="1559"/>
      </w:tblGrid>
      <w:tr w:rsidR="00E01509" w:rsidRPr="00CF10A3" w14:paraId="78AA12D0" w14:textId="77777777">
        <w:trPr>
          <w:trHeight w:val="271"/>
        </w:trPr>
        <w:tc>
          <w:tcPr>
            <w:tcW w:w="715" w:type="dxa"/>
            <w:vMerge w:val="restart"/>
          </w:tcPr>
          <w:p w14:paraId="086C88AB"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S/N</w:t>
            </w:r>
          </w:p>
        </w:tc>
        <w:tc>
          <w:tcPr>
            <w:tcW w:w="1620" w:type="dxa"/>
            <w:vMerge w:val="restart"/>
            <w:tcBorders>
              <w:left w:val="nil"/>
              <w:right w:val="nil"/>
            </w:tcBorders>
          </w:tcPr>
          <w:p w14:paraId="46C3BD18"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Time (minutes)</w:t>
            </w:r>
          </w:p>
        </w:tc>
        <w:tc>
          <w:tcPr>
            <w:tcW w:w="7015" w:type="dxa"/>
            <w:gridSpan w:val="4"/>
          </w:tcPr>
          <w:p w14:paraId="5E3A2BAA"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Removal Efficiency (%)</w:t>
            </w:r>
          </w:p>
        </w:tc>
      </w:tr>
      <w:tr w:rsidR="00E01509" w:rsidRPr="00CF10A3" w14:paraId="399C4A6B" w14:textId="77777777">
        <w:trPr>
          <w:trHeight w:val="262"/>
        </w:trPr>
        <w:tc>
          <w:tcPr>
            <w:tcW w:w="715" w:type="dxa"/>
            <w:vMerge/>
          </w:tcPr>
          <w:p w14:paraId="2FA0B1A5" w14:textId="77777777" w:rsidR="00E01509" w:rsidRPr="00CF10A3" w:rsidRDefault="00E01509">
            <w:pPr>
              <w:spacing w:after="0"/>
              <w:jc w:val="both"/>
              <w:rPr>
                <w:rFonts w:ascii="Times New Roman" w:eastAsiaTheme="minorEastAsia" w:hAnsi="Times New Roman" w:cs="Times New Roman"/>
                <w:sz w:val="24"/>
                <w:szCs w:val="24"/>
              </w:rPr>
            </w:pPr>
          </w:p>
        </w:tc>
        <w:tc>
          <w:tcPr>
            <w:tcW w:w="1620" w:type="dxa"/>
            <w:vMerge/>
            <w:tcBorders>
              <w:left w:val="nil"/>
              <w:right w:val="nil"/>
            </w:tcBorders>
          </w:tcPr>
          <w:p w14:paraId="42CBD8FD" w14:textId="77777777" w:rsidR="00E01509" w:rsidRPr="00CF10A3" w:rsidRDefault="00E01509">
            <w:pPr>
              <w:spacing w:after="0"/>
              <w:jc w:val="both"/>
              <w:rPr>
                <w:rFonts w:ascii="Times New Roman" w:eastAsiaTheme="minorEastAsia" w:hAnsi="Times New Roman" w:cs="Times New Roman"/>
                <w:sz w:val="24"/>
                <w:szCs w:val="24"/>
              </w:rPr>
            </w:pPr>
          </w:p>
        </w:tc>
        <w:tc>
          <w:tcPr>
            <w:tcW w:w="3897" w:type="dxa"/>
            <w:gridSpan w:val="2"/>
          </w:tcPr>
          <w:p w14:paraId="215037C8"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Cu</w:t>
            </w:r>
            <w:r w:rsidRPr="00CF10A3">
              <w:rPr>
                <w:rFonts w:ascii="Times New Roman" w:eastAsiaTheme="minorEastAsia" w:hAnsi="Times New Roman" w:cs="Times New Roman"/>
                <w:sz w:val="24"/>
                <w:szCs w:val="24"/>
                <w:vertAlign w:val="superscript"/>
              </w:rPr>
              <w:t>2+</w:t>
            </w:r>
          </w:p>
        </w:tc>
        <w:tc>
          <w:tcPr>
            <w:tcW w:w="3118" w:type="dxa"/>
            <w:gridSpan w:val="2"/>
          </w:tcPr>
          <w:p w14:paraId="1D78AD47"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Ni</w:t>
            </w:r>
            <w:r w:rsidRPr="00CF10A3">
              <w:rPr>
                <w:rFonts w:ascii="Times New Roman" w:eastAsiaTheme="minorEastAsia" w:hAnsi="Times New Roman" w:cs="Times New Roman"/>
                <w:sz w:val="24"/>
                <w:szCs w:val="24"/>
                <w:vertAlign w:val="superscript"/>
              </w:rPr>
              <w:t>2+</w:t>
            </w:r>
          </w:p>
        </w:tc>
      </w:tr>
      <w:tr w:rsidR="00E01509" w:rsidRPr="00CF10A3" w14:paraId="4A842C61" w14:textId="77777777">
        <w:trPr>
          <w:trHeight w:val="282"/>
        </w:trPr>
        <w:tc>
          <w:tcPr>
            <w:tcW w:w="715" w:type="dxa"/>
            <w:vMerge/>
          </w:tcPr>
          <w:p w14:paraId="3BDFCB9B" w14:textId="77777777" w:rsidR="00E01509" w:rsidRPr="00CF10A3" w:rsidRDefault="00E01509">
            <w:pPr>
              <w:spacing w:after="0"/>
              <w:jc w:val="both"/>
              <w:rPr>
                <w:rFonts w:ascii="Times New Roman" w:eastAsiaTheme="minorEastAsia" w:hAnsi="Times New Roman" w:cs="Times New Roman"/>
                <w:sz w:val="24"/>
                <w:szCs w:val="24"/>
              </w:rPr>
            </w:pPr>
          </w:p>
        </w:tc>
        <w:tc>
          <w:tcPr>
            <w:tcW w:w="1620" w:type="dxa"/>
            <w:vMerge/>
            <w:tcBorders>
              <w:left w:val="nil"/>
              <w:right w:val="nil"/>
            </w:tcBorders>
          </w:tcPr>
          <w:p w14:paraId="1392BFE5" w14:textId="77777777" w:rsidR="00E01509" w:rsidRPr="00CF10A3" w:rsidRDefault="00E01509">
            <w:pPr>
              <w:spacing w:after="0"/>
              <w:jc w:val="both"/>
              <w:rPr>
                <w:rFonts w:ascii="Times New Roman" w:eastAsiaTheme="minorEastAsia" w:hAnsi="Times New Roman" w:cs="Times New Roman"/>
                <w:sz w:val="24"/>
                <w:szCs w:val="24"/>
              </w:rPr>
            </w:pPr>
          </w:p>
        </w:tc>
        <w:tc>
          <w:tcPr>
            <w:tcW w:w="1890" w:type="dxa"/>
          </w:tcPr>
          <w:p w14:paraId="7FD86BB6"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50 ppm</w:t>
            </w:r>
          </w:p>
        </w:tc>
        <w:tc>
          <w:tcPr>
            <w:tcW w:w="2007" w:type="dxa"/>
          </w:tcPr>
          <w:p w14:paraId="2CA915D0"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100 ppm</w:t>
            </w:r>
          </w:p>
        </w:tc>
        <w:tc>
          <w:tcPr>
            <w:tcW w:w="1559" w:type="dxa"/>
          </w:tcPr>
          <w:p w14:paraId="6DB6873B"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50 ppm</w:t>
            </w:r>
          </w:p>
        </w:tc>
        <w:tc>
          <w:tcPr>
            <w:tcW w:w="1559" w:type="dxa"/>
          </w:tcPr>
          <w:p w14:paraId="0E6EC4E5"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100 ppm</w:t>
            </w:r>
          </w:p>
        </w:tc>
      </w:tr>
      <w:tr w:rsidR="00E01509" w:rsidRPr="00CF10A3" w14:paraId="66BAD10B" w14:textId="77777777">
        <w:tc>
          <w:tcPr>
            <w:tcW w:w="715" w:type="dxa"/>
          </w:tcPr>
          <w:p w14:paraId="4BA75F01"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w:t>
            </w:r>
          </w:p>
        </w:tc>
        <w:tc>
          <w:tcPr>
            <w:tcW w:w="1620" w:type="dxa"/>
          </w:tcPr>
          <w:p w14:paraId="6EF47410"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w:t>
            </w:r>
          </w:p>
        </w:tc>
        <w:tc>
          <w:tcPr>
            <w:tcW w:w="1890" w:type="dxa"/>
          </w:tcPr>
          <w:p w14:paraId="33158DB0"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98.00</w:t>
            </w:r>
          </w:p>
        </w:tc>
        <w:tc>
          <w:tcPr>
            <w:tcW w:w="2007" w:type="dxa"/>
          </w:tcPr>
          <w:p w14:paraId="5CE966C9"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95.30</w:t>
            </w:r>
          </w:p>
        </w:tc>
        <w:tc>
          <w:tcPr>
            <w:tcW w:w="1559" w:type="dxa"/>
          </w:tcPr>
          <w:p w14:paraId="011922A9"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97.02</w:t>
            </w:r>
          </w:p>
        </w:tc>
        <w:tc>
          <w:tcPr>
            <w:tcW w:w="1559" w:type="dxa"/>
          </w:tcPr>
          <w:p w14:paraId="3C53679D"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96.61</w:t>
            </w:r>
          </w:p>
        </w:tc>
      </w:tr>
      <w:tr w:rsidR="00E01509" w:rsidRPr="00CF10A3" w14:paraId="06CD7A1C" w14:textId="77777777">
        <w:tc>
          <w:tcPr>
            <w:tcW w:w="715" w:type="dxa"/>
          </w:tcPr>
          <w:p w14:paraId="27F28497"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w:t>
            </w:r>
          </w:p>
        </w:tc>
        <w:tc>
          <w:tcPr>
            <w:tcW w:w="1620" w:type="dxa"/>
          </w:tcPr>
          <w:p w14:paraId="1DD5566C"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w:t>
            </w:r>
          </w:p>
        </w:tc>
        <w:tc>
          <w:tcPr>
            <w:tcW w:w="1890" w:type="dxa"/>
          </w:tcPr>
          <w:p w14:paraId="1C611E3D"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98.86</w:t>
            </w:r>
          </w:p>
        </w:tc>
        <w:tc>
          <w:tcPr>
            <w:tcW w:w="2007" w:type="dxa"/>
          </w:tcPr>
          <w:p w14:paraId="54D1DC0E"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97.83</w:t>
            </w:r>
          </w:p>
        </w:tc>
        <w:tc>
          <w:tcPr>
            <w:tcW w:w="1559" w:type="dxa"/>
          </w:tcPr>
          <w:p w14:paraId="11F3F362"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97.28</w:t>
            </w:r>
          </w:p>
        </w:tc>
        <w:tc>
          <w:tcPr>
            <w:tcW w:w="1559" w:type="dxa"/>
          </w:tcPr>
          <w:p w14:paraId="56CCB876"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97.79</w:t>
            </w:r>
          </w:p>
        </w:tc>
      </w:tr>
      <w:tr w:rsidR="00E01509" w:rsidRPr="00CF10A3" w14:paraId="636FD59F" w14:textId="77777777">
        <w:tc>
          <w:tcPr>
            <w:tcW w:w="715" w:type="dxa"/>
          </w:tcPr>
          <w:p w14:paraId="13D24596"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w:t>
            </w:r>
          </w:p>
        </w:tc>
        <w:tc>
          <w:tcPr>
            <w:tcW w:w="1620" w:type="dxa"/>
          </w:tcPr>
          <w:p w14:paraId="04C454ED"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15</w:t>
            </w:r>
          </w:p>
        </w:tc>
        <w:tc>
          <w:tcPr>
            <w:tcW w:w="1890" w:type="dxa"/>
          </w:tcPr>
          <w:p w14:paraId="7AFABBDF"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99.80</w:t>
            </w:r>
          </w:p>
        </w:tc>
        <w:tc>
          <w:tcPr>
            <w:tcW w:w="2007" w:type="dxa"/>
          </w:tcPr>
          <w:p w14:paraId="00064790"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99.47</w:t>
            </w:r>
          </w:p>
        </w:tc>
        <w:tc>
          <w:tcPr>
            <w:tcW w:w="1559" w:type="dxa"/>
          </w:tcPr>
          <w:p w14:paraId="0BF40202"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97.46</w:t>
            </w:r>
          </w:p>
        </w:tc>
        <w:tc>
          <w:tcPr>
            <w:tcW w:w="1559" w:type="dxa"/>
          </w:tcPr>
          <w:p w14:paraId="2AFDBE07"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99.20</w:t>
            </w:r>
          </w:p>
        </w:tc>
      </w:tr>
      <w:tr w:rsidR="00E01509" w:rsidRPr="00CF10A3" w14:paraId="23BE8238" w14:textId="77777777">
        <w:tc>
          <w:tcPr>
            <w:tcW w:w="715" w:type="dxa"/>
          </w:tcPr>
          <w:p w14:paraId="54631C89"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4</w:t>
            </w:r>
          </w:p>
        </w:tc>
        <w:tc>
          <w:tcPr>
            <w:tcW w:w="1620" w:type="dxa"/>
          </w:tcPr>
          <w:p w14:paraId="794AA38F"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20</w:t>
            </w:r>
          </w:p>
        </w:tc>
        <w:tc>
          <w:tcPr>
            <w:tcW w:w="1890" w:type="dxa"/>
          </w:tcPr>
          <w:p w14:paraId="3F71A574"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99.84</w:t>
            </w:r>
          </w:p>
        </w:tc>
        <w:tc>
          <w:tcPr>
            <w:tcW w:w="2007" w:type="dxa"/>
          </w:tcPr>
          <w:p w14:paraId="05E51A67"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99.76</w:t>
            </w:r>
          </w:p>
        </w:tc>
        <w:tc>
          <w:tcPr>
            <w:tcW w:w="1559" w:type="dxa"/>
          </w:tcPr>
          <w:p w14:paraId="41328AEE"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99.62</w:t>
            </w:r>
          </w:p>
        </w:tc>
        <w:tc>
          <w:tcPr>
            <w:tcW w:w="1559" w:type="dxa"/>
          </w:tcPr>
          <w:p w14:paraId="4B089810"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99.58</w:t>
            </w:r>
          </w:p>
        </w:tc>
      </w:tr>
      <w:tr w:rsidR="00E01509" w:rsidRPr="00CF10A3" w14:paraId="799EC569" w14:textId="77777777">
        <w:tc>
          <w:tcPr>
            <w:tcW w:w="715" w:type="dxa"/>
          </w:tcPr>
          <w:p w14:paraId="5E96611A"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w:t>
            </w:r>
          </w:p>
        </w:tc>
        <w:tc>
          <w:tcPr>
            <w:tcW w:w="1620" w:type="dxa"/>
          </w:tcPr>
          <w:p w14:paraId="4A181C94" w14:textId="77777777"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25</w:t>
            </w:r>
          </w:p>
        </w:tc>
        <w:tc>
          <w:tcPr>
            <w:tcW w:w="1890" w:type="dxa"/>
          </w:tcPr>
          <w:p w14:paraId="1A0D3674"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99.90</w:t>
            </w:r>
          </w:p>
        </w:tc>
        <w:tc>
          <w:tcPr>
            <w:tcW w:w="2007" w:type="dxa"/>
          </w:tcPr>
          <w:p w14:paraId="07EECE12"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99.85</w:t>
            </w:r>
          </w:p>
        </w:tc>
        <w:tc>
          <w:tcPr>
            <w:tcW w:w="1559" w:type="dxa"/>
          </w:tcPr>
          <w:p w14:paraId="6F64386A"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99.90</w:t>
            </w:r>
          </w:p>
        </w:tc>
        <w:tc>
          <w:tcPr>
            <w:tcW w:w="1559" w:type="dxa"/>
          </w:tcPr>
          <w:p w14:paraId="72D53D54" w14:textId="77777777"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99.79</w:t>
            </w:r>
          </w:p>
        </w:tc>
      </w:tr>
    </w:tbl>
    <w:p w14:paraId="5B083DC3" w14:textId="77777777" w:rsidR="00E01509" w:rsidRPr="00CF10A3" w:rsidRDefault="00E01509">
      <w:pPr>
        <w:pStyle w:val="NormalWeb"/>
        <w:spacing w:line="276" w:lineRule="auto"/>
        <w:jc w:val="both"/>
      </w:pPr>
    </w:p>
    <w:p w14:paraId="66363BFA" w14:textId="77777777" w:rsidR="00E01509" w:rsidRPr="00CF10A3" w:rsidRDefault="00E7460A">
      <w:pPr>
        <w:pStyle w:val="NormalWeb"/>
        <w:spacing w:line="276" w:lineRule="auto"/>
        <w:jc w:val="both"/>
      </w:pPr>
      <w:r w:rsidRPr="00CF10A3">
        <w:t xml:space="preserve">For Cu²⁺ ions, removal efficiency at 50 ppm increased rapidly from 98.00% at 5 minutes to 99.90% at 25 minutes. At 100 ppm, the efficiency similarly rose from 95.30% to 99.85% over the same period. </w:t>
      </w:r>
    </w:p>
    <w:p w14:paraId="49A7D35D" w14:textId="77777777" w:rsidR="00E01509" w:rsidRPr="00CF10A3" w:rsidRDefault="00E7460A">
      <w:pPr>
        <w:pStyle w:val="NormalWeb"/>
        <w:spacing w:line="276" w:lineRule="auto"/>
        <w:jc w:val="both"/>
      </w:pPr>
      <w:r w:rsidRPr="00CF10A3">
        <w:t>This trend indicates a fast-initial rate of extraction. For Ni²⁺ ions, a comparable time-dependent increase in efficiency was observed. At 50 ppm, removal increased from 97.02% at 5 minutes to 99.90% at 25 minutes, while at 100 ppm, efficiency rose from 96.61% to 99.79%.</w:t>
      </w:r>
    </w:p>
    <w:p w14:paraId="4664860E" w14:textId="77777777" w:rsidR="00E01509" w:rsidRPr="00CF10A3" w:rsidRDefault="00E7460A">
      <w:pPr>
        <w:pStyle w:val="NormalWeb"/>
        <w:spacing w:line="276" w:lineRule="auto"/>
        <w:jc w:val="both"/>
      </w:pPr>
      <w:r w:rsidRPr="00CF10A3">
        <w:t xml:space="preserve">The rapid uptake observed within the first 15 minutes suggests that a significant portion of metal ions was removed through immediate interaction with active binding sites available in the </w:t>
      </w:r>
      <w:r w:rsidRPr="00CF10A3">
        <w:rPr>
          <w:rStyle w:val="Emphasis"/>
        </w:rPr>
        <w:t>Phaseolus vulgaris</w:t>
      </w:r>
      <w:r w:rsidRPr="00CF10A3">
        <w:t xml:space="preserve"> oil. This can be attributed to the high affinity of fatty acid constituents</w:t>
      </w:r>
      <w:r w:rsidR="00633D95" w:rsidRPr="00CF10A3">
        <w:t xml:space="preserve"> (Effiong et al., 2023</w:t>
      </w:r>
      <w:r w:rsidR="007F52AD" w:rsidRPr="00CF10A3">
        <w:t>a&amp;b</w:t>
      </w:r>
      <w:r w:rsidR="00633D95" w:rsidRPr="00CF10A3">
        <w:t>)</w:t>
      </w:r>
      <w:r w:rsidRPr="00CF10A3">
        <w:t>, especially palmitic and linoleic acids for divalent metal ions via complexation mechanisms.</w:t>
      </w:r>
    </w:p>
    <w:p w14:paraId="197796D0" w14:textId="77777777" w:rsidR="00E01509" w:rsidRPr="00CF10A3" w:rsidRDefault="00E7460A">
      <w:pPr>
        <w:rPr>
          <w:rFonts w:ascii="Times New Roman" w:hAnsi="Times New Roman" w:cs="Times New Roman"/>
          <w:sz w:val="24"/>
          <w:szCs w:val="24"/>
        </w:rPr>
      </w:pPr>
      <w:r w:rsidRPr="00CF10A3">
        <w:rPr>
          <w:rFonts w:ascii="Times New Roman" w:hAnsi="Times New Roman" w:cs="Times New Roman"/>
          <w:noProof/>
          <w:sz w:val="24"/>
          <w:szCs w:val="24"/>
        </w:rPr>
        <w:lastRenderedPageBreak/>
        <w:drawing>
          <wp:inline distT="0" distB="0" distL="0" distR="0" wp14:anchorId="5A134389" wp14:editId="3012B4B7">
            <wp:extent cx="2701925" cy="2461260"/>
            <wp:effectExtent l="4445" t="4445" r="17780" b="10795"/>
            <wp:docPr id="27"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CF10A3">
        <w:rPr>
          <w:rFonts w:ascii="Times New Roman" w:hAnsi="Times New Roman" w:cs="Times New Roman"/>
          <w:noProof/>
          <w:sz w:val="24"/>
          <w:szCs w:val="24"/>
        </w:rPr>
        <w:drawing>
          <wp:inline distT="0" distB="0" distL="0" distR="0" wp14:anchorId="58AB9111" wp14:editId="48E9290B">
            <wp:extent cx="2700655" cy="2449195"/>
            <wp:effectExtent l="4445" t="4445" r="19050" b="22860"/>
            <wp:docPr id="28"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BE1673B" w14:textId="77777777" w:rsidR="00E01509" w:rsidRPr="00CF10A3" w:rsidRDefault="00E7460A">
      <w:pPr>
        <w:pStyle w:val="NormalWeb"/>
        <w:spacing w:line="276" w:lineRule="auto"/>
        <w:jc w:val="both"/>
      </w:pPr>
      <w:r w:rsidRPr="00CF10A3">
        <w:rPr>
          <w:b/>
        </w:rPr>
        <w:t>Figure 9:</w:t>
      </w:r>
      <w:r w:rsidRPr="00CF10A3">
        <w:t xml:space="preserve"> Variation in the Removal efficiency of Cu</w:t>
      </w:r>
      <w:r w:rsidRPr="00CF10A3">
        <w:rPr>
          <w:vertAlign w:val="superscript"/>
        </w:rPr>
        <w:t>2+</w:t>
      </w:r>
      <w:r w:rsidRPr="00CF10A3">
        <w:t>and Ni</w:t>
      </w:r>
      <w:r w:rsidRPr="00CF10A3">
        <w:rPr>
          <w:vertAlign w:val="superscript"/>
        </w:rPr>
        <w:t>2+</w:t>
      </w:r>
      <w:r w:rsidRPr="00CF10A3">
        <w:t xml:space="preserve"> ions at 50ppm and 100ppm with different time interval using </w:t>
      </w:r>
      <w:r w:rsidRPr="00CF10A3">
        <w:rPr>
          <w:i/>
        </w:rPr>
        <w:t>Phaseolus vulgaris</w:t>
      </w:r>
      <w:r w:rsidRPr="00CF10A3">
        <w:t xml:space="preserve"> oil</w:t>
      </w:r>
    </w:p>
    <w:p w14:paraId="314208B8" w14:textId="77777777" w:rsidR="00E01509" w:rsidRPr="00CF10A3" w:rsidRDefault="00E7460A">
      <w:pPr>
        <w:pStyle w:val="Heading3"/>
        <w:jc w:val="both"/>
        <w:rPr>
          <w:rStyle w:val="Strong"/>
          <w:rFonts w:ascii="Times New Roman" w:hAnsi="Times New Roman" w:cs="Times New Roman"/>
          <w:b/>
          <w:bCs/>
          <w:color w:val="auto"/>
          <w:sz w:val="24"/>
          <w:szCs w:val="24"/>
        </w:rPr>
      </w:pPr>
      <w:r w:rsidRPr="00CF10A3">
        <w:rPr>
          <w:rStyle w:val="Strong"/>
          <w:rFonts w:ascii="Times New Roman" w:hAnsi="Times New Roman" w:cs="Times New Roman"/>
          <w:b/>
          <w:bCs/>
          <w:color w:val="auto"/>
          <w:sz w:val="24"/>
          <w:szCs w:val="24"/>
        </w:rPr>
        <w:t>3.5 Thermodynamic Parameters</w:t>
      </w:r>
    </w:p>
    <w:p w14:paraId="4D553CDB" w14:textId="77777777" w:rsidR="00E01509" w:rsidRPr="00CF10A3" w:rsidRDefault="00E7460A">
      <w:pPr>
        <w:spacing w:before="240"/>
        <w:jc w:val="both"/>
        <w:rPr>
          <w:rFonts w:ascii="Times New Roman" w:hAnsi="Times New Roman" w:cs="Times New Roman"/>
          <w:b/>
          <w:sz w:val="24"/>
          <w:szCs w:val="24"/>
        </w:rPr>
      </w:pPr>
      <w:r w:rsidRPr="00CF10A3">
        <w:rPr>
          <w:rFonts w:ascii="Times New Roman" w:hAnsi="Times New Roman" w:cs="Times New Roman"/>
          <w:sz w:val="24"/>
          <w:szCs w:val="24"/>
        </w:rPr>
        <w:t xml:space="preserve">The </w:t>
      </w:r>
      <w:r w:rsidRPr="00CF10A3">
        <w:rPr>
          <w:rStyle w:val="katex-mathml"/>
          <w:rFonts w:ascii="Times New Roman" w:hAnsi="Times New Roman" w:cs="Times New Roman"/>
          <w:sz w:val="24"/>
          <w:szCs w:val="24"/>
        </w:rPr>
        <w:t>ΔH</w:t>
      </w:r>
      <w:r w:rsidRPr="00CF10A3">
        <w:rPr>
          <w:rStyle w:val="katex-mathml"/>
          <w:rFonts w:ascii="Times New Roman" w:hAnsi="Times New Roman" w:cs="Times New Roman"/>
          <w:sz w:val="24"/>
          <w:szCs w:val="24"/>
          <w:vertAlign w:val="superscript"/>
        </w:rPr>
        <w:t>0</w:t>
      </w:r>
      <w:r w:rsidRPr="00CF10A3">
        <w:rPr>
          <w:rFonts w:ascii="Times New Roman" w:hAnsi="Times New Roman" w:cs="Times New Roman"/>
          <w:sz w:val="24"/>
          <w:szCs w:val="24"/>
        </w:rPr>
        <w:t xml:space="preserve"> values in Table 6 ranged from </w:t>
      </w:r>
      <w:r w:rsidRPr="00CF10A3">
        <w:rPr>
          <w:rStyle w:val="Strong"/>
          <w:rFonts w:ascii="Times New Roman" w:hAnsi="Times New Roman" w:cs="Times New Roman"/>
          <w:b w:val="0"/>
          <w:sz w:val="24"/>
          <w:szCs w:val="24"/>
        </w:rPr>
        <w:t>94.22–107.48 kJ/mol</w:t>
      </w:r>
      <w:r w:rsidRPr="00CF10A3">
        <w:rPr>
          <w:rFonts w:ascii="Times New Roman" w:hAnsi="Times New Roman" w:cs="Times New Roman"/>
          <w:sz w:val="24"/>
          <w:szCs w:val="24"/>
        </w:rPr>
        <w:t xml:space="preserve"> for Cu²⁺ and </w:t>
      </w:r>
      <w:r w:rsidRPr="00CF10A3">
        <w:rPr>
          <w:rStyle w:val="Strong"/>
          <w:rFonts w:ascii="Times New Roman" w:hAnsi="Times New Roman" w:cs="Times New Roman"/>
          <w:b w:val="0"/>
          <w:sz w:val="24"/>
          <w:szCs w:val="24"/>
        </w:rPr>
        <w:t>114.85–121.71 kJ/mol</w:t>
      </w:r>
      <w:r w:rsidRPr="00CF10A3">
        <w:rPr>
          <w:rFonts w:ascii="Times New Roman" w:hAnsi="Times New Roman" w:cs="Times New Roman"/>
          <w:sz w:val="24"/>
          <w:szCs w:val="24"/>
        </w:rPr>
        <w:t xml:space="preserve"> for Ni²⁺. The positive enthalpy changes confirm that the extraction processes are </w:t>
      </w:r>
      <w:r w:rsidRPr="00CF10A3">
        <w:rPr>
          <w:rStyle w:val="Strong"/>
          <w:rFonts w:ascii="Times New Roman" w:hAnsi="Times New Roman" w:cs="Times New Roman"/>
          <w:b w:val="0"/>
          <w:sz w:val="24"/>
          <w:szCs w:val="24"/>
        </w:rPr>
        <w:t>endothermic</w:t>
      </w:r>
      <w:r w:rsidRPr="00CF10A3">
        <w:rPr>
          <w:rFonts w:ascii="Times New Roman" w:hAnsi="Times New Roman" w:cs="Times New Roman"/>
          <w:sz w:val="24"/>
          <w:szCs w:val="24"/>
        </w:rPr>
        <w:t xml:space="preserve">, requiring heat input to proceed. This indicates that higher temperatures favor the transfer of metal ions from the aqueous to the organic phase, as the added thermal energy facilitates both the disruption of hydration shells around the metal ions and the formation of stable metal–ligand complexes in the organic phase. Such behavior is consistent with fatty acid–metal ion extractions reported by </w:t>
      </w:r>
      <w:proofErr w:type="spellStart"/>
      <w:r w:rsidRPr="00CF10A3">
        <w:rPr>
          <w:rFonts w:ascii="Times New Roman" w:hAnsi="Times New Roman" w:cs="Times New Roman"/>
          <w:sz w:val="24"/>
          <w:szCs w:val="24"/>
        </w:rPr>
        <w:t>Gok</w:t>
      </w:r>
      <w:proofErr w:type="spellEnd"/>
      <w:r w:rsidRPr="00CF10A3">
        <w:rPr>
          <w:rFonts w:ascii="Times New Roman" w:hAnsi="Times New Roman" w:cs="Times New Roman"/>
          <w:sz w:val="24"/>
          <w:szCs w:val="24"/>
        </w:rPr>
        <w:t xml:space="preserve"> and </w:t>
      </w:r>
      <w:proofErr w:type="spellStart"/>
      <w:r w:rsidRPr="00CF10A3">
        <w:rPr>
          <w:rFonts w:ascii="Times New Roman" w:hAnsi="Times New Roman" w:cs="Times New Roman"/>
          <w:sz w:val="24"/>
          <w:szCs w:val="24"/>
        </w:rPr>
        <w:t>Aytas</w:t>
      </w:r>
      <w:proofErr w:type="spellEnd"/>
      <w:r w:rsidRPr="00CF10A3">
        <w:rPr>
          <w:rFonts w:ascii="Times New Roman" w:hAnsi="Times New Roman" w:cs="Times New Roman"/>
          <w:sz w:val="24"/>
          <w:szCs w:val="24"/>
        </w:rPr>
        <w:t xml:space="preserve"> (2018) and Park et al. (2015), where endothermic profiles were linked to the strong coordination between the carboxylate groups of fatty acids and divalent metal ions.</w:t>
      </w:r>
    </w:p>
    <w:p w14:paraId="5A0C785F" w14:textId="77777777"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b/>
          <w:sz w:val="24"/>
          <w:szCs w:val="24"/>
        </w:rPr>
        <w:t>Table 6:</w:t>
      </w:r>
      <w:r w:rsidRPr="00CF10A3">
        <w:rPr>
          <w:rFonts w:ascii="Times New Roman" w:hAnsi="Times New Roman" w:cs="Times New Roman"/>
          <w:sz w:val="24"/>
          <w:szCs w:val="24"/>
        </w:rPr>
        <w:t xml:space="preserve"> Summary of Enthalpy change for Cu</w:t>
      </w:r>
      <w:r w:rsidRPr="00CF10A3">
        <w:rPr>
          <w:rFonts w:ascii="Times New Roman" w:hAnsi="Times New Roman" w:cs="Times New Roman"/>
          <w:sz w:val="24"/>
          <w:szCs w:val="24"/>
          <w:vertAlign w:val="superscript"/>
        </w:rPr>
        <w:t>2+</w:t>
      </w:r>
      <w:r w:rsidRPr="00CF10A3">
        <w:rPr>
          <w:rFonts w:ascii="Times New Roman" w:hAnsi="Times New Roman" w:cs="Times New Roman"/>
          <w:sz w:val="24"/>
          <w:szCs w:val="24"/>
        </w:rPr>
        <w:t xml:space="preserve"> and Ni²⁺ at 50ppm and 100ppm using </w:t>
      </w:r>
      <w:r w:rsidRPr="00CF10A3">
        <w:rPr>
          <w:rFonts w:ascii="Times New Roman" w:hAnsi="Times New Roman" w:cs="Times New Roman"/>
          <w:i/>
          <w:sz w:val="24"/>
          <w:szCs w:val="24"/>
        </w:rPr>
        <w:t>Phaseolus vulgaris</w:t>
      </w:r>
      <w:r w:rsidRPr="00CF10A3">
        <w:rPr>
          <w:rFonts w:ascii="Times New Roman" w:hAnsi="Times New Roman" w:cs="Times New Roman"/>
          <w:sz w:val="24"/>
          <w:szCs w:val="24"/>
        </w:rPr>
        <w:t xml:space="preserve"> oil</w:t>
      </w:r>
    </w:p>
    <w:tbl>
      <w:tblPr>
        <w:tblStyle w:val="TableGrid"/>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8"/>
        <w:gridCol w:w="1276"/>
        <w:gridCol w:w="1417"/>
        <w:gridCol w:w="1701"/>
      </w:tblGrid>
      <w:tr w:rsidR="00E01509" w:rsidRPr="00CF10A3" w14:paraId="2E76C2C5" w14:textId="77777777">
        <w:trPr>
          <w:trHeight w:val="378"/>
          <w:jc w:val="center"/>
        </w:trPr>
        <w:tc>
          <w:tcPr>
            <w:tcW w:w="2268" w:type="dxa"/>
            <w:vMerge w:val="restart"/>
          </w:tcPr>
          <w:p w14:paraId="2B72B40C" w14:textId="77777777" w:rsidR="00E01509" w:rsidRPr="00CF10A3" w:rsidRDefault="00E7460A">
            <w:pPr>
              <w:spacing w:after="0" w:line="240" w:lineRule="auto"/>
              <w:rPr>
                <w:rFonts w:ascii="Times New Roman" w:eastAsiaTheme="minorEastAsia" w:hAnsi="Times New Roman" w:cs="Times New Roman"/>
                <w:position w:val="-4"/>
                <w:sz w:val="24"/>
                <w:szCs w:val="24"/>
              </w:rPr>
            </w:pPr>
            <w:proofErr w:type="spellStart"/>
            <w:r w:rsidRPr="00CF10A3">
              <w:rPr>
                <w:rFonts w:ascii="Times New Roman" w:eastAsiaTheme="minorEastAsia" w:hAnsi="Times New Roman" w:cs="Times New Roman"/>
                <w:position w:val="-4"/>
                <w:sz w:val="24"/>
                <w:szCs w:val="24"/>
              </w:rPr>
              <w:t>Lgand</w:t>
            </w:r>
            <w:proofErr w:type="spellEnd"/>
          </w:p>
        </w:tc>
        <w:tc>
          <w:tcPr>
            <w:tcW w:w="2694" w:type="dxa"/>
            <w:gridSpan w:val="2"/>
          </w:tcPr>
          <w:p w14:paraId="6A71FA89" w14:textId="77777777" w:rsidR="00E01509" w:rsidRPr="00CF10A3" w:rsidRDefault="00E01509">
            <w:pPr>
              <w:spacing w:after="0" w:line="240" w:lineRule="auto"/>
              <w:rPr>
                <w:rFonts w:ascii="Times New Roman" w:eastAsiaTheme="minorEastAsia" w:hAnsi="Times New Roman" w:cs="Times New Roman"/>
                <w:sz w:val="24"/>
                <w:szCs w:val="24"/>
              </w:rPr>
            </w:pPr>
            <w:r w:rsidRPr="00CF10A3">
              <w:rPr>
                <w:rFonts w:ascii="Times New Roman" w:hAnsi="Times New Roman" w:cs="Times New Roman"/>
                <w:position w:val="-4"/>
                <w:sz w:val="24"/>
                <w:szCs w:val="24"/>
              </w:rPr>
              <w:object w:dxaOrig="419" w:dyaOrig="260" w14:anchorId="33D86C1B">
                <v:shape id="_x0000_i1027" type="#_x0000_t75" style="width:21.45pt;height:12pt" o:ole="">
                  <v:imagedata r:id="rId27" o:title=""/>
                </v:shape>
                <o:OLEObject Type="Embed" ProgID="Equation.3" ShapeID="_x0000_i1027" DrawAspect="Content" ObjectID="_1828353423" r:id="rId28"/>
              </w:object>
            </w:r>
            <w:r w:rsidR="00E7460A" w:rsidRPr="00CF10A3">
              <w:rPr>
                <w:rFonts w:ascii="Times New Roman" w:eastAsiaTheme="minorEastAsia" w:hAnsi="Times New Roman" w:cs="Times New Roman"/>
                <w:sz w:val="24"/>
                <w:szCs w:val="24"/>
              </w:rPr>
              <w:t>(kJ/mol) Cu</w:t>
            </w:r>
            <w:r w:rsidR="00E7460A" w:rsidRPr="00CF10A3">
              <w:rPr>
                <w:rFonts w:ascii="Times New Roman" w:eastAsiaTheme="minorEastAsia" w:hAnsi="Times New Roman" w:cs="Times New Roman"/>
                <w:sz w:val="24"/>
                <w:szCs w:val="24"/>
                <w:vertAlign w:val="superscript"/>
              </w:rPr>
              <w:t>2+</w:t>
            </w:r>
          </w:p>
        </w:tc>
        <w:tc>
          <w:tcPr>
            <w:tcW w:w="3118" w:type="dxa"/>
            <w:gridSpan w:val="2"/>
          </w:tcPr>
          <w:p w14:paraId="31A5533B" w14:textId="77777777" w:rsidR="00E01509" w:rsidRPr="00CF10A3" w:rsidRDefault="00E01509">
            <w:pPr>
              <w:spacing w:line="240" w:lineRule="auto"/>
              <w:rPr>
                <w:rFonts w:ascii="Times New Roman" w:eastAsiaTheme="minorEastAsia" w:hAnsi="Times New Roman" w:cs="Times New Roman"/>
                <w:sz w:val="24"/>
                <w:szCs w:val="24"/>
              </w:rPr>
            </w:pPr>
            <w:r w:rsidRPr="00CF10A3">
              <w:rPr>
                <w:rFonts w:ascii="Times New Roman" w:hAnsi="Times New Roman" w:cs="Times New Roman"/>
                <w:position w:val="-4"/>
                <w:sz w:val="24"/>
                <w:szCs w:val="24"/>
              </w:rPr>
              <w:object w:dxaOrig="419" w:dyaOrig="260" w14:anchorId="10B80ADF">
                <v:shape id="_x0000_i1028" type="#_x0000_t75" style="width:21.45pt;height:12pt" o:ole="">
                  <v:imagedata r:id="rId27" o:title=""/>
                </v:shape>
                <o:OLEObject Type="Embed" ProgID="Equation.3" ShapeID="_x0000_i1028" DrawAspect="Content" ObjectID="_1828353424" r:id="rId29"/>
              </w:object>
            </w:r>
            <w:r w:rsidR="00E7460A" w:rsidRPr="00CF10A3">
              <w:rPr>
                <w:rFonts w:ascii="Times New Roman" w:eastAsiaTheme="minorEastAsia" w:hAnsi="Times New Roman" w:cs="Times New Roman"/>
                <w:sz w:val="24"/>
                <w:szCs w:val="24"/>
              </w:rPr>
              <w:t>(kJ/mol) Ni²⁺</w:t>
            </w:r>
          </w:p>
        </w:tc>
      </w:tr>
      <w:tr w:rsidR="00E01509" w:rsidRPr="00CF10A3" w14:paraId="6D419AC0" w14:textId="77777777">
        <w:trPr>
          <w:trHeight w:val="135"/>
          <w:jc w:val="center"/>
        </w:trPr>
        <w:tc>
          <w:tcPr>
            <w:tcW w:w="2268" w:type="dxa"/>
            <w:vMerge/>
          </w:tcPr>
          <w:p w14:paraId="1D1ACC38" w14:textId="77777777" w:rsidR="00E01509" w:rsidRPr="00CF10A3" w:rsidRDefault="00E01509">
            <w:pPr>
              <w:spacing w:after="0" w:line="240" w:lineRule="auto"/>
              <w:rPr>
                <w:rFonts w:ascii="Times New Roman" w:eastAsiaTheme="minorEastAsia" w:hAnsi="Times New Roman" w:cs="Times New Roman"/>
                <w:sz w:val="24"/>
                <w:szCs w:val="24"/>
              </w:rPr>
            </w:pPr>
          </w:p>
        </w:tc>
        <w:tc>
          <w:tcPr>
            <w:tcW w:w="1418" w:type="dxa"/>
          </w:tcPr>
          <w:p w14:paraId="28195337" w14:textId="77777777" w:rsidR="00E01509" w:rsidRPr="00CF10A3" w:rsidRDefault="00E7460A">
            <w:pPr>
              <w:spacing w:after="0" w:line="240" w:lineRule="auto"/>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(50ppm)</w:t>
            </w:r>
          </w:p>
        </w:tc>
        <w:tc>
          <w:tcPr>
            <w:tcW w:w="1276" w:type="dxa"/>
          </w:tcPr>
          <w:p w14:paraId="6E9A3AC5" w14:textId="77777777" w:rsidR="00E01509" w:rsidRPr="00CF10A3" w:rsidRDefault="00E7460A">
            <w:pPr>
              <w:spacing w:line="240" w:lineRule="auto"/>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(50ppm)</w:t>
            </w:r>
          </w:p>
        </w:tc>
        <w:tc>
          <w:tcPr>
            <w:tcW w:w="1417" w:type="dxa"/>
          </w:tcPr>
          <w:p w14:paraId="2DCD96F2" w14:textId="77777777" w:rsidR="00E01509" w:rsidRPr="00CF10A3" w:rsidRDefault="00E7460A">
            <w:pPr>
              <w:spacing w:line="240" w:lineRule="auto"/>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(50ppm)</w:t>
            </w:r>
          </w:p>
        </w:tc>
        <w:tc>
          <w:tcPr>
            <w:tcW w:w="1701" w:type="dxa"/>
          </w:tcPr>
          <w:p w14:paraId="432493A9" w14:textId="77777777" w:rsidR="00E01509" w:rsidRPr="00CF10A3" w:rsidRDefault="00E7460A">
            <w:pPr>
              <w:spacing w:after="0" w:line="240" w:lineRule="auto"/>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(100ppm)</w:t>
            </w:r>
          </w:p>
        </w:tc>
      </w:tr>
      <w:tr w:rsidR="00E01509" w:rsidRPr="00CF10A3" w14:paraId="4D8566E9" w14:textId="77777777">
        <w:trPr>
          <w:trHeight w:val="135"/>
          <w:jc w:val="center"/>
        </w:trPr>
        <w:tc>
          <w:tcPr>
            <w:tcW w:w="2268" w:type="dxa"/>
          </w:tcPr>
          <w:p w14:paraId="08DAA839" w14:textId="77777777" w:rsidR="00E01509" w:rsidRPr="00CF10A3" w:rsidRDefault="00E7460A">
            <w:pPr>
              <w:spacing w:after="0" w:line="240" w:lineRule="auto"/>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Palmitic acid</w:t>
            </w:r>
          </w:p>
        </w:tc>
        <w:tc>
          <w:tcPr>
            <w:tcW w:w="1418" w:type="dxa"/>
            <w:vAlign w:val="center"/>
          </w:tcPr>
          <w:p w14:paraId="4774388C" w14:textId="77777777" w:rsidR="00E01509" w:rsidRPr="00CF10A3" w:rsidRDefault="00E7460A">
            <w:pPr>
              <w:spacing w:after="0"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107.342</w:t>
            </w:r>
          </w:p>
        </w:tc>
        <w:tc>
          <w:tcPr>
            <w:tcW w:w="1276" w:type="dxa"/>
            <w:vAlign w:val="center"/>
          </w:tcPr>
          <w:p w14:paraId="50AA2248" w14:textId="77777777"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114.852</w:t>
            </w:r>
          </w:p>
        </w:tc>
        <w:tc>
          <w:tcPr>
            <w:tcW w:w="1417" w:type="dxa"/>
            <w:vAlign w:val="center"/>
          </w:tcPr>
          <w:p w14:paraId="29F212AD" w14:textId="77777777"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114.852</w:t>
            </w:r>
          </w:p>
        </w:tc>
        <w:tc>
          <w:tcPr>
            <w:tcW w:w="1701" w:type="dxa"/>
            <w:vAlign w:val="center"/>
          </w:tcPr>
          <w:p w14:paraId="46C34D9D" w14:textId="77777777"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121.528</w:t>
            </w:r>
          </w:p>
        </w:tc>
      </w:tr>
      <w:tr w:rsidR="00E01509" w:rsidRPr="00CF10A3" w14:paraId="705969FE" w14:textId="77777777">
        <w:trPr>
          <w:trHeight w:val="135"/>
          <w:jc w:val="center"/>
        </w:trPr>
        <w:tc>
          <w:tcPr>
            <w:tcW w:w="2268" w:type="dxa"/>
          </w:tcPr>
          <w:p w14:paraId="11C9E18C" w14:textId="77777777" w:rsidR="00E01509" w:rsidRPr="00CF10A3" w:rsidRDefault="00E7460A">
            <w:pPr>
              <w:spacing w:after="0" w:line="240" w:lineRule="auto"/>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Linoleic/Oleic acid</w:t>
            </w:r>
          </w:p>
        </w:tc>
        <w:tc>
          <w:tcPr>
            <w:tcW w:w="1418" w:type="dxa"/>
            <w:vAlign w:val="center"/>
          </w:tcPr>
          <w:p w14:paraId="08DE76BA" w14:textId="77777777" w:rsidR="00E01509" w:rsidRPr="00CF10A3" w:rsidRDefault="00E7460A">
            <w:pPr>
              <w:spacing w:after="0"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107.479</w:t>
            </w:r>
          </w:p>
        </w:tc>
        <w:tc>
          <w:tcPr>
            <w:tcW w:w="1276" w:type="dxa"/>
            <w:vAlign w:val="center"/>
          </w:tcPr>
          <w:p w14:paraId="597D8041" w14:textId="77777777"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114.971</w:t>
            </w:r>
          </w:p>
        </w:tc>
        <w:tc>
          <w:tcPr>
            <w:tcW w:w="1417" w:type="dxa"/>
            <w:vAlign w:val="center"/>
          </w:tcPr>
          <w:p w14:paraId="3EAE30C7" w14:textId="77777777"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114.971</w:t>
            </w:r>
          </w:p>
        </w:tc>
        <w:tc>
          <w:tcPr>
            <w:tcW w:w="1701" w:type="dxa"/>
            <w:vAlign w:val="center"/>
          </w:tcPr>
          <w:p w14:paraId="3B92231A" w14:textId="77777777"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121.706</w:t>
            </w:r>
          </w:p>
        </w:tc>
      </w:tr>
    </w:tbl>
    <w:p w14:paraId="31443567" w14:textId="77777777" w:rsidR="00E01509" w:rsidRPr="00CF10A3" w:rsidRDefault="00E7460A">
      <w:pPr>
        <w:pStyle w:val="NormalWeb"/>
        <w:spacing w:line="276" w:lineRule="auto"/>
        <w:jc w:val="both"/>
      </w:pPr>
      <w:r w:rsidRPr="00CF10A3">
        <w:t xml:space="preserve">The higher </w:t>
      </w:r>
      <w:r w:rsidRPr="00CF10A3">
        <w:rPr>
          <w:rStyle w:val="katex-mathml"/>
        </w:rPr>
        <w:t>ΔH</w:t>
      </w:r>
      <w:r w:rsidRPr="00CF10A3">
        <w:rPr>
          <w:rStyle w:val="katex-mathml"/>
          <w:vertAlign w:val="superscript"/>
        </w:rPr>
        <w:t xml:space="preserve">0 </w:t>
      </w:r>
      <w:r w:rsidRPr="00CF10A3">
        <w:t>values observed for Ni²⁺ compared to Cu²⁺ can be attributed to the greater hydration energy of Ni²⁺, which has a smaller ionic radius and a stronger electrostatic field, leading to a more tightly bound hydration sphere (El-</w:t>
      </w:r>
      <w:proofErr w:type="spellStart"/>
      <w:r w:rsidRPr="00CF10A3">
        <w:t>Hefny</w:t>
      </w:r>
      <w:proofErr w:type="spellEnd"/>
      <w:r w:rsidRPr="00CF10A3">
        <w:t xml:space="preserve">, 2010). Consequently, more energy is required to dehydrate Ni²⁺ before it can interact effectively with the extractant molecules in the organic phase. This greater energy demand for Ni²⁺ extraction has also been reported in other </w:t>
      </w:r>
      <w:r w:rsidRPr="00CF10A3">
        <w:lastRenderedPageBreak/>
        <w:t>solvent extraction studies involving long-chain carboxylic acids, where the dehydration step was identified as a major contributor to the overall enthalpy change (Matsumoto et al., 2014).</w:t>
      </w:r>
    </w:p>
    <w:p w14:paraId="20C17B46" w14:textId="77777777" w:rsidR="00E01509" w:rsidRPr="00CF10A3" w:rsidRDefault="00E7460A">
      <w:pPr>
        <w:pStyle w:val="NormalWeb"/>
        <w:spacing w:line="276" w:lineRule="auto"/>
        <w:jc w:val="both"/>
      </w:pPr>
      <w:r w:rsidRPr="00CF10A3">
        <w:t xml:space="preserve">Thermodynamically, the magnitude of </w:t>
      </w:r>
      <w:r w:rsidRPr="00CF10A3">
        <w:rPr>
          <w:rStyle w:val="katex-mathml"/>
        </w:rPr>
        <w:t>ΔH</w:t>
      </w:r>
      <w:r w:rsidRPr="00CF10A3">
        <w:rPr>
          <w:rStyle w:val="katex-mathml"/>
          <w:vertAlign w:val="superscript"/>
        </w:rPr>
        <w:t>0</w:t>
      </w:r>
      <w:r w:rsidRPr="00CF10A3">
        <w:t xml:space="preserve"> values (&gt;40 kJ/mol) also supports the inference that the extraction proceeds primarily through </w:t>
      </w:r>
      <w:r w:rsidRPr="00CF10A3">
        <w:rPr>
          <w:rStyle w:val="Strong"/>
          <w:b w:val="0"/>
        </w:rPr>
        <w:t>chemical binding</w:t>
      </w:r>
      <w:r w:rsidRPr="00CF10A3">
        <w:t>. This aligns with the proposed mechanism in which deprotonated fatty acid groups form coordination bonds with the metal ions in the organic phase, producing stable, neutral complexes that are soluble in the oil matrix (Matsumoto et al., 2014).</w:t>
      </w:r>
    </w:p>
    <w:p w14:paraId="39A2F184" w14:textId="77777777" w:rsidR="00E01509" w:rsidRPr="00CF10A3" w:rsidRDefault="00E7460A">
      <w:pPr>
        <w:pStyle w:val="NormalWeb"/>
        <w:spacing w:line="276" w:lineRule="auto"/>
        <w:jc w:val="both"/>
      </w:pPr>
      <w:r w:rsidRPr="00CF10A3">
        <w:t xml:space="preserve">The </w:t>
      </w:r>
      <w:r w:rsidRPr="00CF10A3">
        <w:rPr>
          <w:rStyle w:val="katex-mathml"/>
        </w:rPr>
        <w:t>ΔS</w:t>
      </w:r>
      <w:r w:rsidRPr="00CF10A3">
        <w:rPr>
          <w:rStyle w:val="katex-mathml"/>
          <w:vertAlign w:val="superscript"/>
        </w:rPr>
        <w:t>O</w:t>
      </w:r>
      <w:r w:rsidRPr="00CF10A3">
        <w:t xml:space="preserve"> values were also positive, ranging from </w:t>
      </w:r>
      <w:r w:rsidRPr="00CF10A3">
        <w:rPr>
          <w:rStyle w:val="Strong"/>
          <w:b w:val="0"/>
        </w:rPr>
        <w:t>118.37–181.12 J·mol⁻¹·K⁻¹</w:t>
      </w:r>
      <w:r w:rsidRPr="00CF10A3">
        <w:t xml:space="preserve"> for Cu²⁺ and </w:t>
      </w:r>
      <w:r w:rsidRPr="00CF10A3">
        <w:rPr>
          <w:rStyle w:val="Strong"/>
          <w:b w:val="0"/>
        </w:rPr>
        <w:t>182.87–226.68 J·mol⁻¹·K⁻¹</w:t>
      </w:r>
      <w:r w:rsidRPr="00CF10A3">
        <w:t xml:space="preserve"> for Ni²⁺ (Table 7). Positive entropy changes indicate that the extraction process is accompanied by an increase in disorder within the system. This increased randomness is primarily attributed to the release of coordinated water molecules from the hydration shells of the metal ions during complexation, which frees solvent molecules into the bulk phase and disrupts the ordered structure at the solid–liquid interface (Matsumoto et al., 2014).</w:t>
      </w:r>
    </w:p>
    <w:p w14:paraId="3B181A90" w14:textId="77777777"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b/>
          <w:sz w:val="24"/>
          <w:szCs w:val="24"/>
        </w:rPr>
        <w:t>Table 7:</w:t>
      </w:r>
      <w:r w:rsidRPr="00CF10A3">
        <w:rPr>
          <w:rFonts w:ascii="Times New Roman" w:hAnsi="Times New Roman" w:cs="Times New Roman"/>
          <w:sz w:val="24"/>
          <w:szCs w:val="24"/>
        </w:rPr>
        <w:t xml:space="preserve"> Summary of Entropy change for Cu</w:t>
      </w:r>
      <w:r w:rsidRPr="00CF10A3">
        <w:rPr>
          <w:rFonts w:ascii="Times New Roman" w:hAnsi="Times New Roman" w:cs="Times New Roman"/>
          <w:sz w:val="24"/>
          <w:szCs w:val="24"/>
          <w:vertAlign w:val="superscript"/>
        </w:rPr>
        <w:t xml:space="preserve">2+ </w:t>
      </w:r>
      <w:r w:rsidRPr="00CF10A3">
        <w:rPr>
          <w:rFonts w:ascii="Times New Roman" w:hAnsi="Times New Roman" w:cs="Times New Roman"/>
          <w:sz w:val="24"/>
          <w:szCs w:val="24"/>
        </w:rPr>
        <w:t>and Ni</w:t>
      </w:r>
      <w:r w:rsidRPr="00CF10A3">
        <w:rPr>
          <w:rFonts w:ascii="Times New Roman" w:hAnsi="Times New Roman" w:cs="Times New Roman"/>
          <w:sz w:val="24"/>
          <w:szCs w:val="24"/>
          <w:vertAlign w:val="superscript"/>
        </w:rPr>
        <w:t>2+</w:t>
      </w:r>
      <w:r w:rsidRPr="00CF10A3">
        <w:rPr>
          <w:rFonts w:ascii="Times New Roman" w:hAnsi="Times New Roman" w:cs="Times New Roman"/>
          <w:sz w:val="24"/>
          <w:szCs w:val="24"/>
        </w:rPr>
        <w:t xml:space="preserve"> at 50ppm and 100 ppm using </w:t>
      </w:r>
      <w:r w:rsidRPr="00CF10A3">
        <w:rPr>
          <w:rFonts w:ascii="Times New Roman" w:hAnsi="Times New Roman" w:cs="Times New Roman"/>
          <w:i/>
          <w:sz w:val="24"/>
          <w:szCs w:val="24"/>
        </w:rPr>
        <w:t>Phaseolus vulgaris</w:t>
      </w:r>
      <w:r w:rsidRPr="00CF10A3">
        <w:rPr>
          <w:rFonts w:ascii="Times New Roman" w:hAnsi="Times New Roman" w:cs="Times New Roman"/>
          <w:sz w:val="24"/>
          <w:szCs w:val="24"/>
        </w:rPr>
        <w:t xml:space="preserve"> oil</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17"/>
        <w:gridCol w:w="1276"/>
        <w:gridCol w:w="1417"/>
        <w:gridCol w:w="1418"/>
      </w:tblGrid>
      <w:tr w:rsidR="00E01509" w:rsidRPr="00CF10A3" w14:paraId="632309CC" w14:textId="77777777">
        <w:trPr>
          <w:trHeight w:val="485"/>
          <w:jc w:val="center"/>
        </w:trPr>
        <w:tc>
          <w:tcPr>
            <w:tcW w:w="2689" w:type="dxa"/>
            <w:vMerge w:val="restart"/>
          </w:tcPr>
          <w:p w14:paraId="26BFD656" w14:textId="77777777" w:rsidR="00E01509" w:rsidRPr="00CF10A3" w:rsidRDefault="00E7460A">
            <w:pPr>
              <w:spacing w:line="240" w:lineRule="auto"/>
              <w:rPr>
                <w:rFonts w:ascii="Times New Roman" w:eastAsiaTheme="minorEastAsia" w:hAnsi="Times New Roman" w:cs="Times New Roman"/>
                <w:position w:val="-4"/>
                <w:sz w:val="24"/>
                <w:szCs w:val="24"/>
              </w:rPr>
            </w:pPr>
            <w:proofErr w:type="spellStart"/>
            <w:r w:rsidRPr="00CF10A3">
              <w:rPr>
                <w:rFonts w:ascii="Times New Roman" w:eastAsiaTheme="minorEastAsia" w:hAnsi="Times New Roman" w:cs="Times New Roman"/>
                <w:position w:val="-4"/>
                <w:sz w:val="24"/>
                <w:szCs w:val="24"/>
              </w:rPr>
              <w:t>Lgand</w:t>
            </w:r>
            <w:proofErr w:type="spellEnd"/>
          </w:p>
        </w:tc>
        <w:tc>
          <w:tcPr>
            <w:tcW w:w="2693" w:type="dxa"/>
            <w:gridSpan w:val="2"/>
          </w:tcPr>
          <w:p w14:paraId="288E7AC9" w14:textId="77777777" w:rsidR="00E01509" w:rsidRPr="00CF10A3" w:rsidRDefault="00E01509">
            <w:pPr>
              <w:spacing w:line="240" w:lineRule="auto"/>
              <w:rPr>
                <w:rFonts w:ascii="Times New Roman" w:eastAsiaTheme="minorEastAsia" w:hAnsi="Times New Roman" w:cs="Times New Roman"/>
                <w:sz w:val="24"/>
                <w:szCs w:val="24"/>
              </w:rPr>
            </w:pPr>
            <w:r w:rsidRPr="00CF10A3">
              <w:rPr>
                <w:rFonts w:ascii="Times New Roman" w:hAnsi="Times New Roman" w:cs="Times New Roman"/>
                <w:position w:val="-6"/>
                <w:sz w:val="24"/>
                <w:szCs w:val="24"/>
              </w:rPr>
              <w:object w:dxaOrig="360" w:dyaOrig="280" w14:anchorId="7F85D64A">
                <v:shape id="_x0000_i1029" type="#_x0000_t75" style="width:18.85pt;height:13.7pt" o:ole="">
                  <v:imagedata r:id="rId30" o:title=""/>
                </v:shape>
                <o:OLEObject Type="Embed" ProgID="Equation.3" ShapeID="_x0000_i1029" DrawAspect="Content" ObjectID="_1828353425" r:id="rId31"/>
              </w:object>
            </w:r>
            <w:r w:rsidR="00E7460A" w:rsidRPr="00CF10A3">
              <w:rPr>
                <w:rFonts w:ascii="Times New Roman" w:eastAsiaTheme="minorEastAsia" w:hAnsi="Times New Roman" w:cs="Times New Roman"/>
                <w:sz w:val="24"/>
                <w:szCs w:val="24"/>
              </w:rPr>
              <w:t>(J/mol. K)</w:t>
            </w:r>
          </w:p>
        </w:tc>
        <w:tc>
          <w:tcPr>
            <w:tcW w:w="2835" w:type="dxa"/>
            <w:gridSpan w:val="2"/>
          </w:tcPr>
          <w:p w14:paraId="7D0926D1" w14:textId="77777777" w:rsidR="00E01509" w:rsidRPr="00CF10A3" w:rsidRDefault="00E01509">
            <w:pPr>
              <w:spacing w:line="240" w:lineRule="auto"/>
              <w:rPr>
                <w:rFonts w:ascii="Times New Roman" w:eastAsiaTheme="minorEastAsia" w:hAnsi="Times New Roman" w:cs="Times New Roman"/>
                <w:sz w:val="24"/>
                <w:szCs w:val="24"/>
              </w:rPr>
            </w:pPr>
            <w:r w:rsidRPr="00CF10A3">
              <w:rPr>
                <w:rFonts w:ascii="Times New Roman" w:hAnsi="Times New Roman" w:cs="Times New Roman"/>
                <w:position w:val="-6"/>
                <w:sz w:val="24"/>
                <w:szCs w:val="24"/>
              </w:rPr>
              <w:object w:dxaOrig="360" w:dyaOrig="280" w14:anchorId="4C7AC773">
                <v:shape id="_x0000_i1030" type="#_x0000_t75" style="width:18.85pt;height:13.7pt" o:ole="">
                  <v:imagedata r:id="rId30" o:title=""/>
                </v:shape>
                <o:OLEObject Type="Embed" ProgID="Equation.3" ShapeID="_x0000_i1030" DrawAspect="Content" ObjectID="_1828353426" r:id="rId32"/>
              </w:object>
            </w:r>
            <w:r w:rsidR="00E7460A" w:rsidRPr="00CF10A3">
              <w:rPr>
                <w:rFonts w:ascii="Times New Roman" w:eastAsiaTheme="minorEastAsia" w:hAnsi="Times New Roman" w:cs="Times New Roman"/>
                <w:sz w:val="24"/>
                <w:szCs w:val="24"/>
              </w:rPr>
              <w:t>(J/mol. K)</w:t>
            </w:r>
          </w:p>
        </w:tc>
      </w:tr>
      <w:tr w:rsidR="00E01509" w:rsidRPr="00CF10A3" w14:paraId="63BF9058" w14:textId="77777777">
        <w:trPr>
          <w:trHeight w:val="135"/>
          <w:jc w:val="center"/>
        </w:trPr>
        <w:tc>
          <w:tcPr>
            <w:tcW w:w="2689" w:type="dxa"/>
            <w:vMerge/>
          </w:tcPr>
          <w:p w14:paraId="523BCA46" w14:textId="77777777" w:rsidR="00E01509" w:rsidRPr="00CF10A3" w:rsidRDefault="00E01509">
            <w:pPr>
              <w:spacing w:line="240" w:lineRule="auto"/>
              <w:rPr>
                <w:rFonts w:ascii="Times New Roman" w:eastAsiaTheme="minorEastAsia" w:hAnsi="Times New Roman" w:cs="Times New Roman"/>
                <w:sz w:val="24"/>
                <w:szCs w:val="24"/>
              </w:rPr>
            </w:pPr>
          </w:p>
        </w:tc>
        <w:tc>
          <w:tcPr>
            <w:tcW w:w="1417" w:type="dxa"/>
          </w:tcPr>
          <w:p w14:paraId="5ACBC03C" w14:textId="77777777" w:rsidR="00E01509" w:rsidRPr="00CF10A3" w:rsidRDefault="00E7460A">
            <w:pPr>
              <w:spacing w:line="240" w:lineRule="auto"/>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(50ppm)</w:t>
            </w:r>
          </w:p>
        </w:tc>
        <w:tc>
          <w:tcPr>
            <w:tcW w:w="1276" w:type="dxa"/>
          </w:tcPr>
          <w:p w14:paraId="559AB1B6" w14:textId="77777777" w:rsidR="00E01509" w:rsidRPr="00CF10A3" w:rsidRDefault="00E7460A">
            <w:pPr>
              <w:spacing w:line="240" w:lineRule="auto"/>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(100ppm)</w:t>
            </w:r>
          </w:p>
        </w:tc>
        <w:tc>
          <w:tcPr>
            <w:tcW w:w="1417" w:type="dxa"/>
          </w:tcPr>
          <w:p w14:paraId="2AA06CE2" w14:textId="77777777" w:rsidR="00E01509" w:rsidRPr="00CF10A3" w:rsidRDefault="00E7460A">
            <w:pPr>
              <w:spacing w:line="240" w:lineRule="auto"/>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(50ppm)</w:t>
            </w:r>
          </w:p>
        </w:tc>
        <w:tc>
          <w:tcPr>
            <w:tcW w:w="1418" w:type="dxa"/>
          </w:tcPr>
          <w:p w14:paraId="677DE4CE" w14:textId="77777777" w:rsidR="00E01509" w:rsidRPr="00CF10A3" w:rsidRDefault="00E7460A">
            <w:pPr>
              <w:spacing w:line="240" w:lineRule="auto"/>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(100ppm)</w:t>
            </w:r>
          </w:p>
        </w:tc>
      </w:tr>
      <w:tr w:rsidR="00E01509" w:rsidRPr="00CF10A3" w14:paraId="0CAE1CB6" w14:textId="77777777">
        <w:trPr>
          <w:trHeight w:val="135"/>
          <w:jc w:val="center"/>
        </w:trPr>
        <w:tc>
          <w:tcPr>
            <w:tcW w:w="2689" w:type="dxa"/>
          </w:tcPr>
          <w:p w14:paraId="4711742F" w14:textId="77777777" w:rsidR="00E01509" w:rsidRPr="00CF10A3" w:rsidRDefault="00E7460A">
            <w:pPr>
              <w:spacing w:line="240" w:lineRule="auto"/>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Palmitic acid</w:t>
            </w:r>
          </w:p>
        </w:tc>
        <w:tc>
          <w:tcPr>
            <w:tcW w:w="1417" w:type="dxa"/>
            <w:vAlign w:val="center"/>
          </w:tcPr>
          <w:p w14:paraId="03A2FE5A" w14:textId="77777777"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181.117</w:t>
            </w:r>
          </w:p>
        </w:tc>
        <w:tc>
          <w:tcPr>
            <w:tcW w:w="1276" w:type="dxa"/>
            <w:vAlign w:val="center"/>
          </w:tcPr>
          <w:p w14:paraId="1F047CEB" w14:textId="77777777"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144.216</w:t>
            </w:r>
          </w:p>
        </w:tc>
        <w:tc>
          <w:tcPr>
            <w:tcW w:w="1417" w:type="dxa"/>
            <w:vAlign w:val="center"/>
          </w:tcPr>
          <w:p w14:paraId="0A38FC05" w14:textId="77777777"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209.105</w:t>
            </w:r>
          </w:p>
        </w:tc>
        <w:tc>
          <w:tcPr>
            <w:tcW w:w="1418" w:type="dxa"/>
            <w:vAlign w:val="center"/>
          </w:tcPr>
          <w:p w14:paraId="47290B95" w14:textId="77777777"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226.680</w:t>
            </w:r>
          </w:p>
        </w:tc>
      </w:tr>
      <w:tr w:rsidR="00E01509" w:rsidRPr="00CF10A3" w14:paraId="15A00AF3" w14:textId="77777777">
        <w:trPr>
          <w:trHeight w:val="135"/>
          <w:jc w:val="center"/>
        </w:trPr>
        <w:tc>
          <w:tcPr>
            <w:tcW w:w="2689" w:type="dxa"/>
          </w:tcPr>
          <w:p w14:paraId="0E9033D5" w14:textId="77777777" w:rsidR="00E01509" w:rsidRPr="00CF10A3" w:rsidRDefault="00E7460A">
            <w:pPr>
              <w:spacing w:line="240" w:lineRule="auto"/>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Linoleic/Oleic acid</w:t>
            </w:r>
          </w:p>
        </w:tc>
        <w:tc>
          <w:tcPr>
            <w:tcW w:w="1417" w:type="dxa"/>
            <w:vAlign w:val="center"/>
          </w:tcPr>
          <w:p w14:paraId="4D213151" w14:textId="77777777"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154.889</w:t>
            </w:r>
          </w:p>
        </w:tc>
        <w:tc>
          <w:tcPr>
            <w:tcW w:w="1276" w:type="dxa"/>
            <w:vAlign w:val="center"/>
          </w:tcPr>
          <w:p w14:paraId="0D6DE072" w14:textId="77777777"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118.366</w:t>
            </w:r>
          </w:p>
        </w:tc>
        <w:tc>
          <w:tcPr>
            <w:tcW w:w="1417" w:type="dxa"/>
            <w:vAlign w:val="center"/>
          </w:tcPr>
          <w:p w14:paraId="4B483E18" w14:textId="77777777"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182.867</w:t>
            </w:r>
          </w:p>
        </w:tc>
        <w:tc>
          <w:tcPr>
            <w:tcW w:w="1418" w:type="dxa"/>
            <w:vAlign w:val="center"/>
          </w:tcPr>
          <w:p w14:paraId="2D82FFE7" w14:textId="77777777"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200.830</w:t>
            </w:r>
          </w:p>
        </w:tc>
      </w:tr>
    </w:tbl>
    <w:p w14:paraId="37D0D170" w14:textId="77777777" w:rsidR="00E01509" w:rsidRPr="00CF10A3" w:rsidRDefault="00E7460A">
      <w:pPr>
        <w:pStyle w:val="NormalWeb"/>
        <w:spacing w:line="276" w:lineRule="auto"/>
        <w:jc w:val="both"/>
      </w:pPr>
      <w:r w:rsidRPr="00CF10A3">
        <w:t xml:space="preserve">The higher </w:t>
      </w:r>
      <w:r w:rsidRPr="00CF10A3">
        <w:rPr>
          <w:rStyle w:val="katex-mathml"/>
        </w:rPr>
        <w:t>ΔS</w:t>
      </w:r>
      <w:r w:rsidRPr="00CF10A3">
        <w:rPr>
          <w:rStyle w:val="katex-mathml"/>
          <w:vertAlign w:val="superscript"/>
        </w:rPr>
        <w:t>0</w:t>
      </w:r>
      <w:r w:rsidRPr="00CF10A3">
        <w:t xml:space="preserve"> values for Ni²⁺ compared to Cu²⁺ suggest a more substantial reorganization of the system, likely due to the stronger and more tightly bound hydration sphere of Ni²⁺, which, upon dehydration, releases a greater number of water molecules into the surrounding phase. This observation is consistent with earlier studies on biosorption and solvent extraction systems, where elevated </w:t>
      </w:r>
      <w:r w:rsidRPr="00CF10A3">
        <w:rPr>
          <w:rStyle w:val="katex-mathml"/>
        </w:rPr>
        <w:t>ΔS</w:t>
      </w:r>
      <w:r w:rsidRPr="00CF10A3">
        <w:rPr>
          <w:rStyle w:val="katex-mathml"/>
          <w:vertAlign w:val="superscript"/>
        </w:rPr>
        <w:t>0</w:t>
      </w:r>
      <w:r w:rsidRPr="00CF10A3">
        <w:t xml:space="preserve"> values were linked to both ligand deprotonation and the liberation of solvated species during metal ion binding (</w:t>
      </w:r>
      <w:proofErr w:type="spellStart"/>
      <w:r w:rsidRPr="00CF10A3">
        <w:t>Gok</w:t>
      </w:r>
      <w:proofErr w:type="spellEnd"/>
      <w:r w:rsidRPr="00CF10A3">
        <w:t xml:space="preserve"> &amp; </w:t>
      </w:r>
      <w:proofErr w:type="spellStart"/>
      <w:r w:rsidRPr="00CF10A3">
        <w:t>Aytas</w:t>
      </w:r>
      <w:proofErr w:type="spellEnd"/>
      <w:r w:rsidRPr="00CF10A3">
        <w:t>, 2018; Park et al., 2015).</w:t>
      </w:r>
    </w:p>
    <w:p w14:paraId="60FF8243" w14:textId="77777777" w:rsidR="00E01509" w:rsidRPr="00CF10A3" w:rsidRDefault="00E7460A">
      <w:pPr>
        <w:pStyle w:val="NormalWeb"/>
        <w:spacing w:after="0" w:afterAutospacing="0" w:line="276" w:lineRule="auto"/>
        <w:jc w:val="both"/>
      </w:pPr>
      <w:r w:rsidRPr="00CF10A3">
        <w:t xml:space="preserve">From a thermodynamic standpoint, the magnitude and sign of </w:t>
      </w:r>
      <w:r w:rsidRPr="00CF10A3">
        <w:rPr>
          <w:rStyle w:val="katex-mathml"/>
        </w:rPr>
        <w:t>ΔS</w:t>
      </w:r>
      <w:r w:rsidRPr="00CF10A3">
        <w:rPr>
          <w:rStyle w:val="katex-mathml"/>
          <w:vertAlign w:val="superscript"/>
        </w:rPr>
        <w:t>0</w:t>
      </w:r>
      <w:r w:rsidRPr="00CF10A3">
        <w:t xml:space="preserve"> further support an </w:t>
      </w:r>
      <w:r w:rsidRPr="00CF10A3">
        <w:rPr>
          <w:rStyle w:val="Strong"/>
          <w:b w:val="0"/>
        </w:rPr>
        <w:t>entropy-</w:t>
      </w:r>
      <w:proofErr w:type="spellStart"/>
      <w:r w:rsidRPr="00CF10A3">
        <w:rPr>
          <w:rStyle w:val="Strong"/>
          <w:b w:val="0"/>
        </w:rPr>
        <w:t>driven</w:t>
      </w:r>
      <w:r w:rsidRPr="00CF10A3">
        <w:t>extraction</w:t>
      </w:r>
      <w:proofErr w:type="spellEnd"/>
      <w:r w:rsidRPr="00CF10A3">
        <w:t xml:space="preserve"> mechanism. In such systems, the increase in disorder can act as a major driving force for complex formation, complementing the endothermic nature of the process. This </w:t>
      </w:r>
      <w:r w:rsidR="00D81B7F" w:rsidRPr="00CF10A3">
        <w:t>dual enthalpic</w:t>
      </w:r>
      <w:r w:rsidRPr="00CF10A3">
        <w:t xml:space="preserve"> and entropic </w:t>
      </w:r>
      <w:r w:rsidR="00D81B7F" w:rsidRPr="00CF10A3">
        <w:t>contribution</w:t>
      </w:r>
      <w:r w:rsidRPr="00CF10A3">
        <w:t xml:space="preserve"> enhances the overall feasibility of extraction at higher temperatures.</w:t>
      </w:r>
    </w:p>
    <w:p w14:paraId="4535369B" w14:textId="77777777" w:rsidR="00E01509" w:rsidRPr="00CF10A3" w:rsidRDefault="00E7460A">
      <w:pPr>
        <w:pStyle w:val="NormalWeb"/>
        <w:spacing w:line="276" w:lineRule="auto"/>
        <w:jc w:val="both"/>
      </w:pPr>
      <w:r w:rsidRPr="00CF10A3">
        <w:t xml:space="preserve">The </w:t>
      </w:r>
      <w:r w:rsidRPr="00CF10A3">
        <w:rPr>
          <w:rStyle w:val="katex-mathml"/>
        </w:rPr>
        <w:t>ΔG</w:t>
      </w:r>
      <w:r w:rsidRPr="00CF10A3">
        <w:rPr>
          <w:rStyle w:val="katex-mathml"/>
          <w:vertAlign w:val="superscript"/>
        </w:rPr>
        <w:t>0</w:t>
      </w:r>
      <w:r w:rsidRPr="00CF10A3">
        <w:t xml:space="preserve"> values (Table 8 for Cu²⁺; Table 9 for Ni²⁺) were positive for all temperatures, ranging from </w:t>
      </w:r>
      <w:r w:rsidRPr="00CF10A3">
        <w:rPr>
          <w:rStyle w:val="Strong"/>
          <w:b w:val="0"/>
        </w:rPr>
        <w:t>45.81–61.32 kJ·mol⁻¹</w:t>
      </w:r>
      <w:r w:rsidRPr="00CF10A3">
        <w:t>for Cu²⁺ and</w:t>
      </w:r>
      <w:r w:rsidRPr="00CF10A3">
        <w:rPr>
          <w:rStyle w:val="Strong"/>
          <w:b w:val="0"/>
        </w:rPr>
        <w:t>43.62–61.52 kJ·mol⁻¹</w:t>
      </w:r>
      <w:r w:rsidRPr="00CF10A3">
        <w:t xml:space="preserve"> for Ni²⁺, confirming that the extraction processes are </w:t>
      </w:r>
      <w:r w:rsidRPr="00CF10A3">
        <w:rPr>
          <w:rStyle w:val="Strong"/>
          <w:b w:val="0"/>
        </w:rPr>
        <w:t>non-spontaneous</w:t>
      </w:r>
      <w:r w:rsidRPr="00CF10A3">
        <w:t xml:space="preserve"> under the studied conditions. Positive </w:t>
      </w:r>
      <w:r w:rsidRPr="00CF10A3">
        <w:rPr>
          <w:rStyle w:val="katex-mathml"/>
        </w:rPr>
        <w:t>ΔG</w:t>
      </w:r>
      <w:r w:rsidRPr="00CF10A3">
        <w:rPr>
          <w:rStyle w:val="katex-mathml"/>
          <w:vertAlign w:val="superscript"/>
        </w:rPr>
        <w:t>0</w:t>
      </w:r>
      <w:r w:rsidRPr="00CF10A3">
        <w:t xml:space="preserve"> values </w:t>
      </w:r>
      <w:r w:rsidRPr="00CF10A3">
        <w:lastRenderedPageBreak/>
        <w:t xml:space="preserve">indicate that external energy input is required for the reaction to proceed, which is consistent with the positive </w:t>
      </w:r>
      <w:r w:rsidRPr="00CF10A3">
        <w:rPr>
          <w:rStyle w:val="katex-mathml"/>
        </w:rPr>
        <w:t>ΔH</w:t>
      </w:r>
      <w:r w:rsidRPr="00CF10A3">
        <w:rPr>
          <w:rStyle w:val="katex-mathml"/>
          <w:vertAlign w:val="superscript"/>
        </w:rPr>
        <w:t>0</w:t>
      </w:r>
      <w:r w:rsidRPr="00CF10A3">
        <w:t xml:space="preserve"> values obtained, reflecting the endothermic nature of the process.</w:t>
      </w:r>
    </w:p>
    <w:p w14:paraId="257CB239" w14:textId="77777777"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b/>
          <w:sz w:val="24"/>
          <w:szCs w:val="24"/>
        </w:rPr>
        <w:t>Table 8:</w:t>
      </w:r>
      <w:r w:rsidRPr="00CF10A3">
        <w:rPr>
          <w:rFonts w:ascii="Times New Roman" w:hAnsi="Times New Roman" w:cs="Times New Roman"/>
          <w:sz w:val="24"/>
          <w:szCs w:val="24"/>
        </w:rPr>
        <w:t xml:space="preserve"> Thermodynamic Summary on Gibbs free energy for Cu</w:t>
      </w:r>
      <w:r w:rsidRPr="00CF10A3">
        <w:rPr>
          <w:rFonts w:ascii="Times New Roman" w:hAnsi="Times New Roman" w:cs="Times New Roman"/>
          <w:sz w:val="24"/>
          <w:szCs w:val="24"/>
          <w:vertAlign w:val="superscript"/>
        </w:rPr>
        <w:t xml:space="preserve">2+ </w:t>
      </w:r>
      <w:r w:rsidRPr="00CF10A3">
        <w:rPr>
          <w:rFonts w:ascii="Times New Roman" w:hAnsi="Times New Roman" w:cs="Times New Roman"/>
          <w:sz w:val="24"/>
          <w:szCs w:val="24"/>
        </w:rPr>
        <w:t xml:space="preserve">at 50 ppm and 100 ppm using </w:t>
      </w:r>
      <w:r w:rsidRPr="00CF10A3">
        <w:rPr>
          <w:rFonts w:ascii="Times New Roman" w:hAnsi="Times New Roman" w:cs="Times New Roman"/>
          <w:i/>
          <w:sz w:val="24"/>
          <w:szCs w:val="24"/>
        </w:rPr>
        <w:t>Phaseolus vulgaris</w:t>
      </w:r>
      <w:r w:rsidRPr="00CF10A3">
        <w:rPr>
          <w:rFonts w:ascii="Times New Roman" w:hAnsi="Times New Roman" w:cs="Times New Roman"/>
          <w:sz w:val="24"/>
          <w:szCs w:val="24"/>
        </w:rPr>
        <w:t xml:space="preserve"> oil</w:t>
      </w:r>
    </w:p>
    <w:tbl>
      <w:tblPr>
        <w:tblStyle w:val="TableGrid"/>
        <w:tblW w:w="10170" w:type="dxa"/>
        <w:jc w:val="center"/>
        <w:tblLayout w:type="fixed"/>
        <w:tblLook w:val="04A0" w:firstRow="1" w:lastRow="0" w:firstColumn="1" w:lastColumn="0" w:noHBand="0" w:noVBand="1"/>
      </w:tblPr>
      <w:tblGrid>
        <w:gridCol w:w="617"/>
        <w:gridCol w:w="1903"/>
        <w:gridCol w:w="1620"/>
        <w:gridCol w:w="2160"/>
        <w:gridCol w:w="1620"/>
        <w:gridCol w:w="2250"/>
      </w:tblGrid>
      <w:tr w:rsidR="00E01509" w:rsidRPr="00CF10A3" w14:paraId="5F8081A6" w14:textId="77777777">
        <w:trPr>
          <w:jc w:val="center"/>
        </w:trPr>
        <w:tc>
          <w:tcPr>
            <w:tcW w:w="617" w:type="dxa"/>
            <w:vMerge w:val="restart"/>
            <w:tcBorders>
              <w:top w:val="single" w:sz="4" w:space="0" w:color="auto"/>
              <w:left w:val="single" w:sz="4" w:space="0" w:color="auto"/>
              <w:right w:val="single" w:sz="4" w:space="0" w:color="auto"/>
            </w:tcBorders>
          </w:tcPr>
          <w:p w14:paraId="3BCE0D59"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S/N</w:t>
            </w:r>
          </w:p>
        </w:tc>
        <w:tc>
          <w:tcPr>
            <w:tcW w:w="1903" w:type="dxa"/>
            <w:vMerge w:val="restart"/>
            <w:tcBorders>
              <w:top w:val="single" w:sz="4" w:space="0" w:color="auto"/>
              <w:left w:val="single" w:sz="4" w:space="0" w:color="auto"/>
              <w:right w:val="single" w:sz="4" w:space="0" w:color="auto"/>
            </w:tcBorders>
          </w:tcPr>
          <w:p w14:paraId="6AE2E499"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Temperature (K)</w:t>
            </w:r>
          </w:p>
        </w:tc>
        <w:tc>
          <w:tcPr>
            <w:tcW w:w="3780" w:type="dxa"/>
            <w:gridSpan w:val="2"/>
            <w:tcBorders>
              <w:top w:val="single" w:sz="4" w:space="0" w:color="auto"/>
              <w:left w:val="single" w:sz="4" w:space="0" w:color="auto"/>
              <w:bottom w:val="single" w:sz="4" w:space="0" w:color="auto"/>
              <w:right w:val="single" w:sz="4" w:space="0" w:color="auto"/>
            </w:tcBorders>
          </w:tcPr>
          <w:p w14:paraId="1D68B68C" w14:textId="77777777" w:rsidR="00E01509" w:rsidRPr="00CF10A3" w:rsidRDefault="00E01509">
            <w:pPr>
              <w:spacing w:after="0"/>
              <w:rPr>
                <w:rFonts w:ascii="Times New Roman" w:eastAsia="Times New Roman" w:hAnsi="Times New Roman" w:cs="Times New Roman"/>
                <w:b/>
                <w:bCs/>
                <w:sz w:val="24"/>
                <w:szCs w:val="24"/>
              </w:rPr>
            </w:pPr>
            <w:r w:rsidRPr="00CF10A3">
              <w:rPr>
                <w:rFonts w:ascii="Times New Roman" w:hAnsi="Times New Roman" w:cs="Times New Roman"/>
                <w:position w:val="-10"/>
                <w:sz w:val="24"/>
                <w:szCs w:val="24"/>
              </w:rPr>
              <w:object w:dxaOrig="1419" w:dyaOrig="360" w14:anchorId="1D425647">
                <v:shape id="_x0000_i1031" type="#_x0000_t75" style="width:71.15pt;height:18.85pt" o:ole="">
                  <v:imagedata r:id="rId33" o:title=""/>
                </v:shape>
                <o:OLEObject Type="Embed" ProgID="Equation.3" ShapeID="_x0000_i1031" DrawAspect="Content" ObjectID="_1828353427" r:id="rId34"/>
              </w:object>
            </w:r>
            <w:r w:rsidR="00E7460A" w:rsidRPr="00CF10A3">
              <w:rPr>
                <w:rFonts w:ascii="Times New Roman" w:eastAsiaTheme="minorEastAsia" w:hAnsi="Times New Roman" w:cs="Times New Roman"/>
                <w:sz w:val="24"/>
                <w:szCs w:val="24"/>
              </w:rPr>
              <w:t>(50 ppm)</w:t>
            </w:r>
          </w:p>
          <w:p w14:paraId="552FE12A"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bCs/>
                <w:sz w:val="24"/>
                <w:szCs w:val="24"/>
              </w:rPr>
              <w:t>Ligand</w:t>
            </w:r>
          </w:p>
        </w:tc>
        <w:tc>
          <w:tcPr>
            <w:tcW w:w="3870" w:type="dxa"/>
            <w:gridSpan w:val="2"/>
            <w:tcBorders>
              <w:top w:val="single" w:sz="4" w:space="0" w:color="auto"/>
              <w:left w:val="single" w:sz="4" w:space="0" w:color="auto"/>
              <w:bottom w:val="single" w:sz="4" w:space="0" w:color="auto"/>
              <w:right w:val="single" w:sz="4" w:space="0" w:color="auto"/>
            </w:tcBorders>
          </w:tcPr>
          <w:p w14:paraId="28DDECF7" w14:textId="77777777" w:rsidR="00E01509" w:rsidRPr="00CF10A3" w:rsidRDefault="00E01509">
            <w:pPr>
              <w:spacing w:after="0"/>
              <w:rPr>
                <w:rFonts w:ascii="Times New Roman" w:eastAsia="Times New Roman" w:hAnsi="Times New Roman" w:cs="Times New Roman"/>
                <w:b/>
                <w:bCs/>
                <w:sz w:val="24"/>
                <w:szCs w:val="24"/>
              </w:rPr>
            </w:pPr>
            <w:r w:rsidRPr="00CF10A3">
              <w:rPr>
                <w:rFonts w:ascii="Times New Roman" w:hAnsi="Times New Roman" w:cs="Times New Roman"/>
                <w:position w:val="-10"/>
                <w:sz w:val="24"/>
                <w:szCs w:val="24"/>
              </w:rPr>
              <w:object w:dxaOrig="1419" w:dyaOrig="360" w14:anchorId="14F4B0EC">
                <v:shape id="_x0000_i1032" type="#_x0000_t75" style="width:71.15pt;height:18.85pt" o:ole="">
                  <v:imagedata r:id="rId33" o:title=""/>
                </v:shape>
                <o:OLEObject Type="Embed" ProgID="Equation.3" ShapeID="_x0000_i1032" DrawAspect="Content" ObjectID="_1828353428" r:id="rId35"/>
              </w:object>
            </w:r>
            <w:r w:rsidR="00E7460A" w:rsidRPr="00CF10A3">
              <w:rPr>
                <w:rFonts w:ascii="Times New Roman" w:eastAsiaTheme="minorEastAsia" w:hAnsi="Times New Roman" w:cs="Times New Roman"/>
                <w:sz w:val="24"/>
                <w:szCs w:val="24"/>
              </w:rPr>
              <w:t>(100 ppm)</w:t>
            </w:r>
          </w:p>
          <w:p w14:paraId="64D87800"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bCs/>
                <w:sz w:val="24"/>
                <w:szCs w:val="24"/>
              </w:rPr>
              <w:t>Ligand</w:t>
            </w:r>
          </w:p>
        </w:tc>
      </w:tr>
      <w:tr w:rsidR="00E01509" w:rsidRPr="00CF10A3" w14:paraId="0B0663D2" w14:textId="77777777">
        <w:trPr>
          <w:jc w:val="center"/>
        </w:trPr>
        <w:tc>
          <w:tcPr>
            <w:tcW w:w="617" w:type="dxa"/>
            <w:vMerge/>
            <w:tcBorders>
              <w:left w:val="single" w:sz="4" w:space="0" w:color="auto"/>
              <w:bottom w:val="single" w:sz="4" w:space="0" w:color="auto"/>
              <w:right w:val="single" w:sz="4" w:space="0" w:color="auto"/>
            </w:tcBorders>
          </w:tcPr>
          <w:p w14:paraId="5FFA9B7D" w14:textId="77777777" w:rsidR="00E01509" w:rsidRPr="00CF10A3" w:rsidRDefault="00E01509">
            <w:pPr>
              <w:spacing w:after="0"/>
              <w:jc w:val="both"/>
              <w:rPr>
                <w:rFonts w:ascii="Times New Roman" w:eastAsiaTheme="minorEastAsia" w:hAnsi="Times New Roman" w:cs="Times New Roman"/>
                <w:sz w:val="24"/>
                <w:szCs w:val="24"/>
              </w:rPr>
            </w:pPr>
          </w:p>
        </w:tc>
        <w:tc>
          <w:tcPr>
            <w:tcW w:w="1903" w:type="dxa"/>
            <w:vMerge/>
            <w:tcBorders>
              <w:left w:val="single" w:sz="4" w:space="0" w:color="auto"/>
              <w:bottom w:val="single" w:sz="4" w:space="0" w:color="auto"/>
              <w:right w:val="single" w:sz="4" w:space="0" w:color="auto"/>
            </w:tcBorders>
          </w:tcPr>
          <w:p w14:paraId="2C2BF09D" w14:textId="77777777" w:rsidR="00E01509" w:rsidRPr="00CF10A3" w:rsidRDefault="00E01509">
            <w:pPr>
              <w:spacing w:after="0"/>
              <w:jc w:val="both"/>
              <w:rPr>
                <w:rFonts w:ascii="Times New Roman" w:eastAsiaTheme="minorEastAsia"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14:paraId="2CBA8796" w14:textId="77777777" w:rsidR="00E01509" w:rsidRPr="00CF10A3" w:rsidRDefault="00E7460A">
            <w:pPr>
              <w:spacing w:after="0"/>
              <w:rPr>
                <w:rFonts w:ascii="Times New Roman" w:eastAsia="Times New Roman" w:hAnsi="Times New Roman" w:cs="Times New Roman"/>
                <w:b/>
                <w:bCs/>
                <w:sz w:val="24"/>
                <w:szCs w:val="24"/>
              </w:rPr>
            </w:pPr>
            <w:r w:rsidRPr="00CF10A3">
              <w:rPr>
                <w:rFonts w:ascii="Times New Roman" w:eastAsia="Times New Roman" w:hAnsi="Times New Roman" w:cs="Times New Roman"/>
                <w:sz w:val="24"/>
                <w:szCs w:val="24"/>
              </w:rPr>
              <w:t>Palmitic acid</w:t>
            </w:r>
          </w:p>
        </w:tc>
        <w:tc>
          <w:tcPr>
            <w:tcW w:w="2160" w:type="dxa"/>
            <w:tcBorders>
              <w:top w:val="single" w:sz="4" w:space="0" w:color="auto"/>
              <w:left w:val="single" w:sz="4" w:space="0" w:color="auto"/>
              <w:bottom w:val="single" w:sz="4" w:space="0" w:color="auto"/>
              <w:right w:val="single" w:sz="4" w:space="0" w:color="auto"/>
            </w:tcBorders>
          </w:tcPr>
          <w:p w14:paraId="0AF04316" w14:textId="77777777" w:rsidR="00E01509" w:rsidRPr="00CF10A3" w:rsidRDefault="00E7460A">
            <w:pPr>
              <w:spacing w:after="0"/>
              <w:rPr>
                <w:rFonts w:ascii="Times New Roman" w:eastAsia="Times New Roman" w:hAnsi="Times New Roman" w:cs="Times New Roman"/>
                <w:b/>
                <w:bCs/>
                <w:sz w:val="24"/>
                <w:szCs w:val="24"/>
              </w:rPr>
            </w:pPr>
            <w:r w:rsidRPr="00CF10A3">
              <w:rPr>
                <w:rFonts w:ascii="Times New Roman" w:eastAsia="Times New Roman" w:hAnsi="Times New Roman" w:cs="Times New Roman"/>
                <w:sz w:val="24"/>
                <w:szCs w:val="24"/>
              </w:rPr>
              <w:t>Linoleic/Oleic acid</w:t>
            </w:r>
          </w:p>
        </w:tc>
        <w:tc>
          <w:tcPr>
            <w:tcW w:w="1620" w:type="dxa"/>
            <w:tcBorders>
              <w:top w:val="single" w:sz="4" w:space="0" w:color="auto"/>
              <w:left w:val="single" w:sz="4" w:space="0" w:color="auto"/>
              <w:bottom w:val="single" w:sz="4" w:space="0" w:color="auto"/>
              <w:right w:val="single" w:sz="4" w:space="0" w:color="auto"/>
            </w:tcBorders>
          </w:tcPr>
          <w:p w14:paraId="3E4A624F" w14:textId="77777777" w:rsidR="00E01509" w:rsidRPr="00CF10A3" w:rsidRDefault="00E7460A">
            <w:pPr>
              <w:spacing w:after="0"/>
              <w:rPr>
                <w:rFonts w:ascii="Times New Roman" w:eastAsia="Times New Roman" w:hAnsi="Times New Roman" w:cs="Times New Roman"/>
                <w:b/>
                <w:bCs/>
                <w:sz w:val="24"/>
                <w:szCs w:val="24"/>
              </w:rPr>
            </w:pPr>
            <w:r w:rsidRPr="00CF10A3">
              <w:rPr>
                <w:rFonts w:ascii="Times New Roman" w:eastAsia="Times New Roman" w:hAnsi="Times New Roman" w:cs="Times New Roman"/>
                <w:sz w:val="24"/>
                <w:szCs w:val="24"/>
              </w:rPr>
              <w:t>Palmitic acid</w:t>
            </w:r>
          </w:p>
        </w:tc>
        <w:tc>
          <w:tcPr>
            <w:tcW w:w="2250" w:type="dxa"/>
            <w:tcBorders>
              <w:top w:val="single" w:sz="4" w:space="0" w:color="auto"/>
              <w:left w:val="single" w:sz="4" w:space="0" w:color="auto"/>
              <w:bottom w:val="single" w:sz="4" w:space="0" w:color="auto"/>
              <w:right w:val="single" w:sz="4" w:space="0" w:color="auto"/>
            </w:tcBorders>
          </w:tcPr>
          <w:p w14:paraId="46AA36D5" w14:textId="77777777" w:rsidR="00E01509" w:rsidRPr="00CF10A3" w:rsidRDefault="00E7460A">
            <w:pPr>
              <w:spacing w:after="0"/>
              <w:rPr>
                <w:rFonts w:ascii="Times New Roman" w:eastAsia="Times New Roman" w:hAnsi="Times New Roman" w:cs="Times New Roman"/>
                <w:b/>
                <w:bCs/>
                <w:sz w:val="24"/>
                <w:szCs w:val="24"/>
              </w:rPr>
            </w:pPr>
            <w:r w:rsidRPr="00CF10A3">
              <w:rPr>
                <w:rFonts w:ascii="Times New Roman" w:eastAsia="Times New Roman" w:hAnsi="Times New Roman" w:cs="Times New Roman"/>
                <w:sz w:val="24"/>
                <w:szCs w:val="24"/>
              </w:rPr>
              <w:t>Linoleic/Oleic acid</w:t>
            </w:r>
          </w:p>
        </w:tc>
      </w:tr>
      <w:tr w:rsidR="00E01509" w:rsidRPr="00CF10A3" w14:paraId="26920063" w14:textId="77777777">
        <w:trPr>
          <w:jc w:val="center"/>
        </w:trPr>
        <w:tc>
          <w:tcPr>
            <w:tcW w:w="617" w:type="dxa"/>
            <w:tcBorders>
              <w:top w:val="single" w:sz="4" w:space="0" w:color="auto"/>
              <w:left w:val="single" w:sz="4" w:space="0" w:color="auto"/>
              <w:bottom w:val="single" w:sz="4" w:space="0" w:color="auto"/>
              <w:right w:val="single" w:sz="4" w:space="0" w:color="auto"/>
            </w:tcBorders>
          </w:tcPr>
          <w:p w14:paraId="0F302BFC"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w:t>
            </w:r>
          </w:p>
        </w:tc>
        <w:tc>
          <w:tcPr>
            <w:tcW w:w="1903" w:type="dxa"/>
            <w:tcBorders>
              <w:top w:val="single" w:sz="4" w:space="0" w:color="auto"/>
              <w:left w:val="single" w:sz="4" w:space="0" w:color="auto"/>
              <w:bottom w:val="single" w:sz="4" w:space="0" w:color="auto"/>
              <w:right w:val="single" w:sz="4" w:space="0" w:color="auto"/>
            </w:tcBorders>
          </w:tcPr>
          <w:p w14:paraId="46141AF8"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298</w:t>
            </w:r>
          </w:p>
        </w:tc>
        <w:tc>
          <w:tcPr>
            <w:tcW w:w="1620" w:type="dxa"/>
            <w:tcBorders>
              <w:top w:val="single" w:sz="4" w:space="0" w:color="auto"/>
              <w:left w:val="single" w:sz="4" w:space="0" w:color="auto"/>
              <w:bottom w:val="single" w:sz="4" w:space="0" w:color="auto"/>
              <w:right w:val="single" w:sz="4" w:space="0" w:color="auto"/>
            </w:tcBorders>
            <w:vAlign w:val="bottom"/>
          </w:tcPr>
          <w:p w14:paraId="0C5B6D52" w14:textId="77777777" w:rsidR="00E01509" w:rsidRPr="00CF10A3" w:rsidRDefault="00E7460A">
            <w:pPr>
              <w:spacing w:after="0"/>
              <w:rPr>
                <w:rFonts w:ascii="Times New Roman" w:eastAsia="Times New Roman" w:hAnsi="Times New Roman" w:cs="Times New Roman"/>
                <w:color w:val="000000"/>
                <w:sz w:val="24"/>
                <w:szCs w:val="24"/>
              </w:rPr>
            </w:pPr>
            <w:r w:rsidRPr="00CF10A3">
              <w:rPr>
                <w:rFonts w:ascii="Times New Roman" w:eastAsia="Times New Roman" w:hAnsi="Times New Roman" w:cs="Times New Roman"/>
                <w:sz w:val="24"/>
                <w:szCs w:val="24"/>
              </w:rPr>
              <w:t>53.362</w:t>
            </w:r>
          </w:p>
        </w:tc>
        <w:tc>
          <w:tcPr>
            <w:tcW w:w="2160" w:type="dxa"/>
            <w:tcBorders>
              <w:top w:val="single" w:sz="4" w:space="0" w:color="auto"/>
              <w:left w:val="single" w:sz="4" w:space="0" w:color="auto"/>
              <w:bottom w:val="single" w:sz="4" w:space="0" w:color="auto"/>
              <w:right w:val="single" w:sz="4" w:space="0" w:color="auto"/>
            </w:tcBorders>
            <w:vAlign w:val="bottom"/>
          </w:tcPr>
          <w:p w14:paraId="2A7D925F" w14:textId="77777777" w:rsidR="00E01509" w:rsidRPr="00CF10A3" w:rsidRDefault="00E7460A">
            <w:pPr>
              <w:spacing w:after="0"/>
              <w:rPr>
                <w:rFonts w:ascii="Times New Roman" w:eastAsia="Times New Roman" w:hAnsi="Times New Roman" w:cs="Times New Roman"/>
                <w:color w:val="000000"/>
                <w:sz w:val="24"/>
                <w:szCs w:val="24"/>
              </w:rPr>
            </w:pPr>
            <w:r w:rsidRPr="00CF10A3">
              <w:rPr>
                <w:rFonts w:ascii="Times New Roman" w:eastAsia="Times New Roman" w:hAnsi="Times New Roman" w:cs="Times New Roman"/>
                <w:sz w:val="24"/>
                <w:szCs w:val="24"/>
              </w:rPr>
              <w:t>61.315</w:t>
            </w:r>
          </w:p>
        </w:tc>
        <w:tc>
          <w:tcPr>
            <w:tcW w:w="1620" w:type="dxa"/>
            <w:tcBorders>
              <w:top w:val="single" w:sz="4" w:space="0" w:color="auto"/>
              <w:left w:val="single" w:sz="4" w:space="0" w:color="auto"/>
              <w:bottom w:val="single" w:sz="4" w:space="0" w:color="auto"/>
              <w:right w:val="single" w:sz="4" w:space="0" w:color="auto"/>
            </w:tcBorders>
          </w:tcPr>
          <w:p w14:paraId="2E65071A"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51.621</w:t>
            </w:r>
          </w:p>
        </w:tc>
        <w:tc>
          <w:tcPr>
            <w:tcW w:w="2250" w:type="dxa"/>
            <w:tcBorders>
              <w:top w:val="single" w:sz="4" w:space="0" w:color="auto"/>
              <w:left w:val="single" w:sz="4" w:space="0" w:color="auto"/>
              <w:bottom w:val="single" w:sz="4" w:space="0" w:color="auto"/>
              <w:right w:val="single" w:sz="4" w:space="0" w:color="auto"/>
            </w:tcBorders>
          </w:tcPr>
          <w:p w14:paraId="74CE39F2"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59.505</w:t>
            </w:r>
          </w:p>
        </w:tc>
      </w:tr>
      <w:tr w:rsidR="00E01509" w:rsidRPr="00CF10A3" w14:paraId="5DBA6468" w14:textId="77777777">
        <w:trPr>
          <w:jc w:val="center"/>
        </w:trPr>
        <w:tc>
          <w:tcPr>
            <w:tcW w:w="617" w:type="dxa"/>
            <w:tcBorders>
              <w:top w:val="single" w:sz="4" w:space="0" w:color="auto"/>
              <w:left w:val="single" w:sz="4" w:space="0" w:color="auto"/>
              <w:bottom w:val="single" w:sz="4" w:space="0" w:color="auto"/>
              <w:right w:val="single" w:sz="4" w:space="0" w:color="auto"/>
            </w:tcBorders>
          </w:tcPr>
          <w:p w14:paraId="4A259906"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w:t>
            </w:r>
          </w:p>
        </w:tc>
        <w:tc>
          <w:tcPr>
            <w:tcW w:w="1903" w:type="dxa"/>
            <w:tcBorders>
              <w:top w:val="single" w:sz="4" w:space="0" w:color="auto"/>
              <w:left w:val="single" w:sz="4" w:space="0" w:color="auto"/>
              <w:bottom w:val="single" w:sz="4" w:space="0" w:color="auto"/>
              <w:right w:val="single" w:sz="4" w:space="0" w:color="auto"/>
            </w:tcBorders>
          </w:tcPr>
          <w:p w14:paraId="1F6C6AD3"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308</w:t>
            </w:r>
          </w:p>
        </w:tc>
        <w:tc>
          <w:tcPr>
            <w:tcW w:w="1620" w:type="dxa"/>
            <w:tcBorders>
              <w:top w:val="single" w:sz="4" w:space="0" w:color="auto"/>
              <w:left w:val="single" w:sz="4" w:space="0" w:color="auto"/>
              <w:bottom w:val="single" w:sz="4" w:space="0" w:color="auto"/>
              <w:right w:val="single" w:sz="4" w:space="0" w:color="auto"/>
            </w:tcBorders>
          </w:tcPr>
          <w:p w14:paraId="1D4AECDB"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51.158</w:t>
            </w:r>
          </w:p>
        </w:tc>
        <w:tc>
          <w:tcPr>
            <w:tcW w:w="2160" w:type="dxa"/>
            <w:tcBorders>
              <w:top w:val="single" w:sz="4" w:space="0" w:color="auto"/>
              <w:left w:val="single" w:sz="4" w:space="0" w:color="auto"/>
              <w:bottom w:val="single" w:sz="4" w:space="0" w:color="auto"/>
              <w:right w:val="single" w:sz="4" w:space="0" w:color="auto"/>
            </w:tcBorders>
          </w:tcPr>
          <w:p w14:paraId="5E6D5CFB"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59.383</w:t>
            </w:r>
          </w:p>
        </w:tc>
        <w:tc>
          <w:tcPr>
            <w:tcW w:w="1620" w:type="dxa"/>
            <w:tcBorders>
              <w:top w:val="single" w:sz="4" w:space="0" w:color="auto"/>
              <w:left w:val="single" w:sz="4" w:space="0" w:color="auto"/>
              <w:bottom w:val="single" w:sz="4" w:space="0" w:color="auto"/>
              <w:right w:val="single" w:sz="4" w:space="0" w:color="auto"/>
            </w:tcBorders>
          </w:tcPr>
          <w:p w14:paraId="2494F7B4"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49.358</w:t>
            </w:r>
          </w:p>
        </w:tc>
        <w:tc>
          <w:tcPr>
            <w:tcW w:w="2250" w:type="dxa"/>
            <w:tcBorders>
              <w:top w:val="single" w:sz="4" w:space="0" w:color="auto"/>
              <w:left w:val="single" w:sz="4" w:space="0" w:color="auto"/>
              <w:bottom w:val="single" w:sz="4" w:space="0" w:color="auto"/>
              <w:right w:val="single" w:sz="4" w:space="0" w:color="auto"/>
            </w:tcBorders>
          </w:tcPr>
          <w:p w14:paraId="01EF8B29"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57.506</w:t>
            </w:r>
          </w:p>
        </w:tc>
      </w:tr>
      <w:tr w:rsidR="00E01509" w:rsidRPr="00CF10A3" w14:paraId="3A8C2831" w14:textId="77777777">
        <w:trPr>
          <w:jc w:val="center"/>
        </w:trPr>
        <w:tc>
          <w:tcPr>
            <w:tcW w:w="617" w:type="dxa"/>
            <w:tcBorders>
              <w:top w:val="single" w:sz="4" w:space="0" w:color="auto"/>
              <w:left w:val="single" w:sz="4" w:space="0" w:color="auto"/>
              <w:bottom w:val="single" w:sz="4" w:space="0" w:color="auto"/>
              <w:right w:val="single" w:sz="4" w:space="0" w:color="auto"/>
            </w:tcBorders>
          </w:tcPr>
          <w:p w14:paraId="52AAD2AF"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w:t>
            </w:r>
          </w:p>
        </w:tc>
        <w:tc>
          <w:tcPr>
            <w:tcW w:w="1903" w:type="dxa"/>
            <w:tcBorders>
              <w:top w:val="single" w:sz="4" w:space="0" w:color="auto"/>
              <w:left w:val="single" w:sz="4" w:space="0" w:color="auto"/>
              <w:bottom w:val="single" w:sz="4" w:space="0" w:color="auto"/>
              <w:right w:val="single" w:sz="4" w:space="0" w:color="auto"/>
            </w:tcBorders>
          </w:tcPr>
          <w:p w14:paraId="7E615970"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318</w:t>
            </w:r>
          </w:p>
        </w:tc>
        <w:tc>
          <w:tcPr>
            <w:tcW w:w="1620" w:type="dxa"/>
            <w:tcBorders>
              <w:top w:val="single" w:sz="4" w:space="0" w:color="auto"/>
              <w:left w:val="single" w:sz="4" w:space="0" w:color="auto"/>
              <w:bottom w:val="single" w:sz="4" w:space="0" w:color="auto"/>
              <w:right w:val="single" w:sz="4" w:space="0" w:color="auto"/>
            </w:tcBorders>
          </w:tcPr>
          <w:p w14:paraId="77B12408"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50.192</w:t>
            </w:r>
          </w:p>
        </w:tc>
        <w:tc>
          <w:tcPr>
            <w:tcW w:w="2160" w:type="dxa"/>
            <w:tcBorders>
              <w:top w:val="single" w:sz="4" w:space="0" w:color="auto"/>
              <w:left w:val="single" w:sz="4" w:space="0" w:color="auto"/>
              <w:bottom w:val="single" w:sz="4" w:space="0" w:color="auto"/>
              <w:right w:val="single" w:sz="4" w:space="0" w:color="auto"/>
            </w:tcBorders>
          </w:tcPr>
          <w:p w14:paraId="61C03AF8"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58.684</w:t>
            </w:r>
          </w:p>
        </w:tc>
        <w:tc>
          <w:tcPr>
            <w:tcW w:w="1620" w:type="dxa"/>
            <w:tcBorders>
              <w:top w:val="single" w:sz="4" w:space="0" w:color="auto"/>
              <w:left w:val="single" w:sz="4" w:space="0" w:color="auto"/>
              <w:bottom w:val="single" w:sz="4" w:space="0" w:color="auto"/>
              <w:right w:val="single" w:sz="4" w:space="0" w:color="auto"/>
            </w:tcBorders>
          </w:tcPr>
          <w:p w14:paraId="26A323DF"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48.182</w:t>
            </w:r>
          </w:p>
        </w:tc>
        <w:tc>
          <w:tcPr>
            <w:tcW w:w="2250" w:type="dxa"/>
            <w:tcBorders>
              <w:top w:val="single" w:sz="4" w:space="0" w:color="auto"/>
              <w:left w:val="single" w:sz="4" w:space="0" w:color="auto"/>
              <w:bottom w:val="single" w:sz="4" w:space="0" w:color="auto"/>
              <w:right w:val="single" w:sz="4" w:space="0" w:color="auto"/>
            </w:tcBorders>
          </w:tcPr>
          <w:p w14:paraId="5BA3EB71"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56.589</w:t>
            </w:r>
          </w:p>
        </w:tc>
      </w:tr>
      <w:tr w:rsidR="00E01509" w:rsidRPr="00CF10A3" w14:paraId="09FD82CE" w14:textId="77777777">
        <w:trPr>
          <w:jc w:val="center"/>
        </w:trPr>
        <w:tc>
          <w:tcPr>
            <w:tcW w:w="617" w:type="dxa"/>
            <w:tcBorders>
              <w:top w:val="single" w:sz="4" w:space="0" w:color="auto"/>
              <w:left w:val="single" w:sz="4" w:space="0" w:color="auto"/>
              <w:bottom w:val="single" w:sz="4" w:space="0" w:color="auto"/>
              <w:right w:val="single" w:sz="4" w:space="0" w:color="auto"/>
            </w:tcBorders>
          </w:tcPr>
          <w:p w14:paraId="2DEEA6FC"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4</w:t>
            </w:r>
          </w:p>
        </w:tc>
        <w:tc>
          <w:tcPr>
            <w:tcW w:w="1903" w:type="dxa"/>
            <w:tcBorders>
              <w:top w:val="single" w:sz="4" w:space="0" w:color="auto"/>
              <w:left w:val="single" w:sz="4" w:space="0" w:color="auto"/>
              <w:bottom w:val="single" w:sz="4" w:space="0" w:color="auto"/>
              <w:right w:val="single" w:sz="4" w:space="0" w:color="auto"/>
            </w:tcBorders>
          </w:tcPr>
          <w:p w14:paraId="3788DA74"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328</w:t>
            </w:r>
          </w:p>
        </w:tc>
        <w:tc>
          <w:tcPr>
            <w:tcW w:w="1620" w:type="dxa"/>
            <w:tcBorders>
              <w:top w:val="single" w:sz="4" w:space="0" w:color="auto"/>
              <w:left w:val="single" w:sz="4" w:space="0" w:color="auto"/>
              <w:bottom w:val="single" w:sz="4" w:space="0" w:color="auto"/>
              <w:right w:val="single" w:sz="4" w:space="0" w:color="auto"/>
            </w:tcBorders>
          </w:tcPr>
          <w:p w14:paraId="183163DE"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48.075</w:t>
            </w:r>
          </w:p>
        </w:tc>
        <w:tc>
          <w:tcPr>
            <w:tcW w:w="2160" w:type="dxa"/>
            <w:tcBorders>
              <w:top w:val="single" w:sz="4" w:space="0" w:color="auto"/>
              <w:left w:val="single" w:sz="4" w:space="0" w:color="auto"/>
              <w:bottom w:val="single" w:sz="4" w:space="0" w:color="auto"/>
              <w:right w:val="single" w:sz="4" w:space="0" w:color="auto"/>
            </w:tcBorders>
          </w:tcPr>
          <w:p w14:paraId="39D0F951"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56.790</w:t>
            </w:r>
          </w:p>
        </w:tc>
        <w:tc>
          <w:tcPr>
            <w:tcW w:w="1620" w:type="dxa"/>
            <w:tcBorders>
              <w:top w:val="single" w:sz="4" w:space="0" w:color="auto"/>
              <w:left w:val="single" w:sz="4" w:space="0" w:color="auto"/>
              <w:bottom w:val="single" w:sz="4" w:space="0" w:color="auto"/>
              <w:right w:val="single" w:sz="4" w:space="0" w:color="auto"/>
            </w:tcBorders>
          </w:tcPr>
          <w:p w14:paraId="20F95EB6"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46.724</w:t>
            </w:r>
          </w:p>
        </w:tc>
        <w:tc>
          <w:tcPr>
            <w:tcW w:w="2250" w:type="dxa"/>
            <w:tcBorders>
              <w:top w:val="single" w:sz="4" w:space="0" w:color="auto"/>
              <w:left w:val="single" w:sz="4" w:space="0" w:color="auto"/>
              <w:bottom w:val="single" w:sz="4" w:space="0" w:color="auto"/>
              <w:right w:val="single" w:sz="4" w:space="0" w:color="auto"/>
            </w:tcBorders>
          </w:tcPr>
          <w:p w14:paraId="19B32E22"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55.357</w:t>
            </w:r>
          </w:p>
        </w:tc>
      </w:tr>
      <w:tr w:rsidR="00E01509" w:rsidRPr="00CF10A3" w14:paraId="17E45801" w14:textId="77777777">
        <w:trPr>
          <w:jc w:val="center"/>
        </w:trPr>
        <w:tc>
          <w:tcPr>
            <w:tcW w:w="617" w:type="dxa"/>
            <w:tcBorders>
              <w:top w:val="single" w:sz="4" w:space="0" w:color="auto"/>
              <w:left w:val="single" w:sz="4" w:space="0" w:color="auto"/>
              <w:bottom w:val="single" w:sz="4" w:space="0" w:color="auto"/>
              <w:right w:val="single" w:sz="4" w:space="0" w:color="auto"/>
            </w:tcBorders>
          </w:tcPr>
          <w:p w14:paraId="5D8FD201"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w:t>
            </w:r>
          </w:p>
        </w:tc>
        <w:tc>
          <w:tcPr>
            <w:tcW w:w="1903" w:type="dxa"/>
            <w:tcBorders>
              <w:top w:val="single" w:sz="4" w:space="0" w:color="auto"/>
              <w:left w:val="single" w:sz="4" w:space="0" w:color="auto"/>
              <w:bottom w:val="single" w:sz="4" w:space="0" w:color="auto"/>
              <w:right w:val="single" w:sz="4" w:space="0" w:color="auto"/>
            </w:tcBorders>
          </w:tcPr>
          <w:p w14:paraId="717860E7"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338</w:t>
            </w:r>
          </w:p>
        </w:tc>
        <w:tc>
          <w:tcPr>
            <w:tcW w:w="1620" w:type="dxa"/>
            <w:tcBorders>
              <w:top w:val="single" w:sz="4" w:space="0" w:color="auto"/>
              <w:left w:val="single" w:sz="4" w:space="0" w:color="auto"/>
              <w:bottom w:val="single" w:sz="4" w:space="0" w:color="auto"/>
              <w:right w:val="single" w:sz="4" w:space="0" w:color="auto"/>
            </w:tcBorders>
          </w:tcPr>
          <w:p w14:paraId="322A7761"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45.810</w:t>
            </w:r>
          </w:p>
        </w:tc>
        <w:tc>
          <w:tcPr>
            <w:tcW w:w="2160" w:type="dxa"/>
            <w:tcBorders>
              <w:top w:val="single" w:sz="4" w:space="0" w:color="auto"/>
              <w:left w:val="single" w:sz="4" w:space="0" w:color="auto"/>
              <w:bottom w:val="single" w:sz="4" w:space="0" w:color="auto"/>
              <w:right w:val="single" w:sz="4" w:space="0" w:color="auto"/>
            </w:tcBorders>
          </w:tcPr>
          <w:p w14:paraId="223288A6"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54.830</w:t>
            </w:r>
          </w:p>
        </w:tc>
        <w:tc>
          <w:tcPr>
            <w:tcW w:w="1620" w:type="dxa"/>
            <w:tcBorders>
              <w:top w:val="single" w:sz="4" w:space="0" w:color="auto"/>
              <w:left w:val="single" w:sz="4" w:space="0" w:color="auto"/>
              <w:bottom w:val="single" w:sz="4" w:space="0" w:color="auto"/>
              <w:right w:val="single" w:sz="4" w:space="0" w:color="auto"/>
            </w:tcBorders>
          </w:tcPr>
          <w:p w14:paraId="07B11BEE"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45.804</w:t>
            </w:r>
          </w:p>
        </w:tc>
        <w:tc>
          <w:tcPr>
            <w:tcW w:w="2250" w:type="dxa"/>
            <w:tcBorders>
              <w:top w:val="single" w:sz="4" w:space="0" w:color="auto"/>
              <w:left w:val="single" w:sz="4" w:space="0" w:color="auto"/>
              <w:bottom w:val="single" w:sz="4" w:space="0" w:color="auto"/>
              <w:right w:val="single" w:sz="4" w:space="0" w:color="auto"/>
            </w:tcBorders>
            <w:vAlign w:val="bottom"/>
          </w:tcPr>
          <w:p w14:paraId="308921D9" w14:textId="77777777" w:rsidR="00E01509" w:rsidRPr="00CF10A3" w:rsidRDefault="00E7460A">
            <w:pPr>
              <w:spacing w:after="0"/>
              <w:rPr>
                <w:rFonts w:ascii="Times New Roman" w:eastAsia="Times New Roman" w:hAnsi="Times New Roman" w:cs="Times New Roman"/>
                <w:color w:val="000000"/>
                <w:sz w:val="24"/>
                <w:szCs w:val="24"/>
              </w:rPr>
            </w:pPr>
            <w:r w:rsidRPr="00CF10A3">
              <w:rPr>
                <w:rFonts w:ascii="Times New Roman" w:eastAsia="Times New Roman" w:hAnsi="Times New Roman" w:cs="Times New Roman"/>
                <w:sz w:val="24"/>
                <w:szCs w:val="24"/>
              </w:rPr>
              <w:t>54.739</w:t>
            </w:r>
          </w:p>
        </w:tc>
      </w:tr>
    </w:tbl>
    <w:p w14:paraId="2E10CD7F" w14:textId="77777777" w:rsidR="00E01509" w:rsidRPr="00CF10A3" w:rsidRDefault="00E7460A">
      <w:pPr>
        <w:pStyle w:val="NormalWeb"/>
        <w:spacing w:line="276" w:lineRule="auto"/>
        <w:jc w:val="both"/>
      </w:pPr>
      <w:r w:rsidRPr="00CF10A3">
        <w:t xml:space="preserve">A clear decreasing trend in </w:t>
      </w:r>
      <w:r w:rsidRPr="00CF10A3">
        <w:rPr>
          <w:rStyle w:val="katex-mathml"/>
        </w:rPr>
        <w:t>ΔG</w:t>
      </w:r>
      <w:r w:rsidRPr="00CF10A3">
        <w:rPr>
          <w:rStyle w:val="katex-mathml"/>
          <w:vertAlign w:val="superscript"/>
        </w:rPr>
        <w:t>0</w:t>
      </w:r>
      <w:r w:rsidRPr="00CF10A3">
        <w:t xml:space="preserve"> with increasing temperature was observed for both metal ions. This trend suggests that the driving force for extraction improves at elevated temperatures, reducing the free energy barrier and thus enhancing the likelihood of successful complex formation in the organic phase. This behavior aligns with the thermodynamic profiles reported for plant-oil-based extraction systems by </w:t>
      </w:r>
      <w:proofErr w:type="spellStart"/>
      <w:r w:rsidRPr="00CF10A3">
        <w:t>Xie</w:t>
      </w:r>
      <w:proofErr w:type="spellEnd"/>
      <w:r w:rsidRPr="00CF10A3">
        <w:t xml:space="preserve"> et al. (2019), where higher temperatures increased molecular motion, improved phase contact, and facilitated ligand–metal interactions.</w:t>
      </w:r>
    </w:p>
    <w:p w14:paraId="55A83E47" w14:textId="77777777"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b/>
          <w:sz w:val="24"/>
          <w:szCs w:val="24"/>
        </w:rPr>
        <w:t>Table 9:</w:t>
      </w:r>
      <w:r w:rsidRPr="00CF10A3">
        <w:rPr>
          <w:rFonts w:ascii="Times New Roman" w:hAnsi="Times New Roman" w:cs="Times New Roman"/>
          <w:sz w:val="24"/>
          <w:szCs w:val="24"/>
        </w:rPr>
        <w:t xml:space="preserve"> Thermodynamic Summary on Gibbs free energy for Ni</w:t>
      </w:r>
      <w:r w:rsidRPr="00CF10A3">
        <w:rPr>
          <w:rFonts w:ascii="Times New Roman" w:hAnsi="Times New Roman" w:cs="Times New Roman"/>
          <w:sz w:val="24"/>
          <w:szCs w:val="24"/>
          <w:vertAlign w:val="superscript"/>
        </w:rPr>
        <w:t xml:space="preserve">2+ </w:t>
      </w:r>
      <w:r w:rsidRPr="00CF10A3">
        <w:rPr>
          <w:rFonts w:ascii="Times New Roman" w:hAnsi="Times New Roman" w:cs="Times New Roman"/>
          <w:sz w:val="24"/>
          <w:szCs w:val="24"/>
        </w:rPr>
        <w:t xml:space="preserve">at 50 ppm and 100 ppm using </w:t>
      </w:r>
      <w:r w:rsidRPr="00CF10A3">
        <w:rPr>
          <w:rFonts w:ascii="Times New Roman" w:hAnsi="Times New Roman" w:cs="Times New Roman"/>
          <w:i/>
          <w:sz w:val="24"/>
          <w:szCs w:val="24"/>
        </w:rPr>
        <w:t>Phaseolus vulgaris</w:t>
      </w:r>
      <w:r w:rsidRPr="00CF10A3">
        <w:rPr>
          <w:rFonts w:ascii="Times New Roman" w:hAnsi="Times New Roman" w:cs="Times New Roman"/>
          <w:sz w:val="24"/>
          <w:szCs w:val="24"/>
        </w:rPr>
        <w:t xml:space="preserve"> oil</w:t>
      </w:r>
    </w:p>
    <w:tbl>
      <w:tblPr>
        <w:tblStyle w:val="TableGrid"/>
        <w:tblW w:w="10170" w:type="dxa"/>
        <w:jc w:val="center"/>
        <w:tblLayout w:type="fixed"/>
        <w:tblLook w:val="04A0" w:firstRow="1" w:lastRow="0" w:firstColumn="1" w:lastColumn="0" w:noHBand="0" w:noVBand="1"/>
      </w:tblPr>
      <w:tblGrid>
        <w:gridCol w:w="617"/>
        <w:gridCol w:w="1903"/>
        <w:gridCol w:w="1620"/>
        <w:gridCol w:w="2124"/>
        <w:gridCol w:w="36"/>
        <w:gridCol w:w="1620"/>
        <w:gridCol w:w="2250"/>
      </w:tblGrid>
      <w:tr w:rsidR="00E01509" w:rsidRPr="00CF10A3" w14:paraId="0F5F145E" w14:textId="77777777">
        <w:trPr>
          <w:jc w:val="center"/>
        </w:trPr>
        <w:tc>
          <w:tcPr>
            <w:tcW w:w="617" w:type="dxa"/>
            <w:vMerge w:val="restart"/>
            <w:tcBorders>
              <w:top w:val="single" w:sz="4" w:space="0" w:color="auto"/>
              <w:left w:val="single" w:sz="4" w:space="0" w:color="auto"/>
              <w:right w:val="single" w:sz="4" w:space="0" w:color="auto"/>
            </w:tcBorders>
          </w:tcPr>
          <w:p w14:paraId="326A0C06"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S/N</w:t>
            </w:r>
          </w:p>
        </w:tc>
        <w:tc>
          <w:tcPr>
            <w:tcW w:w="1903" w:type="dxa"/>
            <w:vMerge w:val="restart"/>
            <w:tcBorders>
              <w:top w:val="single" w:sz="4" w:space="0" w:color="auto"/>
              <w:left w:val="single" w:sz="4" w:space="0" w:color="auto"/>
              <w:right w:val="single" w:sz="4" w:space="0" w:color="auto"/>
            </w:tcBorders>
          </w:tcPr>
          <w:p w14:paraId="295C210A" w14:textId="77777777"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Temperature (K)</w:t>
            </w:r>
          </w:p>
        </w:tc>
        <w:tc>
          <w:tcPr>
            <w:tcW w:w="3780" w:type="dxa"/>
            <w:gridSpan w:val="3"/>
            <w:tcBorders>
              <w:top w:val="single" w:sz="4" w:space="0" w:color="auto"/>
              <w:left w:val="single" w:sz="4" w:space="0" w:color="auto"/>
              <w:bottom w:val="single" w:sz="4" w:space="0" w:color="auto"/>
              <w:right w:val="single" w:sz="4" w:space="0" w:color="auto"/>
            </w:tcBorders>
          </w:tcPr>
          <w:p w14:paraId="4E6C54D3" w14:textId="77777777" w:rsidR="00E01509" w:rsidRPr="00CF10A3" w:rsidRDefault="00E01509">
            <w:pPr>
              <w:spacing w:after="0"/>
              <w:rPr>
                <w:rFonts w:ascii="Times New Roman" w:eastAsia="Times New Roman" w:hAnsi="Times New Roman" w:cs="Times New Roman"/>
                <w:b/>
                <w:bCs/>
                <w:sz w:val="24"/>
                <w:szCs w:val="24"/>
              </w:rPr>
            </w:pPr>
            <w:r w:rsidRPr="00CF10A3">
              <w:rPr>
                <w:rFonts w:ascii="Times New Roman" w:hAnsi="Times New Roman" w:cs="Times New Roman"/>
                <w:position w:val="-10"/>
                <w:sz w:val="24"/>
                <w:szCs w:val="24"/>
              </w:rPr>
              <w:object w:dxaOrig="1419" w:dyaOrig="360" w14:anchorId="0A33FA05">
                <v:shape id="_x0000_i1033" type="#_x0000_t75" style="width:71.15pt;height:18.85pt" o:ole="">
                  <v:imagedata r:id="rId33" o:title=""/>
                </v:shape>
                <o:OLEObject Type="Embed" ProgID="Equation.3" ShapeID="_x0000_i1033" DrawAspect="Content" ObjectID="_1828353429" r:id="rId36"/>
              </w:object>
            </w:r>
            <w:r w:rsidR="00E7460A" w:rsidRPr="00CF10A3">
              <w:rPr>
                <w:rFonts w:ascii="Times New Roman" w:eastAsiaTheme="minorEastAsia" w:hAnsi="Times New Roman" w:cs="Times New Roman"/>
                <w:sz w:val="24"/>
                <w:szCs w:val="24"/>
              </w:rPr>
              <w:t>(50 ppm)</w:t>
            </w:r>
          </w:p>
          <w:p w14:paraId="2CFEF47A"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bCs/>
                <w:sz w:val="24"/>
                <w:szCs w:val="24"/>
              </w:rPr>
              <w:t>Ligand</w:t>
            </w:r>
          </w:p>
        </w:tc>
        <w:tc>
          <w:tcPr>
            <w:tcW w:w="3870" w:type="dxa"/>
            <w:gridSpan w:val="2"/>
            <w:tcBorders>
              <w:top w:val="single" w:sz="4" w:space="0" w:color="auto"/>
              <w:left w:val="single" w:sz="4" w:space="0" w:color="auto"/>
              <w:bottom w:val="single" w:sz="4" w:space="0" w:color="auto"/>
              <w:right w:val="single" w:sz="4" w:space="0" w:color="auto"/>
            </w:tcBorders>
          </w:tcPr>
          <w:p w14:paraId="4BF5AD48" w14:textId="77777777" w:rsidR="00E01509" w:rsidRPr="00CF10A3" w:rsidRDefault="00E01509">
            <w:pPr>
              <w:spacing w:after="0"/>
              <w:rPr>
                <w:rFonts w:ascii="Times New Roman" w:eastAsia="Times New Roman" w:hAnsi="Times New Roman" w:cs="Times New Roman"/>
                <w:b/>
                <w:bCs/>
                <w:sz w:val="24"/>
                <w:szCs w:val="24"/>
              </w:rPr>
            </w:pPr>
            <w:r w:rsidRPr="00CF10A3">
              <w:rPr>
                <w:rFonts w:ascii="Times New Roman" w:hAnsi="Times New Roman" w:cs="Times New Roman"/>
                <w:position w:val="-10"/>
                <w:sz w:val="24"/>
                <w:szCs w:val="24"/>
              </w:rPr>
              <w:object w:dxaOrig="1419" w:dyaOrig="360" w14:anchorId="070B52B5">
                <v:shape id="_x0000_i1034" type="#_x0000_t75" style="width:71.15pt;height:18.85pt" o:ole="">
                  <v:imagedata r:id="rId33" o:title=""/>
                </v:shape>
                <o:OLEObject Type="Embed" ProgID="Equation.3" ShapeID="_x0000_i1034" DrawAspect="Content" ObjectID="_1828353430" r:id="rId37"/>
              </w:object>
            </w:r>
            <w:r w:rsidR="00E7460A" w:rsidRPr="00CF10A3">
              <w:rPr>
                <w:rFonts w:ascii="Times New Roman" w:eastAsiaTheme="minorEastAsia" w:hAnsi="Times New Roman" w:cs="Times New Roman"/>
                <w:sz w:val="24"/>
                <w:szCs w:val="24"/>
              </w:rPr>
              <w:t>(100 ppm)</w:t>
            </w:r>
          </w:p>
          <w:p w14:paraId="2B058F81"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bCs/>
                <w:sz w:val="24"/>
                <w:szCs w:val="24"/>
              </w:rPr>
              <w:t>Ligand</w:t>
            </w:r>
          </w:p>
        </w:tc>
      </w:tr>
      <w:tr w:rsidR="00E01509" w:rsidRPr="00CF10A3" w14:paraId="753E40DB" w14:textId="77777777">
        <w:trPr>
          <w:jc w:val="center"/>
        </w:trPr>
        <w:tc>
          <w:tcPr>
            <w:tcW w:w="617" w:type="dxa"/>
            <w:vMerge/>
            <w:tcBorders>
              <w:left w:val="single" w:sz="4" w:space="0" w:color="auto"/>
              <w:bottom w:val="single" w:sz="4" w:space="0" w:color="auto"/>
              <w:right w:val="single" w:sz="4" w:space="0" w:color="auto"/>
            </w:tcBorders>
          </w:tcPr>
          <w:p w14:paraId="4D9D1F15" w14:textId="77777777" w:rsidR="00E01509" w:rsidRPr="00CF10A3" w:rsidRDefault="00E01509">
            <w:pPr>
              <w:spacing w:after="0"/>
              <w:jc w:val="both"/>
              <w:rPr>
                <w:rFonts w:ascii="Times New Roman" w:eastAsiaTheme="minorEastAsia" w:hAnsi="Times New Roman" w:cs="Times New Roman"/>
                <w:sz w:val="24"/>
                <w:szCs w:val="24"/>
              </w:rPr>
            </w:pPr>
          </w:p>
        </w:tc>
        <w:tc>
          <w:tcPr>
            <w:tcW w:w="1903" w:type="dxa"/>
            <w:vMerge/>
            <w:tcBorders>
              <w:left w:val="single" w:sz="4" w:space="0" w:color="auto"/>
              <w:bottom w:val="single" w:sz="4" w:space="0" w:color="auto"/>
              <w:right w:val="single" w:sz="4" w:space="0" w:color="auto"/>
            </w:tcBorders>
          </w:tcPr>
          <w:p w14:paraId="1FBE46AB" w14:textId="77777777" w:rsidR="00E01509" w:rsidRPr="00CF10A3" w:rsidRDefault="00E01509">
            <w:pPr>
              <w:spacing w:after="0"/>
              <w:jc w:val="both"/>
              <w:rPr>
                <w:rFonts w:ascii="Times New Roman" w:eastAsiaTheme="minorEastAsia"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14:paraId="61A9C006" w14:textId="77777777" w:rsidR="00E01509" w:rsidRPr="00CF10A3" w:rsidRDefault="00E7460A">
            <w:pPr>
              <w:spacing w:after="0"/>
              <w:rPr>
                <w:rFonts w:ascii="Times New Roman" w:eastAsia="Times New Roman" w:hAnsi="Times New Roman" w:cs="Times New Roman"/>
                <w:b/>
                <w:bCs/>
                <w:sz w:val="24"/>
                <w:szCs w:val="24"/>
              </w:rPr>
            </w:pPr>
            <w:r w:rsidRPr="00CF10A3">
              <w:rPr>
                <w:rFonts w:ascii="Times New Roman" w:eastAsia="Times New Roman" w:hAnsi="Times New Roman" w:cs="Times New Roman"/>
                <w:sz w:val="24"/>
                <w:szCs w:val="24"/>
              </w:rPr>
              <w:t>Palmitic acid</w:t>
            </w:r>
          </w:p>
        </w:tc>
        <w:tc>
          <w:tcPr>
            <w:tcW w:w="2124" w:type="dxa"/>
            <w:tcBorders>
              <w:top w:val="single" w:sz="4" w:space="0" w:color="auto"/>
              <w:left w:val="single" w:sz="4" w:space="0" w:color="auto"/>
              <w:bottom w:val="single" w:sz="4" w:space="0" w:color="auto"/>
              <w:right w:val="single" w:sz="4" w:space="0" w:color="auto"/>
            </w:tcBorders>
          </w:tcPr>
          <w:p w14:paraId="48387EF8" w14:textId="77777777" w:rsidR="00E01509" w:rsidRPr="00CF10A3" w:rsidRDefault="00E7460A">
            <w:pPr>
              <w:spacing w:after="0"/>
              <w:rPr>
                <w:rFonts w:ascii="Times New Roman" w:eastAsia="Times New Roman" w:hAnsi="Times New Roman" w:cs="Times New Roman"/>
                <w:b/>
                <w:bCs/>
                <w:sz w:val="24"/>
                <w:szCs w:val="24"/>
              </w:rPr>
            </w:pPr>
            <w:r w:rsidRPr="00CF10A3">
              <w:rPr>
                <w:rFonts w:ascii="Times New Roman" w:eastAsia="Times New Roman" w:hAnsi="Times New Roman" w:cs="Times New Roman"/>
                <w:sz w:val="24"/>
                <w:szCs w:val="24"/>
              </w:rPr>
              <w:t>Linoleic/Oleic acid</w:t>
            </w:r>
          </w:p>
        </w:tc>
        <w:tc>
          <w:tcPr>
            <w:tcW w:w="1656" w:type="dxa"/>
            <w:gridSpan w:val="2"/>
            <w:tcBorders>
              <w:top w:val="single" w:sz="4" w:space="0" w:color="auto"/>
              <w:left w:val="single" w:sz="4" w:space="0" w:color="auto"/>
              <w:bottom w:val="single" w:sz="4" w:space="0" w:color="auto"/>
              <w:right w:val="single" w:sz="4" w:space="0" w:color="auto"/>
            </w:tcBorders>
          </w:tcPr>
          <w:p w14:paraId="3A6BD34D" w14:textId="77777777" w:rsidR="00E01509" w:rsidRPr="00CF10A3" w:rsidRDefault="00E7460A">
            <w:pPr>
              <w:spacing w:after="0"/>
              <w:rPr>
                <w:rFonts w:ascii="Times New Roman" w:eastAsia="Times New Roman" w:hAnsi="Times New Roman" w:cs="Times New Roman"/>
                <w:b/>
                <w:bCs/>
                <w:sz w:val="24"/>
                <w:szCs w:val="24"/>
              </w:rPr>
            </w:pPr>
            <w:r w:rsidRPr="00CF10A3">
              <w:rPr>
                <w:rFonts w:ascii="Times New Roman" w:eastAsia="Times New Roman" w:hAnsi="Times New Roman" w:cs="Times New Roman"/>
                <w:sz w:val="24"/>
                <w:szCs w:val="24"/>
              </w:rPr>
              <w:t>Palmitic acid</w:t>
            </w:r>
          </w:p>
        </w:tc>
        <w:tc>
          <w:tcPr>
            <w:tcW w:w="2250" w:type="dxa"/>
            <w:tcBorders>
              <w:top w:val="single" w:sz="4" w:space="0" w:color="auto"/>
              <w:left w:val="single" w:sz="4" w:space="0" w:color="auto"/>
              <w:bottom w:val="single" w:sz="4" w:space="0" w:color="auto"/>
              <w:right w:val="single" w:sz="4" w:space="0" w:color="auto"/>
            </w:tcBorders>
          </w:tcPr>
          <w:p w14:paraId="5595F754" w14:textId="77777777" w:rsidR="00E01509" w:rsidRPr="00CF10A3" w:rsidRDefault="00E7460A">
            <w:pPr>
              <w:spacing w:after="0"/>
              <w:rPr>
                <w:rFonts w:ascii="Times New Roman" w:eastAsia="Times New Roman" w:hAnsi="Times New Roman" w:cs="Times New Roman"/>
                <w:b/>
                <w:bCs/>
                <w:sz w:val="24"/>
                <w:szCs w:val="24"/>
              </w:rPr>
            </w:pPr>
            <w:r w:rsidRPr="00CF10A3">
              <w:rPr>
                <w:rFonts w:ascii="Times New Roman" w:eastAsia="Times New Roman" w:hAnsi="Times New Roman" w:cs="Times New Roman"/>
                <w:sz w:val="24"/>
                <w:szCs w:val="24"/>
              </w:rPr>
              <w:t>Linoleic/Oleic acid</w:t>
            </w:r>
          </w:p>
        </w:tc>
      </w:tr>
      <w:tr w:rsidR="00E01509" w:rsidRPr="00CF10A3" w14:paraId="5D84C813" w14:textId="77777777">
        <w:trPr>
          <w:jc w:val="center"/>
        </w:trPr>
        <w:tc>
          <w:tcPr>
            <w:tcW w:w="617" w:type="dxa"/>
            <w:tcBorders>
              <w:top w:val="single" w:sz="4" w:space="0" w:color="auto"/>
              <w:left w:val="single" w:sz="4" w:space="0" w:color="auto"/>
              <w:bottom w:val="single" w:sz="4" w:space="0" w:color="auto"/>
              <w:right w:val="single" w:sz="4" w:space="0" w:color="auto"/>
            </w:tcBorders>
          </w:tcPr>
          <w:p w14:paraId="704B0E9C"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w:t>
            </w:r>
          </w:p>
        </w:tc>
        <w:tc>
          <w:tcPr>
            <w:tcW w:w="1903" w:type="dxa"/>
            <w:tcBorders>
              <w:top w:val="single" w:sz="4" w:space="0" w:color="auto"/>
              <w:left w:val="single" w:sz="4" w:space="0" w:color="auto"/>
              <w:bottom w:val="single" w:sz="4" w:space="0" w:color="auto"/>
              <w:right w:val="single" w:sz="4" w:space="0" w:color="auto"/>
            </w:tcBorders>
          </w:tcPr>
          <w:p w14:paraId="0A7C7D06"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298</w:t>
            </w:r>
          </w:p>
        </w:tc>
        <w:tc>
          <w:tcPr>
            <w:tcW w:w="1620" w:type="dxa"/>
            <w:tcBorders>
              <w:top w:val="single" w:sz="4" w:space="0" w:color="auto"/>
              <w:left w:val="single" w:sz="4" w:space="0" w:color="auto"/>
              <w:bottom w:val="single" w:sz="4" w:space="0" w:color="auto"/>
              <w:right w:val="single" w:sz="4" w:space="0" w:color="auto"/>
            </w:tcBorders>
            <w:vAlign w:val="bottom"/>
          </w:tcPr>
          <w:p w14:paraId="64D4F684" w14:textId="77777777" w:rsidR="00E01509" w:rsidRPr="00CF10A3" w:rsidRDefault="00E7460A">
            <w:pPr>
              <w:spacing w:after="0"/>
              <w:rPr>
                <w:rFonts w:ascii="Times New Roman" w:eastAsia="Times New Roman" w:hAnsi="Times New Roman" w:cs="Times New Roman"/>
                <w:color w:val="000000"/>
                <w:sz w:val="24"/>
                <w:szCs w:val="24"/>
              </w:rPr>
            </w:pPr>
            <w:r w:rsidRPr="00CF10A3">
              <w:rPr>
                <w:rFonts w:ascii="Times New Roman" w:eastAsia="Times New Roman" w:hAnsi="Times New Roman" w:cs="Times New Roman"/>
                <w:sz w:val="24"/>
                <w:szCs w:val="24"/>
              </w:rPr>
              <w:t>52.318</w:t>
            </w:r>
          </w:p>
        </w:tc>
        <w:tc>
          <w:tcPr>
            <w:tcW w:w="2124" w:type="dxa"/>
            <w:tcBorders>
              <w:top w:val="single" w:sz="4" w:space="0" w:color="auto"/>
              <w:left w:val="single" w:sz="4" w:space="0" w:color="auto"/>
              <w:bottom w:val="single" w:sz="4" w:space="0" w:color="auto"/>
              <w:right w:val="single" w:sz="4" w:space="0" w:color="auto"/>
            </w:tcBorders>
            <w:vAlign w:val="bottom"/>
          </w:tcPr>
          <w:p w14:paraId="59020DA7" w14:textId="77777777" w:rsidR="00E01509" w:rsidRPr="00CF10A3" w:rsidRDefault="00E7460A">
            <w:pPr>
              <w:spacing w:after="0"/>
              <w:rPr>
                <w:rFonts w:ascii="Times New Roman" w:eastAsia="Times New Roman" w:hAnsi="Times New Roman" w:cs="Times New Roman"/>
                <w:color w:val="000000"/>
                <w:sz w:val="24"/>
                <w:szCs w:val="24"/>
              </w:rPr>
            </w:pPr>
            <w:r w:rsidRPr="00CF10A3">
              <w:rPr>
                <w:rFonts w:ascii="Times New Roman" w:eastAsia="Times New Roman" w:hAnsi="Times New Roman" w:cs="Times New Roman"/>
                <w:sz w:val="24"/>
                <w:szCs w:val="24"/>
              </w:rPr>
              <w:t>60.259</w:t>
            </w:r>
          </w:p>
        </w:tc>
        <w:tc>
          <w:tcPr>
            <w:tcW w:w="1656" w:type="dxa"/>
            <w:gridSpan w:val="2"/>
            <w:tcBorders>
              <w:top w:val="single" w:sz="4" w:space="0" w:color="auto"/>
              <w:left w:val="single" w:sz="4" w:space="0" w:color="auto"/>
              <w:bottom w:val="single" w:sz="4" w:space="0" w:color="auto"/>
              <w:right w:val="single" w:sz="4" w:space="0" w:color="auto"/>
            </w:tcBorders>
          </w:tcPr>
          <w:p w14:paraId="3ED2A87E"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53.636</w:t>
            </w:r>
          </w:p>
        </w:tc>
        <w:tc>
          <w:tcPr>
            <w:tcW w:w="2250" w:type="dxa"/>
            <w:tcBorders>
              <w:top w:val="single" w:sz="4" w:space="0" w:color="auto"/>
              <w:left w:val="single" w:sz="4" w:space="0" w:color="auto"/>
              <w:bottom w:val="single" w:sz="4" w:space="0" w:color="auto"/>
              <w:right w:val="single" w:sz="4" w:space="0" w:color="auto"/>
            </w:tcBorders>
          </w:tcPr>
          <w:p w14:paraId="3296C809"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61.521</w:t>
            </w:r>
          </w:p>
        </w:tc>
      </w:tr>
      <w:tr w:rsidR="00E01509" w:rsidRPr="00CF10A3" w14:paraId="1C849862" w14:textId="77777777">
        <w:trPr>
          <w:jc w:val="center"/>
        </w:trPr>
        <w:tc>
          <w:tcPr>
            <w:tcW w:w="617" w:type="dxa"/>
            <w:tcBorders>
              <w:top w:val="single" w:sz="4" w:space="0" w:color="auto"/>
              <w:left w:val="single" w:sz="4" w:space="0" w:color="auto"/>
              <w:bottom w:val="single" w:sz="4" w:space="0" w:color="auto"/>
              <w:right w:val="single" w:sz="4" w:space="0" w:color="auto"/>
            </w:tcBorders>
          </w:tcPr>
          <w:p w14:paraId="49FC73B1"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w:t>
            </w:r>
          </w:p>
        </w:tc>
        <w:tc>
          <w:tcPr>
            <w:tcW w:w="1903" w:type="dxa"/>
            <w:tcBorders>
              <w:top w:val="single" w:sz="4" w:space="0" w:color="auto"/>
              <w:left w:val="single" w:sz="4" w:space="0" w:color="auto"/>
              <w:bottom w:val="single" w:sz="4" w:space="0" w:color="auto"/>
              <w:right w:val="single" w:sz="4" w:space="0" w:color="auto"/>
            </w:tcBorders>
          </w:tcPr>
          <w:p w14:paraId="74EF31A0"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308</w:t>
            </w:r>
          </w:p>
        </w:tc>
        <w:tc>
          <w:tcPr>
            <w:tcW w:w="1620" w:type="dxa"/>
            <w:tcBorders>
              <w:top w:val="single" w:sz="4" w:space="0" w:color="auto"/>
              <w:left w:val="single" w:sz="4" w:space="0" w:color="auto"/>
              <w:bottom w:val="single" w:sz="4" w:space="0" w:color="auto"/>
              <w:right w:val="single" w:sz="4" w:space="0" w:color="auto"/>
            </w:tcBorders>
          </w:tcPr>
          <w:p w14:paraId="174FCFA6"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50.166</w:t>
            </w:r>
          </w:p>
        </w:tc>
        <w:tc>
          <w:tcPr>
            <w:tcW w:w="2124" w:type="dxa"/>
            <w:tcBorders>
              <w:top w:val="single" w:sz="4" w:space="0" w:color="auto"/>
              <w:left w:val="single" w:sz="4" w:space="0" w:color="auto"/>
              <w:bottom w:val="single" w:sz="4" w:space="0" w:color="auto"/>
              <w:right w:val="single" w:sz="4" w:space="0" w:color="auto"/>
            </w:tcBorders>
          </w:tcPr>
          <w:p w14:paraId="6BDDC4FB"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58.374</w:t>
            </w:r>
          </w:p>
        </w:tc>
        <w:tc>
          <w:tcPr>
            <w:tcW w:w="1656" w:type="dxa"/>
            <w:gridSpan w:val="2"/>
            <w:tcBorders>
              <w:top w:val="single" w:sz="4" w:space="0" w:color="auto"/>
              <w:left w:val="single" w:sz="4" w:space="0" w:color="auto"/>
              <w:bottom w:val="single" w:sz="4" w:space="0" w:color="auto"/>
              <w:right w:val="single" w:sz="4" w:space="0" w:color="auto"/>
            </w:tcBorders>
          </w:tcPr>
          <w:p w14:paraId="35DABB6F"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51.582</w:t>
            </w:r>
          </w:p>
        </w:tc>
        <w:tc>
          <w:tcPr>
            <w:tcW w:w="2250" w:type="dxa"/>
            <w:tcBorders>
              <w:top w:val="single" w:sz="4" w:space="0" w:color="auto"/>
              <w:left w:val="single" w:sz="4" w:space="0" w:color="auto"/>
              <w:bottom w:val="single" w:sz="4" w:space="0" w:color="auto"/>
              <w:right w:val="single" w:sz="4" w:space="0" w:color="auto"/>
            </w:tcBorders>
          </w:tcPr>
          <w:p w14:paraId="23555AAE"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59.731</w:t>
            </w:r>
          </w:p>
        </w:tc>
      </w:tr>
      <w:tr w:rsidR="00E01509" w:rsidRPr="00CF10A3" w14:paraId="20F31E51" w14:textId="77777777">
        <w:trPr>
          <w:jc w:val="center"/>
        </w:trPr>
        <w:tc>
          <w:tcPr>
            <w:tcW w:w="617" w:type="dxa"/>
            <w:tcBorders>
              <w:top w:val="single" w:sz="4" w:space="0" w:color="auto"/>
              <w:left w:val="single" w:sz="4" w:space="0" w:color="auto"/>
              <w:bottom w:val="single" w:sz="4" w:space="0" w:color="auto"/>
              <w:right w:val="single" w:sz="4" w:space="0" w:color="auto"/>
            </w:tcBorders>
          </w:tcPr>
          <w:p w14:paraId="25D6B2E8"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w:t>
            </w:r>
          </w:p>
        </w:tc>
        <w:tc>
          <w:tcPr>
            <w:tcW w:w="1903" w:type="dxa"/>
            <w:tcBorders>
              <w:top w:val="single" w:sz="4" w:space="0" w:color="auto"/>
              <w:left w:val="single" w:sz="4" w:space="0" w:color="auto"/>
              <w:bottom w:val="single" w:sz="4" w:space="0" w:color="auto"/>
              <w:right w:val="single" w:sz="4" w:space="0" w:color="auto"/>
            </w:tcBorders>
          </w:tcPr>
          <w:p w14:paraId="389A36D0"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318</w:t>
            </w:r>
          </w:p>
        </w:tc>
        <w:tc>
          <w:tcPr>
            <w:tcW w:w="1620" w:type="dxa"/>
            <w:tcBorders>
              <w:top w:val="single" w:sz="4" w:space="0" w:color="auto"/>
              <w:left w:val="single" w:sz="4" w:space="0" w:color="auto"/>
              <w:bottom w:val="single" w:sz="4" w:space="0" w:color="auto"/>
              <w:right w:val="single" w:sz="4" w:space="0" w:color="auto"/>
            </w:tcBorders>
          </w:tcPr>
          <w:p w14:paraId="0F359CD0"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49.047</w:t>
            </w:r>
          </w:p>
        </w:tc>
        <w:tc>
          <w:tcPr>
            <w:tcW w:w="2124" w:type="dxa"/>
            <w:tcBorders>
              <w:top w:val="single" w:sz="4" w:space="0" w:color="auto"/>
              <w:left w:val="single" w:sz="4" w:space="0" w:color="auto"/>
              <w:bottom w:val="single" w:sz="4" w:space="0" w:color="auto"/>
              <w:right w:val="single" w:sz="4" w:space="0" w:color="auto"/>
            </w:tcBorders>
          </w:tcPr>
          <w:p w14:paraId="16CD8379"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57.521</w:t>
            </w:r>
          </w:p>
        </w:tc>
        <w:tc>
          <w:tcPr>
            <w:tcW w:w="1656" w:type="dxa"/>
            <w:gridSpan w:val="2"/>
            <w:tcBorders>
              <w:top w:val="single" w:sz="4" w:space="0" w:color="auto"/>
              <w:left w:val="single" w:sz="4" w:space="0" w:color="auto"/>
              <w:bottom w:val="single" w:sz="4" w:space="0" w:color="auto"/>
              <w:right w:val="single" w:sz="4" w:space="0" w:color="auto"/>
            </w:tcBorders>
          </w:tcPr>
          <w:p w14:paraId="65397D5D"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50.204</w:t>
            </w:r>
          </w:p>
        </w:tc>
        <w:tc>
          <w:tcPr>
            <w:tcW w:w="2250" w:type="dxa"/>
            <w:tcBorders>
              <w:top w:val="single" w:sz="4" w:space="0" w:color="auto"/>
              <w:left w:val="single" w:sz="4" w:space="0" w:color="auto"/>
              <w:bottom w:val="single" w:sz="4" w:space="0" w:color="auto"/>
              <w:right w:val="single" w:sz="4" w:space="0" w:color="auto"/>
            </w:tcBorders>
          </w:tcPr>
          <w:p w14:paraId="698B52C4"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58.611</w:t>
            </w:r>
          </w:p>
        </w:tc>
      </w:tr>
      <w:tr w:rsidR="00E01509" w:rsidRPr="00CF10A3" w14:paraId="0E99B252" w14:textId="77777777">
        <w:trPr>
          <w:jc w:val="center"/>
        </w:trPr>
        <w:tc>
          <w:tcPr>
            <w:tcW w:w="617" w:type="dxa"/>
            <w:tcBorders>
              <w:top w:val="single" w:sz="4" w:space="0" w:color="auto"/>
              <w:left w:val="single" w:sz="4" w:space="0" w:color="auto"/>
              <w:bottom w:val="single" w:sz="4" w:space="0" w:color="auto"/>
              <w:right w:val="single" w:sz="4" w:space="0" w:color="auto"/>
            </w:tcBorders>
          </w:tcPr>
          <w:p w14:paraId="29DEDF98"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4</w:t>
            </w:r>
          </w:p>
        </w:tc>
        <w:tc>
          <w:tcPr>
            <w:tcW w:w="1903" w:type="dxa"/>
            <w:tcBorders>
              <w:top w:val="single" w:sz="4" w:space="0" w:color="auto"/>
              <w:left w:val="single" w:sz="4" w:space="0" w:color="auto"/>
              <w:bottom w:val="single" w:sz="4" w:space="0" w:color="auto"/>
              <w:right w:val="single" w:sz="4" w:space="0" w:color="auto"/>
            </w:tcBorders>
          </w:tcPr>
          <w:p w14:paraId="66349FB6"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328</w:t>
            </w:r>
          </w:p>
        </w:tc>
        <w:tc>
          <w:tcPr>
            <w:tcW w:w="1620" w:type="dxa"/>
            <w:tcBorders>
              <w:top w:val="single" w:sz="4" w:space="0" w:color="auto"/>
              <w:left w:val="single" w:sz="4" w:space="0" w:color="auto"/>
              <w:bottom w:val="single" w:sz="4" w:space="0" w:color="auto"/>
              <w:right w:val="single" w:sz="4" w:space="0" w:color="auto"/>
            </w:tcBorders>
          </w:tcPr>
          <w:p w14:paraId="0BDFECA0"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46.473</w:t>
            </w:r>
          </w:p>
        </w:tc>
        <w:tc>
          <w:tcPr>
            <w:tcW w:w="2124" w:type="dxa"/>
            <w:tcBorders>
              <w:top w:val="single" w:sz="4" w:space="0" w:color="auto"/>
              <w:left w:val="single" w:sz="4" w:space="0" w:color="auto"/>
              <w:bottom w:val="single" w:sz="4" w:space="0" w:color="auto"/>
              <w:right w:val="single" w:sz="4" w:space="0" w:color="auto"/>
            </w:tcBorders>
          </w:tcPr>
          <w:p w14:paraId="288571FF"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55.175</w:t>
            </w:r>
          </w:p>
        </w:tc>
        <w:tc>
          <w:tcPr>
            <w:tcW w:w="1656" w:type="dxa"/>
            <w:gridSpan w:val="2"/>
            <w:tcBorders>
              <w:top w:val="single" w:sz="4" w:space="0" w:color="auto"/>
              <w:left w:val="single" w:sz="4" w:space="0" w:color="auto"/>
              <w:bottom w:val="single" w:sz="4" w:space="0" w:color="auto"/>
              <w:right w:val="single" w:sz="4" w:space="0" w:color="auto"/>
            </w:tcBorders>
          </w:tcPr>
          <w:p w14:paraId="2272FC23"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47.264</w:t>
            </w:r>
          </w:p>
        </w:tc>
        <w:tc>
          <w:tcPr>
            <w:tcW w:w="2250" w:type="dxa"/>
            <w:tcBorders>
              <w:top w:val="single" w:sz="4" w:space="0" w:color="auto"/>
              <w:left w:val="single" w:sz="4" w:space="0" w:color="auto"/>
              <w:bottom w:val="single" w:sz="4" w:space="0" w:color="auto"/>
              <w:right w:val="single" w:sz="4" w:space="0" w:color="auto"/>
            </w:tcBorders>
          </w:tcPr>
          <w:p w14:paraId="303F7C8B"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55.898</w:t>
            </w:r>
          </w:p>
        </w:tc>
      </w:tr>
      <w:tr w:rsidR="00E01509" w:rsidRPr="00CF10A3" w14:paraId="0E7FB9B1" w14:textId="77777777">
        <w:trPr>
          <w:jc w:val="center"/>
        </w:trPr>
        <w:tc>
          <w:tcPr>
            <w:tcW w:w="617" w:type="dxa"/>
            <w:tcBorders>
              <w:top w:val="single" w:sz="4" w:space="0" w:color="auto"/>
              <w:left w:val="single" w:sz="4" w:space="0" w:color="auto"/>
              <w:bottom w:val="single" w:sz="4" w:space="0" w:color="auto"/>
              <w:right w:val="single" w:sz="4" w:space="0" w:color="auto"/>
            </w:tcBorders>
          </w:tcPr>
          <w:p w14:paraId="395AB4C1"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w:t>
            </w:r>
          </w:p>
        </w:tc>
        <w:tc>
          <w:tcPr>
            <w:tcW w:w="1903" w:type="dxa"/>
            <w:tcBorders>
              <w:top w:val="single" w:sz="4" w:space="0" w:color="auto"/>
              <w:left w:val="single" w:sz="4" w:space="0" w:color="auto"/>
              <w:bottom w:val="single" w:sz="4" w:space="0" w:color="auto"/>
              <w:right w:val="single" w:sz="4" w:space="0" w:color="auto"/>
            </w:tcBorders>
          </w:tcPr>
          <w:p w14:paraId="67D51618"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338</w:t>
            </w:r>
          </w:p>
        </w:tc>
        <w:tc>
          <w:tcPr>
            <w:tcW w:w="1620" w:type="dxa"/>
            <w:tcBorders>
              <w:top w:val="single" w:sz="4" w:space="0" w:color="auto"/>
              <w:left w:val="single" w:sz="4" w:space="0" w:color="auto"/>
              <w:bottom w:val="single" w:sz="4" w:space="0" w:color="auto"/>
              <w:right w:val="single" w:sz="4" w:space="0" w:color="auto"/>
            </w:tcBorders>
          </w:tcPr>
          <w:p w14:paraId="74BD8995"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43.622</w:t>
            </w:r>
          </w:p>
        </w:tc>
        <w:tc>
          <w:tcPr>
            <w:tcW w:w="2124" w:type="dxa"/>
            <w:tcBorders>
              <w:top w:val="single" w:sz="4" w:space="0" w:color="auto"/>
              <w:left w:val="single" w:sz="4" w:space="0" w:color="auto"/>
              <w:bottom w:val="single" w:sz="4" w:space="0" w:color="auto"/>
              <w:right w:val="single" w:sz="4" w:space="0" w:color="auto"/>
            </w:tcBorders>
          </w:tcPr>
          <w:p w14:paraId="2654046E"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52.629</w:t>
            </w:r>
          </w:p>
        </w:tc>
        <w:tc>
          <w:tcPr>
            <w:tcW w:w="1656" w:type="dxa"/>
            <w:gridSpan w:val="2"/>
            <w:tcBorders>
              <w:top w:val="single" w:sz="4" w:space="0" w:color="auto"/>
              <w:left w:val="single" w:sz="4" w:space="0" w:color="auto"/>
              <w:bottom w:val="single" w:sz="4" w:space="0" w:color="auto"/>
              <w:right w:val="single" w:sz="4" w:space="0" w:color="auto"/>
            </w:tcBorders>
          </w:tcPr>
          <w:p w14:paraId="003AA7A3" w14:textId="77777777"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44.360</w:t>
            </w:r>
          </w:p>
        </w:tc>
        <w:tc>
          <w:tcPr>
            <w:tcW w:w="2250" w:type="dxa"/>
            <w:tcBorders>
              <w:top w:val="single" w:sz="4" w:space="0" w:color="auto"/>
              <w:left w:val="single" w:sz="4" w:space="0" w:color="auto"/>
              <w:bottom w:val="single" w:sz="4" w:space="0" w:color="auto"/>
              <w:right w:val="single" w:sz="4" w:space="0" w:color="auto"/>
            </w:tcBorders>
            <w:vAlign w:val="bottom"/>
          </w:tcPr>
          <w:p w14:paraId="653DCA1D" w14:textId="77777777" w:rsidR="00E01509" w:rsidRPr="00CF10A3" w:rsidRDefault="00E7460A">
            <w:pPr>
              <w:spacing w:after="0"/>
              <w:rPr>
                <w:rFonts w:ascii="Times New Roman" w:eastAsia="Times New Roman" w:hAnsi="Times New Roman" w:cs="Times New Roman"/>
                <w:color w:val="000000"/>
                <w:sz w:val="24"/>
                <w:szCs w:val="24"/>
              </w:rPr>
            </w:pPr>
            <w:r w:rsidRPr="00CF10A3">
              <w:rPr>
                <w:rFonts w:ascii="Times New Roman" w:eastAsia="Times New Roman" w:hAnsi="Times New Roman" w:cs="Times New Roman"/>
                <w:sz w:val="24"/>
                <w:szCs w:val="24"/>
              </w:rPr>
              <w:t>53.295</w:t>
            </w:r>
          </w:p>
        </w:tc>
      </w:tr>
    </w:tbl>
    <w:p w14:paraId="55038687" w14:textId="77777777" w:rsidR="00E01509" w:rsidRPr="00CF10A3" w:rsidRDefault="00E7460A">
      <w:pPr>
        <w:pStyle w:val="NormalWeb"/>
        <w:spacing w:line="276" w:lineRule="auto"/>
        <w:jc w:val="both"/>
      </w:pPr>
      <w:r w:rsidRPr="00CF10A3">
        <w:t xml:space="preserve">Interestingly, the </w:t>
      </w:r>
      <w:r w:rsidRPr="00CF10A3">
        <w:rPr>
          <w:rStyle w:val="katex-mathml"/>
        </w:rPr>
        <w:t>ΔG</w:t>
      </w:r>
      <w:r w:rsidRPr="00CF10A3">
        <w:rPr>
          <w:rStyle w:val="katex-mathml"/>
          <w:vertAlign w:val="superscript"/>
        </w:rPr>
        <w:t>0</w:t>
      </w:r>
      <w:r w:rsidRPr="00CF10A3">
        <w:t xml:space="preserve"> values for Ni²⁺ at comparable temperatures were slightly lower than those for Cu²⁺, particularly at higher temperatures. This implies that despite the higher enthalpic cost associated with Ni²⁺ dehydration, the corresponding increase in entropy (</w:t>
      </w:r>
      <w:r w:rsidRPr="00CF10A3">
        <w:rPr>
          <w:rStyle w:val="katex-mathml"/>
        </w:rPr>
        <w:t>ΔS</w:t>
      </w:r>
      <w:r w:rsidRPr="00CF10A3">
        <w:rPr>
          <w:rStyle w:val="katex-mathml"/>
          <w:vertAlign w:val="superscript"/>
        </w:rPr>
        <w:t>0</w:t>
      </w:r>
      <w:r w:rsidRPr="00CF10A3">
        <w:t xml:space="preserve">) contributes significantly to lowering the free energy requirement at elevated temperatures. This enthalpy–entropy compensation effect has been reported in similar fatty acid–metal ion extractions, where the entropy gains from water release offsets the energy needed for dehydration and complexation (Matsumoto et al., 2014; </w:t>
      </w:r>
      <w:proofErr w:type="spellStart"/>
      <w:r w:rsidRPr="00CF10A3">
        <w:t>Gok</w:t>
      </w:r>
      <w:proofErr w:type="spellEnd"/>
      <w:r w:rsidRPr="00CF10A3">
        <w:t xml:space="preserve"> &amp; </w:t>
      </w:r>
      <w:proofErr w:type="spellStart"/>
      <w:r w:rsidRPr="00CF10A3">
        <w:t>Aytas</w:t>
      </w:r>
      <w:proofErr w:type="spellEnd"/>
      <w:r w:rsidRPr="00CF10A3">
        <w:t>, 2018).</w:t>
      </w:r>
    </w:p>
    <w:p w14:paraId="034CD0F9" w14:textId="77777777" w:rsidR="00D81B7F" w:rsidRPr="00CF10A3" w:rsidRDefault="00D81B7F">
      <w:pPr>
        <w:pStyle w:val="NormalWeb"/>
        <w:spacing w:line="276" w:lineRule="auto"/>
        <w:jc w:val="both"/>
        <w:rPr>
          <w:rStyle w:val="Strong"/>
          <w:rFonts w:eastAsiaTheme="majorEastAsia"/>
          <w:bCs w:val="0"/>
        </w:rPr>
      </w:pPr>
    </w:p>
    <w:p w14:paraId="34F99176" w14:textId="77777777" w:rsidR="00E01509" w:rsidRPr="00CF10A3" w:rsidRDefault="00E7460A">
      <w:pPr>
        <w:pStyle w:val="NormalWeb"/>
        <w:spacing w:line="276" w:lineRule="auto"/>
        <w:jc w:val="both"/>
        <w:rPr>
          <w:rStyle w:val="Strong"/>
          <w:rFonts w:eastAsiaTheme="majorEastAsia"/>
          <w:bCs w:val="0"/>
        </w:rPr>
      </w:pPr>
      <w:r w:rsidRPr="00CF10A3">
        <w:rPr>
          <w:rStyle w:val="Strong"/>
          <w:rFonts w:eastAsiaTheme="majorEastAsia"/>
          <w:bCs w:val="0"/>
        </w:rPr>
        <w:lastRenderedPageBreak/>
        <w:t>4.0 Conclusion</w:t>
      </w:r>
    </w:p>
    <w:p w14:paraId="654E2DC4" w14:textId="77777777" w:rsidR="00E01509" w:rsidRPr="00CF10A3" w:rsidRDefault="00E7460A">
      <w:pPr>
        <w:pStyle w:val="NormalWeb"/>
        <w:spacing w:line="276" w:lineRule="auto"/>
        <w:jc w:val="both"/>
      </w:pPr>
      <w:r w:rsidRPr="00CF10A3">
        <w:t xml:space="preserve">This study demonstrated the remarkable potential of </w:t>
      </w:r>
      <w:r w:rsidRPr="00CF10A3">
        <w:rPr>
          <w:rStyle w:val="Emphasis"/>
        </w:rPr>
        <w:t>Phaseolus vulgaris</w:t>
      </w:r>
      <w:r w:rsidRPr="00CF10A3">
        <w:t xml:space="preserve"> (common bean) oil as a green and biodegradable extractant for the removal of copper (Cu²⁺) and nickel (Ni²⁺) ions from aqueous solutions. Gas chromatographic profiling confirmed that the oil is composed predominantly of linoleic/oleic and palmitic acids, whose carboxyl and hydrocarbon groups provided abundant active sites for metal ion coordination. These natural fatty acids not only facilitated efficient binding of divalent cations but also contributed to the stability of the organic phase, making the oil a suitable candidate for sustainable extraction applications.</w:t>
      </w:r>
    </w:p>
    <w:p w14:paraId="033E9724" w14:textId="77777777" w:rsidR="00E01509" w:rsidRPr="00CF10A3" w:rsidRDefault="00E7460A">
      <w:pPr>
        <w:pStyle w:val="NormalWeb"/>
        <w:spacing w:line="276" w:lineRule="auto"/>
        <w:jc w:val="both"/>
      </w:pPr>
      <w:r w:rsidRPr="00CF10A3">
        <w:t>The extraction experiments revealed consistently high removal efficiencies, often exceeding 98.5% under a wide range of operational conditions, including variations in concentration, pH, temperature, and contact time. A notable finding was that reduced oil concentrations enhanced the removal efficiency, suggesting that excessive extractant loading could hinder the diffusion of ions at the interface and limit the accessibility of functional groups. This observation underscores the importance of optimizing extractant dosage for achieving maximum performance at minimal cost, which is essential for industrial-scale applications.</w:t>
      </w:r>
    </w:p>
    <w:p w14:paraId="1338F8E0" w14:textId="77777777" w:rsidR="00E01509" w:rsidRPr="00CF10A3" w:rsidRDefault="00E7460A">
      <w:pPr>
        <w:pStyle w:val="NormalWeb"/>
        <w:spacing w:line="276" w:lineRule="auto"/>
        <w:jc w:val="both"/>
      </w:pPr>
      <w:r w:rsidRPr="00CF10A3">
        <w:t>The influence of pH and temperature provided further insights into the extraction process. Optimal performance occurred at pH values between 5 and 6, a range consistent with the ionization of fatty acid functional groups and reduced electrostatic repulsion between the extractant and the metal ions. Similarly, rising temperatures increased removal efficiency, implying improved ion mobility and enhanced interaction at the oil water interface. These findings align with previous reports on plant-derived oils and fatty acids, further validating the role of natural extractants in metal recovery.</w:t>
      </w:r>
    </w:p>
    <w:p w14:paraId="0BB07715" w14:textId="77777777" w:rsidR="00E01509" w:rsidRPr="00CF10A3" w:rsidRDefault="00E7460A">
      <w:pPr>
        <w:pStyle w:val="NormalWeb"/>
        <w:spacing w:line="276" w:lineRule="auto"/>
        <w:jc w:val="both"/>
      </w:pPr>
      <w:r w:rsidRPr="00CF10A3">
        <w:t>Thermodynamic assessments indicated that while the process was feasible, it did not always display spontaneous behavior, pointing to a combined mechanism of interfacial complexation and diffusion. The positive enthalpy changes observed in some cases suggested endothermic contributions, while the entropy values highlighted increased molecular disorder during extraction. Together, these insights provide a mechanistic understanding of how fatty acid–metal interactions drive the separation process.</w:t>
      </w:r>
    </w:p>
    <w:p w14:paraId="0BD5129C" w14:textId="77777777" w:rsidR="00E01509" w:rsidRPr="00CF10A3" w:rsidRDefault="00E7460A">
      <w:pPr>
        <w:pStyle w:val="NormalWeb"/>
        <w:spacing w:line="276" w:lineRule="auto"/>
        <w:jc w:val="both"/>
      </w:pPr>
      <w:r w:rsidRPr="00CF10A3">
        <w:t xml:space="preserve">Overall, this research establishes </w:t>
      </w:r>
      <w:r w:rsidRPr="00CF10A3">
        <w:rPr>
          <w:rStyle w:val="Emphasis"/>
        </w:rPr>
        <w:t>P. vulgaris</w:t>
      </w:r>
      <w:r w:rsidRPr="00CF10A3">
        <w:t xml:space="preserve"> oil as a promising alternative to conventional petroleum-based solvents. It is biodegradable, non-toxic, widely available, and cost-effective, offering an eco-friendly solution for metal ion removal. Beyond laboratory-scale validation, the findings provide a foundation for scaling up to pilot and industrial levels, where the dual benefits of environmental safety and high performance are urgently needed. By aligning with global sustainability frameworks, wastewater treatment goals, and regulatory limits such as those set by the U.S. Environmental Protection Agency, the use of </w:t>
      </w:r>
      <w:r w:rsidRPr="00CF10A3">
        <w:rPr>
          <w:rStyle w:val="Emphasis"/>
        </w:rPr>
        <w:t>P. vulgaris</w:t>
      </w:r>
      <w:r w:rsidRPr="00CF10A3">
        <w:t xml:space="preserve"> oil can contribute to cleaner water resources, reduced ecological risks, and healthier communities.</w:t>
      </w:r>
    </w:p>
    <w:p w14:paraId="0837A412" w14:textId="77777777" w:rsidR="00957F9E" w:rsidRPr="00CF10A3" w:rsidRDefault="00957F9E">
      <w:pPr>
        <w:pStyle w:val="NormalWeb"/>
        <w:spacing w:line="276" w:lineRule="auto"/>
        <w:jc w:val="both"/>
        <w:rPr>
          <w:b/>
        </w:rPr>
      </w:pPr>
    </w:p>
    <w:p w14:paraId="599DFF42" w14:textId="77777777" w:rsidR="00E01509" w:rsidRPr="00CF10A3" w:rsidRDefault="00E7460A">
      <w:pPr>
        <w:pStyle w:val="NormalWeb"/>
        <w:spacing w:line="276" w:lineRule="auto"/>
        <w:jc w:val="both"/>
        <w:rPr>
          <w:rFonts w:eastAsiaTheme="majorEastAsia"/>
          <w:b/>
        </w:rPr>
      </w:pPr>
      <w:r w:rsidRPr="00CF10A3">
        <w:rPr>
          <w:b/>
        </w:rPr>
        <w:lastRenderedPageBreak/>
        <w:t>References</w:t>
      </w:r>
    </w:p>
    <w:p w14:paraId="7A9FB659" w14:textId="77777777" w:rsidR="00B56523" w:rsidRDefault="00B56523" w:rsidP="00B56523">
      <w:pPr>
        <w:pStyle w:val="NormalWeb"/>
        <w:spacing w:line="276" w:lineRule="auto"/>
        <w:ind w:left="360"/>
        <w:jc w:val="both"/>
      </w:pPr>
      <w:r w:rsidRPr="00B56523">
        <w:t xml:space="preserve">Abdel Salam, O. E., </w:t>
      </w:r>
      <w:proofErr w:type="spellStart"/>
      <w:r w:rsidRPr="00B56523">
        <w:t>Reiad</w:t>
      </w:r>
      <w:proofErr w:type="spellEnd"/>
      <w:r w:rsidRPr="00B56523">
        <w:t xml:space="preserve">, N. A., &amp; </w:t>
      </w:r>
      <w:proofErr w:type="spellStart"/>
      <w:r w:rsidRPr="00B56523">
        <w:t>ElShafei</w:t>
      </w:r>
      <w:proofErr w:type="spellEnd"/>
      <w:r w:rsidRPr="00B56523">
        <w:t xml:space="preserve">, M. M. (2011). A study of the removal characteristics of heavy metals from wastewater by low-cost adsorbents. Journal of Advanced Research, 2(4), 297–303. </w:t>
      </w:r>
      <w:hyperlink r:id="rId38" w:history="1">
        <w:r w:rsidRPr="005B7184">
          <w:rPr>
            <w:rStyle w:val="Hyperlink"/>
          </w:rPr>
          <w:t>https://doi.org/10.1016/J.JARE.2011.01.008</w:t>
        </w:r>
      </w:hyperlink>
      <w:r>
        <w:t xml:space="preserve"> </w:t>
      </w:r>
    </w:p>
    <w:p w14:paraId="1B9155CC" w14:textId="77777777" w:rsidR="00B56523" w:rsidRDefault="00B56523" w:rsidP="00B56523">
      <w:pPr>
        <w:pStyle w:val="NormalWeb"/>
        <w:spacing w:line="276" w:lineRule="auto"/>
        <w:ind w:left="360"/>
        <w:jc w:val="both"/>
      </w:pPr>
      <w:r w:rsidRPr="00B56523">
        <w:t xml:space="preserve">Alexander, J. A., </w:t>
      </w:r>
      <w:proofErr w:type="spellStart"/>
      <w:r w:rsidRPr="00B56523">
        <w:t>Nyong</w:t>
      </w:r>
      <w:proofErr w:type="spellEnd"/>
      <w:r w:rsidRPr="00B56523">
        <w:t xml:space="preserve">, A. E., </w:t>
      </w:r>
      <w:proofErr w:type="spellStart"/>
      <w:r w:rsidRPr="00B56523">
        <w:t>Ite</w:t>
      </w:r>
      <w:proofErr w:type="spellEnd"/>
      <w:r w:rsidRPr="00B56523">
        <w:t xml:space="preserve">, I. A., &amp; </w:t>
      </w:r>
      <w:proofErr w:type="spellStart"/>
      <w:r w:rsidRPr="00B56523">
        <w:t>Ibok</w:t>
      </w:r>
      <w:proofErr w:type="spellEnd"/>
      <w:r w:rsidRPr="00B56523">
        <w:t xml:space="preserve">, U. J. (2023). Extraction of Iron (II) and Nickel (II) Ions from Aqueous Solution Using Palm Kernel Oil </w:t>
      </w:r>
      <w:proofErr w:type="gramStart"/>
      <w:r w:rsidRPr="00B56523">
        <w:t>As</w:t>
      </w:r>
      <w:proofErr w:type="gramEnd"/>
      <w:r w:rsidRPr="00B56523">
        <w:t xml:space="preserve"> a Green Extractant. Researchers Journal of Science and Technology, 3(3), 44–58. </w:t>
      </w:r>
      <w:hyperlink r:id="rId39" w:history="1">
        <w:r w:rsidRPr="005B7184">
          <w:rPr>
            <w:rStyle w:val="Hyperlink"/>
          </w:rPr>
          <w:t>https://rejost.com.ng/index.php/home/article/view/72</w:t>
        </w:r>
      </w:hyperlink>
      <w:r>
        <w:t xml:space="preserve"> </w:t>
      </w:r>
    </w:p>
    <w:p w14:paraId="5FB4DFBC" w14:textId="77777777" w:rsidR="00B56523" w:rsidRDefault="00B56523" w:rsidP="00B56523">
      <w:pPr>
        <w:pStyle w:val="NormalWeb"/>
        <w:spacing w:line="276" w:lineRule="auto"/>
        <w:ind w:left="360"/>
        <w:jc w:val="both"/>
      </w:pPr>
      <w:r w:rsidRPr="00B56523">
        <w:t xml:space="preserve">Atkins, P., &amp; de Paula, J. (2010). Atkins’ physical chemistry (9th ed.). Oxford University Press. </w:t>
      </w:r>
      <w:hyperlink r:id="rId40" w:history="1">
        <w:r w:rsidRPr="005B7184">
          <w:rPr>
            <w:rStyle w:val="Hyperlink"/>
          </w:rPr>
          <w:t>https://global.oup.com/academic/product/atkins-physical-chemistry-9780198847816</w:t>
        </w:r>
      </w:hyperlink>
      <w:r>
        <w:t xml:space="preserve"> </w:t>
      </w:r>
    </w:p>
    <w:p w14:paraId="7F95CDD8" w14:textId="77777777" w:rsidR="00B56523" w:rsidRDefault="00B56523" w:rsidP="00B56523">
      <w:pPr>
        <w:pStyle w:val="NormalWeb"/>
        <w:spacing w:line="276" w:lineRule="auto"/>
        <w:ind w:left="360"/>
        <w:jc w:val="both"/>
      </w:pPr>
      <w:r w:rsidRPr="00B56523">
        <w:t xml:space="preserve">Barakat, M. A. (2011). New trends in removing heavy metals from industrial wastewater. Arabian Journal of Chemistry, 4(4), 361–377. </w:t>
      </w:r>
      <w:hyperlink r:id="rId41" w:history="1">
        <w:r w:rsidRPr="005B7184">
          <w:rPr>
            <w:rStyle w:val="Hyperlink"/>
          </w:rPr>
          <w:t>https://doi.org/10.1016/j.arabjc.2010.07.019</w:t>
        </w:r>
      </w:hyperlink>
      <w:r>
        <w:t xml:space="preserve"> </w:t>
      </w:r>
    </w:p>
    <w:p w14:paraId="16E5A629" w14:textId="2823C6FE" w:rsidR="007F52AD" w:rsidRPr="00CF10A3" w:rsidRDefault="007F52AD" w:rsidP="00B56523">
      <w:pPr>
        <w:pStyle w:val="NormalWeb"/>
        <w:spacing w:line="276" w:lineRule="auto"/>
        <w:ind w:left="360"/>
        <w:jc w:val="both"/>
      </w:pPr>
      <w:r w:rsidRPr="00CF10A3">
        <w:t xml:space="preserve">Carta, D., </w:t>
      </w:r>
      <w:proofErr w:type="spellStart"/>
      <w:r w:rsidRPr="00CF10A3">
        <w:t>Arca</w:t>
      </w:r>
      <w:proofErr w:type="spellEnd"/>
      <w:r w:rsidRPr="00CF10A3">
        <w:t xml:space="preserve">, A., &amp; </w:t>
      </w:r>
      <w:proofErr w:type="spellStart"/>
      <w:r w:rsidRPr="00CF10A3">
        <w:t>Pitzalis</w:t>
      </w:r>
      <w:proofErr w:type="spellEnd"/>
      <w:r w:rsidRPr="00CF10A3">
        <w:t xml:space="preserve">, F. (2017). Fatty acids as complexing agents for metal ions: Structures and chelating properties. </w:t>
      </w:r>
      <w:r w:rsidRPr="00CF10A3">
        <w:rPr>
          <w:rStyle w:val="Emphasis"/>
        </w:rPr>
        <w:t>Coordination Chemistry Reviews, 338</w:t>
      </w:r>
      <w:r w:rsidRPr="00CF10A3">
        <w:t>, 58–75.</w:t>
      </w:r>
    </w:p>
    <w:p w14:paraId="03243D74" w14:textId="77777777" w:rsidR="007F52AD" w:rsidRPr="00CF10A3" w:rsidRDefault="007F52AD" w:rsidP="00B56523">
      <w:pPr>
        <w:pStyle w:val="NormalWeb"/>
        <w:spacing w:line="276" w:lineRule="auto"/>
        <w:ind w:left="360"/>
        <w:jc w:val="both"/>
      </w:pPr>
      <w:r w:rsidRPr="00CF10A3">
        <w:t xml:space="preserve">Chang, Y. K. (2014). Application of green solvents in solvent extraction. </w:t>
      </w:r>
      <w:r w:rsidRPr="00CF10A3">
        <w:rPr>
          <w:rStyle w:val="Emphasis"/>
        </w:rPr>
        <w:t>Separation Science and Technology, 49</w:t>
      </w:r>
      <w:r w:rsidRPr="00CF10A3">
        <w:t>(14), 2210–2221.</w:t>
      </w:r>
    </w:p>
    <w:p w14:paraId="161E68F1" w14:textId="77777777" w:rsidR="00B56523" w:rsidRDefault="00B56523" w:rsidP="00B56523">
      <w:pPr>
        <w:pStyle w:val="NormalWeb"/>
        <w:spacing w:line="276" w:lineRule="auto"/>
        <w:ind w:left="360"/>
        <w:jc w:val="both"/>
      </w:pPr>
      <w:proofErr w:type="spellStart"/>
      <w:r w:rsidRPr="00B56523">
        <w:t>Dąbrowski</w:t>
      </w:r>
      <w:proofErr w:type="spellEnd"/>
      <w:r w:rsidRPr="00B56523">
        <w:t xml:space="preserve">, A., </w:t>
      </w:r>
      <w:proofErr w:type="spellStart"/>
      <w:r w:rsidRPr="00B56523">
        <w:t>Hubicki</w:t>
      </w:r>
      <w:proofErr w:type="spellEnd"/>
      <w:r w:rsidRPr="00B56523">
        <w:t xml:space="preserve">, Z., </w:t>
      </w:r>
      <w:proofErr w:type="spellStart"/>
      <w:r w:rsidRPr="00B56523">
        <w:t>Podkościelny</w:t>
      </w:r>
      <w:proofErr w:type="spellEnd"/>
      <w:r w:rsidRPr="00B56523">
        <w:t xml:space="preserve">, P., &amp; </w:t>
      </w:r>
      <w:proofErr w:type="spellStart"/>
      <w:r w:rsidRPr="00B56523">
        <w:t>Robens</w:t>
      </w:r>
      <w:proofErr w:type="spellEnd"/>
      <w:r w:rsidRPr="00B56523">
        <w:t xml:space="preserve">, E. (2004). Selective removal of the heavy metal ions from waters and industrial wastewaters by ion-exchange method. Chemosphere, 56(2), 91–106. </w:t>
      </w:r>
      <w:hyperlink r:id="rId42" w:history="1">
        <w:r w:rsidRPr="005B7184">
          <w:rPr>
            <w:rStyle w:val="Hyperlink"/>
          </w:rPr>
          <w:t>https://doi.org/10.1016/j.chemosphere.2004.03.006</w:t>
        </w:r>
      </w:hyperlink>
      <w:r>
        <w:t xml:space="preserve"> </w:t>
      </w:r>
    </w:p>
    <w:p w14:paraId="1B6DE7C8" w14:textId="77777777" w:rsidR="00B56523" w:rsidRDefault="00B56523" w:rsidP="00B56523">
      <w:pPr>
        <w:pStyle w:val="NormalWeb"/>
        <w:spacing w:line="276" w:lineRule="auto"/>
        <w:ind w:left="360"/>
        <w:jc w:val="both"/>
        <w:rPr>
          <w:rStyle w:val="Strong"/>
          <w:rFonts w:eastAsiaTheme="majorEastAsia"/>
          <w:b w:val="0"/>
        </w:rPr>
      </w:pPr>
      <w:r w:rsidRPr="00B56523">
        <w:rPr>
          <w:rStyle w:val="Strong"/>
          <w:rFonts w:eastAsiaTheme="majorEastAsia"/>
          <w:b w:val="0"/>
        </w:rPr>
        <w:t xml:space="preserve">Dada, A. O., Olalekan, A. P., </w:t>
      </w:r>
      <w:proofErr w:type="spellStart"/>
      <w:r w:rsidRPr="00B56523">
        <w:rPr>
          <w:rStyle w:val="Strong"/>
          <w:rFonts w:eastAsiaTheme="majorEastAsia"/>
          <w:b w:val="0"/>
        </w:rPr>
        <w:t>Olatunya</w:t>
      </w:r>
      <w:proofErr w:type="spellEnd"/>
      <w:r w:rsidRPr="00B56523">
        <w:rPr>
          <w:rStyle w:val="Strong"/>
          <w:rFonts w:eastAsiaTheme="majorEastAsia"/>
          <w:b w:val="0"/>
        </w:rPr>
        <w:t xml:space="preserve">, A. M., &amp; Dada, O. (2012). Langmuir, Freundlich, Temkin and </w:t>
      </w:r>
      <w:proofErr w:type="spellStart"/>
      <w:r w:rsidRPr="00B56523">
        <w:rPr>
          <w:rStyle w:val="Strong"/>
          <w:rFonts w:eastAsiaTheme="majorEastAsia"/>
          <w:b w:val="0"/>
        </w:rPr>
        <w:t>Dubinin</w:t>
      </w:r>
      <w:proofErr w:type="spellEnd"/>
      <w:r w:rsidRPr="00B56523">
        <w:rPr>
          <w:rStyle w:val="Strong"/>
          <w:rFonts w:eastAsiaTheme="majorEastAsia"/>
          <w:b w:val="0"/>
        </w:rPr>
        <w:t>–</w:t>
      </w:r>
      <w:proofErr w:type="spellStart"/>
      <w:r w:rsidRPr="00B56523">
        <w:rPr>
          <w:rStyle w:val="Strong"/>
          <w:rFonts w:eastAsiaTheme="majorEastAsia"/>
          <w:b w:val="0"/>
        </w:rPr>
        <w:t>Radushkevich</w:t>
      </w:r>
      <w:proofErr w:type="spellEnd"/>
      <w:r w:rsidRPr="00B56523">
        <w:rPr>
          <w:rStyle w:val="Strong"/>
          <w:rFonts w:eastAsiaTheme="majorEastAsia"/>
          <w:b w:val="0"/>
        </w:rPr>
        <w:t xml:space="preserve"> Isotherms Studies of Equilibrium Sorption of Zn²⁺ unto Phosphoric Acid Modified Rice Husk. IOSR Journal of Applied Chemistry, 3(1), 38–45. </w:t>
      </w:r>
      <w:hyperlink r:id="rId43" w:history="1">
        <w:r w:rsidRPr="005B7184">
          <w:rPr>
            <w:rStyle w:val="Hyperlink"/>
            <w:rFonts w:eastAsiaTheme="majorEastAsia"/>
          </w:rPr>
          <w:t>https://doi.org/10.9790/5736-0313845</w:t>
        </w:r>
      </w:hyperlink>
      <w:r>
        <w:rPr>
          <w:rStyle w:val="Strong"/>
          <w:rFonts w:eastAsiaTheme="majorEastAsia"/>
          <w:b w:val="0"/>
        </w:rPr>
        <w:t xml:space="preserve"> </w:t>
      </w:r>
    </w:p>
    <w:p w14:paraId="2FF9C8E9" w14:textId="436882C7" w:rsidR="007F52AD" w:rsidRPr="00CF10A3" w:rsidRDefault="007F52AD" w:rsidP="00B56523">
      <w:pPr>
        <w:pStyle w:val="NormalWeb"/>
        <w:spacing w:line="276" w:lineRule="auto"/>
        <w:ind w:left="360"/>
        <w:jc w:val="both"/>
      </w:pPr>
      <w:proofErr w:type="spellStart"/>
      <w:r w:rsidRPr="00CF10A3">
        <w:t>Daneshfar</w:t>
      </w:r>
      <w:proofErr w:type="spellEnd"/>
      <w:r w:rsidRPr="00CF10A3">
        <w:t xml:space="preserve">, A., &amp; </w:t>
      </w:r>
      <w:proofErr w:type="spellStart"/>
      <w:r w:rsidRPr="00CF10A3">
        <w:t>Ghaedi</w:t>
      </w:r>
      <w:proofErr w:type="spellEnd"/>
      <w:r w:rsidRPr="00CF10A3">
        <w:t xml:space="preserve">, M. (2010). pH-dependent extraction and complexation behavior of metal ions with organic extractants. </w:t>
      </w:r>
      <w:r w:rsidRPr="00CF10A3">
        <w:rPr>
          <w:rStyle w:val="Emphasis"/>
        </w:rPr>
        <w:t>Journal of Hazardous Materials, 178</w:t>
      </w:r>
      <w:r w:rsidRPr="00CF10A3">
        <w:t>(1–3), 408–414.</w:t>
      </w:r>
    </w:p>
    <w:p w14:paraId="1C9D7135" w14:textId="77777777" w:rsidR="007F52AD" w:rsidRPr="00CF10A3" w:rsidRDefault="007F52AD" w:rsidP="00B56523">
      <w:pPr>
        <w:pStyle w:val="NormalWeb"/>
        <w:spacing w:line="276" w:lineRule="auto"/>
        <w:ind w:left="360"/>
        <w:jc w:val="both"/>
      </w:pPr>
      <w:proofErr w:type="spellStart"/>
      <w:r w:rsidRPr="00CF10A3">
        <w:t>Darfizzi</w:t>
      </w:r>
      <w:proofErr w:type="spellEnd"/>
      <w:r w:rsidRPr="00CF10A3">
        <w:t xml:space="preserve">, A. R., </w:t>
      </w:r>
      <w:proofErr w:type="spellStart"/>
      <w:r w:rsidRPr="00CF10A3">
        <w:t>Norhisyam</w:t>
      </w:r>
      <w:proofErr w:type="spellEnd"/>
      <w:r w:rsidRPr="00CF10A3">
        <w:t xml:space="preserve">, N., Juliana, W. A. W., &amp; </w:t>
      </w:r>
      <w:proofErr w:type="spellStart"/>
      <w:r w:rsidRPr="00CF10A3">
        <w:t>Rohana</w:t>
      </w:r>
      <w:proofErr w:type="spellEnd"/>
      <w:r w:rsidRPr="00CF10A3">
        <w:t xml:space="preserve">, A. R. (2017). Identification of fatty acid methyl esters in Malaysian </w:t>
      </w:r>
      <w:r w:rsidRPr="00CF10A3">
        <w:rPr>
          <w:rStyle w:val="Emphasis"/>
        </w:rPr>
        <w:t xml:space="preserve">Jatropha </w:t>
      </w:r>
      <w:proofErr w:type="spellStart"/>
      <w:r w:rsidRPr="00CF10A3">
        <w:rPr>
          <w:rStyle w:val="Emphasis"/>
        </w:rPr>
        <w:t>curcas</w:t>
      </w:r>
      <w:proofErr w:type="spellEnd"/>
      <w:r w:rsidRPr="00CF10A3">
        <w:t xml:space="preserve"> seed oil using GC-MS. </w:t>
      </w:r>
      <w:r w:rsidRPr="00CF10A3">
        <w:rPr>
          <w:rStyle w:val="Emphasis"/>
        </w:rPr>
        <w:t>Malaysian Journal of Analytical Sciences, 21</w:t>
      </w:r>
      <w:r w:rsidRPr="00CF10A3">
        <w:t>(1), 37–45.</w:t>
      </w:r>
    </w:p>
    <w:p w14:paraId="3B49B9C2" w14:textId="77777777" w:rsidR="00B56523" w:rsidRDefault="00B56523" w:rsidP="00B56523">
      <w:pPr>
        <w:pStyle w:val="NormalWeb"/>
        <w:spacing w:line="276" w:lineRule="auto"/>
        <w:ind w:left="360"/>
        <w:jc w:val="both"/>
      </w:pPr>
      <w:r w:rsidRPr="00B56523">
        <w:t xml:space="preserve">Effiong, J. F., </w:t>
      </w:r>
      <w:proofErr w:type="spellStart"/>
      <w:r w:rsidRPr="00B56523">
        <w:t>Nyong</w:t>
      </w:r>
      <w:proofErr w:type="spellEnd"/>
      <w:r w:rsidRPr="00B56523">
        <w:t xml:space="preserve">, A. E., </w:t>
      </w:r>
      <w:proofErr w:type="spellStart"/>
      <w:r w:rsidRPr="00B56523">
        <w:t>Boekom</w:t>
      </w:r>
      <w:proofErr w:type="spellEnd"/>
      <w:r w:rsidRPr="00B56523">
        <w:t xml:space="preserve">, E. J., &amp; Simon, N. (2023). Photocatalytic Degradation and Kinetics of Dyes in Textile Effluent Using UV – </w:t>
      </w:r>
      <w:proofErr w:type="spellStart"/>
      <w:r w:rsidRPr="00B56523">
        <w:t>ZnO</w:t>
      </w:r>
      <w:proofErr w:type="spellEnd"/>
      <w:r w:rsidRPr="00B56523">
        <w:t xml:space="preserve">-Al System. Asian Journal of Applied Chemistry Research. </w:t>
      </w:r>
      <w:hyperlink r:id="rId44" w:history="1">
        <w:r w:rsidRPr="005B7184">
          <w:rPr>
            <w:rStyle w:val="Hyperlink"/>
          </w:rPr>
          <w:t>https://doi.org/10.9734/ajacr/2023/v13i2240</w:t>
        </w:r>
      </w:hyperlink>
      <w:r>
        <w:t xml:space="preserve"> </w:t>
      </w:r>
    </w:p>
    <w:p w14:paraId="73EE2A57" w14:textId="77777777" w:rsidR="00B56523" w:rsidRDefault="00B56523" w:rsidP="00B56523">
      <w:pPr>
        <w:pStyle w:val="NormalWeb"/>
        <w:spacing w:line="276" w:lineRule="auto"/>
        <w:ind w:left="360"/>
        <w:jc w:val="both"/>
      </w:pPr>
      <w:r w:rsidRPr="00B56523">
        <w:lastRenderedPageBreak/>
        <w:t xml:space="preserve">Effiong, J. F., </w:t>
      </w:r>
      <w:proofErr w:type="spellStart"/>
      <w:r w:rsidRPr="00B56523">
        <w:t>Nyong</w:t>
      </w:r>
      <w:proofErr w:type="spellEnd"/>
      <w:r w:rsidRPr="00B56523">
        <w:t xml:space="preserve">, A. E., </w:t>
      </w:r>
      <w:proofErr w:type="spellStart"/>
      <w:r w:rsidRPr="00B56523">
        <w:t>Obadimu</w:t>
      </w:r>
      <w:proofErr w:type="spellEnd"/>
      <w:r w:rsidRPr="00B56523">
        <w:t xml:space="preserve">, C., &amp; Udoh, G. (2023). Photocatalytic degradation and kinetics of dyes in textile effluent using UV – TiO2-W system. J. Mater. Environ. Sci., 14(8), 935-946. </w:t>
      </w:r>
      <w:hyperlink r:id="rId45" w:history="1">
        <w:r w:rsidRPr="005B7184">
          <w:rPr>
            <w:rStyle w:val="Hyperlink"/>
          </w:rPr>
          <w:t>http://www.jmaterenvironsci.com/2023/Vol14N8/JMES-2023-14-8-935-946.pdf</w:t>
        </w:r>
      </w:hyperlink>
      <w:r>
        <w:t xml:space="preserve"> </w:t>
      </w:r>
    </w:p>
    <w:p w14:paraId="4F9F0E1E" w14:textId="77777777" w:rsidR="00B56523" w:rsidRDefault="00B56523" w:rsidP="00B56523">
      <w:pPr>
        <w:pStyle w:val="NormalWeb"/>
        <w:spacing w:line="276" w:lineRule="auto"/>
        <w:ind w:left="360"/>
        <w:jc w:val="both"/>
      </w:pPr>
      <w:r w:rsidRPr="00B56523">
        <w:t xml:space="preserve">Fu, F., &amp; Wang, Q. (2011). Removal of heavy metal ions from wastewaters: A review. Journal of Environmental Management, 92(3), 407–418. </w:t>
      </w:r>
      <w:hyperlink r:id="rId46" w:history="1">
        <w:r w:rsidRPr="005B7184">
          <w:rPr>
            <w:rStyle w:val="Hyperlink"/>
          </w:rPr>
          <w:t>https://doi.org/10.1016/j.jenvman.2010.11.011</w:t>
        </w:r>
      </w:hyperlink>
      <w:r>
        <w:t xml:space="preserve"> </w:t>
      </w:r>
    </w:p>
    <w:p w14:paraId="6294C42D" w14:textId="2F725120" w:rsidR="007F52AD" w:rsidRPr="00CF10A3" w:rsidRDefault="007F52AD" w:rsidP="00B56523">
      <w:pPr>
        <w:pStyle w:val="NormalWeb"/>
        <w:spacing w:line="276" w:lineRule="auto"/>
        <w:ind w:left="360"/>
        <w:jc w:val="both"/>
      </w:pPr>
      <w:r w:rsidRPr="00CF10A3">
        <w:t xml:space="preserve">Halim, M. A., Kurniawan, T. A., &amp; </w:t>
      </w:r>
      <w:proofErr w:type="spellStart"/>
      <w:r w:rsidRPr="00CF10A3">
        <w:t>Sulaiman</w:t>
      </w:r>
      <w:proofErr w:type="spellEnd"/>
      <w:r w:rsidRPr="00CF10A3">
        <w:t xml:space="preserve">, N. M. N. (2020). Emerging treatment technologies for removal of metal ions from industrial wastewater: A review. </w:t>
      </w:r>
      <w:r w:rsidRPr="00CF10A3">
        <w:rPr>
          <w:rStyle w:val="Emphasis"/>
        </w:rPr>
        <w:t>Desalination and Water Treatment, 199</w:t>
      </w:r>
      <w:r w:rsidRPr="00CF10A3">
        <w:t>, 123–142.</w:t>
      </w:r>
    </w:p>
    <w:p w14:paraId="57F5D8E8" w14:textId="77777777" w:rsidR="00B56523" w:rsidRDefault="00B56523" w:rsidP="00B56523">
      <w:pPr>
        <w:pStyle w:val="NormalWeb"/>
        <w:spacing w:line="276" w:lineRule="auto"/>
        <w:ind w:left="360"/>
        <w:jc w:val="both"/>
      </w:pPr>
      <w:r w:rsidRPr="00B56523">
        <w:t xml:space="preserve">Ho, Y. S., &amp; McKay, G. (1999). Pseudo-second order model for sorption processes. Process Biochemistry, 34(5), 451–465. </w:t>
      </w:r>
      <w:hyperlink r:id="rId47" w:history="1">
        <w:r w:rsidRPr="005B7184">
          <w:rPr>
            <w:rStyle w:val="Hyperlink"/>
          </w:rPr>
          <w:t>https://doi.org/10.1016/S0032-9592(98)00112-5</w:t>
        </w:r>
      </w:hyperlink>
      <w:r>
        <w:t xml:space="preserve"> </w:t>
      </w:r>
    </w:p>
    <w:p w14:paraId="49386A67" w14:textId="77777777" w:rsidR="00B56523" w:rsidRDefault="00B56523" w:rsidP="00B56523">
      <w:pPr>
        <w:ind w:left="360"/>
        <w:jc w:val="both"/>
        <w:rPr>
          <w:rFonts w:ascii="Times New Roman" w:eastAsia="Times New Roman" w:hAnsi="Times New Roman" w:cs="Times New Roman"/>
          <w:sz w:val="24"/>
          <w:szCs w:val="24"/>
        </w:rPr>
      </w:pPr>
      <w:proofErr w:type="spellStart"/>
      <w:r w:rsidRPr="00B56523">
        <w:rPr>
          <w:rFonts w:ascii="Times New Roman" w:eastAsia="Times New Roman" w:hAnsi="Times New Roman" w:cs="Times New Roman"/>
          <w:sz w:val="24"/>
          <w:szCs w:val="24"/>
        </w:rPr>
        <w:t>Ite</w:t>
      </w:r>
      <w:proofErr w:type="spellEnd"/>
      <w:r w:rsidRPr="00B56523">
        <w:rPr>
          <w:rFonts w:ascii="Times New Roman" w:eastAsia="Times New Roman" w:hAnsi="Times New Roman" w:cs="Times New Roman"/>
          <w:sz w:val="24"/>
          <w:szCs w:val="24"/>
        </w:rPr>
        <w:t xml:space="preserve">, I. A., </w:t>
      </w:r>
      <w:proofErr w:type="spellStart"/>
      <w:r w:rsidRPr="00B56523">
        <w:rPr>
          <w:rFonts w:ascii="Times New Roman" w:eastAsia="Times New Roman" w:hAnsi="Times New Roman" w:cs="Times New Roman"/>
          <w:sz w:val="24"/>
          <w:szCs w:val="24"/>
        </w:rPr>
        <w:t>Nyong</w:t>
      </w:r>
      <w:proofErr w:type="spellEnd"/>
      <w:r w:rsidRPr="00B56523">
        <w:rPr>
          <w:rFonts w:ascii="Times New Roman" w:eastAsia="Times New Roman" w:hAnsi="Times New Roman" w:cs="Times New Roman"/>
          <w:sz w:val="24"/>
          <w:szCs w:val="24"/>
        </w:rPr>
        <w:t xml:space="preserve">, A. E., </w:t>
      </w:r>
      <w:proofErr w:type="spellStart"/>
      <w:r w:rsidRPr="00B56523">
        <w:rPr>
          <w:rFonts w:ascii="Times New Roman" w:eastAsia="Times New Roman" w:hAnsi="Times New Roman" w:cs="Times New Roman"/>
          <w:sz w:val="24"/>
          <w:szCs w:val="24"/>
        </w:rPr>
        <w:t>Ite</w:t>
      </w:r>
      <w:proofErr w:type="spellEnd"/>
      <w:r w:rsidRPr="00B56523">
        <w:rPr>
          <w:rFonts w:ascii="Times New Roman" w:eastAsia="Times New Roman" w:hAnsi="Times New Roman" w:cs="Times New Roman"/>
          <w:sz w:val="24"/>
          <w:szCs w:val="24"/>
        </w:rPr>
        <w:t xml:space="preserve">, A. E., Alexander, J. A., &amp; </w:t>
      </w:r>
      <w:proofErr w:type="spellStart"/>
      <w:r w:rsidRPr="00B56523">
        <w:rPr>
          <w:rFonts w:ascii="Times New Roman" w:eastAsia="Times New Roman" w:hAnsi="Times New Roman" w:cs="Times New Roman"/>
          <w:sz w:val="24"/>
          <w:szCs w:val="24"/>
        </w:rPr>
        <w:t>Ibok</w:t>
      </w:r>
      <w:proofErr w:type="spellEnd"/>
      <w:r w:rsidRPr="00B56523">
        <w:rPr>
          <w:rFonts w:ascii="Times New Roman" w:eastAsia="Times New Roman" w:hAnsi="Times New Roman" w:cs="Times New Roman"/>
          <w:sz w:val="24"/>
          <w:szCs w:val="24"/>
        </w:rPr>
        <w:t xml:space="preserve">, U. J. (2023). Phase Transfer-Mediated Removal of Copper (II) and Zinc (II) Ions from Aqueous Solution. Researchers Journal of Science and Technology, 3(2), 15–30. </w:t>
      </w:r>
      <w:hyperlink r:id="rId48" w:history="1">
        <w:r w:rsidRPr="005B7184">
          <w:rPr>
            <w:rStyle w:val="Hyperlink"/>
            <w:rFonts w:ascii="Times New Roman" w:eastAsia="Times New Roman" w:hAnsi="Times New Roman" w:cs="Times New Roman"/>
            <w:sz w:val="24"/>
            <w:szCs w:val="24"/>
          </w:rPr>
          <w:t>https://rejost.com.ng/index.php/home/article/view/55</w:t>
        </w:r>
      </w:hyperlink>
      <w:r>
        <w:rPr>
          <w:rFonts w:ascii="Times New Roman" w:eastAsia="Times New Roman" w:hAnsi="Times New Roman" w:cs="Times New Roman"/>
          <w:sz w:val="24"/>
          <w:szCs w:val="24"/>
        </w:rPr>
        <w:t xml:space="preserve"> </w:t>
      </w:r>
    </w:p>
    <w:p w14:paraId="36BCB984" w14:textId="572889B9" w:rsidR="007F52AD" w:rsidRPr="00B56523" w:rsidRDefault="007F52AD" w:rsidP="00B56523">
      <w:pPr>
        <w:ind w:left="360"/>
        <w:jc w:val="both"/>
        <w:rPr>
          <w:rFonts w:ascii="Times New Roman" w:hAnsi="Times New Roman" w:cs="Times New Roman"/>
          <w:sz w:val="24"/>
          <w:szCs w:val="24"/>
        </w:rPr>
      </w:pPr>
      <w:proofErr w:type="spellStart"/>
      <w:r w:rsidRPr="00B56523">
        <w:rPr>
          <w:rFonts w:ascii="Times New Roman" w:hAnsi="Times New Roman" w:cs="Times New Roman"/>
          <w:sz w:val="24"/>
          <w:szCs w:val="24"/>
        </w:rPr>
        <w:t>Javed</w:t>
      </w:r>
      <w:proofErr w:type="spellEnd"/>
      <w:r w:rsidRPr="00B56523">
        <w:rPr>
          <w:rFonts w:ascii="Times New Roman" w:hAnsi="Times New Roman" w:cs="Times New Roman"/>
          <w:sz w:val="24"/>
          <w:szCs w:val="24"/>
        </w:rPr>
        <w:t xml:space="preserve">, R., Ahmed, M., &amp; Iqbal, M. (2017). </w:t>
      </w:r>
      <w:r w:rsidRPr="00B56523">
        <w:rPr>
          <w:rStyle w:val="Emphasis"/>
          <w:rFonts w:ascii="Times New Roman" w:hAnsi="Times New Roman" w:cs="Times New Roman"/>
          <w:sz w:val="24"/>
          <w:szCs w:val="24"/>
        </w:rPr>
        <w:t>Sorption of metal ions using functionalized bio-based materials: A review.</w:t>
      </w:r>
      <w:r w:rsidRPr="00B56523">
        <w:rPr>
          <w:rFonts w:ascii="Times New Roman" w:hAnsi="Times New Roman" w:cs="Times New Roman"/>
          <w:sz w:val="24"/>
          <w:szCs w:val="24"/>
        </w:rPr>
        <w:t xml:space="preserve"> Chemosphere, 167, 255–266.</w:t>
      </w:r>
    </w:p>
    <w:p w14:paraId="0125DA78" w14:textId="77777777" w:rsidR="007F52AD" w:rsidRPr="00CF10A3" w:rsidRDefault="007F52AD" w:rsidP="00B56523">
      <w:pPr>
        <w:pStyle w:val="NormalWeb"/>
        <w:spacing w:line="276" w:lineRule="auto"/>
        <w:ind w:left="360"/>
        <w:jc w:val="both"/>
      </w:pPr>
      <w:proofErr w:type="spellStart"/>
      <w:r w:rsidRPr="00CF10A3">
        <w:t>Juang</w:t>
      </w:r>
      <w:proofErr w:type="spellEnd"/>
      <w:r w:rsidRPr="00CF10A3">
        <w:t xml:space="preserve">, R. S., &amp; Lee, S. H. (2002). </w:t>
      </w:r>
      <w:r w:rsidRPr="00CF10A3">
        <w:rPr>
          <w:rStyle w:val="Emphasis"/>
          <w:i w:val="0"/>
        </w:rPr>
        <w:t>Equilibrium and kinetics of metal extraction with carboxylic acids: Effect of fatty acid chain structure</w:t>
      </w:r>
      <w:r w:rsidRPr="00CF10A3">
        <w:t xml:space="preserve">. </w:t>
      </w:r>
      <w:r w:rsidRPr="00CF10A3">
        <w:rPr>
          <w:rStyle w:val="Strong"/>
          <w:b w:val="0"/>
          <w:i/>
        </w:rPr>
        <w:t>Journal of Chemical Technology and Biotechnology</w:t>
      </w:r>
      <w:r w:rsidRPr="00CF10A3">
        <w:rPr>
          <w:rStyle w:val="Strong"/>
          <w:b w:val="0"/>
        </w:rPr>
        <w:t>, 77</w:t>
      </w:r>
      <w:r w:rsidRPr="00CF10A3">
        <w:t>, 1261–1269.</w:t>
      </w:r>
    </w:p>
    <w:p w14:paraId="243AD515" w14:textId="77777777" w:rsidR="007F52AD" w:rsidRPr="00CF10A3" w:rsidRDefault="007F52AD" w:rsidP="00B56523">
      <w:pPr>
        <w:pStyle w:val="NormalWeb"/>
        <w:spacing w:line="276" w:lineRule="auto"/>
        <w:ind w:left="360"/>
        <w:jc w:val="both"/>
      </w:pPr>
      <w:proofErr w:type="spellStart"/>
      <w:r w:rsidRPr="00CF10A3">
        <w:t>Kalhapure</w:t>
      </w:r>
      <w:proofErr w:type="spellEnd"/>
      <w:r w:rsidRPr="00CF10A3">
        <w:t xml:space="preserve">, R. S., &amp; </w:t>
      </w:r>
      <w:proofErr w:type="spellStart"/>
      <w:r w:rsidRPr="00CF10A3">
        <w:t>Akamanchi</w:t>
      </w:r>
      <w:proofErr w:type="spellEnd"/>
      <w:r w:rsidRPr="00CF10A3">
        <w:t xml:space="preserve">, K. G. (2013). Biodegradable fatty acid-based ionic liquids: New medium for extraction of heavy metal ions. </w:t>
      </w:r>
      <w:r w:rsidRPr="00CF10A3">
        <w:rPr>
          <w:rStyle w:val="Emphasis"/>
        </w:rPr>
        <w:t>Separation and Purification Technology, 107</w:t>
      </w:r>
      <w:r w:rsidRPr="00CF10A3">
        <w:t>, 97–102.</w:t>
      </w:r>
    </w:p>
    <w:p w14:paraId="000D55E9" w14:textId="77777777" w:rsidR="007F52AD" w:rsidRPr="00CF10A3" w:rsidRDefault="007F52AD" w:rsidP="00B56523">
      <w:pPr>
        <w:pStyle w:val="NormalWeb"/>
        <w:spacing w:line="276" w:lineRule="auto"/>
        <w:ind w:left="360"/>
        <w:jc w:val="both"/>
      </w:pPr>
      <w:r w:rsidRPr="00CF10A3">
        <w:t xml:space="preserve">Le </w:t>
      </w:r>
      <w:proofErr w:type="spellStart"/>
      <w:r w:rsidRPr="00CF10A3">
        <w:t>Châtelier</w:t>
      </w:r>
      <w:proofErr w:type="spellEnd"/>
      <w:r w:rsidRPr="00CF10A3">
        <w:t xml:space="preserve">, H. (2011). </w:t>
      </w:r>
      <w:r w:rsidRPr="00CF10A3">
        <w:rPr>
          <w:rStyle w:val="Emphasis"/>
        </w:rPr>
        <w:t xml:space="preserve">Le </w:t>
      </w:r>
      <w:proofErr w:type="spellStart"/>
      <w:r w:rsidRPr="00CF10A3">
        <w:rPr>
          <w:rStyle w:val="Emphasis"/>
        </w:rPr>
        <w:t>Châtelier’s</w:t>
      </w:r>
      <w:proofErr w:type="spellEnd"/>
      <w:r w:rsidRPr="00CF10A3">
        <w:rPr>
          <w:rStyle w:val="Emphasis"/>
        </w:rPr>
        <w:t xml:space="preserve"> principle: Chemical equilibrium and response to disturbance</w:t>
      </w:r>
      <w:r w:rsidRPr="00CF10A3">
        <w:t xml:space="preserve"> (Original work published 1884). Dover Publications.</w:t>
      </w:r>
    </w:p>
    <w:p w14:paraId="6C05C609" w14:textId="77777777" w:rsidR="00A24042" w:rsidRDefault="00A24042" w:rsidP="00B56523">
      <w:pPr>
        <w:pStyle w:val="NormalWeb"/>
        <w:spacing w:line="276" w:lineRule="auto"/>
        <w:ind w:left="360"/>
        <w:jc w:val="both"/>
      </w:pPr>
      <w:proofErr w:type="spellStart"/>
      <w:r w:rsidRPr="00A24042">
        <w:t>Testolin</w:t>
      </w:r>
      <w:proofErr w:type="spellEnd"/>
      <w:r w:rsidRPr="00A24042">
        <w:t xml:space="preserve">, R. C., Mater, L., </w:t>
      </w:r>
      <w:proofErr w:type="spellStart"/>
      <w:r w:rsidRPr="00A24042">
        <w:t>Sanches-Simões</w:t>
      </w:r>
      <w:proofErr w:type="spellEnd"/>
      <w:r w:rsidRPr="00A24042">
        <w:t xml:space="preserve">, E., &amp; Dal Conti-Lampert, A. (2020). Comparison of the mineralization and biodegradation efficiency of the Fenton reaction and Ozone in the treatment of crude petroleum-contaminated water. Journal of Environmental Chemical Engineering, 8(5), 104265. </w:t>
      </w:r>
      <w:hyperlink r:id="rId49" w:history="1">
        <w:r w:rsidRPr="005B7184">
          <w:rPr>
            <w:rStyle w:val="Hyperlink"/>
          </w:rPr>
          <w:t>https://doi.org/10.1016/j.jece.2020.104265</w:t>
        </w:r>
      </w:hyperlink>
      <w:r>
        <w:t xml:space="preserve"> </w:t>
      </w:r>
    </w:p>
    <w:p w14:paraId="5706CCA8" w14:textId="2F6FB880" w:rsidR="007F52AD" w:rsidRPr="00CF10A3" w:rsidRDefault="007F52AD" w:rsidP="00B56523">
      <w:pPr>
        <w:pStyle w:val="NormalWeb"/>
        <w:spacing w:line="276" w:lineRule="auto"/>
        <w:ind w:left="360"/>
        <w:jc w:val="both"/>
      </w:pPr>
      <w:r w:rsidRPr="00CF10A3">
        <w:rPr>
          <w:rStyle w:val="Strong"/>
          <w:rFonts w:eastAsiaTheme="majorEastAsia"/>
          <w:b w:val="0"/>
        </w:rPr>
        <w:t>Meitei, M. D., &amp; Prasad, M. N. V.</w:t>
      </w:r>
      <w:r w:rsidRPr="00CF10A3">
        <w:t xml:space="preserve"> (2013). </w:t>
      </w:r>
      <w:proofErr w:type="gramStart"/>
      <w:r w:rsidRPr="00CF10A3">
        <w:t>Lead(</w:t>
      </w:r>
      <w:proofErr w:type="gramEnd"/>
      <w:r w:rsidRPr="00CF10A3">
        <w:t xml:space="preserve">II) and cadmium(II) biosorption on </w:t>
      </w:r>
      <w:proofErr w:type="spellStart"/>
      <w:r w:rsidRPr="00CF10A3">
        <w:rPr>
          <w:rStyle w:val="Emphasis"/>
          <w:rFonts w:eastAsiaTheme="majorEastAsia"/>
        </w:rPr>
        <w:t>Spirodela</w:t>
      </w:r>
      <w:proofErr w:type="spellEnd"/>
      <w:r w:rsidRPr="00CF10A3">
        <w:rPr>
          <w:rStyle w:val="Emphasis"/>
          <w:rFonts w:eastAsiaTheme="majorEastAsia"/>
        </w:rPr>
        <w:t xml:space="preserve"> </w:t>
      </w:r>
      <w:proofErr w:type="spellStart"/>
      <w:r w:rsidRPr="00CF10A3">
        <w:rPr>
          <w:rStyle w:val="Emphasis"/>
          <w:rFonts w:eastAsiaTheme="majorEastAsia"/>
        </w:rPr>
        <w:t>polyrhiza</w:t>
      </w:r>
      <w:proofErr w:type="spellEnd"/>
      <w:r w:rsidRPr="00CF10A3">
        <w:t xml:space="preserve"> (L.) Schleiden biomass. </w:t>
      </w:r>
      <w:r w:rsidRPr="00CF10A3">
        <w:rPr>
          <w:rStyle w:val="Emphasis"/>
          <w:rFonts w:eastAsiaTheme="majorEastAsia"/>
        </w:rPr>
        <w:t>Journal of Environmental Chemical Engineering, 1</w:t>
      </w:r>
      <w:r w:rsidRPr="00CF10A3">
        <w:t>(3), 200–207. https://doi.org/10.1016/j.jece.2013.04.010</w:t>
      </w:r>
    </w:p>
    <w:p w14:paraId="09BDF20C" w14:textId="77777777" w:rsidR="00A24042" w:rsidRDefault="00A24042" w:rsidP="00B56523">
      <w:pPr>
        <w:pStyle w:val="NormalWeb"/>
        <w:spacing w:line="276" w:lineRule="auto"/>
        <w:ind w:left="360"/>
        <w:jc w:val="both"/>
        <w:rPr>
          <w:rFonts w:eastAsia="SimSun"/>
          <w:shd w:val="clear" w:color="auto" w:fill="FFFFFF"/>
          <w:lang w:eastAsia="zh-CN"/>
        </w:rPr>
      </w:pPr>
      <w:proofErr w:type="spellStart"/>
      <w:r w:rsidRPr="00A24042">
        <w:rPr>
          <w:rFonts w:eastAsia="SimSun"/>
          <w:shd w:val="clear" w:color="auto" w:fill="FFFFFF"/>
          <w:lang w:eastAsia="zh-CN"/>
        </w:rPr>
        <w:lastRenderedPageBreak/>
        <w:t>Nyong</w:t>
      </w:r>
      <w:proofErr w:type="spellEnd"/>
      <w:r w:rsidRPr="00A24042">
        <w:rPr>
          <w:rFonts w:eastAsia="SimSun"/>
          <w:shd w:val="clear" w:color="auto" w:fill="FFFFFF"/>
          <w:lang w:eastAsia="zh-CN"/>
        </w:rPr>
        <w:t xml:space="preserve">, A., </w:t>
      </w:r>
      <w:proofErr w:type="spellStart"/>
      <w:r w:rsidRPr="00A24042">
        <w:rPr>
          <w:rFonts w:eastAsia="SimSun"/>
          <w:shd w:val="clear" w:color="auto" w:fill="FFFFFF"/>
          <w:lang w:eastAsia="zh-CN"/>
        </w:rPr>
        <w:t>Nsi</w:t>
      </w:r>
      <w:proofErr w:type="spellEnd"/>
      <w:r w:rsidRPr="00A24042">
        <w:rPr>
          <w:rFonts w:eastAsia="SimSun"/>
          <w:shd w:val="clear" w:color="auto" w:fill="FFFFFF"/>
          <w:lang w:eastAsia="zh-CN"/>
        </w:rPr>
        <w:t xml:space="preserve">, E., </w:t>
      </w:r>
      <w:proofErr w:type="spellStart"/>
      <w:r w:rsidRPr="00A24042">
        <w:rPr>
          <w:rFonts w:eastAsia="SimSun"/>
          <w:shd w:val="clear" w:color="auto" w:fill="FFFFFF"/>
          <w:lang w:eastAsia="zh-CN"/>
        </w:rPr>
        <w:t>Awaka-Ama</w:t>
      </w:r>
      <w:proofErr w:type="spellEnd"/>
      <w:r w:rsidRPr="00A24042">
        <w:rPr>
          <w:rFonts w:eastAsia="SimSun"/>
          <w:shd w:val="clear" w:color="auto" w:fill="FFFFFF"/>
          <w:lang w:eastAsia="zh-CN"/>
        </w:rPr>
        <w:t xml:space="preserve">, J., &amp; Udo, G. (2020). Comparative evaluation of the photodegradation of stearic acid by TiO2-modified cement under UV irradiation through water contact angle and absorbance studies. Advances in Materials, 9(1), 1-7. </w:t>
      </w:r>
      <w:hyperlink r:id="rId50" w:history="1">
        <w:r w:rsidRPr="005B7184">
          <w:rPr>
            <w:rStyle w:val="Hyperlink"/>
            <w:rFonts w:eastAsia="SimSun"/>
            <w:shd w:val="clear" w:color="auto" w:fill="FFFFFF"/>
            <w:lang w:eastAsia="zh-CN"/>
          </w:rPr>
          <w:t>https://doi.org/10.11648/j.am.20200901.11</w:t>
        </w:r>
      </w:hyperlink>
      <w:r>
        <w:rPr>
          <w:rFonts w:eastAsia="SimSun"/>
          <w:shd w:val="clear" w:color="auto" w:fill="FFFFFF"/>
          <w:lang w:eastAsia="zh-CN"/>
        </w:rPr>
        <w:t xml:space="preserve"> </w:t>
      </w:r>
    </w:p>
    <w:p w14:paraId="2DC7B137" w14:textId="132B9348" w:rsidR="007F52AD" w:rsidRPr="00CF10A3" w:rsidRDefault="007F52AD" w:rsidP="00B56523">
      <w:pPr>
        <w:pStyle w:val="NormalWeb"/>
        <w:spacing w:line="276" w:lineRule="auto"/>
        <w:ind w:left="360"/>
        <w:jc w:val="both"/>
      </w:pPr>
      <w:r w:rsidRPr="00CF10A3">
        <w:t xml:space="preserve">Parker, L. M., </w:t>
      </w:r>
      <w:proofErr w:type="spellStart"/>
      <w:r w:rsidRPr="00CF10A3">
        <w:t>Marone</w:t>
      </w:r>
      <w:proofErr w:type="spellEnd"/>
      <w:r w:rsidRPr="00CF10A3">
        <w:t>, A., &amp; Elia, A. (2022). Chemical and fatty acid composition of common beans (</w:t>
      </w:r>
      <w:r w:rsidRPr="00CF10A3">
        <w:rPr>
          <w:rStyle w:val="Emphasis"/>
        </w:rPr>
        <w:t>Phaseolus vulgaris</w:t>
      </w:r>
      <w:r w:rsidRPr="00CF10A3">
        <w:t xml:space="preserve"> L.): A comparative analysis. </w:t>
      </w:r>
      <w:r w:rsidRPr="00CF10A3">
        <w:rPr>
          <w:rStyle w:val="Emphasis"/>
        </w:rPr>
        <w:t>Food Chemistry, 374</w:t>
      </w:r>
      <w:r w:rsidRPr="00CF10A3">
        <w:t>, 131739.</w:t>
      </w:r>
    </w:p>
    <w:p w14:paraId="50498891" w14:textId="77777777" w:rsidR="00A24042" w:rsidRDefault="00A24042" w:rsidP="00B56523">
      <w:pPr>
        <w:pStyle w:val="NormalWeb"/>
        <w:spacing w:line="276" w:lineRule="auto"/>
        <w:ind w:left="360"/>
        <w:jc w:val="both"/>
      </w:pPr>
      <w:proofErr w:type="spellStart"/>
      <w:r w:rsidRPr="00A24042">
        <w:t>Qasem</w:t>
      </w:r>
      <w:proofErr w:type="spellEnd"/>
      <w:r w:rsidRPr="00A24042">
        <w:t xml:space="preserve">, N. A. A., Mohammed, R. H., &amp; Lawal, D. U. (2021). Removal of heavy metal ions from wastewater: a comprehensive and critical review. </w:t>
      </w:r>
      <w:proofErr w:type="spellStart"/>
      <w:r w:rsidRPr="00A24042">
        <w:t>npj</w:t>
      </w:r>
      <w:proofErr w:type="spellEnd"/>
      <w:r w:rsidRPr="00A24042">
        <w:t xml:space="preserve"> Clean Water. </w:t>
      </w:r>
      <w:hyperlink r:id="rId51" w:history="1">
        <w:r w:rsidRPr="005B7184">
          <w:rPr>
            <w:rStyle w:val="Hyperlink"/>
          </w:rPr>
          <w:t>https://doi.org/10.1038/s41545-021-00127-0</w:t>
        </w:r>
      </w:hyperlink>
      <w:r>
        <w:t xml:space="preserve"> </w:t>
      </w:r>
    </w:p>
    <w:p w14:paraId="08F3CF53" w14:textId="77777777" w:rsidR="00A24042" w:rsidRDefault="00A24042" w:rsidP="00B56523">
      <w:pPr>
        <w:pStyle w:val="NormalWeb"/>
        <w:spacing w:line="276" w:lineRule="auto"/>
        <w:ind w:left="360"/>
        <w:jc w:val="both"/>
      </w:pPr>
      <w:r w:rsidRPr="00A24042">
        <w:t xml:space="preserve">Rydberg, J., Cox, M., </w:t>
      </w:r>
      <w:proofErr w:type="spellStart"/>
      <w:r w:rsidRPr="00A24042">
        <w:t>Musikas</w:t>
      </w:r>
      <w:proofErr w:type="spellEnd"/>
      <w:r w:rsidRPr="00A24042">
        <w:t xml:space="preserve">, C., &amp; </w:t>
      </w:r>
      <w:proofErr w:type="spellStart"/>
      <w:r w:rsidRPr="00A24042">
        <w:t>Choppin</w:t>
      </w:r>
      <w:proofErr w:type="spellEnd"/>
      <w:r w:rsidRPr="00A24042">
        <w:t xml:space="preserve">, G. R. (2004). Solvent extraction principles and practice (2nd ed.). CRC Press. </w:t>
      </w:r>
      <w:hyperlink r:id="rId52" w:history="1">
        <w:r w:rsidRPr="005B7184">
          <w:rPr>
            <w:rStyle w:val="Hyperlink"/>
          </w:rPr>
          <w:t>https://doi.org/10.1201/9780203021460</w:t>
        </w:r>
      </w:hyperlink>
      <w:r>
        <w:t xml:space="preserve"> </w:t>
      </w:r>
    </w:p>
    <w:p w14:paraId="0BFBFF03" w14:textId="77777777" w:rsidR="00A24042" w:rsidRDefault="00A24042" w:rsidP="00B56523">
      <w:pPr>
        <w:pStyle w:val="NormalWeb"/>
        <w:spacing w:line="276" w:lineRule="auto"/>
        <w:ind w:left="360"/>
        <w:jc w:val="both"/>
        <w:rPr>
          <w:rStyle w:val="Strong"/>
          <w:rFonts w:eastAsiaTheme="majorEastAsia"/>
          <w:b w:val="0"/>
        </w:rPr>
      </w:pPr>
      <w:r w:rsidRPr="00A24042">
        <w:rPr>
          <w:rStyle w:val="Strong"/>
          <w:rFonts w:eastAsiaTheme="majorEastAsia"/>
          <w:b w:val="0"/>
        </w:rPr>
        <w:t xml:space="preserve">Sun, Q., &amp; Yang, L. (2003). The adsorption of basic dyes from aqueous solution on modified peat–resin particle. Water Research, 37(7), 1535–1544. </w:t>
      </w:r>
      <w:hyperlink r:id="rId53" w:history="1">
        <w:r w:rsidRPr="005B7184">
          <w:rPr>
            <w:rStyle w:val="Hyperlink"/>
            <w:rFonts w:eastAsiaTheme="majorEastAsia"/>
          </w:rPr>
          <w:t>https://doi.org/10.1016/S0043-1354(02)00520-1</w:t>
        </w:r>
      </w:hyperlink>
      <w:r>
        <w:rPr>
          <w:rStyle w:val="Strong"/>
          <w:rFonts w:eastAsiaTheme="majorEastAsia"/>
          <w:b w:val="0"/>
        </w:rPr>
        <w:t xml:space="preserve"> </w:t>
      </w:r>
    </w:p>
    <w:p w14:paraId="498594B7" w14:textId="77777777" w:rsidR="00A24042" w:rsidRDefault="00A24042" w:rsidP="00B56523">
      <w:pPr>
        <w:pStyle w:val="NormalWeb"/>
        <w:spacing w:line="276" w:lineRule="auto"/>
        <w:ind w:left="360"/>
        <w:jc w:val="both"/>
      </w:pPr>
      <w:proofErr w:type="spellStart"/>
      <w:r w:rsidRPr="00A24042">
        <w:t>Tchounwou</w:t>
      </w:r>
      <w:proofErr w:type="spellEnd"/>
      <w:r w:rsidRPr="00A24042">
        <w:t xml:space="preserve">, P. B., </w:t>
      </w:r>
      <w:proofErr w:type="spellStart"/>
      <w:r w:rsidRPr="00A24042">
        <w:t>Yedjou</w:t>
      </w:r>
      <w:proofErr w:type="spellEnd"/>
      <w:r w:rsidRPr="00A24042">
        <w:t xml:space="preserve">, C. G., </w:t>
      </w:r>
      <w:proofErr w:type="spellStart"/>
      <w:r w:rsidRPr="00A24042">
        <w:t>Patlolla</w:t>
      </w:r>
      <w:proofErr w:type="spellEnd"/>
      <w:r w:rsidRPr="00A24042">
        <w:t xml:space="preserve">, A. K., &amp; Sutton, D. J. (2012). Heavy metal toxicity and the environment. In A. </w:t>
      </w:r>
      <w:proofErr w:type="spellStart"/>
      <w:r w:rsidRPr="00A24042">
        <w:t>Luch</w:t>
      </w:r>
      <w:proofErr w:type="spellEnd"/>
      <w:r w:rsidRPr="00A24042">
        <w:t xml:space="preserve"> (Ed.), Molecular, clinical and environmental toxicology (Vol. 101, pp. 133–164). Springer. </w:t>
      </w:r>
      <w:hyperlink r:id="rId54" w:history="1">
        <w:r w:rsidRPr="005B7184">
          <w:rPr>
            <w:rStyle w:val="Hyperlink"/>
          </w:rPr>
          <w:t>https://doi.org/10.1007/978-3-7643-8340-4_6</w:t>
        </w:r>
      </w:hyperlink>
      <w:r>
        <w:t xml:space="preserve"> </w:t>
      </w:r>
    </w:p>
    <w:p w14:paraId="069CA698" w14:textId="77777777" w:rsidR="00A24042" w:rsidRDefault="00A24042" w:rsidP="00B56523">
      <w:pPr>
        <w:pStyle w:val="NormalWeb"/>
        <w:spacing w:line="276" w:lineRule="auto"/>
        <w:ind w:left="360"/>
        <w:jc w:val="both"/>
        <w:rPr>
          <w:rStyle w:val="Strong"/>
          <w:rFonts w:eastAsiaTheme="majorEastAsia"/>
          <w:b w:val="0"/>
        </w:rPr>
      </w:pPr>
      <w:proofErr w:type="spellStart"/>
      <w:r w:rsidRPr="00A24042">
        <w:rPr>
          <w:rStyle w:val="Strong"/>
          <w:rFonts w:eastAsiaTheme="majorEastAsia"/>
          <w:b w:val="0"/>
        </w:rPr>
        <w:t>Volesky</w:t>
      </w:r>
      <w:proofErr w:type="spellEnd"/>
      <w:r w:rsidRPr="00A24042">
        <w:rPr>
          <w:rStyle w:val="Strong"/>
          <w:rFonts w:eastAsiaTheme="majorEastAsia"/>
          <w:b w:val="0"/>
        </w:rPr>
        <w:t xml:space="preserve">, B. (2001). Detoxification of metal-bearing effluents: biosorption for the next century. Hydrometallurgy, 59(2–3), 203–216. </w:t>
      </w:r>
      <w:hyperlink r:id="rId55" w:history="1">
        <w:r w:rsidRPr="005B7184">
          <w:rPr>
            <w:rStyle w:val="Hyperlink"/>
            <w:rFonts w:eastAsiaTheme="majorEastAsia"/>
          </w:rPr>
          <w:t>https://doi.org/10.1016/S0304-386X(00)00160-2</w:t>
        </w:r>
      </w:hyperlink>
      <w:r>
        <w:rPr>
          <w:rStyle w:val="Strong"/>
          <w:rFonts w:eastAsiaTheme="majorEastAsia"/>
          <w:b w:val="0"/>
        </w:rPr>
        <w:t xml:space="preserve"> </w:t>
      </w:r>
    </w:p>
    <w:p w14:paraId="7F50A09F" w14:textId="77777777" w:rsidR="00A24042" w:rsidRDefault="00A24042" w:rsidP="00B56523">
      <w:pPr>
        <w:pStyle w:val="NormalWeb"/>
        <w:spacing w:line="276" w:lineRule="auto"/>
        <w:ind w:left="360"/>
        <w:jc w:val="both"/>
        <w:rPr>
          <w:rStyle w:val="Strong"/>
          <w:rFonts w:eastAsiaTheme="majorEastAsia"/>
          <w:b w:val="0"/>
        </w:rPr>
      </w:pPr>
      <w:proofErr w:type="spellStart"/>
      <w:r w:rsidRPr="00A24042">
        <w:rPr>
          <w:rStyle w:val="Strong"/>
          <w:rFonts w:eastAsiaTheme="majorEastAsia"/>
          <w:b w:val="0"/>
        </w:rPr>
        <w:t>Witek-Krowiak</w:t>
      </w:r>
      <w:proofErr w:type="spellEnd"/>
      <w:r w:rsidRPr="00A24042">
        <w:rPr>
          <w:rStyle w:val="Strong"/>
          <w:rFonts w:eastAsiaTheme="majorEastAsia"/>
          <w:b w:val="0"/>
        </w:rPr>
        <w:t xml:space="preserve">, A., </w:t>
      </w:r>
      <w:proofErr w:type="spellStart"/>
      <w:r w:rsidRPr="00A24042">
        <w:rPr>
          <w:rStyle w:val="Strong"/>
          <w:rFonts w:eastAsiaTheme="majorEastAsia"/>
          <w:b w:val="0"/>
        </w:rPr>
        <w:t>Szafran</w:t>
      </w:r>
      <w:proofErr w:type="spellEnd"/>
      <w:r w:rsidRPr="00A24042">
        <w:rPr>
          <w:rStyle w:val="Strong"/>
          <w:rFonts w:eastAsiaTheme="majorEastAsia"/>
          <w:b w:val="0"/>
        </w:rPr>
        <w:t xml:space="preserve">, R. G., &amp; </w:t>
      </w:r>
      <w:proofErr w:type="spellStart"/>
      <w:r w:rsidRPr="00A24042">
        <w:rPr>
          <w:rStyle w:val="Strong"/>
          <w:rFonts w:eastAsiaTheme="majorEastAsia"/>
          <w:b w:val="0"/>
        </w:rPr>
        <w:t>Modelski</w:t>
      </w:r>
      <w:proofErr w:type="spellEnd"/>
      <w:r w:rsidRPr="00A24042">
        <w:rPr>
          <w:rStyle w:val="Strong"/>
          <w:rFonts w:eastAsiaTheme="majorEastAsia"/>
          <w:b w:val="0"/>
        </w:rPr>
        <w:t xml:space="preserve">, S. (2011). Biosorption of heavy metals from aqueous solutions onto peanut shell as a low-cost </w:t>
      </w:r>
      <w:proofErr w:type="spellStart"/>
      <w:r w:rsidRPr="00A24042">
        <w:rPr>
          <w:rStyle w:val="Strong"/>
          <w:rFonts w:eastAsiaTheme="majorEastAsia"/>
          <w:b w:val="0"/>
        </w:rPr>
        <w:t>biosorbent</w:t>
      </w:r>
      <w:proofErr w:type="spellEnd"/>
      <w:r w:rsidRPr="00A24042">
        <w:rPr>
          <w:rStyle w:val="Strong"/>
          <w:rFonts w:eastAsiaTheme="majorEastAsia"/>
          <w:b w:val="0"/>
        </w:rPr>
        <w:t xml:space="preserve">. Desalination, 265(1–3), 126–134. </w:t>
      </w:r>
      <w:hyperlink r:id="rId56" w:history="1">
        <w:r w:rsidRPr="005B7184">
          <w:rPr>
            <w:rStyle w:val="Hyperlink"/>
            <w:rFonts w:eastAsiaTheme="majorEastAsia"/>
          </w:rPr>
          <w:t>https://doi.org/10.1016/j.desal.2010.07.042</w:t>
        </w:r>
      </w:hyperlink>
      <w:r>
        <w:rPr>
          <w:rStyle w:val="Strong"/>
          <w:rFonts w:eastAsiaTheme="majorEastAsia"/>
          <w:b w:val="0"/>
        </w:rPr>
        <w:t xml:space="preserve"> </w:t>
      </w:r>
    </w:p>
    <w:p w14:paraId="4426F506" w14:textId="4254874E" w:rsidR="00A24042" w:rsidRDefault="00A24042" w:rsidP="00B56523">
      <w:pPr>
        <w:pStyle w:val="NormalWeb"/>
        <w:spacing w:line="276" w:lineRule="auto"/>
        <w:ind w:left="360"/>
        <w:jc w:val="both"/>
      </w:pPr>
      <w:r w:rsidRPr="00A24042">
        <w:t xml:space="preserve">Zhao, F., Repo, E., Yin, D., &amp; </w:t>
      </w:r>
      <w:proofErr w:type="spellStart"/>
      <w:r w:rsidRPr="00A24042">
        <w:t>Sillanpää</w:t>
      </w:r>
      <w:proofErr w:type="spellEnd"/>
      <w:r w:rsidRPr="00A24042">
        <w:t xml:space="preserve">, M. E. T. (2013). Adsorption of </w:t>
      </w:r>
      <w:proofErr w:type="gramStart"/>
      <w:r w:rsidRPr="00A24042">
        <w:t>Cd(</w:t>
      </w:r>
      <w:proofErr w:type="gramEnd"/>
      <w:r w:rsidRPr="00A24042">
        <w:t xml:space="preserve">II) and Pb(II) by a novel EGTA-modified chitosan material: Kinetics and isotherms. Journal of Colloid and Interface Science, 409, 174–182. </w:t>
      </w:r>
      <w:hyperlink r:id="rId57" w:history="1">
        <w:r w:rsidRPr="005B7184">
          <w:rPr>
            <w:rStyle w:val="Hyperlink"/>
          </w:rPr>
          <w:t>https://doi.org/10.1016/j.jcis.2013.07.062</w:t>
        </w:r>
      </w:hyperlink>
    </w:p>
    <w:p w14:paraId="11AC8172" w14:textId="172D6922" w:rsidR="007F52AD" w:rsidRDefault="007F52AD" w:rsidP="00B56523">
      <w:pPr>
        <w:pStyle w:val="NormalWeb"/>
        <w:spacing w:line="276" w:lineRule="auto"/>
        <w:ind w:left="360"/>
        <w:jc w:val="both"/>
      </w:pPr>
      <w:r w:rsidRPr="00CF10A3">
        <w:t xml:space="preserve">Zolotov, Y. A., &amp; </w:t>
      </w:r>
      <w:proofErr w:type="spellStart"/>
      <w:r w:rsidRPr="00CF10A3">
        <w:t>Kuzmin</w:t>
      </w:r>
      <w:proofErr w:type="spellEnd"/>
      <w:r w:rsidRPr="00CF10A3">
        <w:t xml:space="preserve">, N. M. (2010). </w:t>
      </w:r>
      <w:r w:rsidRPr="00CF10A3">
        <w:rPr>
          <w:rStyle w:val="Emphasis"/>
          <w:i w:val="0"/>
        </w:rPr>
        <w:t>Separation and preconcentration methods in inorganic trace analysis</w:t>
      </w:r>
      <w:r w:rsidRPr="00CF10A3">
        <w:t xml:space="preserve">. </w:t>
      </w:r>
      <w:r w:rsidRPr="00CF10A3">
        <w:rPr>
          <w:i/>
        </w:rPr>
        <w:t>John Wiley &amp; Sons</w:t>
      </w:r>
      <w:r w:rsidRPr="00CF10A3">
        <w:t>. 978-0-470-74471-1.</w:t>
      </w:r>
    </w:p>
    <w:p w14:paraId="21EE9BB4" w14:textId="77777777" w:rsidR="00E01509" w:rsidRDefault="00E01509" w:rsidP="00B56523">
      <w:pPr>
        <w:shd w:val="clear" w:color="auto" w:fill="FFFFFF"/>
        <w:spacing w:after="0"/>
        <w:rPr>
          <w:rFonts w:ascii="Arial" w:eastAsia="SimSun" w:hAnsi="Arial" w:cs="Arial"/>
          <w:color w:val="222222"/>
          <w:sz w:val="19"/>
          <w:szCs w:val="19"/>
          <w:shd w:val="clear" w:color="auto" w:fill="FFFFFF"/>
          <w:lang w:eastAsia="zh-CN"/>
        </w:rPr>
      </w:pPr>
    </w:p>
    <w:p w14:paraId="59D7FF16" w14:textId="77777777" w:rsidR="00E01509" w:rsidRDefault="00E01509">
      <w:pPr>
        <w:pStyle w:val="NormalWeb"/>
        <w:spacing w:line="276" w:lineRule="auto"/>
        <w:ind w:left="709" w:hanging="720"/>
        <w:jc w:val="both"/>
      </w:pPr>
    </w:p>
    <w:sectPr w:rsidR="00E01509" w:rsidSect="00D81B7F">
      <w:type w:val="continuous"/>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88A54" w14:textId="77777777" w:rsidR="008B3845" w:rsidRDefault="008B3845">
      <w:pPr>
        <w:spacing w:line="240" w:lineRule="auto"/>
      </w:pPr>
      <w:r>
        <w:separator/>
      </w:r>
    </w:p>
  </w:endnote>
  <w:endnote w:type="continuationSeparator" w:id="0">
    <w:p w14:paraId="4958D9F2" w14:textId="77777777" w:rsidR="008B3845" w:rsidRDefault="008B38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9297C" w14:textId="77777777" w:rsidR="003120F2" w:rsidRDefault="00312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273132"/>
    </w:sdtPr>
    <w:sdtEndPr/>
    <w:sdtContent>
      <w:p w14:paraId="1BD9340F" w14:textId="77777777" w:rsidR="00E7460A" w:rsidRDefault="00B1339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6AED845" w14:textId="77777777" w:rsidR="00E7460A" w:rsidRDefault="00E746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C6856" w14:textId="77777777" w:rsidR="003120F2" w:rsidRDefault="00312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CE926" w14:textId="77777777" w:rsidR="008B3845" w:rsidRDefault="008B3845">
      <w:pPr>
        <w:spacing w:after="0"/>
      </w:pPr>
      <w:r>
        <w:separator/>
      </w:r>
    </w:p>
  </w:footnote>
  <w:footnote w:type="continuationSeparator" w:id="0">
    <w:p w14:paraId="0B0BD482" w14:textId="77777777" w:rsidR="008B3845" w:rsidRDefault="008B38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1F886" w14:textId="125D276B" w:rsidR="003120F2" w:rsidRDefault="003120F2">
    <w:pPr>
      <w:pStyle w:val="Header"/>
    </w:pPr>
    <w:r>
      <w:rPr>
        <w:noProof/>
      </w:rPr>
      <w:pict w14:anchorId="14C63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878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CC068" w14:textId="07737F55" w:rsidR="003120F2" w:rsidRDefault="003120F2">
    <w:pPr>
      <w:pStyle w:val="Header"/>
    </w:pPr>
    <w:r>
      <w:rPr>
        <w:noProof/>
      </w:rPr>
      <w:pict w14:anchorId="19D7D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878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FB41" w14:textId="0EA08084" w:rsidR="003120F2" w:rsidRDefault="003120F2">
    <w:pPr>
      <w:pStyle w:val="Header"/>
    </w:pPr>
    <w:r>
      <w:rPr>
        <w:noProof/>
      </w:rPr>
      <w:pict w14:anchorId="25E64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878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36342"/>
    <w:multiLevelType w:val="hybridMultilevel"/>
    <w:tmpl w:val="5366EA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0605B2B"/>
    <w:multiLevelType w:val="hybridMultilevel"/>
    <w:tmpl w:val="787E0D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8396B34"/>
    <w:multiLevelType w:val="multilevel"/>
    <w:tmpl w:val="78396B34"/>
    <w:lvl w:ilvl="0">
      <w:start w:val="2"/>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hideSpellingErrors/>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482D53"/>
    <w:rsid w:val="000147CC"/>
    <w:rsid w:val="00027360"/>
    <w:rsid w:val="00034182"/>
    <w:rsid w:val="000347FC"/>
    <w:rsid w:val="00052904"/>
    <w:rsid w:val="00087FBF"/>
    <w:rsid w:val="00096A49"/>
    <w:rsid w:val="000B1EDD"/>
    <w:rsid w:val="000B4460"/>
    <w:rsid w:val="000C03D3"/>
    <w:rsid w:val="000C05B2"/>
    <w:rsid w:val="000C52F3"/>
    <w:rsid w:val="000D0BA9"/>
    <w:rsid w:val="00126FE2"/>
    <w:rsid w:val="00156EC7"/>
    <w:rsid w:val="00161D3B"/>
    <w:rsid w:val="001A24DE"/>
    <w:rsid w:val="001A766F"/>
    <w:rsid w:val="001B79B8"/>
    <w:rsid w:val="001C2CC5"/>
    <w:rsid w:val="001C6BF3"/>
    <w:rsid w:val="001D392A"/>
    <w:rsid w:val="001E53B0"/>
    <w:rsid w:val="001F05AE"/>
    <w:rsid w:val="001F286D"/>
    <w:rsid w:val="00251CC7"/>
    <w:rsid w:val="00257A10"/>
    <w:rsid w:val="002662EC"/>
    <w:rsid w:val="002723E7"/>
    <w:rsid w:val="002724E5"/>
    <w:rsid w:val="002770E9"/>
    <w:rsid w:val="00277D29"/>
    <w:rsid w:val="00291AE6"/>
    <w:rsid w:val="00292BD5"/>
    <w:rsid w:val="00293D3A"/>
    <w:rsid w:val="002A35A9"/>
    <w:rsid w:val="002D719D"/>
    <w:rsid w:val="002E0D67"/>
    <w:rsid w:val="002E5A31"/>
    <w:rsid w:val="002F08AA"/>
    <w:rsid w:val="002F5A45"/>
    <w:rsid w:val="003120B0"/>
    <w:rsid w:val="003120F2"/>
    <w:rsid w:val="00324758"/>
    <w:rsid w:val="00343E32"/>
    <w:rsid w:val="00345ABE"/>
    <w:rsid w:val="00360814"/>
    <w:rsid w:val="003619E2"/>
    <w:rsid w:val="00390A2B"/>
    <w:rsid w:val="003A0921"/>
    <w:rsid w:val="003A5C9D"/>
    <w:rsid w:val="003B3E7D"/>
    <w:rsid w:val="003C6CB6"/>
    <w:rsid w:val="003C7C42"/>
    <w:rsid w:val="003D5F70"/>
    <w:rsid w:val="003F46EA"/>
    <w:rsid w:val="00401F2C"/>
    <w:rsid w:val="00404F3E"/>
    <w:rsid w:val="00405DF4"/>
    <w:rsid w:val="00422424"/>
    <w:rsid w:val="00431DE5"/>
    <w:rsid w:val="00436FEE"/>
    <w:rsid w:val="00450F26"/>
    <w:rsid w:val="0046316F"/>
    <w:rsid w:val="00482D53"/>
    <w:rsid w:val="004906C1"/>
    <w:rsid w:val="004941F4"/>
    <w:rsid w:val="004A2372"/>
    <w:rsid w:val="004A45BE"/>
    <w:rsid w:val="004B1CE7"/>
    <w:rsid w:val="004D020C"/>
    <w:rsid w:val="004E2972"/>
    <w:rsid w:val="004E307C"/>
    <w:rsid w:val="004E4C8E"/>
    <w:rsid w:val="00500A68"/>
    <w:rsid w:val="00502285"/>
    <w:rsid w:val="0050632F"/>
    <w:rsid w:val="00511438"/>
    <w:rsid w:val="005148C7"/>
    <w:rsid w:val="0053094C"/>
    <w:rsid w:val="005409CD"/>
    <w:rsid w:val="0054374B"/>
    <w:rsid w:val="00552D0B"/>
    <w:rsid w:val="00576A10"/>
    <w:rsid w:val="00583108"/>
    <w:rsid w:val="0058615B"/>
    <w:rsid w:val="005D4E64"/>
    <w:rsid w:val="005F1D07"/>
    <w:rsid w:val="00616D53"/>
    <w:rsid w:val="00633D95"/>
    <w:rsid w:val="00633F5E"/>
    <w:rsid w:val="00647B95"/>
    <w:rsid w:val="00654E8A"/>
    <w:rsid w:val="00665098"/>
    <w:rsid w:val="00683B38"/>
    <w:rsid w:val="006878F0"/>
    <w:rsid w:val="00690CE9"/>
    <w:rsid w:val="00691F22"/>
    <w:rsid w:val="00692098"/>
    <w:rsid w:val="006937A7"/>
    <w:rsid w:val="006A0056"/>
    <w:rsid w:val="006A3D1F"/>
    <w:rsid w:val="006C4050"/>
    <w:rsid w:val="006D705C"/>
    <w:rsid w:val="006E540F"/>
    <w:rsid w:val="006F76C3"/>
    <w:rsid w:val="007136AD"/>
    <w:rsid w:val="007212B4"/>
    <w:rsid w:val="007245ED"/>
    <w:rsid w:val="00767751"/>
    <w:rsid w:val="00772F41"/>
    <w:rsid w:val="00790F17"/>
    <w:rsid w:val="007C6700"/>
    <w:rsid w:val="007D403B"/>
    <w:rsid w:val="007D7819"/>
    <w:rsid w:val="007F52AD"/>
    <w:rsid w:val="00824008"/>
    <w:rsid w:val="00833DEE"/>
    <w:rsid w:val="00846C12"/>
    <w:rsid w:val="008565A8"/>
    <w:rsid w:val="00861659"/>
    <w:rsid w:val="008666A7"/>
    <w:rsid w:val="00870870"/>
    <w:rsid w:val="008849D0"/>
    <w:rsid w:val="00886659"/>
    <w:rsid w:val="008873D1"/>
    <w:rsid w:val="0089468F"/>
    <w:rsid w:val="008A2B05"/>
    <w:rsid w:val="008A4669"/>
    <w:rsid w:val="008B0CA1"/>
    <w:rsid w:val="008B3845"/>
    <w:rsid w:val="008C3AAB"/>
    <w:rsid w:val="008D20AB"/>
    <w:rsid w:val="008D7101"/>
    <w:rsid w:val="008E262C"/>
    <w:rsid w:val="00910314"/>
    <w:rsid w:val="009109E0"/>
    <w:rsid w:val="0091559B"/>
    <w:rsid w:val="00921CBD"/>
    <w:rsid w:val="0092456A"/>
    <w:rsid w:val="009513D7"/>
    <w:rsid w:val="0095427C"/>
    <w:rsid w:val="00957F9E"/>
    <w:rsid w:val="00966F00"/>
    <w:rsid w:val="0098159A"/>
    <w:rsid w:val="009A11CE"/>
    <w:rsid w:val="009A70DC"/>
    <w:rsid w:val="009B1268"/>
    <w:rsid w:val="009B48DA"/>
    <w:rsid w:val="009C430D"/>
    <w:rsid w:val="009C5A01"/>
    <w:rsid w:val="009D5DC2"/>
    <w:rsid w:val="009D5E49"/>
    <w:rsid w:val="009F0377"/>
    <w:rsid w:val="00A10F14"/>
    <w:rsid w:val="00A24042"/>
    <w:rsid w:val="00A347EC"/>
    <w:rsid w:val="00A34EE2"/>
    <w:rsid w:val="00A36B4F"/>
    <w:rsid w:val="00A43E6C"/>
    <w:rsid w:val="00A50178"/>
    <w:rsid w:val="00A710B0"/>
    <w:rsid w:val="00A72199"/>
    <w:rsid w:val="00A842BE"/>
    <w:rsid w:val="00A911F3"/>
    <w:rsid w:val="00A973BF"/>
    <w:rsid w:val="00AB441E"/>
    <w:rsid w:val="00AB4D0B"/>
    <w:rsid w:val="00AB68AA"/>
    <w:rsid w:val="00AC7ADC"/>
    <w:rsid w:val="00AD3D3F"/>
    <w:rsid w:val="00B03729"/>
    <w:rsid w:val="00B13395"/>
    <w:rsid w:val="00B56523"/>
    <w:rsid w:val="00B83686"/>
    <w:rsid w:val="00B93562"/>
    <w:rsid w:val="00B93C73"/>
    <w:rsid w:val="00BA0F57"/>
    <w:rsid w:val="00BA7606"/>
    <w:rsid w:val="00BA7F4E"/>
    <w:rsid w:val="00BB02B0"/>
    <w:rsid w:val="00BD25F9"/>
    <w:rsid w:val="00BD7023"/>
    <w:rsid w:val="00C0312F"/>
    <w:rsid w:val="00C04AF5"/>
    <w:rsid w:val="00C41712"/>
    <w:rsid w:val="00C51F73"/>
    <w:rsid w:val="00C60BBA"/>
    <w:rsid w:val="00CB1DF6"/>
    <w:rsid w:val="00CB5876"/>
    <w:rsid w:val="00CB6915"/>
    <w:rsid w:val="00CE0174"/>
    <w:rsid w:val="00CF10A3"/>
    <w:rsid w:val="00CF3A04"/>
    <w:rsid w:val="00D0241D"/>
    <w:rsid w:val="00D15B2C"/>
    <w:rsid w:val="00D242B9"/>
    <w:rsid w:val="00D5123E"/>
    <w:rsid w:val="00D523D3"/>
    <w:rsid w:val="00D5627A"/>
    <w:rsid w:val="00D617BF"/>
    <w:rsid w:val="00D63757"/>
    <w:rsid w:val="00D81B7F"/>
    <w:rsid w:val="00D83DC8"/>
    <w:rsid w:val="00DB50FE"/>
    <w:rsid w:val="00DE3C8F"/>
    <w:rsid w:val="00DF7892"/>
    <w:rsid w:val="00E01509"/>
    <w:rsid w:val="00E04114"/>
    <w:rsid w:val="00E25DC1"/>
    <w:rsid w:val="00E269DF"/>
    <w:rsid w:val="00E4438D"/>
    <w:rsid w:val="00E51310"/>
    <w:rsid w:val="00E513A5"/>
    <w:rsid w:val="00E6301C"/>
    <w:rsid w:val="00E7460A"/>
    <w:rsid w:val="00E83C59"/>
    <w:rsid w:val="00E85A28"/>
    <w:rsid w:val="00E94E9E"/>
    <w:rsid w:val="00EC2FE5"/>
    <w:rsid w:val="00EC430A"/>
    <w:rsid w:val="00ED3F3B"/>
    <w:rsid w:val="00ED4723"/>
    <w:rsid w:val="00EE0752"/>
    <w:rsid w:val="00EE362B"/>
    <w:rsid w:val="00EE4C21"/>
    <w:rsid w:val="00F131D8"/>
    <w:rsid w:val="00F209D4"/>
    <w:rsid w:val="00F22243"/>
    <w:rsid w:val="00F31234"/>
    <w:rsid w:val="00F57D8E"/>
    <w:rsid w:val="00F649DD"/>
    <w:rsid w:val="00F6582A"/>
    <w:rsid w:val="00F65DE0"/>
    <w:rsid w:val="00F90157"/>
    <w:rsid w:val="00FB26B2"/>
    <w:rsid w:val="00FB3B2A"/>
    <w:rsid w:val="00FC6C5A"/>
    <w:rsid w:val="00FC75B1"/>
    <w:rsid w:val="00FD037B"/>
    <w:rsid w:val="033D1732"/>
    <w:rsid w:val="1494113F"/>
    <w:rsid w:val="1C1439A1"/>
    <w:rsid w:val="1E630F13"/>
    <w:rsid w:val="2613407E"/>
    <w:rsid w:val="33EF3043"/>
    <w:rsid w:val="36470653"/>
    <w:rsid w:val="4937272B"/>
    <w:rsid w:val="4D065C65"/>
    <w:rsid w:val="4DC302A1"/>
    <w:rsid w:val="4F9952D2"/>
    <w:rsid w:val="56FF4B4A"/>
    <w:rsid w:val="5A114813"/>
    <w:rsid w:val="5B006579"/>
    <w:rsid w:val="61AE7A4D"/>
    <w:rsid w:val="79D64B18"/>
    <w:rsid w:val="7D490213"/>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5FA28C"/>
  <w15:docId w15:val="{E39FE9E1-12E6-4E29-82C5-E678D6F8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509"/>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E015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15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150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015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E01509"/>
    <w:pPr>
      <w:spacing w:after="0" w:line="240" w:lineRule="auto"/>
    </w:pPr>
    <w:rPr>
      <w:rFonts w:ascii="Tahoma" w:hAnsi="Tahoma" w:cs="Tahoma"/>
      <w:sz w:val="16"/>
      <w:szCs w:val="16"/>
    </w:rPr>
  </w:style>
  <w:style w:type="paragraph" w:styleId="CommentText">
    <w:name w:val="annotation text"/>
    <w:basedOn w:val="Normal"/>
    <w:uiPriority w:val="99"/>
    <w:semiHidden/>
    <w:unhideWhenUsed/>
    <w:qFormat/>
    <w:rsid w:val="00E01509"/>
  </w:style>
  <w:style w:type="character" w:styleId="Emphasis">
    <w:name w:val="Emphasis"/>
    <w:basedOn w:val="DefaultParagraphFont"/>
    <w:uiPriority w:val="20"/>
    <w:qFormat/>
    <w:rsid w:val="00E01509"/>
    <w:rPr>
      <w:i/>
      <w:iCs/>
    </w:rPr>
  </w:style>
  <w:style w:type="paragraph" w:styleId="Footer">
    <w:name w:val="footer"/>
    <w:basedOn w:val="Normal"/>
    <w:link w:val="FooterChar"/>
    <w:uiPriority w:val="99"/>
    <w:unhideWhenUsed/>
    <w:qFormat/>
    <w:rsid w:val="00E01509"/>
    <w:pPr>
      <w:tabs>
        <w:tab w:val="center" w:pos="4680"/>
        <w:tab w:val="right" w:pos="9360"/>
      </w:tabs>
      <w:spacing w:after="0" w:line="240" w:lineRule="auto"/>
    </w:pPr>
  </w:style>
  <w:style w:type="paragraph" w:styleId="Header">
    <w:name w:val="header"/>
    <w:basedOn w:val="Normal"/>
    <w:link w:val="HeaderChar"/>
    <w:uiPriority w:val="99"/>
    <w:unhideWhenUsed/>
    <w:qFormat/>
    <w:rsid w:val="00E01509"/>
    <w:pPr>
      <w:tabs>
        <w:tab w:val="center" w:pos="4680"/>
        <w:tab w:val="right" w:pos="9360"/>
      </w:tabs>
      <w:spacing w:after="0" w:line="240" w:lineRule="auto"/>
    </w:pPr>
  </w:style>
  <w:style w:type="character" w:styleId="Hyperlink">
    <w:name w:val="Hyperlink"/>
    <w:basedOn w:val="DefaultParagraphFont"/>
    <w:uiPriority w:val="99"/>
    <w:unhideWhenUsed/>
    <w:qFormat/>
    <w:rsid w:val="00E01509"/>
    <w:rPr>
      <w:color w:val="0000FF"/>
      <w:u w:val="single"/>
    </w:rPr>
  </w:style>
  <w:style w:type="paragraph" w:styleId="NormalWeb">
    <w:name w:val="Normal (Web)"/>
    <w:basedOn w:val="Normal"/>
    <w:uiPriority w:val="99"/>
    <w:unhideWhenUsed/>
    <w:qFormat/>
    <w:rsid w:val="00E015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1509"/>
    <w:rPr>
      <w:b/>
      <w:bCs/>
    </w:rPr>
  </w:style>
  <w:style w:type="table" w:styleId="TableGrid">
    <w:name w:val="Table Grid"/>
    <w:basedOn w:val="TableNormal"/>
    <w:uiPriority w:val="59"/>
    <w:qFormat/>
    <w:rsid w:val="00E01509"/>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sid w:val="00E015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E015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E0150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01509"/>
    <w:pPr>
      <w:ind w:left="720"/>
      <w:contextualSpacing/>
    </w:pPr>
  </w:style>
  <w:style w:type="paragraph" w:styleId="NoSpacing">
    <w:name w:val="No Spacing"/>
    <w:uiPriority w:val="1"/>
    <w:qFormat/>
    <w:rsid w:val="00E01509"/>
    <w:rPr>
      <w:rFonts w:ascii="Calibri" w:eastAsia="Calibri" w:hAnsi="Calibri"/>
      <w:sz w:val="22"/>
      <w:szCs w:val="22"/>
    </w:rPr>
  </w:style>
  <w:style w:type="character" w:customStyle="1" w:styleId="BalloonTextChar">
    <w:name w:val="Balloon Text Char"/>
    <w:basedOn w:val="DefaultParagraphFont"/>
    <w:link w:val="BalloonText"/>
    <w:uiPriority w:val="99"/>
    <w:semiHidden/>
    <w:qFormat/>
    <w:rsid w:val="00E01509"/>
    <w:rPr>
      <w:rFonts w:ascii="Tahoma" w:hAnsi="Tahoma" w:cs="Tahoma"/>
      <w:sz w:val="16"/>
      <w:szCs w:val="16"/>
    </w:rPr>
  </w:style>
  <w:style w:type="character" w:customStyle="1" w:styleId="HeaderChar">
    <w:name w:val="Header Char"/>
    <w:basedOn w:val="DefaultParagraphFont"/>
    <w:link w:val="Header"/>
    <w:uiPriority w:val="99"/>
    <w:qFormat/>
    <w:rsid w:val="00E01509"/>
  </w:style>
  <w:style w:type="character" w:customStyle="1" w:styleId="FooterChar">
    <w:name w:val="Footer Char"/>
    <w:basedOn w:val="DefaultParagraphFont"/>
    <w:link w:val="Footer"/>
    <w:uiPriority w:val="99"/>
    <w:qFormat/>
    <w:rsid w:val="00E01509"/>
  </w:style>
  <w:style w:type="character" w:customStyle="1" w:styleId="Heading4Char">
    <w:name w:val="Heading 4 Char"/>
    <w:basedOn w:val="DefaultParagraphFont"/>
    <w:link w:val="Heading4"/>
    <w:uiPriority w:val="9"/>
    <w:semiHidden/>
    <w:qFormat/>
    <w:rsid w:val="00E01509"/>
    <w:rPr>
      <w:rFonts w:asciiTheme="majorHAnsi" w:eastAsiaTheme="majorEastAsia" w:hAnsiTheme="majorHAnsi" w:cstheme="majorBidi"/>
      <w:b/>
      <w:bCs/>
      <w:i/>
      <w:iCs/>
      <w:color w:val="4F81BD" w:themeColor="accent1"/>
    </w:rPr>
  </w:style>
  <w:style w:type="character" w:customStyle="1" w:styleId="katex-mathml">
    <w:name w:val="katex-mathml"/>
    <w:basedOn w:val="DefaultParagraphFont"/>
    <w:qFormat/>
    <w:rsid w:val="00E01509"/>
  </w:style>
  <w:style w:type="character" w:styleId="UnresolvedMention">
    <w:name w:val="Unresolved Mention"/>
    <w:basedOn w:val="DefaultParagraphFont"/>
    <w:uiPriority w:val="99"/>
    <w:semiHidden/>
    <w:unhideWhenUsed/>
    <w:rsid w:val="00B56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hart" Target="charts/chart8.xml"/><Relationship Id="rId39" Type="http://schemas.openxmlformats.org/officeDocument/2006/relationships/hyperlink" Target="https://rejost.com.ng/index.php/home/article/view/72" TargetMode="External"/><Relationship Id="rId21" Type="http://schemas.openxmlformats.org/officeDocument/2006/relationships/chart" Target="charts/chart3.xml"/><Relationship Id="rId34" Type="http://schemas.openxmlformats.org/officeDocument/2006/relationships/oleObject" Target="embeddings/oleObject7.bin"/><Relationship Id="rId42" Type="http://schemas.openxmlformats.org/officeDocument/2006/relationships/hyperlink" Target="https://doi.org/10.1016/j.chemosphere.2004.03.006" TargetMode="External"/><Relationship Id="rId47" Type="http://schemas.openxmlformats.org/officeDocument/2006/relationships/hyperlink" Target="https://doi.org/10.1016/S0032-9592(98)00112-5" TargetMode="External"/><Relationship Id="rId50" Type="http://schemas.openxmlformats.org/officeDocument/2006/relationships/hyperlink" Target="https://doi.org/10.11648/j.am.20200901.11" TargetMode="External"/><Relationship Id="rId55" Type="http://schemas.openxmlformats.org/officeDocument/2006/relationships/hyperlink" Target="https://doi.org/10.1016/S0304-386X(00)00160-2"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oleObject" Target="embeddings/oleObject4.bin"/><Relationship Id="rId11" Type="http://schemas.openxmlformats.org/officeDocument/2006/relationships/image" Target="media/image4.wmf"/><Relationship Id="rId24" Type="http://schemas.openxmlformats.org/officeDocument/2006/relationships/chart" Target="charts/chart6.xml"/><Relationship Id="rId32" Type="http://schemas.openxmlformats.org/officeDocument/2006/relationships/oleObject" Target="embeddings/oleObject6.bin"/><Relationship Id="rId37" Type="http://schemas.openxmlformats.org/officeDocument/2006/relationships/oleObject" Target="embeddings/oleObject10.bin"/><Relationship Id="rId40" Type="http://schemas.openxmlformats.org/officeDocument/2006/relationships/hyperlink" Target="https://global.oup.com/academic/product/atkins-physical-chemistry-9780198847816" TargetMode="External"/><Relationship Id="rId45" Type="http://schemas.openxmlformats.org/officeDocument/2006/relationships/hyperlink" Target="http://www.jmaterenvironsci.com/2023/Vol14N8/JMES-2023-14-8-935-946.pdf" TargetMode="External"/><Relationship Id="rId53" Type="http://schemas.openxmlformats.org/officeDocument/2006/relationships/hyperlink" Target="https://doi.org/10.1016/S0043-1354(02)00520-1"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2.xml"/><Relationship Id="rId22" Type="http://schemas.openxmlformats.org/officeDocument/2006/relationships/chart" Target="charts/chart4.xml"/><Relationship Id="rId27" Type="http://schemas.openxmlformats.org/officeDocument/2006/relationships/image" Target="media/image5.wmf"/><Relationship Id="rId30" Type="http://schemas.openxmlformats.org/officeDocument/2006/relationships/image" Target="media/image6.wmf"/><Relationship Id="rId35" Type="http://schemas.openxmlformats.org/officeDocument/2006/relationships/oleObject" Target="embeddings/oleObject8.bin"/><Relationship Id="rId43" Type="http://schemas.openxmlformats.org/officeDocument/2006/relationships/hyperlink" Target="https://doi.org/10.9790/5736-0313845" TargetMode="External"/><Relationship Id="rId48" Type="http://schemas.openxmlformats.org/officeDocument/2006/relationships/hyperlink" Target="https://rejost.com.ng/index.php/home/article/view/55" TargetMode="External"/><Relationship Id="rId56" Type="http://schemas.openxmlformats.org/officeDocument/2006/relationships/hyperlink" Target="https://doi.org/10.1016/j.desal.2010.07.042" TargetMode="External"/><Relationship Id="rId8" Type="http://schemas.openxmlformats.org/officeDocument/2006/relationships/image" Target="media/image2.jpeg"/><Relationship Id="rId51" Type="http://schemas.openxmlformats.org/officeDocument/2006/relationships/hyperlink" Target="https://doi.org/10.1038/s41545-021-00127-0" TargetMode="Externa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header" Target="header3.xml"/><Relationship Id="rId25" Type="http://schemas.openxmlformats.org/officeDocument/2006/relationships/chart" Target="charts/chart7.xml"/><Relationship Id="rId33" Type="http://schemas.openxmlformats.org/officeDocument/2006/relationships/image" Target="media/image7.wmf"/><Relationship Id="rId38" Type="http://schemas.openxmlformats.org/officeDocument/2006/relationships/hyperlink" Target="https://doi.org/10.1016/J.JARE.2011.01.008" TargetMode="External"/><Relationship Id="rId46" Type="http://schemas.openxmlformats.org/officeDocument/2006/relationships/hyperlink" Target="https://doi.org/10.1016/j.jenvman.2010.11.011" TargetMode="External"/><Relationship Id="rId59" Type="http://schemas.openxmlformats.org/officeDocument/2006/relationships/theme" Target="theme/theme1.xml"/><Relationship Id="rId20" Type="http://schemas.openxmlformats.org/officeDocument/2006/relationships/chart" Target="charts/chart2.xml"/><Relationship Id="rId41" Type="http://schemas.openxmlformats.org/officeDocument/2006/relationships/hyperlink" Target="https://doi.org/10.1016/j.arabjc.2010.07.019" TargetMode="External"/><Relationship Id="rId54" Type="http://schemas.openxmlformats.org/officeDocument/2006/relationships/hyperlink" Target="https://doi.org/10.1007/978-3-7643-8340-4_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hart" Target="charts/chart5.xml"/><Relationship Id="rId28" Type="http://schemas.openxmlformats.org/officeDocument/2006/relationships/oleObject" Target="embeddings/oleObject3.bin"/><Relationship Id="rId36" Type="http://schemas.openxmlformats.org/officeDocument/2006/relationships/oleObject" Target="embeddings/oleObject9.bin"/><Relationship Id="rId49" Type="http://schemas.openxmlformats.org/officeDocument/2006/relationships/hyperlink" Target="https://doi.org/10.1016/j.jece.2020.104265" TargetMode="External"/><Relationship Id="rId57" Type="http://schemas.openxmlformats.org/officeDocument/2006/relationships/hyperlink" Target="https://doi.org/10.1016/j.jcis.2013.07.062" TargetMode="External"/><Relationship Id="rId10" Type="http://schemas.openxmlformats.org/officeDocument/2006/relationships/oleObject" Target="embeddings/oleObject1.bin"/><Relationship Id="rId31" Type="http://schemas.openxmlformats.org/officeDocument/2006/relationships/oleObject" Target="embeddings/oleObject5.bin"/><Relationship Id="rId44" Type="http://schemas.openxmlformats.org/officeDocument/2006/relationships/hyperlink" Target="https://doi.org/10.9734/ajacr/2023/v13i2240" TargetMode="External"/><Relationship Id="rId52" Type="http://schemas.openxmlformats.org/officeDocument/2006/relationships/hyperlink" Target="https://doi.org/10.1201/978020302146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All%20result\Analysis%20of%20Cu%20and%20Ni%20of%20Oi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All%20result\Analysis%20of%20Cu%20and%20Ni%20of%20Oi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esktop\All%20result\Analysis%20of%20Cu%20and%20Ni%20of%20Oi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Desktop\All%20result\Analysis%20of%20Cu%20and%20Ni%20of%20Oi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enovo\Desktop\All%20result\Analysis%20of%20Cu%20and%20Ni%20of%20Oi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enovo\Desktop\All%20result\Analysis%20of%20Cu%20and%20Ni%20of%20Oi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lenovo\Desktop\All%20result\Analysis%20of%20Cu%20and%20Ni%20of%20Oi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lenovo\Desktop\All%20result\Analysis%20of%20Cu%20and%20Ni%20of%20Oi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590658735404306"/>
          <c:y val="4.5885591924135827E-2"/>
          <c:w val="0.74201365939634301"/>
          <c:h val="0.74151116549403484"/>
        </c:manualLayout>
      </c:layout>
      <c:scatterChart>
        <c:scatterStyle val="smoothMarker"/>
        <c:varyColors val="0"/>
        <c:ser>
          <c:idx val="0"/>
          <c:order val="0"/>
          <c:tx>
            <c:strRef>
              <c:f>Cu at 50ppm</c:f>
              <c:strCache>
                <c:ptCount val="1"/>
                <c:pt idx="0">
                  <c:v>Cu at 50ppm</c:v>
                </c:pt>
              </c:strCache>
            </c:strRef>
          </c:tx>
          <c:spPr>
            <a:ln w="25400" cap="rnd" cmpd="sng" algn="ctr">
              <a:solidFill>
                <a:schemeClr val="tx2"/>
              </a:solidFill>
              <a:prstDash val="solid"/>
              <a:round/>
            </a:ln>
          </c:spPr>
          <c:marker>
            <c:symbol val="diamond"/>
            <c:size val="7"/>
            <c:spPr>
              <a:ln w="9525" cap="flat" cmpd="sng" algn="ctr">
                <a:solidFill>
                  <a:schemeClr val="accent1">
                    <a:shade val="95000"/>
                    <a:satMod val="105000"/>
                  </a:schemeClr>
                </a:solidFill>
                <a:prstDash val="sysDash"/>
                <a:round/>
              </a:ln>
            </c:spPr>
          </c:marker>
          <c:xVal>
            <c:numRef>
              <c:f>Sheet16!$A$2:$A$6</c:f>
              <c:numCache>
                <c:formatCode>General</c:formatCode>
                <c:ptCount val="5"/>
                <c:pt idx="0">
                  <c:v>1</c:v>
                </c:pt>
                <c:pt idx="1">
                  <c:v>0.5</c:v>
                </c:pt>
                <c:pt idx="2">
                  <c:v>0.33000000000000312</c:v>
                </c:pt>
                <c:pt idx="3">
                  <c:v>0.25</c:v>
                </c:pt>
                <c:pt idx="4">
                  <c:v>0.2</c:v>
                </c:pt>
              </c:numCache>
            </c:numRef>
          </c:xVal>
          <c:yVal>
            <c:numRef>
              <c:f>Sheet16!$B$2:$B$6</c:f>
              <c:numCache>
                <c:formatCode>General</c:formatCode>
                <c:ptCount val="5"/>
                <c:pt idx="0">
                  <c:v>99.55</c:v>
                </c:pt>
                <c:pt idx="1">
                  <c:v>99.75</c:v>
                </c:pt>
                <c:pt idx="2">
                  <c:v>99.82</c:v>
                </c:pt>
                <c:pt idx="3">
                  <c:v>99.9</c:v>
                </c:pt>
                <c:pt idx="4">
                  <c:v>99.960000000000022</c:v>
                </c:pt>
              </c:numCache>
            </c:numRef>
          </c:yVal>
          <c:smooth val="1"/>
          <c:extLst>
            <c:ext xmlns:c16="http://schemas.microsoft.com/office/drawing/2014/chart" uri="{C3380CC4-5D6E-409C-BE32-E72D297353CC}">
              <c16:uniqueId val="{00000000-EADD-462C-BDCA-9FC717878137}"/>
            </c:ext>
          </c:extLst>
        </c:ser>
        <c:ser>
          <c:idx val="1"/>
          <c:order val="1"/>
          <c:tx>
            <c:strRef>
              <c:f>Cu at 100ppm</c:f>
              <c:strCache>
                <c:ptCount val="1"/>
                <c:pt idx="0">
                  <c:v>Cu at 100ppm</c:v>
                </c:pt>
              </c:strCache>
            </c:strRef>
          </c:tx>
          <c:spPr>
            <a:ln w="19050" cap="rnd" cmpd="sng" algn="ctr">
              <a:solidFill>
                <a:schemeClr val="accent2">
                  <a:shade val="95000"/>
                  <a:satMod val="105000"/>
                </a:schemeClr>
              </a:solidFill>
              <a:prstDash val="lgDash"/>
              <a:round/>
            </a:ln>
          </c:spPr>
          <c:marker>
            <c:symbol val="circle"/>
            <c:size val="5"/>
            <c:spPr>
              <a:ln w="15875" cap="flat" cmpd="sng" algn="ctr">
                <a:solidFill>
                  <a:schemeClr val="accent2">
                    <a:shade val="95000"/>
                    <a:satMod val="105000"/>
                  </a:schemeClr>
                </a:solidFill>
                <a:prstDash val="lgDash"/>
                <a:round/>
              </a:ln>
            </c:spPr>
          </c:marker>
          <c:xVal>
            <c:numRef>
              <c:f>Sheet16!$A$2:$A$6</c:f>
              <c:numCache>
                <c:formatCode>General</c:formatCode>
                <c:ptCount val="5"/>
                <c:pt idx="0">
                  <c:v>1</c:v>
                </c:pt>
                <c:pt idx="1">
                  <c:v>0.5</c:v>
                </c:pt>
                <c:pt idx="2">
                  <c:v>0.33000000000000312</c:v>
                </c:pt>
                <c:pt idx="3">
                  <c:v>0.25</c:v>
                </c:pt>
                <c:pt idx="4">
                  <c:v>0.2</c:v>
                </c:pt>
              </c:numCache>
            </c:numRef>
          </c:xVal>
          <c:yVal>
            <c:numRef>
              <c:f>Sheet16!$C$2:$C$6</c:f>
              <c:numCache>
                <c:formatCode>General</c:formatCode>
                <c:ptCount val="5"/>
                <c:pt idx="0">
                  <c:v>99.38</c:v>
                </c:pt>
                <c:pt idx="1">
                  <c:v>99.4</c:v>
                </c:pt>
                <c:pt idx="2">
                  <c:v>99.45</c:v>
                </c:pt>
                <c:pt idx="3">
                  <c:v>99.6</c:v>
                </c:pt>
                <c:pt idx="4">
                  <c:v>99.649999999999991</c:v>
                </c:pt>
              </c:numCache>
            </c:numRef>
          </c:yVal>
          <c:smooth val="1"/>
          <c:extLst>
            <c:ext xmlns:c16="http://schemas.microsoft.com/office/drawing/2014/chart" uri="{C3380CC4-5D6E-409C-BE32-E72D297353CC}">
              <c16:uniqueId val="{00000001-EADD-462C-BDCA-9FC717878137}"/>
            </c:ext>
          </c:extLst>
        </c:ser>
        <c:dLbls>
          <c:showLegendKey val="0"/>
          <c:showVal val="0"/>
          <c:showCatName val="0"/>
          <c:showSerName val="0"/>
          <c:showPercent val="0"/>
          <c:showBubbleSize val="0"/>
        </c:dLbls>
        <c:axId val="85976576"/>
        <c:axId val="86000384"/>
      </c:scatterChart>
      <c:valAx>
        <c:axId val="85976576"/>
        <c:scaling>
          <c:orientation val="maxMin"/>
          <c:max val="1"/>
          <c:min val="0.1"/>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u="none" strike="noStrike" baseline="0">
                    <a:latin typeface="Times New Roman" panose="02020603050405020304" charset="0"/>
                    <a:cs typeface="Times New Roman" panose="02020603050405020304" charset="0"/>
                  </a:rPr>
                  <a:t>Conc. of  </a:t>
                </a:r>
                <a:r>
                  <a:rPr lang="en-US" sz="1200" b="1" i="1" u="none" strike="noStrike" baseline="0">
                    <a:latin typeface="Times New Roman" panose="02020603050405020304" charset="0"/>
                    <a:cs typeface="Times New Roman" panose="02020603050405020304" charset="0"/>
                  </a:rPr>
                  <a:t>P. vulgaris </a:t>
                </a:r>
                <a:r>
                  <a:rPr lang="en-US" sz="1200" b="1" i="0" u="none" strike="noStrike" baseline="0">
                    <a:latin typeface="Times New Roman" panose="02020603050405020304" charset="0"/>
                    <a:cs typeface="Times New Roman" panose="02020603050405020304" charset="0"/>
                  </a:rPr>
                  <a:t>oil (mg/L)</a:t>
                </a:r>
                <a:endParaRPr lang="en-US" sz="1200">
                  <a:latin typeface="Times New Roman" panose="02020603050405020304" charset="0"/>
                  <a:cs typeface="Times New Roman" panose="02020603050405020304" charset="0"/>
                </a:endParaRPr>
              </a:p>
            </c:rich>
          </c:tx>
          <c:layout>
            <c:manualLayout>
              <c:xMode val="edge"/>
              <c:yMode val="edge"/>
              <c:x val="0.20016386377163201"/>
              <c:y val="0.89216134588373774"/>
            </c:manualLayout>
          </c:layout>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86000384"/>
        <c:crosses val="autoZero"/>
        <c:crossBetween val="midCat"/>
        <c:majorUnit val="0.1"/>
        <c:minorUnit val="2.0000000000000007E-2"/>
      </c:valAx>
      <c:valAx>
        <c:axId val="86000384"/>
        <c:scaling>
          <c:orientation val="minMax"/>
          <c:max val="100"/>
          <c:min val="99.3"/>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a:latin typeface="Times New Roman" panose="02020603050405020304" charset="0"/>
                    <a:cs typeface="Times New Roman" panose="02020603050405020304" charset="0"/>
                  </a:rPr>
                  <a:t>Removal efficiency</a:t>
                </a:r>
                <a:r>
                  <a:rPr lang="en-US" sz="1200" baseline="0">
                    <a:latin typeface="Times New Roman" panose="02020603050405020304" charset="0"/>
                    <a:cs typeface="Times New Roman" panose="02020603050405020304" charset="0"/>
                  </a:rPr>
                  <a:t> (%)</a:t>
                </a:r>
                <a:endParaRPr lang="en-US" sz="1200">
                  <a:latin typeface="Times New Roman" panose="02020603050405020304" charset="0"/>
                  <a:cs typeface="Times New Roman" panose="02020603050405020304" charset="0"/>
                </a:endParaRPr>
              </a:p>
            </c:rich>
          </c:tx>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85976576"/>
        <c:crosses val="max"/>
        <c:crossBetween val="midCat"/>
        <c:majorUnit val="0.1"/>
        <c:minorUnit val="2.0000000000000007E-2"/>
      </c:valAx>
      <c:spPr>
        <a:ln>
          <a:solidFill>
            <a:schemeClr val="tx1"/>
          </a:solidFill>
        </a:ln>
      </c:spPr>
    </c:plotArea>
    <c:legend>
      <c:legendPos val="r"/>
      <c:layout>
        <c:manualLayout>
          <c:xMode val="edge"/>
          <c:yMode val="edge"/>
          <c:x val="0.25291914518616393"/>
          <c:y val="5.5368614255123932E-2"/>
          <c:w val="0.41264595725930808"/>
          <c:h val="0.12205567451820105"/>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3e316134-efe3-421a-9057-00eeded4d90e}"/>
      </c:ext>
    </c:extLst>
  </c:chart>
  <c:spPr>
    <a:ln w="9525" cap="flat" cmpd="sng" algn="ctr">
      <a:solidFill>
        <a:schemeClr val="tx1">
          <a:lumMod val="95000"/>
          <a:lumOff val="5000"/>
        </a:schemeClr>
      </a:solidFill>
      <a:prstDash val="solid"/>
      <a:round/>
    </a:ln>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733582253459301"/>
          <c:y val="5.1289926289926312E-2"/>
          <c:w val="0.74302657588403298"/>
          <c:h val="0.7195945945945954"/>
        </c:manualLayout>
      </c:layout>
      <c:scatterChart>
        <c:scatterStyle val="smoothMarker"/>
        <c:varyColors val="0"/>
        <c:ser>
          <c:idx val="0"/>
          <c:order val="0"/>
          <c:tx>
            <c:strRef>
              <c:f>Ni at 50ppm</c:f>
              <c:strCache>
                <c:ptCount val="1"/>
                <c:pt idx="0">
                  <c:v>Ni at 50ppm</c:v>
                </c:pt>
              </c:strCache>
            </c:strRef>
          </c:tx>
          <c:spPr>
            <a:ln w="22225" cap="rnd" cmpd="sng" algn="ctr">
              <a:solidFill>
                <a:schemeClr val="accent1">
                  <a:shade val="95000"/>
                  <a:satMod val="105000"/>
                </a:schemeClr>
              </a:solidFill>
              <a:prstDash val="solid"/>
              <a:round/>
            </a:ln>
          </c:spPr>
          <c:marker>
            <c:symbol val="diamond"/>
            <c:size val="8"/>
          </c:marker>
          <c:xVal>
            <c:numRef>
              <c:f>Sheet20!$A$2:$A$6</c:f>
              <c:numCache>
                <c:formatCode>General</c:formatCode>
                <c:ptCount val="5"/>
                <c:pt idx="0">
                  <c:v>1</c:v>
                </c:pt>
                <c:pt idx="1">
                  <c:v>0.5</c:v>
                </c:pt>
                <c:pt idx="2">
                  <c:v>0.33000000000000212</c:v>
                </c:pt>
                <c:pt idx="3">
                  <c:v>0.25</c:v>
                </c:pt>
                <c:pt idx="4">
                  <c:v>0.2</c:v>
                </c:pt>
              </c:numCache>
            </c:numRef>
          </c:xVal>
          <c:yVal>
            <c:numRef>
              <c:f>Sheet20!$B$2:$B$6</c:f>
              <c:numCache>
                <c:formatCode>General</c:formatCode>
                <c:ptCount val="5"/>
                <c:pt idx="0">
                  <c:v>98.54</c:v>
                </c:pt>
                <c:pt idx="1">
                  <c:v>99.1</c:v>
                </c:pt>
                <c:pt idx="2">
                  <c:v>99.7</c:v>
                </c:pt>
                <c:pt idx="3">
                  <c:v>99.8</c:v>
                </c:pt>
                <c:pt idx="4">
                  <c:v>99.9</c:v>
                </c:pt>
              </c:numCache>
            </c:numRef>
          </c:yVal>
          <c:smooth val="1"/>
          <c:extLst>
            <c:ext xmlns:c16="http://schemas.microsoft.com/office/drawing/2014/chart" uri="{C3380CC4-5D6E-409C-BE32-E72D297353CC}">
              <c16:uniqueId val="{00000000-CD96-4A32-AFE1-E240D883172C}"/>
            </c:ext>
          </c:extLst>
        </c:ser>
        <c:ser>
          <c:idx val="1"/>
          <c:order val="1"/>
          <c:tx>
            <c:strRef>
              <c:f>Ni at 100ppm</c:f>
              <c:strCache>
                <c:ptCount val="1"/>
                <c:pt idx="0">
                  <c:v>Ni at 100ppm</c:v>
                </c:pt>
              </c:strCache>
            </c:strRef>
          </c:tx>
          <c:spPr>
            <a:ln w="22225" cap="rnd" cmpd="sng" algn="ctr">
              <a:solidFill>
                <a:schemeClr val="accent2">
                  <a:shade val="95000"/>
                  <a:satMod val="105000"/>
                </a:schemeClr>
              </a:solidFill>
              <a:prstDash val="lgDash"/>
              <a:round/>
            </a:ln>
          </c:spPr>
          <c:marker>
            <c:symbol val="triangle"/>
            <c:size val="6"/>
          </c:marker>
          <c:xVal>
            <c:numRef>
              <c:f>Sheet20!$A$2:$A$6</c:f>
              <c:numCache>
                <c:formatCode>General</c:formatCode>
                <c:ptCount val="5"/>
                <c:pt idx="0">
                  <c:v>1</c:v>
                </c:pt>
                <c:pt idx="1">
                  <c:v>0.5</c:v>
                </c:pt>
                <c:pt idx="2">
                  <c:v>0.33000000000000212</c:v>
                </c:pt>
                <c:pt idx="3">
                  <c:v>0.25</c:v>
                </c:pt>
                <c:pt idx="4">
                  <c:v>0.2</c:v>
                </c:pt>
              </c:numCache>
            </c:numRef>
          </c:xVal>
          <c:yVal>
            <c:numRef>
              <c:f>Sheet20!$C$2:$C$6</c:f>
              <c:numCache>
                <c:formatCode>General</c:formatCode>
                <c:ptCount val="5"/>
                <c:pt idx="0">
                  <c:v>97.56</c:v>
                </c:pt>
                <c:pt idx="1">
                  <c:v>98.26</c:v>
                </c:pt>
                <c:pt idx="2">
                  <c:v>98.490000000000023</c:v>
                </c:pt>
                <c:pt idx="3">
                  <c:v>99.57</c:v>
                </c:pt>
                <c:pt idx="4">
                  <c:v>99.649999999999991</c:v>
                </c:pt>
              </c:numCache>
            </c:numRef>
          </c:yVal>
          <c:smooth val="1"/>
          <c:extLst>
            <c:ext xmlns:c16="http://schemas.microsoft.com/office/drawing/2014/chart" uri="{C3380CC4-5D6E-409C-BE32-E72D297353CC}">
              <c16:uniqueId val="{00000001-CD96-4A32-AFE1-E240D883172C}"/>
            </c:ext>
          </c:extLst>
        </c:ser>
        <c:dLbls>
          <c:showLegendKey val="0"/>
          <c:showVal val="0"/>
          <c:showCatName val="0"/>
          <c:showSerName val="0"/>
          <c:showPercent val="0"/>
          <c:showBubbleSize val="0"/>
        </c:dLbls>
        <c:axId val="87864448"/>
        <c:axId val="91387776"/>
      </c:scatterChart>
      <c:valAx>
        <c:axId val="87864448"/>
        <c:scaling>
          <c:orientation val="maxMin"/>
          <c:max val="1"/>
          <c:min val="0.1"/>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latin typeface="Times New Roman" panose="02020603050405020304" charset="0"/>
                    <a:cs typeface="Times New Roman" panose="02020603050405020304" charset="0"/>
                  </a:rPr>
                  <a:t>Conc. of  </a:t>
                </a:r>
                <a:r>
                  <a:rPr lang="en-US" sz="1200" b="1" i="1" baseline="0">
                    <a:latin typeface="Times New Roman" panose="02020603050405020304" charset="0"/>
                    <a:cs typeface="Times New Roman" panose="02020603050405020304" charset="0"/>
                  </a:rPr>
                  <a:t>P. vulgaris </a:t>
                </a:r>
                <a:r>
                  <a:rPr lang="en-US" sz="1200" b="1" i="0" baseline="0">
                    <a:latin typeface="Times New Roman" panose="02020603050405020304" charset="0"/>
                    <a:cs typeface="Times New Roman" panose="02020603050405020304" charset="0"/>
                  </a:rPr>
                  <a:t>oil (mg/L</a:t>
                </a:r>
                <a:r>
                  <a:rPr lang="en-US" sz="1200" b="0" i="0" baseline="0"/>
                  <a:t>)</a:t>
                </a:r>
              </a:p>
            </c:rich>
          </c:tx>
          <c:layout>
            <c:manualLayout>
              <c:xMode val="edge"/>
              <c:yMode val="edge"/>
              <c:x val="0.14707962734616442"/>
              <c:y val="0.89158476658476649"/>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91387776"/>
        <c:crosses val="autoZero"/>
        <c:crossBetween val="midCat"/>
        <c:majorUnit val="0.1"/>
        <c:minorUnit val="2.0000000000000007E-2"/>
      </c:valAx>
      <c:valAx>
        <c:axId val="91387776"/>
        <c:scaling>
          <c:orientation val="minMax"/>
          <c:max val="100"/>
          <c:min val="97.4"/>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latin typeface="Times New Roman" panose="02020603050405020304" charset="0"/>
                    <a:cs typeface="Times New Roman" panose="02020603050405020304" charset="0"/>
                  </a:rPr>
                  <a:t>Removal efficiency (%)</a:t>
                </a:r>
                <a:endParaRPr lang="en-US" sz="1200">
                  <a:latin typeface="Times New Roman" panose="02020603050405020304" charset="0"/>
                  <a:cs typeface="Times New Roman" panose="02020603050405020304" charset="0"/>
                </a:endParaRPr>
              </a:p>
            </c:rich>
          </c:tx>
          <c:layout>
            <c:manualLayout>
              <c:xMode val="edge"/>
              <c:yMode val="edge"/>
              <c:x val="1.3888888888889006E-2"/>
              <c:y val="2.7989079809946207E-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87864448"/>
        <c:crosses val="max"/>
        <c:crossBetween val="midCat"/>
        <c:majorUnit val="0.4"/>
        <c:minorUnit val="2.0000000000000007E-2"/>
      </c:valAx>
      <c:spPr>
        <a:ln>
          <a:solidFill>
            <a:sysClr val="windowText" lastClr="000000"/>
          </a:solidFill>
        </a:ln>
      </c:spPr>
    </c:plotArea>
    <c:legend>
      <c:legendPos val="r"/>
      <c:layout>
        <c:manualLayout>
          <c:xMode val="edge"/>
          <c:yMode val="edge"/>
          <c:x val="0.2382912147402621"/>
          <c:y val="7.000471212085381E-2"/>
          <c:w val="0.42536944577513142"/>
          <c:h val="0.1211380869058030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200030b6-4c64-4eed-9534-c579d2cb8b2c}"/>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16465157177404"/>
          <c:y val="5.1485655737704888E-2"/>
          <c:w val="0.77247746757529123"/>
          <c:h val="0.80737704918032782"/>
        </c:manualLayout>
      </c:layout>
      <c:scatterChart>
        <c:scatterStyle val="smoothMarker"/>
        <c:varyColors val="0"/>
        <c:ser>
          <c:idx val="0"/>
          <c:order val="0"/>
          <c:tx>
            <c:strRef>
              <c:f>Cu at 50ppm</c:f>
              <c:strCache>
                <c:ptCount val="1"/>
                <c:pt idx="0">
                  <c:v>Cu at 50ppm</c:v>
                </c:pt>
              </c:strCache>
            </c:strRef>
          </c:tx>
          <c:spPr>
            <a:ln w="22225" cap="rnd" cmpd="sng" algn="ctr">
              <a:solidFill>
                <a:schemeClr val="accent1">
                  <a:shade val="95000"/>
                  <a:satMod val="105000"/>
                </a:schemeClr>
              </a:solidFill>
              <a:prstDash val="solid"/>
              <a:round/>
            </a:ln>
          </c:spPr>
          <c:marker>
            <c:symbol val="diamond"/>
            <c:size val="10"/>
          </c:marker>
          <c:xVal>
            <c:numRef>
              <c:f>Sheet17!$A$2:$A$6</c:f>
              <c:numCache>
                <c:formatCode>General</c:formatCode>
                <c:ptCount val="5"/>
                <c:pt idx="0">
                  <c:v>3</c:v>
                </c:pt>
                <c:pt idx="1">
                  <c:v>4</c:v>
                </c:pt>
                <c:pt idx="2">
                  <c:v>5</c:v>
                </c:pt>
                <c:pt idx="3">
                  <c:v>6</c:v>
                </c:pt>
                <c:pt idx="4">
                  <c:v>7</c:v>
                </c:pt>
              </c:numCache>
            </c:numRef>
          </c:xVal>
          <c:yVal>
            <c:numRef>
              <c:f>Sheet17!$B$2:$B$6</c:f>
              <c:numCache>
                <c:formatCode>General</c:formatCode>
                <c:ptCount val="5"/>
                <c:pt idx="0">
                  <c:v>99.32</c:v>
                </c:pt>
                <c:pt idx="1">
                  <c:v>99.54</c:v>
                </c:pt>
                <c:pt idx="2">
                  <c:v>99.84</c:v>
                </c:pt>
                <c:pt idx="3">
                  <c:v>99.960000000000022</c:v>
                </c:pt>
                <c:pt idx="4">
                  <c:v>99.940000000000026</c:v>
                </c:pt>
              </c:numCache>
            </c:numRef>
          </c:yVal>
          <c:smooth val="1"/>
          <c:extLst>
            <c:ext xmlns:c16="http://schemas.microsoft.com/office/drawing/2014/chart" uri="{C3380CC4-5D6E-409C-BE32-E72D297353CC}">
              <c16:uniqueId val="{00000000-1812-4FCA-BC1A-DD623CA3AF07}"/>
            </c:ext>
          </c:extLst>
        </c:ser>
        <c:ser>
          <c:idx val="1"/>
          <c:order val="1"/>
          <c:tx>
            <c:strRef>
              <c:f>Cu at 100ppm</c:f>
              <c:strCache>
                <c:ptCount val="1"/>
                <c:pt idx="0">
                  <c:v>Cu at 100ppm</c:v>
                </c:pt>
              </c:strCache>
            </c:strRef>
          </c:tx>
          <c:spPr>
            <a:ln w="22225" cap="rnd" cmpd="sng" algn="ctr">
              <a:solidFill>
                <a:schemeClr val="accent2">
                  <a:shade val="95000"/>
                  <a:satMod val="105000"/>
                </a:schemeClr>
              </a:solidFill>
              <a:prstDash val="lgDash"/>
              <a:round/>
            </a:ln>
          </c:spPr>
          <c:marker>
            <c:symbol val="triangle"/>
            <c:size val="5"/>
            <c:spPr>
              <a:ln w="9525" cap="flat" cmpd="sng" algn="ctr">
                <a:solidFill>
                  <a:schemeClr val="accent2">
                    <a:shade val="95000"/>
                    <a:satMod val="105000"/>
                  </a:schemeClr>
                </a:solidFill>
                <a:prstDash val="lgDash"/>
                <a:round/>
              </a:ln>
            </c:spPr>
          </c:marker>
          <c:xVal>
            <c:numRef>
              <c:f>Sheet17!$A$2:$A$6</c:f>
              <c:numCache>
                <c:formatCode>General</c:formatCode>
                <c:ptCount val="5"/>
                <c:pt idx="0">
                  <c:v>3</c:v>
                </c:pt>
                <c:pt idx="1">
                  <c:v>4</c:v>
                </c:pt>
                <c:pt idx="2">
                  <c:v>5</c:v>
                </c:pt>
                <c:pt idx="3">
                  <c:v>6</c:v>
                </c:pt>
                <c:pt idx="4">
                  <c:v>7</c:v>
                </c:pt>
              </c:numCache>
            </c:numRef>
          </c:xVal>
          <c:yVal>
            <c:numRef>
              <c:f>Sheet17!$C$2:$C$6</c:f>
              <c:numCache>
                <c:formatCode>General</c:formatCode>
                <c:ptCount val="5"/>
                <c:pt idx="0">
                  <c:v>99.38</c:v>
                </c:pt>
                <c:pt idx="1">
                  <c:v>99.669999999999987</c:v>
                </c:pt>
                <c:pt idx="2">
                  <c:v>99.9</c:v>
                </c:pt>
                <c:pt idx="3">
                  <c:v>99.95</c:v>
                </c:pt>
                <c:pt idx="4">
                  <c:v>99.93</c:v>
                </c:pt>
              </c:numCache>
            </c:numRef>
          </c:yVal>
          <c:smooth val="1"/>
          <c:extLst>
            <c:ext xmlns:c16="http://schemas.microsoft.com/office/drawing/2014/chart" uri="{C3380CC4-5D6E-409C-BE32-E72D297353CC}">
              <c16:uniqueId val="{00000001-1812-4FCA-BC1A-DD623CA3AF07}"/>
            </c:ext>
          </c:extLst>
        </c:ser>
        <c:dLbls>
          <c:showLegendKey val="0"/>
          <c:showVal val="0"/>
          <c:showCatName val="0"/>
          <c:showSerName val="0"/>
          <c:showPercent val="0"/>
          <c:showBubbleSize val="0"/>
        </c:dLbls>
        <c:axId val="111267200"/>
        <c:axId val="111323008"/>
      </c:scatterChart>
      <c:valAx>
        <c:axId val="111267200"/>
        <c:scaling>
          <c:orientation val="minMax"/>
          <c:max val="8"/>
          <c:min val="3"/>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a:latin typeface="Times New Roman" panose="02020603050405020304" charset="0"/>
                    <a:cs typeface="Times New Roman" panose="02020603050405020304" charset="0"/>
                  </a:rPr>
                  <a:t>pH</a:t>
                </a:r>
              </a:p>
            </c:rich>
          </c:tx>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11323008"/>
        <c:crosses val="autoZero"/>
        <c:crossBetween val="midCat"/>
        <c:majorUnit val="1"/>
      </c:valAx>
      <c:valAx>
        <c:axId val="111323008"/>
        <c:scaling>
          <c:orientation val="minMax"/>
          <c:max val="100"/>
          <c:min val="99.1"/>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latin typeface="Times New Roman" panose="02020603050405020304" charset="0"/>
                    <a:cs typeface="Times New Roman" panose="02020603050405020304" charset="0"/>
                  </a:rPr>
                  <a:t>Removal efficiency (%)</a:t>
                </a:r>
              </a:p>
            </c:rich>
          </c:tx>
          <c:layout>
            <c:manualLayout>
              <c:xMode val="edge"/>
              <c:yMode val="edge"/>
              <c:x val="2.5684789401325008E-3"/>
              <c:y val="0.16360345581802305"/>
            </c:manualLayout>
          </c:layout>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11267200"/>
        <c:crosses val="autoZero"/>
        <c:crossBetween val="midCat"/>
        <c:minorUnit val="2.0000000000000007E-2"/>
      </c:valAx>
      <c:spPr>
        <a:ln>
          <a:solidFill>
            <a:sysClr val="windowText" lastClr="000000"/>
          </a:solidFill>
        </a:ln>
      </c:spPr>
    </c:plotArea>
    <c:legend>
      <c:legendPos val="r"/>
      <c:layout>
        <c:manualLayout>
          <c:xMode val="edge"/>
          <c:yMode val="edge"/>
          <c:x val="0.5355023081996042"/>
          <c:y val="0.19178466708397848"/>
          <c:w val="0.40602330182457713"/>
          <c:h val="0.12553838719950805"/>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9fea9124-1c33-4bb0-a6a8-4dd33dccd065}"/>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62152369202698"/>
          <c:y val="5.0925925925925902E-2"/>
          <c:w val="0.75647951840121364"/>
          <c:h val="0.8005333297984214"/>
        </c:manualLayout>
      </c:layout>
      <c:scatterChart>
        <c:scatterStyle val="smoothMarker"/>
        <c:varyColors val="0"/>
        <c:ser>
          <c:idx val="0"/>
          <c:order val="0"/>
          <c:tx>
            <c:strRef>
              <c:f>Ni at 50ppm</c:f>
              <c:strCache>
                <c:ptCount val="1"/>
                <c:pt idx="0">
                  <c:v>Ni at 50ppm</c:v>
                </c:pt>
              </c:strCache>
            </c:strRef>
          </c:tx>
          <c:spPr>
            <a:ln w="22225" cap="rnd" cmpd="sng" algn="ctr">
              <a:solidFill>
                <a:schemeClr val="accent1">
                  <a:shade val="95000"/>
                  <a:satMod val="105000"/>
                </a:schemeClr>
              </a:solidFill>
              <a:prstDash val="solid"/>
              <a:round/>
            </a:ln>
          </c:spPr>
          <c:marker>
            <c:symbol val="diamond"/>
            <c:size val="8"/>
          </c:marker>
          <c:xVal>
            <c:numRef>
              <c:f>Sheet21!$A$2:$A$6</c:f>
              <c:numCache>
                <c:formatCode>General</c:formatCode>
                <c:ptCount val="5"/>
                <c:pt idx="0">
                  <c:v>3</c:v>
                </c:pt>
                <c:pt idx="1">
                  <c:v>4</c:v>
                </c:pt>
                <c:pt idx="2">
                  <c:v>5</c:v>
                </c:pt>
                <c:pt idx="3">
                  <c:v>6</c:v>
                </c:pt>
                <c:pt idx="4">
                  <c:v>7</c:v>
                </c:pt>
              </c:numCache>
            </c:numRef>
          </c:xVal>
          <c:yVal>
            <c:numRef>
              <c:f>Sheet21!$B$2:$B$6</c:f>
              <c:numCache>
                <c:formatCode>General</c:formatCode>
                <c:ptCount val="5"/>
                <c:pt idx="0">
                  <c:v>96.9</c:v>
                </c:pt>
                <c:pt idx="1">
                  <c:v>97.940000000000026</c:v>
                </c:pt>
                <c:pt idx="2">
                  <c:v>98.98</c:v>
                </c:pt>
                <c:pt idx="3">
                  <c:v>99.9</c:v>
                </c:pt>
                <c:pt idx="4">
                  <c:v>99.8</c:v>
                </c:pt>
              </c:numCache>
            </c:numRef>
          </c:yVal>
          <c:smooth val="1"/>
          <c:extLst>
            <c:ext xmlns:c16="http://schemas.microsoft.com/office/drawing/2014/chart" uri="{C3380CC4-5D6E-409C-BE32-E72D297353CC}">
              <c16:uniqueId val="{00000000-7E96-4E22-A6A4-3EBB24AD23F8}"/>
            </c:ext>
          </c:extLst>
        </c:ser>
        <c:ser>
          <c:idx val="1"/>
          <c:order val="1"/>
          <c:tx>
            <c:strRef>
              <c:f>Ni at 100ppm</c:f>
              <c:strCache>
                <c:ptCount val="1"/>
                <c:pt idx="0">
                  <c:v>Ni at 100ppm</c:v>
                </c:pt>
              </c:strCache>
            </c:strRef>
          </c:tx>
          <c:spPr>
            <a:ln w="22225" cap="rnd" cmpd="sng" algn="ctr">
              <a:solidFill>
                <a:schemeClr val="accent2">
                  <a:shade val="95000"/>
                  <a:satMod val="105000"/>
                </a:schemeClr>
              </a:solidFill>
              <a:prstDash val="lgDash"/>
              <a:round/>
            </a:ln>
          </c:spPr>
          <c:marker>
            <c:symbol val="triangle"/>
            <c:size val="5"/>
          </c:marker>
          <c:xVal>
            <c:numRef>
              <c:f>Sheet21!$A$2:$A$6</c:f>
              <c:numCache>
                <c:formatCode>General</c:formatCode>
                <c:ptCount val="5"/>
                <c:pt idx="0">
                  <c:v>3</c:v>
                </c:pt>
                <c:pt idx="1">
                  <c:v>4</c:v>
                </c:pt>
                <c:pt idx="2">
                  <c:v>5</c:v>
                </c:pt>
                <c:pt idx="3">
                  <c:v>6</c:v>
                </c:pt>
                <c:pt idx="4">
                  <c:v>7</c:v>
                </c:pt>
              </c:numCache>
            </c:numRef>
          </c:xVal>
          <c:yVal>
            <c:numRef>
              <c:f>Sheet21!$C$2:$C$6</c:f>
              <c:numCache>
                <c:formatCode>General</c:formatCode>
                <c:ptCount val="5"/>
                <c:pt idx="0">
                  <c:v>96.710000000000022</c:v>
                </c:pt>
                <c:pt idx="1">
                  <c:v>97.88</c:v>
                </c:pt>
                <c:pt idx="2">
                  <c:v>99.07</c:v>
                </c:pt>
                <c:pt idx="3">
                  <c:v>99.86</c:v>
                </c:pt>
                <c:pt idx="4">
                  <c:v>99.77</c:v>
                </c:pt>
              </c:numCache>
            </c:numRef>
          </c:yVal>
          <c:smooth val="1"/>
          <c:extLst>
            <c:ext xmlns:c16="http://schemas.microsoft.com/office/drawing/2014/chart" uri="{C3380CC4-5D6E-409C-BE32-E72D297353CC}">
              <c16:uniqueId val="{00000001-7E96-4E22-A6A4-3EBB24AD23F8}"/>
            </c:ext>
          </c:extLst>
        </c:ser>
        <c:dLbls>
          <c:showLegendKey val="0"/>
          <c:showVal val="0"/>
          <c:showCatName val="0"/>
          <c:showSerName val="0"/>
          <c:showPercent val="0"/>
          <c:showBubbleSize val="0"/>
        </c:dLbls>
        <c:axId val="113024000"/>
        <c:axId val="113135616"/>
      </c:scatterChart>
      <c:valAx>
        <c:axId val="113024000"/>
        <c:scaling>
          <c:orientation val="minMax"/>
          <c:min val="3"/>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sz="1200"/>
                  <a:t>pH</a:t>
                </a:r>
              </a:p>
            </c:rich>
          </c:tx>
          <c:layout>
            <c:manualLayout>
              <c:xMode val="edge"/>
              <c:yMode val="edge"/>
              <c:x val="0.54148554011393724"/>
              <c:y val="0.9057239057239056"/>
            </c:manualLayout>
          </c:layout>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13135616"/>
        <c:crosses val="autoZero"/>
        <c:crossBetween val="midCat"/>
        <c:majorUnit val="1"/>
      </c:valAx>
      <c:valAx>
        <c:axId val="113135616"/>
        <c:scaling>
          <c:orientation val="minMax"/>
          <c:max val="100"/>
          <c:min val="96"/>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sz="1200"/>
                  <a:t>Removal</a:t>
                </a:r>
                <a:r>
                  <a:rPr lang="en-US" sz="1200" baseline="0"/>
                  <a:t> </a:t>
                </a:r>
                <a:r>
                  <a:rPr lang="en-US" sz="1200"/>
                  <a:t>efficiency (%)</a:t>
                </a:r>
              </a:p>
            </c:rich>
          </c:tx>
          <c:layout>
            <c:manualLayout>
              <c:xMode val="edge"/>
              <c:yMode val="edge"/>
              <c:x val="1.3055555555555603E-2"/>
              <c:y val="0.11572907553222503"/>
            </c:manualLayout>
          </c:layout>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13024000"/>
        <c:crosses val="autoZero"/>
        <c:crossBetween val="midCat"/>
        <c:majorUnit val="0.4"/>
        <c:minorUnit val="0.2"/>
      </c:valAx>
      <c:spPr>
        <a:ln>
          <a:solidFill>
            <a:sysClr val="windowText" lastClr="000000"/>
          </a:solidFill>
        </a:ln>
      </c:spPr>
    </c:plotArea>
    <c:legend>
      <c:legendPos val="r"/>
      <c:layout>
        <c:manualLayout>
          <c:xMode val="edge"/>
          <c:yMode val="edge"/>
          <c:x val="0.54544207319707161"/>
          <c:y val="0.2076468976731444"/>
          <c:w val="0.42046311031397576"/>
          <c:h val="0.133603260366884"/>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d1addad2-8889-4573-af4a-ce298651347d}"/>
      </c:ext>
    </c:extLst>
  </c:chart>
  <c:txPr>
    <a:bodyPr/>
    <a:lstStyle/>
    <a:p>
      <a:pPr>
        <a:defRPr lang="en-US">
          <a:latin typeface="Times New Roman" panose="02020603050405020304" charset="0"/>
          <a:cs typeface="Times New Roman" panose="0202060305040502030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425611272275205"/>
          <c:y val="4.814814814814812E-2"/>
          <c:w val="0.75880646498135096"/>
          <c:h val="0.76790123456790138"/>
        </c:manualLayout>
      </c:layout>
      <c:scatterChart>
        <c:scatterStyle val="smoothMarker"/>
        <c:varyColors val="0"/>
        <c:ser>
          <c:idx val="0"/>
          <c:order val="0"/>
          <c:tx>
            <c:strRef>
              <c:f>Cu at 50ppm</c:f>
              <c:strCache>
                <c:ptCount val="1"/>
                <c:pt idx="0">
                  <c:v>Cu at 50ppm</c:v>
                </c:pt>
              </c:strCache>
            </c:strRef>
          </c:tx>
          <c:spPr>
            <a:ln w="22225" cap="rnd" cmpd="sng" algn="ctr">
              <a:solidFill>
                <a:schemeClr val="accent1">
                  <a:shade val="95000"/>
                  <a:satMod val="105000"/>
                </a:schemeClr>
              </a:solidFill>
              <a:prstDash val="solid"/>
              <a:round/>
            </a:ln>
          </c:spPr>
          <c:marker>
            <c:symbol val="diamond"/>
            <c:size val="8"/>
          </c:marker>
          <c:xVal>
            <c:numRef>
              <c:f>Sheet18!$A$2:$A$6</c:f>
              <c:numCache>
                <c:formatCode>General</c:formatCode>
                <c:ptCount val="5"/>
                <c:pt idx="0">
                  <c:v>25</c:v>
                </c:pt>
                <c:pt idx="1">
                  <c:v>35</c:v>
                </c:pt>
                <c:pt idx="2">
                  <c:v>45</c:v>
                </c:pt>
                <c:pt idx="3">
                  <c:v>55</c:v>
                </c:pt>
                <c:pt idx="4">
                  <c:v>65</c:v>
                </c:pt>
              </c:numCache>
            </c:numRef>
          </c:xVal>
          <c:yVal>
            <c:numRef>
              <c:f>Sheet18!$B$2:$B$6</c:f>
              <c:numCache>
                <c:formatCode>General</c:formatCode>
                <c:ptCount val="5"/>
                <c:pt idx="0">
                  <c:v>99.14</c:v>
                </c:pt>
                <c:pt idx="1">
                  <c:v>99.38</c:v>
                </c:pt>
                <c:pt idx="2">
                  <c:v>99.52</c:v>
                </c:pt>
                <c:pt idx="3">
                  <c:v>99.8</c:v>
                </c:pt>
                <c:pt idx="4">
                  <c:v>99.92</c:v>
                </c:pt>
              </c:numCache>
            </c:numRef>
          </c:yVal>
          <c:smooth val="1"/>
          <c:extLst>
            <c:ext xmlns:c16="http://schemas.microsoft.com/office/drawing/2014/chart" uri="{C3380CC4-5D6E-409C-BE32-E72D297353CC}">
              <c16:uniqueId val="{00000000-21D5-478D-B541-DC460C7556EB}"/>
            </c:ext>
          </c:extLst>
        </c:ser>
        <c:ser>
          <c:idx val="1"/>
          <c:order val="1"/>
          <c:tx>
            <c:strRef>
              <c:f>Cu at 100ppm</c:f>
              <c:strCache>
                <c:ptCount val="1"/>
                <c:pt idx="0">
                  <c:v>Cu at 100ppm</c:v>
                </c:pt>
              </c:strCache>
            </c:strRef>
          </c:tx>
          <c:spPr>
            <a:ln w="22225" cap="rnd" cmpd="sng" algn="ctr">
              <a:solidFill>
                <a:schemeClr val="accent2">
                  <a:shade val="95000"/>
                  <a:satMod val="105000"/>
                </a:schemeClr>
              </a:solidFill>
              <a:prstDash val="lgDash"/>
              <a:round/>
            </a:ln>
          </c:spPr>
          <c:marker>
            <c:symbol val="triangle"/>
            <c:size val="5"/>
          </c:marker>
          <c:xVal>
            <c:numRef>
              <c:f>Sheet18!$A$2:$A$6</c:f>
              <c:numCache>
                <c:formatCode>General</c:formatCode>
                <c:ptCount val="5"/>
                <c:pt idx="0">
                  <c:v>25</c:v>
                </c:pt>
                <c:pt idx="1">
                  <c:v>35</c:v>
                </c:pt>
                <c:pt idx="2">
                  <c:v>45</c:v>
                </c:pt>
                <c:pt idx="3">
                  <c:v>55</c:v>
                </c:pt>
                <c:pt idx="4">
                  <c:v>65</c:v>
                </c:pt>
              </c:numCache>
            </c:numRef>
          </c:xVal>
          <c:yVal>
            <c:numRef>
              <c:f>Sheet18!$C$2:$C$6</c:f>
              <c:numCache>
                <c:formatCode>General</c:formatCode>
                <c:ptCount val="5"/>
                <c:pt idx="0">
                  <c:v>99.28</c:v>
                </c:pt>
                <c:pt idx="1">
                  <c:v>99.490000000000023</c:v>
                </c:pt>
                <c:pt idx="2">
                  <c:v>99.63</c:v>
                </c:pt>
                <c:pt idx="3">
                  <c:v>99.8</c:v>
                </c:pt>
                <c:pt idx="4">
                  <c:v>99.86999999999999</c:v>
                </c:pt>
              </c:numCache>
            </c:numRef>
          </c:yVal>
          <c:smooth val="1"/>
          <c:extLst>
            <c:ext xmlns:c16="http://schemas.microsoft.com/office/drawing/2014/chart" uri="{C3380CC4-5D6E-409C-BE32-E72D297353CC}">
              <c16:uniqueId val="{00000001-21D5-478D-B541-DC460C7556EB}"/>
            </c:ext>
          </c:extLst>
        </c:ser>
        <c:dLbls>
          <c:showLegendKey val="0"/>
          <c:showVal val="0"/>
          <c:showCatName val="0"/>
          <c:showSerName val="0"/>
          <c:showPercent val="0"/>
          <c:showBubbleSize val="0"/>
        </c:dLbls>
        <c:axId val="113216512"/>
        <c:axId val="113235072"/>
      </c:scatterChart>
      <c:valAx>
        <c:axId val="113216512"/>
        <c:scaling>
          <c:orientation val="minMax"/>
          <c:min val="15"/>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a:latin typeface="Times New Roman" panose="02020603050405020304" charset="0"/>
                    <a:cs typeface="Times New Roman" panose="02020603050405020304" charset="0"/>
                  </a:rPr>
                  <a:t>Temperature (</a:t>
                </a:r>
                <a:r>
                  <a:rPr lang="en-US" sz="1200" baseline="30000">
                    <a:latin typeface="Times New Roman" panose="02020603050405020304" charset="0"/>
                    <a:cs typeface="Times New Roman" panose="02020603050405020304" charset="0"/>
                  </a:rPr>
                  <a:t>0</a:t>
                </a:r>
                <a:r>
                  <a:rPr lang="en-US" sz="1200">
                    <a:latin typeface="Times New Roman" panose="02020603050405020304" charset="0"/>
                    <a:cs typeface="Times New Roman" panose="02020603050405020304" charset="0"/>
                  </a:rPr>
                  <a:t>C)</a:t>
                </a:r>
              </a:p>
            </c:rich>
          </c:tx>
          <c:layout>
            <c:manualLayout>
              <c:xMode val="edge"/>
              <c:yMode val="edge"/>
              <c:x val="0.36972765286468612"/>
              <c:y val="0.92222222222222083"/>
            </c:manualLayout>
          </c:layout>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13235072"/>
        <c:crosses val="autoZero"/>
        <c:crossBetween val="midCat"/>
        <c:majorUnit val="5"/>
        <c:minorUnit val="2"/>
      </c:valAx>
      <c:valAx>
        <c:axId val="113235072"/>
        <c:scaling>
          <c:orientation val="minMax"/>
          <c:max val="100"/>
          <c:min val="99.1"/>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latin typeface="Times New Roman" panose="02020603050405020304" charset="0"/>
                    <a:cs typeface="Times New Roman" panose="02020603050405020304" charset="0"/>
                  </a:rPr>
                  <a:t>Removal efficiency (%)</a:t>
                </a:r>
                <a:endParaRPr lang="en-US" sz="1200">
                  <a:latin typeface="Times New Roman" panose="02020603050405020304" charset="0"/>
                  <a:cs typeface="Times New Roman" panose="02020603050405020304" charset="0"/>
                </a:endParaRPr>
              </a:p>
            </c:rich>
          </c:tx>
          <c:layout>
            <c:manualLayout>
              <c:xMode val="edge"/>
              <c:yMode val="edge"/>
              <c:x val="1.2947031611038905E-2"/>
              <c:y val="0.13879968954951605"/>
            </c:manualLayout>
          </c:layout>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13216512"/>
        <c:crosses val="autoZero"/>
        <c:crossBetween val="midCat"/>
        <c:minorUnit val="2.0000000000000007E-2"/>
      </c:valAx>
    </c:plotArea>
    <c:legend>
      <c:legendPos val="r"/>
      <c:layout>
        <c:manualLayout>
          <c:xMode val="edge"/>
          <c:yMode val="edge"/>
          <c:x val="0.24975768088929712"/>
          <c:y val="3.8610599211122421E-2"/>
          <c:w val="0.40873647010451919"/>
          <c:h val="0.1215564457097880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360dadcf-6931-4d88-a170-bae6ec3e7237}"/>
      </c:ext>
    </c:extLst>
  </c:chart>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289291303375794"/>
          <c:y val="5.6963750340692294E-2"/>
          <c:w val="0.73798345629331541"/>
          <c:h val="0.76015263014445422"/>
        </c:manualLayout>
      </c:layout>
      <c:scatterChart>
        <c:scatterStyle val="smoothMarker"/>
        <c:varyColors val="0"/>
        <c:ser>
          <c:idx val="0"/>
          <c:order val="0"/>
          <c:tx>
            <c:strRef>
              <c:f>Ni at50ppm</c:f>
              <c:strCache>
                <c:ptCount val="1"/>
                <c:pt idx="0">
                  <c:v>Ni at50ppm</c:v>
                </c:pt>
              </c:strCache>
            </c:strRef>
          </c:tx>
          <c:spPr>
            <a:ln w="22225" cap="rnd" cmpd="sng" algn="ctr">
              <a:solidFill>
                <a:schemeClr val="accent1">
                  <a:shade val="95000"/>
                  <a:satMod val="105000"/>
                </a:schemeClr>
              </a:solidFill>
              <a:prstDash val="solid"/>
              <a:round/>
            </a:ln>
          </c:spPr>
          <c:marker>
            <c:symbol val="diamond"/>
            <c:size val="8"/>
          </c:marker>
          <c:xVal>
            <c:numRef>
              <c:f>Sheet22!$A$2:$A$6</c:f>
              <c:numCache>
                <c:formatCode>General</c:formatCode>
                <c:ptCount val="5"/>
                <c:pt idx="0">
                  <c:v>25</c:v>
                </c:pt>
                <c:pt idx="1">
                  <c:v>35</c:v>
                </c:pt>
                <c:pt idx="2">
                  <c:v>45</c:v>
                </c:pt>
                <c:pt idx="3">
                  <c:v>55</c:v>
                </c:pt>
                <c:pt idx="4">
                  <c:v>65</c:v>
                </c:pt>
              </c:numCache>
            </c:numRef>
          </c:xVal>
          <c:yVal>
            <c:numRef>
              <c:f>Sheet22!$B$2:$B$6</c:f>
              <c:numCache>
                <c:formatCode>General</c:formatCode>
                <c:ptCount val="5"/>
                <c:pt idx="0">
                  <c:v>99.38</c:v>
                </c:pt>
                <c:pt idx="1">
                  <c:v>99.54</c:v>
                </c:pt>
                <c:pt idx="2">
                  <c:v>99.66</c:v>
                </c:pt>
                <c:pt idx="3">
                  <c:v>99.88</c:v>
                </c:pt>
                <c:pt idx="4">
                  <c:v>99.960000000000022</c:v>
                </c:pt>
              </c:numCache>
            </c:numRef>
          </c:yVal>
          <c:smooth val="1"/>
          <c:extLst>
            <c:ext xmlns:c16="http://schemas.microsoft.com/office/drawing/2014/chart" uri="{C3380CC4-5D6E-409C-BE32-E72D297353CC}">
              <c16:uniqueId val="{00000000-38C4-4CA9-ACEC-57126283CF38}"/>
            </c:ext>
          </c:extLst>
        </c:ser>
        <c:ser>
          <c:idx val="1"/>
          <c:order val="1"/>
          <c:tx>
            <c:strRef>
              <c:f>Ni at 100ppm</c:f>
              <c:strCache>
                <c:ptCount val="1"/>
                <c:pt idx="0">
                  <c:v>Ni at 100ppm</c:v>
                </c:pt>
              </c:strCache>
            </c:strRef>
          </c:tx>
          <c:spPr>
            <a:ln w="22225" cap="rnd" cmpd="sng" algn="ctr">
              <a:solidFill>
                <a:schemeClr val="accent2">
                  <a:shade val="95000"/>
                  <a:satMod val="105000"/>
                </a:schemeClr>
              </a:solidFill>
              <a:prstDash val="lgDash"/>
              <a:round/>
            </a:ln>
          </c:spPr>
          <c:marker>
            <c:symbol val="triangle"/>
            <c:size val="5"/>
          </c:marker>
          <c:xVal>
            <c:numRef>
              <c:f>Sheet22!$A$2:$A$6</c:f>
              <c:numCache>
                <c:formatCode>General</c:formatCode>
                <c:ptCount val="5"/>
                <c:pt idx="0">
                  <c:v>25</c:v>
                </c:pt>
                <c:pt idx="1">
                  <c:v>35</c:v>
                </c:pt>
                <c:pt idx="2">
                  <c:v>45</c:v>
                </c:pt>
                <c:pt idx="3">
                  <c:v>55</c:v>
                </c:pt>
                <c:pt idx="4">
                  <c:v>65</c:v>
                </c:pt>
              </c:numCache>
            </c:numRef>
          </c:xVal>
          <c:yVal>
            <c:numRef>
              <c:f>Sheet22!$C$2:$C$6</c:f>
              <c:numCache>
                <c:formatCode>General</c:formatCode>
                <c:ptCount val="5"/>
                <c:pt idx="0">
                  <c:v>98.35</c:v>
                </c:pt>
                <c:pt idx="1">
                  <c:v>98.76</c:v>
                </c:pt>
                <c:pt idx="2">
                  <c:v>99.19</c:v>
                </c:pt>
                <c:pt idx="3">
                  <c:v>99.75</c:v>
                </c:pt>
                <c:pt idx="4">
                  <c:v>99.92</c:v>
                </c:pt>
              </c:numCache>
            </c:numRef>
          </c:yVal>
          <c:smooth val="1"/>
          <c:extLst>
            <c:ext xmlns:c16="http://schemas.microsoft.com/office/drawing/2014/chart" uri="{C3380CC4-5D6E-409C-BE32-E72D297353CC}">
              <c16:uniqueId val="{00000001-38C4-4CA9-ACEC-57126283CF38}"/>
            </c:ext>
          </c:extLst>
        </c:ser>
        <c:dLbls>
          <c:showLegendKey val="0"/>
          <c:showVal val="0"/>
          <c:showCatName val="0"/>
          <c:showSerName val="0"/>
          <c:showPercent val="0"/>
          <c:showBubbleSize val="0"/>
        </c:dLbls>
        <c:axId val="121586048"/>
        <c:axId val="121588352"/>
      </c:scatterChart>
      <c:valAx>
        <c:axId val="121586048"/>
        <c:scaling>
          <c:orientation val="minMax"/>
          <c:min val="15"/>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a:latin typeface="Times New Roman" panose="02020603050405020304" charset="0"/>
                    <a:cs typeface="Times New Roman" panose="02020603050405020304" charset="0"/>
                  </a:rPr>
                  <a:t>Temperature</a:t>
                </a:r>
                <a:r>
                  <a:rPr lang="en-US" sz="1200" baseline="0">
                    <a:latin typeface="Times New Roman" panose="02020603050405020304" charset="0"/>
                    <a:cs typeface="Times New Roman" panose="02020603050405020304" charset="0"/>
                  </a:rPr>
                  <a:t> (</a:t>
                </a:r>
                <a:r>
                  <a:rPr lang="en-US" sz="1200" baseline="30000">
                    <a:latin typeface="Times New Roman" panose="02020603050405020304" charset="0"/>
                    <a:cs typeface="Times New Roman" panose="02020603050405020304" charset="0"/>
                  </a:rPr>
                  <a:t>0</a:t>
                </a:r>
                <a:r>
                  <a:rPr lang="en-US" sz="1200" baseline="0">
                    <a:latin typeface="Times New Roman" panose="02020603050405020304" charset="0"/>
                    <a:cs typeface="Times New Roman" panose="02020603050405020304" charset="0"/>
                  </a:rPr>
                  <a:t>C)</a:t>
                </a:r>
                <a:endParaRPr lang="en-US" sz="1200">
                  <a:latin typeface="Times New Roman" panose="02020603050405020304" charset="0"/>
                  <a:cs typeface="Times New Roman" panose="02020603050405020304" charset="0"/>
                </a:endParaRPr>
              </a:p>
            </c:rich>
          </c:tx>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1588352"/>
        <c:crosses val="autoZero"/>
        <c:crossBetween val="midCat"/>
        <c:majorUnit val="5"/>
      </c:valAx>
      <c:valAx>
        <c:axId val="121588352"/>
        <c:scaling>
          <c:orientation val="minMax"/>
          <c:max val="100"/>
          <c:min val="98.2"/>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latin typeface="Times New Roman" panose="02020603050405020304" charset="0"/>
                    <a:cs typeface="Times New Roman" panose="02020603050405020304" charset="0"/>
                  </a:rPr>
                  <a:t>Removal efficiency (%)</a:t>
                </a:r>
                <a:endParaRPr lang="en-US" sz="1200">
                  <a:latin typeface="Times New Roman" panose="02020603050405020304" charset="0"/>
                  <a:cs typeface="Times New Roman" panose="02020603050405020304" charset="0"/>
                </a:endParaRPr>
              </a:p>
            </c:rich>
          </c:tx>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1586048"/>
        <c:crosses val="autoZero"/>
        <c:crossBetween val="midCat"/>
        <c:majorUnit val="0.2"/>
        <c:minorUnit val="2.0000000000000007E-2"/>
      </c:valAx>
    </c:plotArea>
    <c:legend>
      <c:legendPos val="r"/>
      <c:layout>
        <c:manualLayout>
          <c:xMode val="edge"/>
          <c:yMode val="edge"/>
          <c:x val="0.21395036887994606"/>
          <c:y val="2.2349414009266811E-2"/>
          <c:w val="0.4413145539906102"/>
          <c:h val="0.136803732866725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ca0c9796-dd46-4aae-ae26-01a04193e38c}"/>
      </c:ext>
    </c:extLst>
  </c:chart>
  <c:txPr>
    <a:bodyPr/>
    <a:lstStyle/>
    <a:p>
      <a:pPr>
        <a:defRPr lang="en-US"/>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121837893650001"/>
          <c:y val="5.1341589267285895E-2"/>
          <c:w val="0.73825503355704725"/>
          <c:h val="0.75696594427244601"/>
        </c:manualLayout>
      </c:layout>
      <c:scatterChart>
        <c:scatterStyle val="smoothMarker"/>
        <c:varyColors val="0"/>
        <c:ser>
          <c:idx val="0"/>
          <c:order val="0"/>
          <c:tx>
            <c:strRef>
              <c:f>Cu at 50ppm</c:f>
              <c:strCache>
                <c:ptCount val="1"/>
                <c:pt idx="0">
                  <c:v>Cu at 50ppm</c:v>
                </c:pt>
              </c:strCache>
            </c:strRef>
          </c:tx>
          <c:spPr>
            <a:ln w="22225" cap="rnd" cmpd="sng" algn="ctr">
              <a:solidFill>
                <a:schemeClr val="accent1">
                  <a:shade val="95000"/>
                  <a:satMod val="105000"/>
                </a:schemeClr>
              </a:solidFill>
              <a:prstDash val="solid"/>
              <a:round/>
            </a:ln>
          </c:spPr>
          <c:marker>
            <c:symbol val="diamond"/>
            <c:size val="8"/>
          </c:marker>
          <c:xVal>
            <c:numRef>
              <c:f>Sheet19!$A$2:$A$6</c:f>
              <c:numCache>
                <c:formatCode>General</c:formatCode>
                <c:ptCount val="5"/>
                <c:pt idx="0">
                  <c:v>5</c:v>
                </c:pt>
                <c:pt idx="1">
                  <c:v>10</c:v>
                </c:pt>
                <c:pt idx="2">
                  <c:v>15</c:v>
                </c:pt>
                <c:pt idx="3">
                  <c:v>20</c:v>
                </c:pt>
                <c:pt idx="4">
                  <c:v>25</c:v>
                </c:pt>
              </c:numCache>
            </c:numRef>
          </c:xVal>
          <c:yVal>
            <c:numRef>
              <c:f>Sheet19!$B$2:$B$6</c:f>
              <c:numCache>
                <c:formatCode>General</c:formatCode>
                <c:ptCount val="5"/>
                <c:pt idx="0">
                  <c:v>98</c:v>
                </c:pt>
                <c:pt idx="1">
                  <c:v>98.86</c:v>
                </c:pt>
                <c:pt idx="2">
                  <c:v>99.8</c:v>
                </c:pt>
                <c:pt idx="3">
                  <c:v>99.84</c:v>
                </c:pt>
                <c:pt idx="4">
                  <c:v>99.9</c:v>
                </c:pt>
              </c:numCache>
            </c:numRef>
          </c:yVal>
          <c:smooth val="1"/>
          <c:extLst>
            <c:ext xmlns:c16="http://schemas.microsoft.com/office/drawing/2014/chart" uri="{C3380CC4-5D6E-409C-BE32-E72D297353CC}">
              <c16:uniqueId val="{00000000-BA8B-4697-8B2D-2DDF4C2800FF}"/>
            </c:ext>
          </c:extLst>
        </c:ser>
        <c:ser>
          <c:idx val="1"/>
          <c:order val="1"/>
          <c:tx>
            <c:strRef>
              <c:f>Cu at 100ppm</c:f>
              <c:strCache>
                <c:ptCount val="1"/>
                <c:pt idx="0">
                  <c:v>Cu at 100ppm</c:v>
                </c:pt>
              </c:strCache>
            </c:strRef>
          </c:tx>
          <c:spPr>
            <a:ln w="22225" cap="rnd" cmpd="sng" algn="ctr">
              <a:solidFill>
                <a:schemeClr val="accent2">
                  <a:shade val="95000"/>
                  <a:satMod val="105000"/>
                </a:schemeClr>
              </a:solidFill>
              <a:prstDash val="lgDash"/>
              <a:round/>
            </a:ln>
          </c:spPr>
          <c:marker>
            <c:symbol val="triangle"/>
            <c:size val="5"/>
            <c:spPr>
              <a:ln w="9525" cap="flat" cmpd="sng" algn="ctr">
                <a:solidFill>
                  <a:schemeClr val="accent2">
                    <a:shade val="95000"/>
                    <a:satMod val="105000"/>
                  </a:schemeClr>
                </a:solidFill>
                <a:prstDash val="lgDash"/>
                <a:round/>
              </a:ln>
            </c:spPr>
          </c:marker>
          <c:xVal>
            <c:numRef>
              <c:f>Sheet19!$A$2:$A$6</c:f>
              <c:numCache>
                <c:formatCode>General</c:formatCode>
                <c:ptCount val="5"/>
                <c:pt idx="0">
                  <c:v>5</c:v>
                </c:pt>
                <c:pt idx="1">
                  <c:v>10</c:v>
                </c:pt>
                <c:pt idx="2">
                  <c:v>15</c:v>
                </c:pt>
                <c:pt idx="3">
                  <c:v>20</c:v>
                </c:pt>
                <c:pt idx="4">
                  <c:v>25</c:v>
                </c:pt>
              </c:numCache>
            </c:numRef>
          </c:xVal>
          <c:yVal>
            <c:numRef>
              <c:f>Sheet19!$C$2:$C$6</c:f>
              <c:numCache>
                <c:formatCode>General</c:formatCode>
                <c:ptCount val="5"/>
                <c:pt idx="0">
                  <c:v>95.3</c:v>
                </c:pt>
                <c:pt idx="1">
                  <c:v>97.83</c:v>
                </c:pt>
                <c:pt idx="2">
                  <c:v>99.47</c:v>
                </c:pt>
                <c:pt idx="3">
                  <c:v>99.76</c:v>
                </c:pt>
                <c:pt idx="4">
                  <c:v>99.85</c:v>
                </c:pt>
              </c:numCache>
            </c:numRef>
          </c:yVal>
          <c:smooth val="1"/>
          <c:extLst>
            <c:ext xmlns:c16="http://schemas.microsoft.com/office/drawing/2014/chart" uri="{C3380CC4-5D6E-409C-BE32-E72D297353CC}">
              <c16:uniqueId val="{00000001-BA8B-4697-8B2D-2DDF4C2800FF}"/>
            </c:ext>
          </c:extLst>
        </c:ser>
        <c:dLbls>
          <c:showLegendKey val="0"/>
          <c:showVal val="0"/>
          <c:showCatName val="0"/>
          <c:showSerName val="0"/>
          <c:showPercent val="0"/>
          <c:showBubbleSize val="0"/>
        </c:dLbls>
        <c:axId val="124181120"/>
        <c:axId val="124707968"/>
      </c:scatterChart>
      <c:valAx>
        <c:axId val="124181120"/>
        <c:scaling>
          <c:orientation val="minMax"/>
          <c:max val="30"/>
          <c:min val="0"/>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a:latin typeface="Times New Roman" panose="02020603050405020304" charset="0"/>
                    <a:cs typeface="Times New Roman" panose="02020603050405020304" charset="0"/>
                  </a:rPr>
                  <a:t>Time (min)</a:t>
                </a:r>
              </a:p>
            </c:rich>
          </c:tx>
          <c:layout>
            <c:manualLayout>
              <c:xMode val="edge"/>
              <c:yMode val="edge"/>
              <c:x val="0.41524759405074402"/>
              <c:y val="0.92222222222222083"/>
            </c:manualLayout>
          </c:layout>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4707968"/>
        <c:crosses val="autoZero"/>
        <c:crossBetween val="midCat"/>
        <c:majorUnit val="5"/>
      </c:valAx>
      <c:valAx>
        <c:axId val="124707968"/>
        <c:scaling>
          <c:orientation val="minMax"/>
          <c:max val="100"/>
          <c:min val="95"/>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latin typeface="Times New Roman" panose="02020603050405020304" charset="0"/>
                    <a:cs typeface="Times New Roman" panose="02020603050405020304" charset="0"/>
                  </a:rPr>
                  <a:t>Removal efficiency (%)</a:t>
                </a:r>
              </a:p>
            </c:rich>
          </c:tx>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4181120"/>
        <c:crosses val="autoZero"/>
        <c:crossBetween val="midCat"/>
        <c:majorUnit val="0.5"/>
        <c:minorUnit val="0.2"/>
      </c:valAx>
      <c:spPr>
        <a:ln>
          <a:solidFill>
            <a:sysClr val="windowText" lastClr="000000"/>
          </a:solidFill>
        </a:ln>
      </c:spPr>
    </c:plotArea>
    <c:legend>
      <c:legendPos val="r"/>
      <c:layout>
        <c:manualLayout>
          <c:xMode val="edge"/>
          <c:yMode val="edge"/>
          <c:x val="0.49406298399587034"/>
          <c:y val="0.55392156862745101"/>
          <c:w val="0.45043882292204412"/>
          <c:h val="0.135964912280702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df8ebb53-eaa3-46bf-a326-bbe81e83aa0e}"/>
      </c:ext>
    </c:extLst>
  </c:chart>
  <c:txPr>
    <a:bodyPr/>
    <a:lstStyle/>
    <a:p>
      <a:pPr>
        <a:defRPr lang="en-US"/>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890430284505111"/>
          <c:y val="5.0816696914700532E-2"/>
          <c:w val="0.74371032212555821"/>
          <c:h val="0.75006481721545226"/>
        </c:manualLayout>
      </c:layout>
      <c:scatterChart>
        <c:scatterStyle val="smoothMarker"/>
        <c:varyColors val="0"/>
        <c:ser>
          <c:idx val="0"/>
          <c:order val="0"/>
          <c:tx>
            <c:strRef>
              <c:f>Ni at 50ppm</c:f>
              <c:strCache>
                <c:ptCount val="1"/>
                <c:pt idx="0">
                  <c:v>Ni at 50ppm</c:v>
                </c:pt>
              </c:strCache>
            </c:strRef>
          </c:tx>
          <c:spPr>
            <a:ln w="22225" cap="rnd" cmpd="sng" algn="ctr">
              <a:solidFill>
                <a:schemeClr val="accent1">
                  <a:shade val="95000"/>
                  <a:satMod val="105000"/>
                </a:schemeClr>
              </a:solidFill>
              <a:prstDash val="solid"/>
              <a:round/>
            </a:ln>
          </c:spPr>
          <c:marker>
            <c:symbol val="diamond"/>
            <c:size val="8"/>
          </c:marker>
          <c:xVal>
            <c:numRef>
              <c:f>Sheet23!$A$2:$A$6</c:f>
              <c:numCache>
                <c:formatCode>General</c:formatCode>
                <c:ptCount val="5"/>
                <c:pt idx="0">
                  <c:v>5</c:v>
                </c:pt>
                <c:pt idx="1">
                  <c:v>10</c:v>
                </c:pt>
                <c:pt idx="2">
                  <c:v>15</c:v>
                </c:pt>
                <c:pt idx="3">
                  <c:v>20</c:v>
                </c:pt>
                <c:pt idx="4">
                  <c:v>25</c:v>
                </c:pt>
              </c:numCache>
            </c:numRef>
          </c:xVal>
          <c:yVal>
            <c:numRef>
              <c:f>Sheet23!$B$2:$B$6</c:f>
              <c:numCache>
                <c:formatCode>General</c:formatCode>
                <c:ptCount val="5"/>
                <c:pt idx="0">
                  <c:v>97.02</c:v>
                </c:pt>
                <c:pt idx="1">
                  <c:v>97.28</c:v>
                </c:pt>
                <c:pt idx="2">
                  <c:v>97.460000000000022</c:v>
                </c:pt>
                <c:pt idx="3">
                  <c:v>99.61999999999999</c:v>
                </c:pt>
                <c:pt idx="4">
                  <c:v>99.9</c:v>
                </c:pt>
              </c:numCache>
            </c:numRef>
          </c:yVal>
          <c:smooth val="1"/>
          <c:extLst>
            <c:ext xmlns:c16="http://schemas.microsoft.com/office/drawing/2014/chart" uri="{C3380CC4-5D6E-409C-BE32-E72D297353CC}">
              <c16:uniqueId val="{00000000-B759-45F8-B72E-16BA541CFFA8}"/>
            </c:ext>
          </c:extLst>
        </c:ser>
        <c:ser>
          <c:idx val="1"/>
          <c:order val="1"/>
          <c:tx>
            <c:strRef>
              <c:f>Ni at 100ppm</c:f>
              <c:strCache>
                <c:ptCount val="1"/>
                <c:pt idx="0">
                  <c:v>Ni at 100ppm</c:v>
                </c:pt>
              </c:strCache>
            </c:strRef>
          </c:tx>
          <c:spPr>
            <a:ln w="22225" cap="rnd" cmpd="sng" algn="ctr">
              <a:solidFill>
                <a:schemeClr val="accent2">
                  <a:shade val="95000"/>
                  <a:satMod val="105000"/>
                </a:schemeClr>
              </a:solidFill>
              <a:prstDash val="lgDash"/>
              <a:round/>
            </a:ln>
          </c:spPr>
          <c:marker>
            <c:symbol val="triangle"/>
            <c:size val="6"/>
          </c:marker>
          <c:xVal>
            <c:numRef>
              <c:f>Sheet23!$A$2:$A$6</c:f>
              <c:numCache>
                <c:formatCode>General</c:formatCode>
                <c:ptCount val="5"/>
                <c:pt idx="0">
                  <c:v>5</c:v>
                </c:pt>
                <c:pt idx="1">
                  <c:v>10</c:v>
                </c:pt>
                <c:pt idx="2">
                  <c:v>15</c:v>
                </c:pt>
                <c:pt idx="3">
                  <c:v>20</c:v>
                </c:pt>
                <c:pt idx="4">
                  <c:v>25</c:v>
                </c:pt>
              </c:numCache>
            </c:numRef>
          </c:xVal>
          <c:yVal>
            <c:numRef>
              <c:f>Sheet23!$C$2:$C$6</c:f>
              <c:numCache>
                <c:formatCode>General</c:formatCode>
                <c:ptCount val="5"/>
                <c:pt idx="0">
                  <c:v>96.51</c:v>
                </c:pt>
                <c:pt idx="1">
                  <c:v>97.79</c:v>
                </c:pt>
                <c:pt idx="2">
                  <c:v>99.2</c:v>
                </c:pt>
                <c:pt idx="3">
                  <c:v>99.58</c:v>
                </c:pt>
                <c:pt idx="4">
                  <c:v>99.79</c:v>
                </c:pt>
              </c:numCache>
            </c:numRef>
          </c:yVal>
          <c:smooth val="1"/>
          <c:extLst>
            <c:ext xmlns:c16="http://schemas.microsoft.com/office/drawing/2014/chart" uri="{C3380CC4-5D6E-409C-BE32-E72D297353CC}">
              <c16:uniqueId val="{00000001-B759-45F8-B72E-16BA541CFFA8}"/>
            </c:ext>
          </c:extLst>
        </c:ser>
        <c:dLbls>
          <c:showLegendKey val="0"/>
          <c:showVal val="0"/>
          <c:showCatName val="0"/>
          <c:showSerName val="0"/>
          <c:showPercent val="0"/>
          <c:showBubbleSize val="0"/>
        </c:dLbls>
        <c:axId val="172671744"/>
        <c:axId val="172674432"/>
      </c:scatterChart>
      <c:valAx>
        <c:axId val="17267174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a:latin typeface="Times New Roman" panose="02020603050405020304" charset="0"/>
                    <a:cs typeface="Times New Roman" panose="02020603050405020304" charset="0"/>
                  </a:rPr>
                  <a:t>Time (min)</a:t>
                </a:r>
              </a:p>
            </c:rich>
          </c:tx>
          <c:layout>
            <c:manualLayout>
              <c:xMode val="edge"/>
              <c:yMode val="edge"/>
              <c:x val="0.40744209824128302"/>
              <c:y val="0.90953177911584482"/>
            </c:manualLayout>
          </c:layout>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72674432"/>
        <c:crosses val="autoZero"/>
        <c:crossBetween val="midCat"/>
      </c:valAx>
      <c:valAx>
        <c:axId val="172674432"/>
        <c:scaling>
          <c:orientation val="minMax"/>
          <c:max val="100.2"/>
          <c:min val="96"/>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latin typeface="Times New Roman" panose="02020603050405020304" charset="0"/>
                    <a:cs typeface="Times New Roman" panose="02020603050405020304" charset="0"/>
                  </a:rPr>
                  <a:t>Removal efficiency (%)</a:t>
                </a:r>
              </a:p>
            </c:rich>
          </c:tx>
          <c:layout>
            <c:manualLayout>
              <c:xMode val="edge"/>
              <c:yMode val="edge"/>
              <c:x val="1.1111111111111101E-2"/>
              <c:y val="0.11503463108778103"/>
            </c:manualLayout>
          </c:layout>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72671744"/>
        <c:crosses val="autoZero"/>
        <c:crossBetween val="midCat"/>
        <c:majorUnit val="0.4"/>
        <c:minorUnit val="0.2"/>
      </c:valAx>
      <c:spPr>
        <a:ln>
          <a:solidFill>
            <a:sysClr val="windowText" lastClr="000000"/>
          </a:solidFill>
        </a:ln>
      </c:spPr>
    </c:plotArea>
    <c:legend>
      <c:legendPos val="r"/>
      <c:layout>
        <c:manualLayout>
          <c:xMode val="edge"/>
          <c:yMode val="edge"/>
          <c:x val="0.16411944509757806"/>
          <c:y val="7.8299196266528426E-2"/>
          <c:w val="0.49423936045144601"/>
          <c:h val="0.12522686025408294"/>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aea7a428-ce31-4e6d-b629-cf06ee04bb14}"/>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19</Pages>
  <Words>6635</Words>
  <Characters>37823</Characters>
  <Application>Microsoft Office Word</Application>
  <DocSecurity>0</DocSecurity>
  <Lines>315</Lines>
  <Paragraphs>88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3.1 Fatty Acid Composition of Phaseolus vulgaris Oil</vt:lpstr>
      <vt:lpstr>        </vt:lpstr>
      <vt:lpstr>        3.2 Effect of Extractant Concentration</vt:lpstr>
      <vt:lpstr>        The concentration of Phaseolus vulgaris oil showed a strong inverse relationship</vt:lpstr>
      <vt:lpstr>        Figure 3: Variation in the Removal efficiency of Cu2+and Ni2+ ionsat 50ppm and 1</vt:lpstr>
      <vt:lpstr>        Ni²⁺ removal also improved significantly, increasing from 98.54% to 99.90% at 50</vt:lpstr>
      <vt:lpstr>        3.2 Effect of pH on Removal Efficiency</vt:lpstr>
      <vt:lpstr>        3.3 Effect of Temperature on Removal Efficiency</vt:lpstr>
      <vt:lpstr>        3.4 Effect of Contact Time on Removal Efficiency</vt:lpstr>
      <vt:lpstr>        3.5 Thermodynamic Parameters</vt:lpstr>
    </vt:vector>
  </TitlesOfParts>
  <Company/>
  <LinksUpToDate>false</LinksUpToDate>
  <CharactersWithSpaces>44370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10</cp:revision>
  <dcterms:created xsi:type="dcterms:W3CDTF">2025-12-26T11:37:00Z</dcterms:created>
  <dcterms:modified xsi:type="dcterms:W3CDTF">2025-12-27T09:40:00Z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E9F6947CA3894EE4A670D5367D6D0B9E_13</vt:lpwstr>
  </property>
</Properties>
</file>