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90698B" w14:textId="3FCC24DD" w:rsidR="006F4AE1" w:rsidRPr="00452E71" w:rsidRDefault="00207938" w:rsidP="00452E71">
      <w:pPr>
        <w:pStyle w:val="Heading3"/>
        <w:numPr>
          <w:ilvl w:val="0"/>
          <w:numId w:val="0"/>
        </w:numPr>
        <w:spacing w:line="240" w:lineRule="auto"/>
        <w:jc w:val="center"/>
        <w:rPr>
          <w:rFonts w:ascii="Bookman Old Style" w:eastAsia="Times New Roman" w:hAnsi="Bookman Old Style" w:cs="Times New Roman"/>
          <w:b w:val="0"/>
          <w:bCs w:val="0"/>
          <w:color w:val="000000" w:themeColor="text1"/>
          <w:sz w:val="24"/>
          <w:szCs w:val="24"/>
        </w:rPr>
      </w:pPr>
      <w:r w:rsidRPr="00452E71">
        <w:rPr>
          <w:rFonts w:ascii="Bookman Old Style" w:hAnsi="Bookman Old Style" w:cs="Times New Roman"/>
          <w:color w:val="000000" w:themeColor="text1"/>
          <w:sz w:val="24"/>
          <w:szCs w:val="24"/>
        </w:rPr>
        <w:t xml:space="preserve">Effect of adsorbents dosage, contact time, initial concentration, </w:t>
      </w:r>
      <w:r w:rsidR="00C7074E" w:rsidRPr="00452E71">
        <w:rPr>
          <w:rFonts w:ascii="Bookman Old Style" w:hAnsi="Bookman Old Style" w:cs="Times New Roman"/>
          <w:color w:val="000000" w:themeColor="text1"/>
          <w:sz w:val="24"/>
          <w:szCs w:val="24"/>
        </w:rPr>
        <w:t>Temperature and pH,On</w:t>
      </w:r>
      <w:r w:rsidRPr="00452E71">
        <w:rPr>
          <w:rFonts w:ascii="Bookman Old Style" w:hAnsi="Bookman Old Style" w:cs="Times New Roman"/>
          <w:color w:val="000000" w:themeColor="text1"/>
          <w:sz w:val="24"/>
          <w:szCs w:val="24"/>
        </w:rPr>
        <w:t xml:space="preserve"> the percentage removal of</w:t>
      </w:r>
      <w:r w:rsidR="002A1B5F" w:rsidRPr="00452E71">
        <w:rPr>
          <w:rFonts w:ascii="Bookman Old Style" w:eastAsia="Times New Roman" w:hAnsi="Bookman Old Style" w:cs="Times New Roman"/>
          <w:color w:val="000000" w:themeColor="text1"/>
          <w:sz w:val="24"/>
          <w:szCs w:val="24"/>
        </w:rPr>
        <w:t xml:space="preserve"> </w:t>
      </w:r>
      <w:r w:rsidR="002A1B5F" w:rsidRPr="00452E71">
        <w:rPr>
          <w:rFonts w:ascii="Bookman Old Style" w:hAnsi="Bookman Old Style"/>
          <w:color w:val="000000" w:themeColor="text1"/>
          <w:sz w:val="24"/>
          <w:szCs w:val="24"/>
        </w:rPr>
        <w:t>NO</w:t>
      </w:r>
      <w:r w:rsidR="002A1B5F" w:rsidRPr="00452E71">
        <w:rPr>
          <w:rFonts w:ascii="Bookman Old Style" w:hAnsi="Bookman Old Style"/>
          <w:color w:val="000000" w:themeColor="text1"/>
          <w:sz w:val="24"/>
          <w:szCs w:val="24"/>
          <w:vertAlign w:val="subscript"/>
        </w:rPr>
        <w:t>3</w:t>
      </w:r>
      <w:r w:rsidR="002A1B5F" w:rsidRPr="00452E71">
        <w:rPr>
          <w:rFonts w:ascii="Bookman Old Style" w:hAnsi="Bookman Old Style"/>
          <w:color w:val="000000" w:themeColor="text1"/>
          <w:sz w:val="24"/>
          <w:szCs w:val="24"/>
          <w:vertAlign w:val="superscript"/>
        </w:rPr>
        <w:t>-</w:t>
      </w:r>
      <w:r w:rsidR="002A1B5F" w:rsidRPr="00452E71">
        <w:rPr>
          <w:rFonts w:ascii="Bookman Old Style" w:hAnsi="Bookman Old Style"/>
          <w:color w:val="000000" w:themeColor="text1"/>
          <w:sz w:val="24"/>
          <w:szCs w:val="24"/>
        </w:rPr>
        <w:t>, PO</w:t>
      </w:r>
      <w:r w:rsidR="002A1B5F" w:rsidRPr="00452E71">
        <w:rPr>
          <w:rFonts w:ascii="Bookman Old Style" w:hAnsi="Bookman Old Style"/>
          <w:color w:val="000000" w:themeColor="text1"/>
          <w:sz w:val="24"/>
          <w:szCs w:val="24"/>
          <w:vertAlign w:val="subscript"/>
        </w:rPr>
        <w:t>4</w:t>
      </w:r>
      <w:r w:rsidR="002A1B5F" w:rsidRPr="00452E71">
        <w:rPr>
          <w:rFonts w:ascii="Bookman Old Style" w:hAnsi="Bookman Old Style"/>
          <w:color w:val="000000" w:themeColor="text1"/>
          <w:sz w:val="24"/>
          <w:szCs w:val="24"/>
          <w:vertAlign w:val="superscript"/>
        </w:rPr>
        <w:t>-3</w:t>
      </w:r>
      <w:r w:rsidR="002A1B5F" w:rsidRPr="00452E71">
        <w:rPr>
          <w:rFonts w:ascii="Bookman Old Style" w:hAnsi="Bookman Old Style"/>
          <w:color w:val="000000" w:themeColor="text1"/>
          <w:sz w:val="24"/>
          <w:szCs w:val="24"/>
        </w:rPr>
        <w:t>, Cu</w:t>
      </w:r>
      <w:r w:rsidR="002A1B5F" w:rsidRPr="00452E71">
        <w:rPr>
          <w:rFonts w:ascii="Bookman Old Style" w:hAnsi="Bookman Old Style"/>
          <w:color w:val="000000" w:themeColor="text1"/>
          <w:sz w:val="24"/>
          <w:szCs w:val="24"/>
          <w:vertAlign w:val="superscript"/>
        </w:rPr>
        <w:t>2+</w:t>
      </w:r>
      <w:r w:rsidR="002A1B5F" w:rsidRPr="00452E71">
        <w:rPr>
          <w:rFonts w:ascii="Bookman Old Style" w:hAnsi="Bookman Old Style"/>
          <w:color w:val="000000" w:themeColor="text1"/>
          <w:sz w:val="24"/>
          <w:szCs w:val="24"/>
        </w:rPr>
        <w:t>, Pb</w:t>
      </w:r>
      <w:r w:rsidR="002A1B5F" w:rsidRPr="00452E71">
        <w:rPr>
          <w:rFonts w:ascii="Bookman Old Style" w:hAnsi="Bookman Old Style"/>
          <w:color w:val="000000" w:themeColor="text1"/>
          <w:sz w:val="24"/>
          <w:szCs w:val="24"/>
          <w:vertAlign w:val="superscript"/>
        </w:rPr>
        <w:t xml:space="preserve">2+ </w:t>
      </w:r>
      <w:r w:rsidR="002A1B5F" w:rsidRPr="00452E71">
        <w:rPr>
          <w:rFonts w:ascii="Bookman Old Style" w:hAnsi="Bookman Old Style"/>
          <w:color w:val="000000" w:themeColor="text1"/>
          <w:sz w:val="24"/>
          <w:szCs w:val="24"/>
        </w:rPr>
        <w:t>and Cd</w:t>
      </w:r>
      <w:r w:rsidR="002A1B5F" w:rsidRPr="00452E71">
        <w:rPr>
          <w:rFonts w:ascii="Bookman Old Style" w:hAnsi="Bookman Old Style"/>
          <w:color w:val="000000" w:themeColor="text1"/>
          <w:sz w:val="24"/>
          <w:szCs w:val="24"/>
          <w:vertAlign w:val="superscript"/>
        </w:rPr>
        <w:t xml:space="preserve">2+ </w:t>
      </w:r>
      <w:r w:rsidR="002A1B5F" w:rsidRPr="00452E71">
        <w:rPr>
          <w:rFonts w:ascii="Bookman Old Style" w:hAnsi="Bookman Old Style"/>
          <w:color w:val="000000" w:themeColor="text1"/>
          <w:sz w:val="24"/>
          <w:szCs w:val="24"/>
        </w:rPr>
        <w:t xml:space="preserve">(adsorbates) </w:t>
      </w:r>
      <w:r w:rsidR="009678C7" w:rsidRPr="00452E71">
        <w:rPr>
          <w:rFonts w:ascii="Bookman Old Style" w:eastAsia="Times New Roman" w:hAnsi="Bookman Old Style" w:cs="Times New Roman"/>
          <w:color w:val="000000" w:themeColor="text1"/>
          <w:sz w:val="24"/>
          <w:szCs w:val="24"/>
        </w:rPr>
        <w:t>onto Mukurweini’s kaolinite and alkali modified Kaolinite</w:t>
      </w:r>
    </w:p>
    <w:p w14:paraId="60A9FE27" w14:textId="748817A0" w:rsidR="00831B95" w:rsidRPr="005F3B6E" w:rsidRDefault="00831B95" w:rsidP="009678C7">
      <w:pPr>
        <w:shd w:val="clear" w:color="auto" w:fill="FFFFFF"/>
        <w:spacing w:after="30" w:line="276" w:lineRule="auto"/>
        <w:ind w:right="1500"/>
        <w:jc w:val="center"/>
        <w:outlineLvl w:val="2"/>
        <w:rPr>
          <w:rFonts w:ascii="Bookman Old Style" w:eastAsia="Times New Roman" w:hAnsi="Bookman Old Style" w:cs="Times New Roman"/>
          <w:b/>
          <w:bCs/>
          <w:color w:val="000000" w:themeColor="text1"/>
          <w:kern w:val="0"/>
          <w:sz w:val="20"/>
          <w:szCs w:val="20"/>
          <w:lang w:val="en-US"/>
          <w14:ligatures w14:val="none"/>
        </w:rPr>
      </w:pPr>
    </w:p>
    <w:p w14:paraId="640C1EB3" w14:textId="4DDF3061" w:rsidR="006F4AE1" w:rsidRDefault="006F4AE1" w:rsidP="005F3B6E">
      <w:pPr>
        <w:shd w:val="clear" w:color="auto" w:fill="FFFFFF"/>
        <w:spacing w:after="0" w:line="240" w:lineRule="auto"/>
        <w:ind w:right="1500"/>
        <w:jc w:val="both"/>
        <w:outlineLvl w:val="2"/>
        <w:rPr>
          <w:rFonts w:ascii="Bookman Old Style" w:eastAsia="Times New Roman" w:hAnsi="Bookman Old Style" w:cs="Times New Roman"/>
          <w:b/>
          <w:bCs/>
          <w:kern w:val="0"/>
          <w:sz w:val="20"/>
          <w:szCs w:val="20"/>
          <w:lang w:val="en-US"/>
          <w14:ligatures w14:val="none"/>
        </w:rPr>
      </w:pPr>
    </w:p>
    <w:p w14:paraId="064FD94D" w14:textId="77777777" w:rsidR="0058386F" w:rsidRPr="004F6844" w:rsidRDefault="0058386F" w:rsidP="005F3B6E">
      <w:pPr>
        <w:shd w:val="clear" w:color="auto" w:fill="FFFFFF"/>
        <w:spacing w:after="0" w:line="240" w:lineRule="auto"/>
        <w:ind w:right="1500"/>
        <w:jc w:val="both"/>
        <w:outlineLvl w:val="2"/>
        <w:rPr>
          <w:rFonts w:ascii="Bookman Old Style" w:eastAsia="Times New Roman" w:hAnsi="Bookman Old Style" w:cs="Times New Roman"/>
          <w:b/>
          <w:bCs/>
          <w:kern w:val="0"/>
          <w:sz w:val="20"/>
          <w:szCs w:val="20"/>
          <w:lang w:val="en-US"/>
          <w14:ligatures w14:val="none"/>
        </w:rPr>
      </w:pPr>
      <w:bookmarkStart w:id="0" w:name="_GoBack"/>
      <w:bookmarkEnd w:id="0"/>
    </w:p>
    <w:p w14:paraId="0CDAFD5A" w14:textId="5B15C647" w:rsidR="00801237" w:rsidRPr="004F6844" w:rsidRDefault="005D3C26" w:rsidP="005F3B6E">
      <w:pPr>
        <w:shd w:val="clear" w:color="auto" w:fill="FFFFFF"/>
        <w:spacing w:after="0" w:line="240" w:lineRule="auto"/>
        <w:ind w:right="1500"/>
        <w:jc w:val="both"/>
        <w:outlineLvl w:val="2"/>
        <w:rPr>
          <w:rFonts w:ascii="Bookman Old Style" w:eastAsia="Times New Roman" w:hAnsi="Bookman Old Style" w:cs="Times New Roman"/>
          <w:b/>
          <w:bCs/>
          <w:kern w:val="0"/>
          <w:sz w:val="20"/>
          <w:szCs w:val="20"/>
          <w:lang w:val="en-US"/>
          <w14:ligatures w14:val="none"/>
        </w:rPr>
      </w:pPr>
      <w:r w:rsidRPr="004F6844">
        <w:rPr>
          <w:rFonts w:ascii="Bookman Old Style" w:eastAsia="Times New Roman" w:hAnsi="Bookman Old Style" w:cs="Times New Roman"/>
          <w:b/>
          <w:bCs/>
          <w:kern w:val="0"/>
          <w:sz w:val="20"/>
          <w:szCs w:val="20"/>
          <w:lang w:val="en-US"/>
          <w14:ligatures w14:val="none"/>
        </w:rPr>
        <w:t>ABSTRACT</w:t>
      </w:r>
    </w:p>
    <w:p w14:paraId="70B5852B" w14:textId="326D2870" w:rsidR="006F4A6F" w:rsidRPr="004F6844" w:rsidRDefault="009421EC" w:rsidP="005F3B6E">
      <w:pPr>
        <w:pStyle w:val="NormalWeb"/>
        <w:spacing w:before="0" w:beforeAutospacing="0" w:after="0" w:afterAutospacing="0"/>
        <w:jc w:val="both"/>
        <w:rPr>
          <w:rFonts w:ascii="Bookman Old Style" w:hAnsi="Bookman Old Style"/>
          <w:color w:val="252525"/>
          <w:sz w:val="20"/>
          <w:szCs w:val="20"/>
        </w:rPr>
      </w:pPr>
      <w:r w:rsidRPr="004F6844">
        <w:rPr>
          <w:rFonts w:ascii="Bookman Old Style" w:hAnsi="Bookman Old Style"/>
          <w:color w:val="252525"/>
          <w:sz w:val="20"/>
          <w:szCs w:val="20"/>
        </w:rPr>
        <w:t xml:space="preserve">Access to clean and safe water for domestic and industrial use remains a major challenge for developing countries in the Third World. The available fresh water resources are distributed unevenly across the country, with the available sources affected by heavy pollution from sources such as raw sewage, domestic and industrial waste, agricultural waste, and emerging pollutants such as plastic, which contribute significantly to the limited accessibility of clean water in Kenya. These studies examined the potential application of clay-derived zeolites derived from clay material (kaolinite) obtained from Mukurweini in Nyeri County to remedy water contaminated with agricultural waste. </w:t>
      </w:r>
      <w:r w:rsidR="002A1B5F" w:rsidRPr="004F6844">
        <w:rPr>
          <w:rFonts w:ascii="Bookman Old Style" w:hAnsi="Bookman Old Style"/>
          <w:color w:val="252525"/>
          <w:sz w:val="20"/>
          <w:szCs w:val="20"/>
        </w:rPr>
        <w:t xml:space="preserve">To achieve optimum removal of pollutants in </w:t>
      </w:r>
      <w:r w:rsidR="00D51A94" w:rsidRPr="004F6844">
        <w:rPr>
          <w:rFonts w:ascii="Bookman Old Style" w:hAnsi="Bookman Old Style"/>
          <w:color w:val="252525"/>
          <w:sz w:val="20"/>
          <w:szCs w:val="20"/>
        </w:rPr>
        <w:t>wastewater</w:t>
      </w:r>
      <w:r w:rsidR="002A1B5F" w:rsidRPr="004F6844">
        <w:rPr>
          <w:rFonts w:ascii="Bookman Old Style" w:hAnsi="Bookman Old Style"/>
          <w:color w:val="252525"/>
          <w:sz w:val="20"/>
          <w:szCs w:val="20"/>
        </w:rPr>
        <w:t>, batch adsorption studies were carried out to determine the optimum operating conditions, i.e., contact time, pH, and calcination temperature. The optimum calcination temperature was determined at t = 550–900 °C, equilibrium contact time of 30 minutes, pH = 7, and temperature t = 25 °C. At these optimum conditions, the overall percentage removal of NO</w:t>
      </w:r>
      <w:r w:rsidR="002A1B5F" w:rsidRPr="004F6844">
        <w:rPr>
          <w:rFonts w:ascii="Bookman Old Style" w:hAnsi="Bookman Old Style"/>
          <w:color w:val="252525"/>
          <w:sz w:val="20"/>
          <w:szCs w:val="20"/>
          <w:vertAlign w:val="subscript"/>
        </w:rPr>
        <w:t>3</w:t>
      </w:r>
      <w:r w:rsidR="002A1B5F" w:rsidRPr="004F6844">
        <w:rPr>
          <w:rFonts w:ascii="Bookman Old Style" w:hAnsi="Bookman Old Style"/>
          <w:color w:val="252525"/>
          <w:sz w:val="20"/>
          <w:szCs w:val="20"/>
          <w:vertAlign w:val="superscript"/>
        </w:rPr>
        <w:t>-</w:t>
      </w:r>
      <w:r w:rsidR="002A1B5F" w:rsidRPr="004F6844">
        <w:rPr>
          <w:rFonts w:ascii="Bookman Old Style" w:hAnsi="Bookman Old Style"/>
          <w:color w:val="252525"/>
          <w:sz w:val="20"/>
          <w:szCs w:val="20"/>
        </w:rPr>
        <w:t>, PO</w:t>
      </w:r>
      <w:r w:rsidR="002A1B5F" w:rsidRPr="004F6844">
        <w:rPr>
          <w:rFonts w:ascii="Bookman Old Style" w:hAnsi="Bookman Old Style"/>
          <w:color w:val="252525"/>
          <w:sz w:val="20"/>
          <w:szCs w:val="20"/>
          <w:vertAlign w:val="subscript"/>
        </w:rPr>
        <w:t>4</w:t>
      </w:r>
      <w:r w:rsidR="002A1B5F" w:rsidRPr="004F6844">
        <w:rPr>
          <w:rFonts w:ascii="Bookman Old Style" w:hAnsi="Bookman Old Style"/>
          <w:color w:val="252525"/>
          <w:sz w:val="20"/>
          <w:szCs w:val="20"/>
          <w:vertAlign w:val="superscript"/>
        </w:rPr>
        <w:t>-3</w:t>
      </w:r>
      <w:r w:rsidR="002A1B5F" w:rsidRPr="004F6844">
        <w:rPr>
          <w:rFonts w:ascii="Bookman Old Style" w:hAnsi="Bookman Old Style"/>
          <w:color w:val="252525"/>
          <w:sz w:val="20"/>
          <w:szCs w:val="20"/>
        </w:rPr>
        <w:t>, Cu</w:t>
      </w:r>
      <w:r w:rsidR="002A1B5F" w:rsidRPr="004F6844">
        <w:rPr>
          <w:rFonts w:ascii="Bookman Old Style" w:hAnsi="Bookman Old Style"/>
          <w:color w:val="252525"/>
          <w:sz w:val="20"/>
          <w:szCs w:val="20"/>
          <w:vertAlign w:val="superscript"/>
        </w:rPr>
        <w:t>2+</w:t>
      </w:r>
      <w:r w:rsidR="002A1B5F" w:rsidRPr="004F6844">
        <w:rPr>
          <w:rFonts w:ascii="Bookman Old Style" w:hAnsi="Bookman Old Style"/>
          <w:color w:val="252525"/>
          <w:sz w:val="20"/>
          <w:szCs w:val="20"/>
        </w:rPr>
        <w:t>, Pb</w:t>
      </w:r>
      <w:r w:rsidR="002A1B5F" w:rsidRPr="004F6844">
        <w:rPr>
          <w:rFonts w:ascii="Bookman Old Style" w:hAnsi="Bookman Old Style"/>
          <w:color w:val="252525"/>
          <w:sz w:val="20"/>
          <w:szCs w:val="20"/>
          <w:vertAlign w:val="superscript"/>
        </w:rPr>
        <w:t xml:space="preserve">2+ </w:t>
      </w:r>
      <w:r w:rsidR="002A1B5F" w:rsidRPr="004F6844">
        <w:rPr>
          <w:rFonts w:ascii="Bookman Old Style" w:hAnsi="Bookman Old Style"/>
          <w:color w:val="252525"/>
          <w:sz w:val="20"/>
          <w:szCs w:val="20"/>
        </w:rPr>
        <w:t>and Cd</w:t>
      </w:r>
      <w:r w:rsidR="002A1B5F" w:rsidRPr="004F6844">
        <w:rPr>
          <w:rFonts w:ascii="Bookman Old Style" w:hAnsi="Bookman Old Style"/>
          <w:color w:val="252525"/>
          <w:sz w:val="20"/>
          <w:szCs w:val="20"/>
          <w:vertAlign w:val="superscript"/>
        </w:rPr>
        <w:t xml:space="preserve">2+ </w:t>
      </w:r>
      <w:r w:rsidR="002A1B5F" w:rsidRPr="004F6844">
        <w:rPr>
          <w:rFonts w:ascii="Bookman Old Style" w:hAnsi="Bookman Old Style"/>
          <w:color w:val="252525"/>
          <w:sz w:val="20"/>
          <w:szCs w:val="20"/>
        </w:rPr>
        <w:t>(adsorbates) was calculated at 99.2% for solutions of concentration c = 100 ppm for all ions. The results show that the pH of the solution uniquely affected the adsorption capacities o</w:t>
      </w:r>
      <w:r w:rsidR="006F4A6F" w:rsidRPr="004F6844">
        <w:rPr>
          <w:rFonts w:ascii="Bookman Old Style" w:hAnsi="Bookman Old Style"/>
          <w:color w:val="252525"/>
          <w:sz w:val="20"/>
          <w:szCs w:val="20"/>
        </w:rPr>
        <w:t xml:space="preserve">f the five adsorbed substances. </w:t>
      </w:r>
    </w:p>
    <w:p w14:paraId="1B89C397" w14:textId="3DD7BBB5" w:rsidR="0076142E" w:rsidRPr="004F6844" w:rsidRDefault="0076142E" w:rsidP="00D51A94">
      <w:pPr>
        <w:spacing w:after="0" w:line="240" w:lineRule="auto"/>
        <w:jc w:val="both"/>
        <w:rPr>
          <w:rFonts w:ascii="Bookman Old Style" w:hAnsi="Bookman Old Style" w:cs="Times New Roman"/>
          <w:i/>
          <w:sz w:val="20"/>
          <w:szCs w:val="20"/>
          <w:lang w:val="en-US"/>
        </w:rPr>
      </w:pPr>
      <w:r w:rsidRPr="004F6844">
        <w:rPr>
          <w:rFonts w:ascii="Bookman Old Style" w:hAnsi="Bookman Old Style" w:cs="Times New Roman"/>
          <w:b/>
          <w:sz w:val="20"/>
          <w:szCs w:val="20"/>
          <w:lang w:val="en-US"/>
        </w:rPr>
        <w:t>Keywords:</w:t>
      </w:r>
      <w:r w:rsidRPr="004F6844">
        <w:rPr>
          <w:rFonts w:ascii="Bookman Old Style" w:hAnsi="Bookman Old Style" w:cs="Times New Roman"/>
          <w:i/>
          <w:sz w:val="20"/>
          <w:szCs w:val="20"/>
          <w:lang w:val="en-US"/>
        </w:rPr>
        <w:t xml:space="preserve"> </w:t>
      </w:r>
      <w:r w:rsidR="00866EAB" w:rsidRPr="004F6844">
        <w:rPr>
          <w:rFonts w:ascii="Bookman Old Style" w:hAnsi="Bookman Old Style" w:cs="Times New Roman"/>
          <w:i/>
          <w:sz w:val="20"/>
          <w:szCs w:val="20"/>
          <w:lang w:val="en-US"/>
        </w:rPr>
        <w:t xml:space="preserve">Adsorption, </w:t>
      </w:r>
      <w:r w:rsidR="00BD72F9" w:rsidRPr="004F6844">
        <w:rPr>
          <w:rFonts w:ascii="Bookman Old Style" w:hAnsi="Bookman Old Style"/>
          <w:color w:val="252525"/>
          <w:sz w:val="20"/>
          <w:szCs w:val="20"/>
        </w:rPr>
        <w:t>Zeolites</w:t>
      </w:r>
      <w:r w:rsidR="00866EAB" w:rsidRPr="004F6844">
        <w:rPr>
          <w:rFonts w:ascii="Bookman Old Style" w:hAnsi="Bookman Old Style" w:cs="Times New Roman"/>
          <w:i/>
          <w:sz w:val="20"/>
          <w:szCs w:val="20"/>
          <w:lang w:val="en-US"/>
        </w:rPr>
        <w:t xml:space="preserve">, </w:t>
      </w:r>
      <w:r w:rsidR="00BD72F9" w:rsidRPr="004F6844">
        <w:rPr>
          <w:rFonts w:ascii="Bookman Old Style" w:hAnsi="Bookman Old Style" w:cs="Times New Roman"/>
          <w:i/>
          <w:sz w:val="20"/>
          <w:szCs w:val="20"/>
          <w:lang w:val="en-US"/>
        </w:rPr>
        <w:t>C</w:t>
      </w:r>
      <w:r w:rsidR="00BD72F9" w:rsidRPr="004F6844">
        <w:rPr>
          <w:rFonts w:ascii="Bookman Old Style" w:hAnsi="Bookman Old Style"/>
          <w:color w:val="252525"/>
          <w:sz w:val="20"/>
          <w:szCs w:val="20"/>
        </w:rPr>
        <w:t>alcination</w:t>
      </w:r>
      <w:r w:rsidR="00866EAB" w:rsidRPr="004F6844">
        <w:rPr>
          <w:rFonts w:ascii="Bookman Old Style" w:hAnsi="Bookman Old Style" w:cs="Times New Roman"/>
          <w:i/>
          <w:sz w:val="20"/>
          <w:szCs w:val="20"/>
          <w:lang w:val="en-US"/>
        </w:rPr>
        <w:t>,</w:t>
      </w:r>
      <w:r w:rsidR="00BD72F9" w:rsidRPr="004F6844">
        <w:rPr>
          <w:rFonts w:ascii="Bookman Old Style" w:hAnsi="Bookman Old Style" w:cs="Times New Roman"/>
          <w:i/>
          <w:sz w:val="20"/>
          <w:szCs w:val="20"/>
          <w:lang w:val="en-US"/>
        </w:rPr>
        <w:t xml:space="preserve"> E</w:t>
      </w:r>
      <w:r w:rsidR="00BD72F9" w:rsidRPr="004F6844">
        <w:rPr>
          <w:rFonts w:ascii="Bookman Old Style" w:hAnsi="Bookman Old Style"/>
          <w:color w:val="252525"/>
          <w:sz w:val="20"/>
          <w:szCs w:val="20"/>
        </w:rPr>
        <w:t>merging pollutants</w:t>
      </w:r>
      <w:r w:rsidR="00BD72F9" w:rsidRPr="004F6844">
        <w:rPr>
          <w:rFonts w:ascii="Bookman Old Style" w:hAnsi="Bookman Old Style" w:cs="Times New Roman"/>
          <w:i/>
          <w:sz w:val="20"/>
          <w:szCs w:val="20"/>
          <w:lang w:val="en-US"/>
        </w:rPr>
        <w:t xml:space="preserve">, modified kaolinite, </w:t>
      </w:r>
      <w:r w:rsidR="00BD72F9" w:rsidRPr="004F6844">
        <w:rPr>
          <w:rFonts w:ascii="Bookman Old Style" w:eastAsia="Calibri" w:hAnsi="Bookman Old Style" w:cs="Times New Roman"/>
          <w:sz w:val="20"/>
          <w:szCs w:val="20"/>
        </w:rPr>
        <w:t>Leaching</w:t>
      </w:r>
    </w:p>
    <w:p w14:paraId="5DC655E6" w14:textId="77777777" w:rsidR="00D51A94" w:rsidRDefault="00D51A94" w:rsidP="00D51A94">
      <w:pPr>
        <w:spacing w:after="0" w:line="240" w:lineRule="auto"/>
        <w:jc w:val="both"/>
        <w:rPr>
          <w:rFonts w:ascii="Bookman Old Style" w:hAnsi="Bookman Old Style" w:cs="Times New Roman"/>
          <w:b/>
          <w:bCs/>
          <w:sz w:val="20"/>
          <w:szCs w:val="20"/>
          <w:lang w:val="en-US"/>
        </w:rPr>
      </w:pPr>
    </w:p>
    <w:p w14:paraId="1DB18651" w14:textId="20B513D3" w:rsidR="00801237" w:rsidRPr="00D51A94" w:rsidRDefault="00801237" w:rsidP="00D51A94">
      <w:pPr>
        <w:pStyle w:val="Heading1"/>
        <w:spacing w:before="0" w:line="240" w:lineRule="auto"/>
        <w:rPr>
          <w:rFonts w:ascii="Bookman Old Style" w:hAnsi="Bookman Old Style"/>
          <w:color w:val="000000" w:themeColor="text1"/>
          <w:sz w:val="20"/>
          <w:szCs w:val="20"/>
        </w:rPr>
      </w:pPr>
      <w:r w:rsidRPr="00D51A94">
        <w:rPr>
          <w:rFonts w:ascii="Bookman Old Style" w:hAnsi="Bookman Old Style"/>
          <w:color w:val="000000" w:themeColor="text1"/>
          <w:sz w:val="20"/>
          <w:szCs w:val="20"/>
        </w:rPr>
        <w:t>INTRODUCTION</w:t>
      </w:r>
    </w:p>
    <w:p w14:paraId="643043B5" w14:textId="77777777" w:rsidR="004F6844" w:rsidRDefault="004F6844" w:rsidP="00D51A94">
      <w:pPr>
        <w:spacing w:after="0" w:line="240" w:lineRule="auto"/>
        <w:jc w:val="both"/>
        <w:rPr>
          <w:rFonts w:ascii="Bookman Old Style" w:eastAsia="Calibri" w:hAnsi="Bookman Old Style" w:cs="Times New Roman"/>
          <w:sz w:val="20"/>
          <w:szCs w:val="20"/>
        </w:rPr>
        <w:sectPr w:rsidR="004F6844" w:rsidSect="0075348A">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0B71DA40" w14:textId="22103E3C" w:rsidR="002A1B5F" w:rsidRPr="004F6844" w:rsidRDefault="002A1B5F" w:rsidP="00D51A94">
      <w:pPr>
        <w:spacing w:after="0" w:line="240" w:lineRule="auto"/>
        <w:jc w:val="both"/>
        <w:rPr>
          <w:rFonts w:ascii="Bookman Old Style" w:eastAsia="Calibri" w:hAnsi="Bookman Old Style" w:cs="Times New Roman"/>
          <w:sz w:val="20"/>
          <w:szCs w:val="20"/>
        </w:rPr>
      </w:pPr>
      <w:r w:rsidRPr="004F6844">
        <w:rPr>
          <w:rFonts w:ascii="Bookman Old Style" w:eastAsia="Calibri" w:hAnsi="Bookman Old Style" w:cs="Times New Roman"/>
          <w:sz w:val="20"/>
          <w:szCs w:val="20"/>
        </w:rPr>
        <w:t>Water is polluted when undesired substances find their ways to it. Water has several properties such as being an excellent solvent and can dissolve several substances including toxic, substances that are harmful to human health</w:t>
      </w:r>
      <w:r w:rsidR="002246AD" w:rsidRPr="004F6844">
        <w:rPr>
          <w:rFonts w:ascii="Bookman Old Style" w:eastAsia="Calibri" w:hAnsi="Bookman Old Style" w:cs="Times New Roman"/>
          <w:sz w:val="20"/>
          <w:szCs w:val="20"/>
          <w:vertAlign w:val="superscript"/>
        </w:rPr>
        <w:t>[1]</w:t>
      </w:r>
      <w:r w:rsidRPr="004F6844">
        <w:rPr>
          <w:rFonts w:ascii="Bookman Old Style" w:eastAsia="Calibri" w:hAnsi="Bookman Old Style" w:cs="Times New Roman"/>
          <w:sz w:val="20"/>
          <w:szCs w:val="20"/>
        </w:rPr>
        <w:t>. Water pollution transpires in two ways.</w:t>
      </w:r>
      <w:r w:rsidR="006F4A6F" w:rsidRPr="004F6844">
        <w:rPr>
          <w:rFonts w:ascii="Bookman Old Style" w:eastAsia="Calibri" w:hAnsi="Bookman Old Style" w:cs="Times New Roman"/>
          <w:sz w:val="20"/>
          <w:szCs w:val="20"/>
        </w:rPr>
        <w:t xml:space="preserve"> </w:t>
      </w:r>
      <w:r w:rsidRPr="004F6844">
        <w:rPr>
          <w:rFonts w:ascii="Bookman Old Style" w:eastAsia="Calibri" w:hAnsi="Bookman Old Style" w:cs="Times New Roman"/>
          <w:sz w:val="20"/>
          <w:szCs w:val="20"/>
        </w:rPr>
        <w:t>By direct contact of the pollutant with the water body such as the direct pouring of industrial wastewater into rivers or any water body, leakage of wastewater pipes, among others</w:t>
      </w:r>
      <w:r w:rsidR="006F4A6F" w:rsidRPr="004F6844">
        <w:rPr>
          <w:rFonts w:ascii="Bookman Old Style" w:eastAsia="Calibri" w:hAnsi="Bookman Old Style" w:cs="Times New Roman"/>
          <w:sz w:val="20"/>
          <w:szCs w:val="20"/>
        </w:rPr>
        <w:t xml:space="preserve"> and </w:t>
      </w:r>
      <w:r w:rsidRPr="004F6844">
        <w:rPr>
          <w:rFonts w:ascii="Bookman Old Style" w:eastAsia="Calibri" w:hAnsi="Bookman Old Style" w:cs="Times New Roman"/>
          <w:sz w:val="20"/>
          <w:szCs w:val="20"/>
        </w:rPr>
        <w:t xml:space="preserve">by indirect and slowly contact of the pollutant with the water body such as leaching of agrochemicals that include fertilizers, pesticides into underground water, and malfunctioning of the septic tank </w:t>
      </w:r>
      <w:r w:rsidR="002246AD" w:rsidRPr="004F6844">
        <w:rPr>
          <w:rFonts w:ascii="Bookman Old Style" w:eastAsia="Calibri" w:hAnsi="Bookman Old Style" w:cs="Times New Roman"/>
          <w:sz w:val="20"/>
          <w:szCs w:val="20"/>
          <w:vertAlign w:val="superscript"/>
        </w:rPr>
        <w:t>[2]</w:t>
      </w:r>
      <w:r w:rsidRPr="004F6844">
        <w:rPr>
          <w:rFonts w:ascii="Bookman Old Style" w:eastAsia="Calibri" w:hAnsi="Bookman Old Style" w:cs="Times New Roman"/>
          <w:sz w:val="20"/>
          <w:szCs w:val="20"/>
        </w:rPr>
        <w:t>.</w:t>
      </w:r>
    </w:p>
    <w:p w14:paraId="345801C7" w14:textId="77777777" w:rsidR="002A1B5F" w:rsidRPr="004F6844" w:rsidRDefault="002A1B5F" w:rsidP="0052379A">
      <w:pPr>
        <w:spacing w:after="0" w:line="240" w:lineRule="auto"/>
        <w:jc w:val="both"/>
        <w:rPr>
          <w:rFonts w:ascii="Bookman Old Style" w:eastAsia="Calibri" w:hAnsi="Bookman Old Style" w:cs="Times New Roman"/>
          <w:sz w:val="20"/>
          <w:szCs w:val="20"/>
        </w:rPr>
      </w:pPr>
      <w:r w:rsidRPr="004F6844">
        <w:rPr>
          <w:rFonts w:ascii="Bookman Old Style" w:eastAsia="Calibri" w:hAnsi="Bookman Old Style" w:cs="Times New Roman"/>
          <w:sz w:val="20"/>
          <w:szCs w:val="20"/>
        </w:rPr>
        <w:t>Domestic and industrial sources largely contribute to water pollution. They include leakage of toxic substances such as radioactive elements, concentrated acids, and organic substances from wastewater pipes. Leaching of fertilizers used for home gardening. Inadequate functioning of the septic tank. Inappropriate disposal of waste from industrial to the general household activities.</w:t>
      </w:r>
    </w:p>
    <w:p w14:paraId="701D902B" w14:textId="7E90CC9D" w:rsidR="006F4A6F" w:rsidRPr="004F6844" w:rsidRDefault="0025580A" w:rsidP="0052379A">
      <w:pPr>
        <w:pStyle w:val="NormalWeb"/>
        <w:jc w:val="both"/>
        <w:rPr>
          <w:rFonts w:ascii="Bookman Old Style" w:hAnsi="Bookman Old Style"/>
          <w:b/>
          <w:bCs/>
          <w:sz w:val="20"/>
          <w:szCs w:val="20"/>
        </w:rPr>
      </w:pPr>
      <w:r w:rsidRPr="004F6844">
        <w:rPr>
          <w:rFonts w:ascii="Bookman Old Style" w:hAnsi="Bookman Old Style"/>
          <w:sz w:val="20"/>
          <w:szCs w:val="20"/>
        </w:rPr>
        <w:t>Adsorption studies are carried in order to gain a better understanding of the interactions between molecules and surfaces. Adsorption is the process in which molecules of a material are attracted to and remain on the surface of a solid or liquid</w:t>
      </w:r>
      <w:r w:rsidR="00F9245D" w:rsidRPr="004F6844">
        <w:rPr>
          <w:rFonts w:ascii="Bookman Old Style" w:hAnsi="Bookman Old Style"/>
          <w:sz w:val="20"/>
          <w:szCs w:val="20"/>
        </w:rPr>
        <w:t xml:space="preserve"> </w:t>
      </w:r>
      <w:r w:rsidR="002246AD" w:rsidRPr="004F6844">
        <w:rPr>
          <w:rFonts w:ascii="Bookman Old Style" w:hAnsi="Bookman Old Style"/>
          <w:sz w:val="20"/>
          <w:szCs w:val="20"/>
          <w:vertAlign w:val="superscript"/>
        </w:rPr>
        <w:t>[3]</w:t>
      </w:r>
      <w:r w:rsidRPr="004F6844">
        <w:rPr>
          <w:rFonts w:ascii="Bookman Old Style" w:hAnsi="Bookman Old Style"/>
          <w:sz w:val="20"/>
          <w:szCs w:val="20"/>
        </w:rPr>
        <w:t>. Through these studies, the ability to analyze the surface properties of materials, such as surface area, pore size, and porosity, which can be used to create new materials and improve existing ones, as well as to develop more efficient separation and purification processes.</w:t>
      </w:r>
      <w:r w:rsidRPr="004F6844">
        <w:rPr>
          <w:rFonts w:ascii="Bookman Old Style" w:hAnsi="Bookman Old Style"/>
          <w:b/>
          <w:bCs/>
          <w:sz w:val="20"/>
          <w:szCs w:val="20"/>
        </w:rPr>
        <w:t xml:space="preserve"> </w:t>
      </w:r>
    </w:p>
    <w:p w14:paraId="0CDF9CBC" w14:textId="24E4B597" w:rsidR="00BD72F9" w:rsidRPr="004F6844" w:rsidRDefault="00BD72F9" w:rsidP="00D21247">
      <w:pPr>
        <w:spacing w:after="0" w:line="240" w:lineRule="auto"/>
        <w:jc w:val="both"/>
        <w:rPr>
          <w:rFonts w:ascii="Bookman Old Style" w:eastAsia="Calibri" w:hAnsi="Bookman Old Style" w:cs="Times New Roman"/>
          <w:sz w:val="20"/>
          <w:szCs w:val="20"/>
        </w:rPr>
      </w:pPr>
      <w:r w:rsidRPr="004F6844">
        <w:rPr>
          <w:rFonts w:ascii="Bookman Old Style" w:eastAsia="Calibri" w:hAnsi="Bookman Old Style" w:cs="Times New Roman"/>
          <w:sz w:val="20"/>
          <w:szCs w:val="20"/>
        </w:rPr>
        <w:t>Population growth has enormously contributed to the utilization of chemical fertilizers, which has indirectly contributed to water pollution</w:t>
      </w:r>
      <w:r w:rsidR="002246AD" w:rsidRPr="004F6844">
        <w:rPr>
          <w:rFonts w:ascii="Bookman Old Style" w:eastAsia="Calibri" w:hAnsi="Bookman Old Style" w:cs="Times New Roman"/>
          <w:sz w:val="20"/>
          <w:szCs w:val="20"/>
          <w:vertAlign w:val="superscript"/>
        </w:rPr>
        <w:t>[4]</w:t>
      </w:r>
      <w:r w:rsidRPr="004F6844">
        <w:rPr>
          <w:rFonts w:ascii="Bookman Old Style" w:eastAsia="Calibri" w:hAnsi="Bookman Old Style" w:cs="Times New Roman"/>
          <w:sz w:val="20"/>
          <w:szCs w:val="20"/>
        </w:rPr>
        <w:t xml:space="preserve">. Although chemical fertilizers contribute to water and air pollution, the usage of chemical fertilizer is an important part of agriculture activity. The maximum productivity of a land is guaranteed by the presence of sufficient nutrients in the soil but continuous mining of nutrients from soil by crops demands for the use of fertilizers </w:t>
      </w:r>
      <w:r w:rsidRPr="004F6844">
        <w:rPr>
          <w:rFonts w:ascii="Bookman Old Style" w:eastAsia="Calibri" w:hAnsi="Bookman Old Style" w:cs="Times New Roman"/>
          <w:sz w:val="20"/>
          <w:szCs w:val="20"/>
        </w:rPr>
        <w:lastRenderedPageBreak/>
        <w:t>to achieve the desired yields</w:t>
      </w:r>
      <w:r w:rsidR="002246AD" w:rsidRPr="004F6844">
        <w:rPr>
          <w:rFonts w:ascii="Bookman Old Style" w:eastAsia="Calibri" w:hAnsi="Bookman Old Style" w:cs="Times New Roman"/>
          <w:sz w:val="20"/>
          <w:szCs w:val="20"/>
          <w:vertAlign w:val="superscript"/>
        </w:rPr>
        <w:t>[5]</w:t>
      </w:r>
      <w:r w:rsidRPr="004F6844">
        <w:rPr>
          <w:rFonts w:ascii="Bookman Old Style" w:eastAsia="Calibri" w:hAnsi="Bookman Old Style" w:cs="Times New Roman"/>
          <w:sz w:val="20"/>
          <w:szCs w:val="20"/>
        </w:rPr>
        <w:t>. The drastic population growth in the past few decades has increased the demand for agricultural production and hence the need to increase the crop yield</w:t>
      </w:r>
      <w:r w:rsidRPr="004F6844">
        <w:rPr>
          <w:rFonts w:ascii="Bookman Old Style" w:hAnsi="Bookman Old Style"/>
          <w:sz w:val="20"/>
          <w:szCs w:val="20"/>
        </w:rPr>
        <w:t xml:space="preserve"> </w:t>
      </w:r>
      <w:r w:rsidRPr="004F6844">
        <w:rPr>
          <w:rFonts w:ascii="Bookman Old Style" w:eastAsia="Calibri" w:hAnsi="Bookman Old Style" w:cs="Times New Roman"/>
          <w:sz w:val="20"/>
          <w:szCs w:val="20"/>
        </w:rPr>
        <w:t>which has resulted in an overuse of chemical fertilizers.</w:t>
      </w:r>
    </w:p>
    <w:p w14:paraId="18CF11CB" w14:textId="77777777" w:rsidR="00BD72F9" w:rsidRPr="004F6844" w:rsidRDefault="00BD72F9" w:rsidP="00D21247">
      <w:pPr>
        <w:spacing w:after="0" w:line="240" w:lineRule="auto"/>
        <w:jc w:val="both"/>
        <w:rPr>
          <w:rFonts w:ascii="Bookman Old Style" w:eastAsia="Calibri" w:hAnsi="Bookman Old Style" w:cs="Times New Roman"/>
          <w:sz w:val="20"/>
          <w:szCs w:val="20"/>
        </w:rPr>
      </w:pPr>
    </w:p>
    <w:p w14:paraId="49133237" w14:textId="7011D334" w:rsidR="00BD72F9" w:rsidRPr="004F6844" w:rsidRDefault="00BD72F9" w:rsidP="00D21247">
      <w:pPr>
        <w:spacing w:after="0" w:line="240" w:lineRule="auto"/>
        <w:jc w:val="both"/>
        <w:rPr>
          <w:rFonts w:ascii="Bookman Old Style" w:eastAsia="Calibri" w:hAnsi="Bookman Old Style" w:cs="Times New Roman"/>
          <w:sz w:val="20"/>
          <w:szCs w:val="20"/>
        </w:rPr>
      </w:pPr>
      <w:r w:rsidRPr="004F6844">
        <w:rPr>
          <w:rFonts w:ascii="Bookman Old Style" w:eastAsia="Calibri" w:hAnsi="Bookman Old Style" w:cs="Times New Roman"/>
          <w:sz w:val="20"/>
          <w:szCs w:val="20"/>
        </w:rPr>
        <w:t>Nitrate supplies nitrogen, which is an essential component for plant growth, and a major contributor for the production of amino acids used to synthesize proteins. Proteins are necessary for the wholesome growth and development of plants. They contribute to the phototropism regulation of the plant, which is an adjustment to light, and darkness; and generate energy from some chemical reactions that enable membrane transportation and the formation of the intracellular structure</w:t>
      </w:r>
      <w:r w:rsidR="002246AD" w:rsidRPr="004F6844">
        <w:rPr>
          <w:rFonts w:ascii="Bookman Old Style" w:eastAsia="Calibri" w:hAnsi="Bookman Old Style" w:cs="Times New Roman"/>
          <w:sz w:val="20"/>
          <w:szCs w:val="20"/>
          <w:vertAlign w:val="superscript"/>
        </w:rPr>
        <w:t>[6]</w:t>
      </w:r>
      <w:r w:rsidRPr="004F6844">
        <w:rPr>
          <w:rFonts w:ascii="Bookman Old Style" w:eastAsia="Calibri" w:hAnsi="Bookman Old Style" w:cs="Times New Roman"/>
          <w:sz w:val="20"/>
          <w:szCs w:val="20"/>
        </w:rPr>
        <w:t>. Therefore, nitrate deficiency affects plants growth considerably. It is noteworthy that nitrate is not found in fertilizer in a simple form; they are always combined with other elements such as ammonium nitrate or sometimes combines with some other essential metal for plant development such as calcium (calcium ammonium nitrate). Most of the time the ammonium nitrate is oxidized leading to the separation of ammonia and nitrate. Nitrate can be consumed directly from unwashed vegetables or through drinking water</w:t>
      </w:r>
      <w:r w:rsidR="002246AD" w:rsidRPr="004F6844">
        <w:rPr>
          <w:rFonts w:ascii="Bookman Old Style" w:eastAsia="Calibri" w:hAnsi="Bookman Old Style" w:cs="Times New Roman"/>
          <w:sz w:val="20"/>
          <w:szCs w:val="20"/>
          <w:vertAlign w:val="superscript"/>
        </w:rPr>
        <w:t>[7]</w:t>
      </w:r>
      <w:r w:rsidRPr="004F6844">
        <w:rPr>
          <w:rFonts w:ascii="Bookman Old Style" w:eastAsia="Calibri" w:hAnsi="Bookman Old Style" w:cs="Times New Roman"/>
          <w:sz w:val="20"/>
          <w:szCs w:val="20"/>
        </w:rPr>
        <w:t xml:space="preserve">. </w:t>
      </w:r>
    </w:p>
    <w:p w14:paraId="6FF94767" w14:textId="77777777" w:rsidR="00BD72F9" w:rsidRPr="004F6844" w:rsidRDefault="00BD72F9" w:rsidP="00D21247">
      <w:pPr>
        <w:spacing w:after="0" w:line="240" w:lineRule="auto"/>
        <w:jc w:val="both"/>
        <w:rPr>
          <w:rFonts w:ascii="Bookman Old Style" w:eastAsia="Calibri" w:hAnsi="Bookman Old Style" w:cs="Times New Roman"/>
          <w:sz w:val="20"/>
          <w:szCs w:val="20"/>
        </w:rPr>
      </w:pPr>
    </w:p>
    <w:p w14:paraId="48DE87AE" w14:textId="4C5327C7" w:rsidR="00BD72F9" w:rsidRPr="004F6844" w:rsidRDefault="00BD72F9" w:rsidP="00D21247">
      <w:pPr>
        <w:spacing w:after="0" w:line="240" w:lineRule="auto"/>
        <w:jc w:val="both"/>
        <w:rPr>
          <w:rFonts w:ascii="Bookman Old Style" w:eastAsia="Calibri" w:hAnsi="Bookman Old Style" w:cs="Times New Roman"/>
          <w:sz w:val="20"/>
          <w:szCs w:val="20"/>
        </w:rPr>
      </w:pPr>
      <w:r w:rsidRPr="004F6844">
        <w:rPr>
          <w:rFonts w:ascii="Bookman Old Style" w:eastAsia="Calibri" w:hAnsi="Bookman Old Style" w:cs="Times New Roman"/>
          <w:sz w:val="20"/>
          <w:szCs w:val="20"/>
        </w:rPr>
        <w:t>The nitrate accumulated on the soil through leaching pollutes the underground water and surface water by surface run-off. Nitrate intake has many implications for human health such as causing methemoglobinemia (blue baby syndrome) which is a haemoglobin disorder resulting from oxidation of haemoglobin. The oxidized haemoglobin became methemoglobin, which interferes with adequate distribution of oxygen in the blood to other body tissues</w:t>
      </w:r>
      <w:r w:rsidR="002246AD" w:rsidRPr="004F6844">
        <w:rPr>
          <w:rFonts w:ascii="Bookman Old Style" w:eastAsia="Calibri" w:hAnsi="Bookman Old Style" w:cs="Times New Roman"/>
          <w:sz w:val="20"/>
          <w:szCs w:val="20"/>
          <w:vertAlign w:val="superscript"/>
        </w:rPr>
        <w:t>[8]</w:t>
      </w:r>
      <w:r w:rsidRPr="004F6844">
        <w:rPr>
          <w:rFonts w:ascii="Bookman Old Style" w:eastAsia="Calibri" w:hAnsi="Bookman Old Style" w:cs="Times New Roman"/>
          <w:sz w:val="20"/>
          <w:szCs w:val="20"/>
        </w:rPr>
        <w:t>.</w:t>
      </w:r>
    </w:p>
    <w:p w14:paraId="13131779" w14:textId="77777777" w:rsidR="0052379A" w:rsidRPr="004F6844" w:rsidRDefault="0052379A" w:rsidP="00D21247">
      <w:pPr>
        <w:spacing w:after="0" w:line="240" w:lineRule="auto"/>
        <w:jc w:val="both"/>
        <w:rPr>
          <w:rFonts w:ascii="Bookman Old Style" w:eastAsia="Calibri" w:hAnsi="Bookman Old Style" w:cs="Times New Roman"/>
          <w:sz w:val="20"/>
          <w:szCs w:val="20"/>
        </w:rPr>
      </w:pPr>
    </w:p>
    <w:p w14:paraId="0DEDCF0E" w14:textId="161ACAE5" w:rsidR="0052379A" w:rsidRPr="004F6844" w:rsidRDefault="0052379A" w:rsidP="00D21247">
      <w:pPr>
        <w:spacing w:after="0" w:line="240" w:lineRule="auto"/>
        <w:jc w:val="both"/>
        <w:rPr>
          <w:rFonts w:ascii="Bookman Old Style" w:eastAsia="Calibri" w:hAnsi="Bookman Old Style" w:cs="Times New Roman"/>
          <w:sz w:val="20"/>
          <w:szCs w:val="20"/>
        </w:rPr>
      </w:pPr>
      <w:r w:rsidRPr="004F6844">
        <w:rPr>
          <w:rFonts w:ascii="Bookman Old Style" w:eastAsia="Calibri" w:hAnsi="Bookman Old Style" w:cs="Times New Roman"/>
          <w:sz w:val="20"/>
          <w:szCs w:val="20"/>
        </w:rPr>
        <w:t>Excess phosphate in a water body is always noticeable by eutrophication which occurs when a water body is excessively rich in nutrients especially phosphate</w:t>
      </w:r>
      <w:r w:rsidR="002246AD" w:rsidRPr="004F6844">
        <w:rPr>
          <w:rFonts w:ascii="Bookman Old Style" w:eastAsia="Calibri" w:hAnsi="Bookman Old Style" w:cs="Times New Roman"/>
          <w:sz w:val="20"/>
          <w:szCs w:val="20"/>
          <w:vertAlign w:val="superscript"/>
        </w:rPr>
        <w:t>[9]</w:t>
      </w:r>
      <w:bookmarkStart w:id="1" w:name="_Hlk22715675"/>
      <w:r w:rsidRPr="004F6844">
        <w:rPr>
          <w:rFonts w:ascii="Bookman Old Style" w:eastAsia="Calibri" w:hAnsi="Bookman Old Style" w:cs="Times New Roman"/>
          <w:sz w:val="20"/>
          <w:szCs w:val="20"/>
        </w:rPr>
        <w:t xml:space="preserve">. </w:t>
      </w:r>
      <w:bookmarkEnd w:id="1"/>
      <w:r w:rsidRPr="004F6844">
        <w:rPr>
          <w:rFonts w:ascii="Bookman Old Style" w:eastAsia="Calibri" w:hAnsi="Bookman Old Style" w:cs="Times New Roman"/>
          <w:sz w:val="20"/>
          <w:szCs w:val="20"/>
        </w:rPr>
        <w:t>The population growth, climate change and economic development contribute to increased demand for freshwater and therefore mitigation measures have to be taken to deal with eutrophication, which is a threat to water quality</w:t>
      </w:r>
      <w:r w:rsidR="002246AD" w:rsidRPr="004F6844">
        <w:rPr>
          <w:rFonts w:ascii="Bookman Old Style" w:eastAsia="Calibri" w:hAnsi="Bookman Old Style" w:cs="Times New Roman"/>
          <w:sz w:val="20"/>
          <w:szCs w:val="20"/>
          <w:vertAlign w:val="superscript"/>
        </w:rPr>
        <w:t>[9]</w:t>
      </w:r>
      <w:r w:rsidRPr="004F6844">
        <w:rPr>
          <w:rFonts w:ascii="Bookman Old Style" w:eastAsia="Calibri" w:hAnsi="Bookman Old Style" w:cs="Times New Roman"/>
          <w:sz w:val="20"/>
          <w:szCs w:val="20"/>
        </w:rPr>
        <w:t>. Eutrophication limits economic activities such as fishing, recreational use of water, as well as limiting accessibility to safe drinking water, among others. The decay of dead algae leads to accumulation of organic matter in the water body which results in the depletion of dissolved oxygen and subsequently, death of aquatic life</w:t>
      </w:r>
      <w:r w:rsidR="00CD502B" w:rsidRPr="004F6844">
        <w:rPr>
          <w:rFonts w:ascii="Bookman Old Style" w:eastAsia="Calibri" w:hAnsi="Bookman Old Style" w:cs="Times New Roman"/>
          <w:sz w:val="20"/>
          <w:szCs w:val="20"/>
          <w:vertAlign w:val="superscript"/>
        </w:rPr>
        <w:t>[10]</w:t>
      </w:r>
      <w:r w:rsidRPr="004F6844">
        <w:rPr>
          <w:rFonts w:ascii="Bookman Old Style" w:eastAsia="Calibri" w:hAnsi="Bookman Old Style" w:cs="Times New Roman"/>
          <w:sz w:val="20"/>
          <w:szCs w:val="20"/>
        </w:rPr>
        <w:t>. Algae also produce some toxins, which are harmful to animal and human health, and can lead to several diseases such as neurotoxicity, liver damage, and eye and skin irritation among others</w:t>
      </w:r>
      <w:r w:rsidR="00CD502B" w:rsidRPr="004F6844">
        <w:rPr>
          <w:rFonts w:ascii="Bookman Old Style" w:eastAsia="Calibri" w:hAnsi="Bookman Old Style" w:cs="Times New Roman"/>
          <w:sz w:val="20"/>
          <w:szCs w:val="20"/>
          <w:vertAlign w:val="superscript"/>
        </w:rPr>
        <w:t>[11]</w:t>
      </w:r>
      <w:r w:rsidRPr="004F6844">
        <w:rPr>
          <w:rFonts w:ascii="Bookman Old Style" w:eastAsia="Calibri" w:hAnsi="Bookman Old Style" w:cs="Times New Roman"/>
          <w:sz w:val="20"/>
          <w:szCs w:val="20"/>
        </w:rPr>
        <w:t>.</w:t>
      </w:r>
    </w:p>
    <w:p w14:paraId="002606D5" w14:textId="6AB8CE99" w:rsidR="0052379A" w:rsidRPr="004F6844" w:rsidRDefault="0052379A" w:rsidP="0052379A">
      <w:pPr>
        <w:spacing w:after="0" w:line="240" w:lineRule="auto"/>
        <w:jc w:val="both"/>
        <w:rPr>
          <w:rFonts w:ascii="Bookman Old Style" w:eastAsia="Calibri" w:hAnsi="Bookman Old Style" w:cs="Times New Roman"/>
          <w:sz w:val="20"/>
          <w:szCs w:val="20"/>
        </w:rPr>
      </w:pPr>
      <w:r w:rsidRPr="004F6844">
        <w:rPr>
          <w:rFonts w:ascii="Bookman Old Style" w:eastAsia="Calibri" w:hAnsi="Bookman Old Style" w:cs="Times New Roman"/>
          <w:sz w:val="20"/>
          <w:szCs w:val="20"/>
        </w:rPr>
        <w:t xml:space="preserve">Copper is one of the essential micronutrients that required for plant growth. It plays a significant role in photosynthesis and its deficiency is always detected by the colour change on the leaves and can lead to a considerable reduction of the crop yield </w:t>
      </w:r>
      <w:r w:rsidR="00CD502B" w:rsidRPr="004F6844">
        <w:rPr>
          <w:rFonts w:ascii="Bookman Old Style" w:eastAsia="Calibri" w:hAnsi="Bookman Old Style" w:cs="Times New Roman"/>
          <w:sz w:val="20"/>
          <w:szCs w:val="20"/>
          <w:vertAlign w:val="superscript"/>
        </w:rPr>
        <w:t>[12]</w:t>
      </w:r>
      <w:r w:rsidR="00CD502B" w:rsidRPr="004F6844">
        <w:rPr>
          <w:rFonts w:ascii="Bookman Old Style" w:eastAsia="Calibri" w:hAnsi="Bookman Old Style" w:cs="Times New Roman"/>
          <w:sz w:val="20"/>
          <w:szCs w:val="20"/>
        </w:rPr>
        <w:t>.</w:t>
      </w:r>
      <w:r w:rsidRPr="004F6844">
        <w:rPr>
          <w:rFonts w:ascii="Bookman Old Style" w:eastAsia="Calibri" w:hAnsi="Bookman Old Style" w:cs="Times New Roman"/>
          <w:sz w:val="20"/>
          <w:szCs w:val="20"/>
        </w:rPr>
        <w:t xml:space="preserve"> It is mostly found in herbicides and sometimes in fertilizers. It is also an essential element for human health required in the formation of the red blood cells. Excess intake of copper however, is very harmful to human body as it may cause deadly diseases. It targets some specific body systems such as cardiovascular system by disrupting the red blood leading to the release of hemoglobin into the bloodstream, abnormally known as hemolysis. Accumulation of copper is also manifested in gastrointestinal system by nausea and vomiting. Its toxicity is mostly felt in the hepatic system where the high concentration damages the liver. High intake of copper also affects central nervous system and renal system leading to kidney failure</w:t>
      </w:r>
      <w:r w:rsidR="00CD502B" w:rsidRPr="004F6844">
        <w:rPr>
          <w:rFonts w:ascii="Bookman Old Style" w:eastAsia="Calibri" w:hAnsi="Bookman Old Style" w:cs="Times New Roman"/>
          <w:sz w:val="20"/>
          <w:szCs w:val="20"/>
          <w:vertAlign w:val="superscript"/>
        </w:rPr>
        <w:t>[13]</w:t>
      </w:r>
      <w:r w:rsidR="00CD502B" w:rsidRPr="004F6844">
        <w:rPr>
          <w:rFonts w:ascii="Bookman Old Style" w:eastAsia="Calibri" w:hAnsi="Bookman Old Style" w:cs="Times New Roman"/>
          <w:sz w:val="20"/>
          <w:szCs w:val="20"/>
        </w:rPr>
        <w:t>.</w:t>
      </w:r>
    </w:p>
    <w:p w14:paraId="7B9E9602" w14:textId="475F6D52" w:rsidR="0052379A" w:rsidRPr="004F6844" w:rsidRDefault="0052379A" w:rsidP="0052379A">
      <w:pPr>
        <w:spacing w:after="0" w:line="240" w:lineRule="auto"/>
        <w:jc w:val="both"/>
        <w:rPr>
          <w:rFonts w:ascii="Bookman Old Style" w:eastAsia="Calibri" w:hAnsi="Bookman Old Style" w:cs="Times New Roman"/>
          <w:noProof/>
          <w:sz w:val="20"/>
          <w:szCs w:val="20"/>
        </w:rPr>
      </w:pPr>
      <w:r w:rsidRPr="004F6844">
        <w:rPr>
          <w:rFonts w:ascii="Bookman Old Style" w:eastAsia="Calibri" w:hAnsi="Bookman Old Style" w:cs="Times New Roman"/>
          <w:sz w:val="20"/>
          <w:szCs w:val="20"/>
        </w:rPr>
        <w:t>Lead easily contaminates underground water through leaching and this has been witnessed in many sub-Saharans Africa countries. Lead intake mostly affects children neurological system by reduction the child’s IQ or attention span and some of these damages are irreversible. Lead can also affect an unborn child via the mother blood by either damaging the neurological system or by causing a miscarriage</w:t>
      </w:r>
      <w:r w:rsidR="00CD502B" w:rsidRPr="004F6844">
        <w:rPr>
          <w:rFonts w:ascii="Bookman Old Style" w:eastAsia="Calibri" w:hAnsi="Bookman Old Style" w:cs="Times New Roman"/>
          <w:sz w:val="20"/>
          <w:szCs w:val="20"/>
          <w:vertAlign w:val="superscript"/>
        </w:rPr>
        <w:t>[14]</w:t>
      </w:r>
      <w:r w:rsidRPr="004F6844">
        <w:rPr>
          <w:rFonts w:ascii="Bookman Old Style" w:eastAsia="Calibri" w:hAnsi="Bookman Old Style" w:cs="Times New Roman"/>
          <w:sz w:val="20"/>
          <w:szCs w:val="20"/>
        </w:rPr>
        <w:t>.</w:t>
      </w:r>
      <w:r w:rsidRPr="004F6844">
        <w:rPr>
          <w:rFonts w:ascii="Bookman Old Style" w:hAnsi="Bookman Old Style"/>
          <w:sz w:val="20"/>
          <w:szCs w:val="20"/>
        </w:rPr>
        <w:t xml:space="preserve"> </w:t>
      </w:r>
      <w:r w:rsidRPr="004F6844">
        <w:rPr>
          <w:rFonts w:ascii="Bookman Old Style" w:eastAsia="Calibri" w:hAnsi="Bookman Old Style" w:cs="Times New Roman"/>
          <w:sz w:val="20"/>
          <w:szCs w:val="20"/>
        </w:rPr>
        <w:t>Additionally, it has an impact on the cardiovascular, renal, and reproductive systems, causing infertility for both male and female</w:t>
      </w:r>
      <w:r w:rsidR="00CD502B" w:rsidRPr="004F6844">
        <w:rPr>
          <w:rFonts w:ascii="Bookman Old Style" w:eastAsia="Calibri" w:hAnsi="Bookman Old Style" w:cs="Times New Roman"/>
          <w:sz w:val="20"/>
          <w:szCs w:val="20"/>
          <w:vertAlign w:val="superscript"/>
        </w:rPr>
        <w:t>[15]</w:t>
      </w:r>
      <w:r w:rsidRPr="004F6844">
        <w:rPr>
          <w:rFonts w:ascii="Bookman Old Style" w:eastAsia="Calibri" w:hAnsi="Bookman Old Style" w:cs="Times New Roman"/>
          <w:noProof/>
          <w:sz w:val="20"/>
          <w:szCs w:val="20"/>
        </w:rPr>
        <w:t>.</w:t>
      </w:r>
    </w:p>
    <w:p w14:paraId="35242F35" w14:textId="535E6A5F" w:rsidR="0052379A" w:rsidRPr="004F6844" w:rsidRDefault="0052379A" w:rsidP="00D21247">
      <w:pPr>
        <w:spacing w:after="0" w:line="240" w:lineRule="auto"/>
        <w:jc w:val="both"/>
        <w:rPr>
          <w:rFonts w:ascii="Bookman Old Style" w:eastAsia="Calibri" w:hAnsi="Bookman Old Style" w:cs="Times New Roman"/>
          <w:sz w:val="20"/>
          <w:szCs w:val="20"/>
        </w:rPr>
      </w:pPr>
      <w:r w:rsidRPr="004F6844">
        <w:rPr>
          <w:rFonts w:ascii="Bookman Old Style" w:eastAsia="Calibri" w:hAnsi="Bookman Old Style" w:cs="Times New Roman"/>
          <w:sz w:val="20"/>
          <w:szCs w:val="20"/>
        </w:rPr>
        <w:t>Cadmium is considered as a non-essential element for plant growth</w:t>
      </w:r>
      <w:r w:rsidR="00CD502B" w:rsidRPr="004F6844">
        <w:rPr>
          <w:rFonts w:ascii="Bookman Old Style" w:eastAsia="Calibri" w:hAnsi="Bookman Old Style" w:cs="Times New Roman"/>
          <w:sz w:val="20"/>
          <w:szCs w:val="20"/>
          <w:vertAlign w:val="superscript"/>
        </w:rPr>
        <w:t>[16]</w:t>
      </w:r>
      <w:r w:rsidRPr="004F6844">
        <w:rPr>
          <w:rFonts w:ascii="Bookman Old Style" w:eastAsia="Calibri" w:hAnsi="Bookman Old Style" w:cs="Times New Roman"/>
          <w:sz w:val="20"/>
          <w:szCs w:val="20"/>
        </w:rPr>
        <w:t xml:space="preserve"> Cadmium is present in fertilizer especially in phosphate fertilizers because of the presence of large amounts of cadmium in the phosphate rock</w:t>
      </w:r>
      <w:r w:rsidR="00CD502B" w:rsidRPr="004F6844">
        <w:rPr>
          <w:rFonts w:ascii="Bookman Old Style" w:eastAsia="Calibri" w:hAnsi="Bookman Old Style" w:cs="Times New Roman"/>
          <w:sz w:val="20"/>
          <w:szCs w:val="20"/>
          <w:vertAlign w:val="superscript"/>
        </w:rPr>
        <w:t>[17]</w:t>
      </w:r>
      <w:r w:rsidRPr="004F6844">
        <w:rPr>
          <w:rFonts w:ascii="Bookman Old Style" w:eastAsia="Calibri" w:hAnsi="Bookman Old Style" w:cs="Times New Roman"/>
          <w:sz w:val="20"/>
          <w:szCs w:val="20"/>
        </w:rPr>
        <w:t xml:space="preserve">. The accumulation of cadmium in the soil and underground water is related to excessive utilization of chemical fertilizers. Excess cadmium affects plant </w:t>
      </w:r>
      <w:r w:rsidRPr="004F6844">
        <w:rPr>
          <w:rFonts w:ascii="Bookman Old Style" w:eastAsia="Calibri" w:hAnsi="Bookman Old Style" w:cs="Times New Roman"/>
          <w:sz w:val="20"/>
          <w:szCs w:val="20"/>
        </w:rPr>
        <w:lastRenderedPageBreak/>
        <w:t xml:space="preserve">development, pollute the environment and affect human health. Cadmium affects human health by damaging or preventing proper functioning of body organs. </w:t>
      </w:r>
    </w:p>
    <w:p w14:paraId="4A3B8540" w14:textId="77777777" w:rsidR="0052379A" w:rsidRPr="004F6844" w:rsidRDefault="0052379A" w:rsidP="00D21247">
      <w:pPr>
        <w:spacing w:after="0" w:line="240" w:lineRule="auto"/>
        <w:jc w:val="both"/>
        <w:rPr>
          <w:rFonts w:ascii="Bookman Old Style" w:eastAsia="Calibri" w:hAnsi="Bookman Old Style" w:cs="Times New Roman"/>
          <w:sz w:val="20"/>
          <w:szCs w:val="20"/>
        </w:rPr>
      </w:pPr>
    </w:p>
    <w:p w14:paraId="077BB4C2" w14:textId="13AFB615" w:rsidR="0052379A" w:rsidRPr="004F6844" w:rsidRDefault="0052379A" w:rsidP="00D21247">
      <w:pPr>
        <w:spacing w:after="0" w:line="240" w:lineRule="auto"/>
        <w:jc w:val="both"/>
        <w:rPr>
          <w:rFonts w:ascii="Bookman Old Style" w:eastAsia="Calibri" w:hAnsi="Bookman Old Style" w:cs="Times New Roman"/>
          <w:sz w:val="20"/>
          <w:szCs w:val="20"/>
        </w:rPr>
      </w:pPr>
      <w:r w:rsidRPr="004F6844">
        <w:rPr>
          <w:rFonts w:ascii="Bookman Old Style" w:eastAsia="Calibri" w:hAnsi="Bookman Old Style" w:cs="Times New Roman"/>
          <w:sz w:val="20"/>
          <w:szCs w:val="20"/>
        </w:rPr>
        <w:t xml:space="preserve">Like arsenic, cadmium affects renal system manifested through nephropathy, which is the damage of the kidney blood vessel, preventing proper functioning of the kidney a dysfunction that might lead to kidney </w:t>
      </w:r>
      <w:bookmarkStart w:id="2" w:name="_Hlk22716857"/>
      <w:r w:rsidRPr="004F6844">
        <w:rPr>
          <w:rFonts w:ascii="Bookman Old Style" w:eastAsia="Calibri" w:hAnsi="Bookman Old Style" w:cs="Times New Roman"/>
          <w:sz w:val="20"/>
          <w:szCs w:val="20"/>
        </w:rPr>
        <w:t>failure</w:t>
      </w:r>
      <w:r w:rsidR="00CD502B" w:rsidRPr="004F6844">
        <w:rPr>
          <w:rFonts w:ascii="Bookman Old Style" w:eastAsia="Calibri" w:hAnsi="Bookman Old Style" w:cs="Times New Roman"/>
          <w:sz w:val="20"/>
          <w:szCs w:val="20"/>
          <w:vertAlign w:val="superscript"/>
        </w:rPr>
        <w:t>[18]</w:t>
      </w:r>
      <w:r w:rsidRPr="004F6844">
        <w:rPr>
          <w:rFonts w:ascii="Bookman Old Style" w:eastAsia="Calibri" w:hAnsi="Bookman Old Style" w:cs="Times New Roman"/>
          <w:sz w:val="20"/>
          <w:szCs w:val="20"/>
        </w:rPr>
        <w:t>. It</w:t>
      </w:r>
      <w:bookmarkEnd w:id="2"/>
      <w:r w:rsidRPr="004F6844">
        <w:rPr>
          <w:rFonts w:ascii="Bookman Old Style" w:eastAsia="Calibri" w:hAnsi="Bookman Old Style" w:cs="Times New Roman"/>
          <w:sz w:val="20"/>
          <w:szCs w:val="20"/>
        </w:rPr>
        <w:t xml:space="preserve"> affects skeleton system where cadmium interacts with bone cells reducing the bone mineralization and preventing the production of collagen. This leads to osteoporosis, a disease in which the bone becomes weak and susceptible to fracture</w:t>
      </w:r>
      <w:r w:rsidR="00CD502B" w:rsidRPr="004F6844">
        <w:rPr>
          <w:rFonts w:ascii="Bookman Old Style" w:eastAsia="Calibri" w:hAnsi="Bookman Old Style" w:cs="Times New Roman"/>
          <w:sz w:val="20"/>
          <w:szCs w:val="20"/>
          <w:vertAlign w:val="superscript"/>
        </w:rPr>
        <w:t>[19]</w:t>
      </w:r>
      <w:r w:rsidRPr="004F6844">
        <w:rPr>
          <w:rFonts w:ascii="Bookman Old Style" w:eastAsia="Calibri" w:hAnsi="Bookman Old Style" w:cs="Times New Roman"/>
          <w:sz w:val="20"/>
          <w:szCs w:val="20"/>
        </w:rPr>
        <w:t>.</w:t>
      </w:r>
    </w:p>
    <w:p w14:paraId="35614AB0" w14:textId="77777777" w:rsidR="004F6844" w:rsidRDefault="004F6844" w:rsidP="00D21247">
      <w:pPr>
        <w:spacing w:after="0" w:line="240" w:lineRule="auto"/>
        <w:jc w:val="both"/>
        <w:rPr>
          <w:rFonts w:ascii="Bookman Old Style" w:eastAsia="Calibri" w:hAnsi="Bookman Old Style" w:cs="Times New Roman"/>
          <w:sz w:val="20"/>
          <w:szCs w:val="20"/>
        </w:rPr>
        <w:sectPr w:rsidR="004F6844" w:rsidSect="0075348A">
          <w:type w:val="continuous"/>
          <w:pgSz w:w="12240" w:h="15840"/>
          <w:pgMar w:top="1440" w:right="1440" w:bottom="1440" w:left="1440" w:header="720" w:footer="720" w:gutter="0"/>
          <w:cols w:space="720"/>
          <w:docGrid w:linePitch="360"/>
        </w:sectPr>
      </w:pPr>
    </w:p>
    <w:p w14:paraId="29DAF9F6" w14:textId="77777777" w:rsidR="00D51A94" w:rsidRDefault="00D51A94" w:rsidP="00D21247">
      <w:pPr>
        <w:spacing w:after="0" w:line="240" w:lineRule="auto"/>
        <w:jc w:val="both"/>
        <w:rPr>
          <w:rFonts w:ascii="Bookman Old Style" w:hAnsi="Bookman Old Style" w:cs="Times New Roman"/>
          <w:b/>
          <w:bCs/>
          <w:sz w:val="20"/>
          <w:szCs w:val="20"/>
          <w:lang w:val="en-US"/>
        </w:rPr>
      </w:pPr>
    </w:p>
    <w:p w14:paraId="19DDDC2B" w14:textId="28C50845" w:rsidR="005E1D14" w:rsidRPr="00D51A94" w:rsidRDefault="00F013FD" w:rsidP="00D21247">
      <w:pPr>
        <w:pStyle w:val="Heading1"/>
        <w:spacing w:before="0" w:line="240" w:lineRule="auto"/>
        <w:rPr>
          <w:rFonts w:ascii="Bookman Old Style" w:hAnsi="Bookman Old Style"/>
          <w:color w:val="000000" w:themeColor="text1"/>
          <w:sz w:val="20"/>
          <w:szCs w:val="20"/>
        </w:rPr>
      </w:pPr>
      <w:r w:rsidRPr="00D51A94">
        <w:rPr>
          <w:rFonts w:ascii="Bookman Old Style" w:hAnsi="Bookman Old Style"/>
          <w:color w:val="000000" w:themeColor="text1"/>
          <w:sz w:val="20"/>
          <w:szCs w:val="20"/>
        </w:rPr>
        <w:t>METHODS AND MATERIALS</w:t>
      </w:r>
    </w:p>
    <w:p w14:paraId="39FA401A" w14:textId="77777777" w:rsidR="004F6844" w:rsidRDefault="004F6844" w:rsidP="00D21247">
      <w:pPr>
        <w:spacing w:after="0" w:line="240" w:lineRule="auto"/>
        <w:jc w:val="both"/>
        <w:rPr>
          <w:rFonts w:ascii="Bookman Old Style" w:hAnsi="Bookman Old Style" w:cs="Times New Roman"/>
          <w:sz w:val="20"/>
          <w:szCs w:val="20"/>
          <w:lang w:val="en-US"/>
        </w:rPr>
        <w:sectPr w:rsidR="004F6844" w:rsidSect="0075348A">
          <w:type w:val="continuous"/>
          <w:pgSz w:w="12240" w:h="15840"/>
          <w:pgMar w:top="1440" w:right="1440" w:bottom="1440" w:left="1440" w:header="720" w:footer="720" w:gutter="0"/>
          <w:cols w:space="720"/>
          <w:docGrid w:linePitch="360"/>
        </w:sectPr>
      </w:pPr>
    </w:p>
    <w:p w14:paraId="5A4CF201" w14:textId="707B01A0" w:rsidR="00AA2AC1" w:rsidRPr="004F6844" w:rsidRDefault="00AA2AC1" w:rsidP="00D21247">
      <w:pPr>
        <w:spacing w:after="0" w:line="240" w:lineRule="auto"/>
        <w:jc w:val="both"/>
        <w:rPr>
          <w:rFonts w:ascii="Bookman Old Style" w:hAnsi="Bookman Old Style" w:cs="Times New Roman"/>
          <w:b/>
          <w:bCs/>
          <w:sz w:val="20"/>
          <w:szCs w:val="20"/>
          <w:lang w:val="en-US"/>
        </w:rPr>
      </w:pPr>
      <w:r w:rsidRPr="004F6844">
        <w:rPr>
          <w:rFonts w:ascii="Bookman Old Style" w:hAnsi="Bookman Old Style" w:cs="Times New Roman"/>
          <w:sz w:val="20"/>
          <w:szCs w:val="20"/>
          <w:lang w:val="en-US"/>
        </w:rPr>
        <w:t>The materials were collected from Nyeri County in Mukurweini, then dried in an oven at 80°C for 18 hours and finely ground using a motor and pestle. A part of this sample was then taken to a muffle furnace, where it was heated at 700°C for two hours. After this, it was hydrothermally treated with 8M of NaOH in a pressure cooker at 120°C for three hours. Finally, it was put back into the muffle furnace for two hours at 650°C. A batch adsorption study was conducted using two adsorbents, kaolinite and alkali-modified kaolinite, in order to determine the adsorption isotherm, adsorption kinetics, and adsorption thermodynamics.</w:t>
      </w:r>
    </w:p>
    <w:p w14:paraId="490FAFE0" w14:textId="77777777" w:rsidR="00154C22" w:rsidRPr="004F6844" w:rsidRDefault="00154C22" w:rsidP="00D21247">
      <w:pPr>
        <w:spacing w:after="0" w:line="240" w:lineRule="auto"/>
        <w:jc w:val="both"/>
        <w:rPr>
          <w:rFonts w:ascii="Bookman Old Style" w:hAnsi="Bookman Old Style" w:cs="Times New Roman"/>
          <w:sz w:val="20"/>
          <w:szCs w:val="20"/>
        </w:rPr>
      </w:pPr>
      <w:r w:rsidRPr="004F6844">
        <w:rPr>
          <w:rFonts w:ascii="Bookman Old Style" w:hAnsi="Bookman Old Style" w:cs="Times New Roman"/>
          <w:sz w:val="20"/>
          <w:szCs w:val="20"/>
        </w:rPr>
        <w:t>The study was done using seven different adsorbents from different sampling points (S1, S2, S3, S4, S5, S6, and S7) and five different adsorbates (Nitrate, Phosphate, lead, Cadmium and Copper). Nitrate and Phosphate adsorption study was done using UV-VIS Spectrometer and Lead, Copper and Cadmium using AAS. The following parameters were analyzed: effect of dosage, effect contact time, effect of concentration, effect of pH, effect of temperature, adsorption isotherms, and adsorption kinetics and adsorption thermodynamics. It was observed that the adsorbents S1, S2, S3, S4, S5 and S6 had similar behavior throughout the adsorption study.</w:t>
      </w:r>
    </w:p>
    <w:p w14:paraId="4E9DC722" w14:textId="088DF57F" w:rsidR="00154C22" w:rsidRPr="004F6844" w:rsidRDefault="00154C22" w:rsidP="002C386F">
      <w:pPr>
        <w:spacing w:line="240" w:lineRule="auto"/>
        <w:jc w:val="both"/>
        <w:rPr>
          <w:rFonts w:ascii="Bookman Old Style" w:hAnsi="Bookman Old Style" w:cs="Times New Roman"/>
          <w:sz w:val="20"/>
          <w:szCs w:val="20"/>
          <w:lang w:val="en-US"/>
        </w:rPr>
      </w:pPr>
    </w:p>
    <w:p w14:paraId="2326391E" w14:textId="5631C6A0" w:rsidR="00493230" w:rsidRPr="004F6844" w:rsidRDefault="00493230" w:rsidP="002C386F">
      <w:pPr>
        <w:spacing w:line="240" w:lineRule="auto"/>
        <w:jc w:val="both"/>
        <w:rPr>
          <w:rFonts w:ascii="Bookman Old Style" w:hAnsi="Bookman Old Style" w:cs="Times New Roman"/>
          <w:sz w:val="20"/>
          <w:szCs w:val="20"/>
          <w:lang w:val="en-US"/>
        </w:rPr>
      </w:pPr>
      <w:r w:rsidRPr="004F6844">
        <w:rPr>
          <w:rFonts w:ascii="Bookman Old Style" w:hAnsi="Bookman Old Style" w:cs="Times New Roman"/>
          <w:sz w:val="20"/>
          <w:szCs w:val="20"/>
          <w:lang w:val="en-US"/>
        </w:rPr>
        <w:t>The batch adsorption study was carried out and the sample solutions analyzed alongside standard solutions using an AA-6300 SHIMADZU Atomic Absorption Spectrophotometer and the following procedure: The computer connected to the AAS was first turned on, as different parameters were set. The ASS lamp was setting based on the metal being analyzed (copper, lead and cadmium).  After that, the compressed air and acetylene cylinders valves were opened and the flame was ignited. Using the University of Nairobi laboratory standards, the calibration curve was set. Different prepared samples were then injected into the flame and their absorbance were recorded.</w:t>
      </w:r>
    </w:p>
    <w:p w14:paraId="7046C797" w14:textId="77777777" w:rsidR="004F6844" w:rsidRDefault="004F6844" w:rsidP="002C386F">
      <w:pPr>
        <w:spacing w:line="240" w:lineRule="auto"/>
        <w:jc w:val="both"/>
        <w:rPr>
          <w:rFonts w:ascii="Bookman Old Style" w:hAnsi="Bookman Old Style" w:cs="Times New Roman"/>
          <w:b/>
          <w:bCs/>
          <w:sz w:val="20"/>
          <w:szCs w:val="20"/>
          <w:lang w:val="en-US"/>
        </w:rPr>
        <w:sectPr w:rsidR="004F6844" w:rsidSect="0075348A">
          <w:type w:val="continuous"/>
          <w:pgSz w:w="12240" w:h="15840"/>
          <w:pgMar w:top="1440" w:right="1440" w:bottom="1440" w:left="1440" w:header="720" w:footer="720" w:gutter="0"/>
          <w:cols w:space="720"/>
          <w:docGrid w:linePitch="360"/>
        </w:sectPr>
      </w:pPr>
    </w:p>
    <w:p w14:paraId="7793AF16" w14:textId="52C2DA93" w:rsidR="00263669" w:rsidRPr="00D51A94" w:rsidRDefault="00D51A94" w:rsidP="00D51A94">
      <w:pPr>
        <w:pStyle w:val="Heading1"/>
        <w:rPr>
          <w:rFonts w:ascii="Bookman Old Style" w:hAnsi="Bookman Old Style"/>
          <w:color w:val="000000" w:themeColor="text1"/>
          <w:sz w:val="20"/>
          <w:szCs w:val="20"/>
        </w:rPr>
      </w:pPr>
      <w:r w:rsidRPr="00D51A94">
        <w:rPr>
          <w:rFonts w:ascii="Bookman Old Style" w:hAnsi="Bookman Old Style"/>
          <w:color w:val="000000" w:themeColor="text1"/>
          <w:sz w:val="20"/>
          <w:szCs w:val="20"/>
        </w:rPr>
        <w:t>Results and discussion</w:t>
      </w:r>
    </w:p>
    <w:p w14:paraId="3C968B25" w14:textId="4F6F6F9C" w:rsidR="00263669" w:rsidRPr="00D51A94" w:rsidRDefault="00263669" w:rsidP="00D51A94">
      <w:pPr>
        <w:pStyle w:val="Heading2"/>
        <w:spacing w:before="0" w:line="240" w:lineRule="auto"/>
        <w:ind w:left="578" w:hanging="578"/>
        <w:jc w:val="both"/>
        <w:rPr>
          <w:rFonts w:ascii="Bookman Old Style" w:hAnsi="Bookman Old Style"/>
          <w:color w:val="000000" w:themeColor="text1"/>
          <w:sz w:val="20"/>
          <w:szCs w:val="20"/>
        </w:rPr>
        <w:sectPr w:rsidR="00263669" w:rsidRPr="00D51A94" w:rsidSect="0075348A">
          <w:type w:val="continuous"/>
          <w:pgSz w:w="12240" w:h="15840"/>
          <w:pgMar w:top="1440" w:right="1440" w:bottom="1440" w:left="1440" w:header="720" w:footer="720" w:gutter="0"/>
          <w:cols w:space="720"/>
          <w:docGrid w:linePitch="360"/>
        </w:sectPr>
      </w:pPr>
      <w:r w:rsidRPr="00D51A94">
        <w:rPr>
          <w:rFonts w:ascii="Bookman Old Style" w:hAnsi="Bookman Old Style"/>
          <w:color w:val="000000" w:themeColor="text1"/>
          <w:sz w:val="20"/>
          <w:szCs w:val="20"/>
        </w:rPr>
        <w:t>Effect of dosage</w:t>
      </w:r>
    </w:p>
    <w:p w14:paraId="3BD6A455" w14:textId="13D1ED92" w:rsidR="006458F7" w:rsidRPr="004F6844" w:rsidRDefault="006458F7" w:rsidP="002C386F">
      <w:pPr>
        <w:spacing w:after="0" w:line="240" w:lineRule="auto"/>
        <w:jc w:val="both"/>
        <w:rPr>
          <w:rFonts w:ascii="Bookman Old Style" w:hAnsi="Bookman Old Style" w:cs="Times New Roman"/>
          <w:sz w:val="20"/>
          <w:szCs w:val="20"/>
        </w:rPr>
      </w:pPr>
      <w:r w:rsidRPr="004F6844">
        <w:rPr>
          <w:rFonts w:ascii="Bookman Old Style" w:hAnsi="Bookman Old Style" w:cs="Times New Roman"/>
          <w:sz w:val="20"/>
          <w:szCs w:val="20"/>
        </w:rPr>
        <w:t>The effect of dosage was conducted with an initial concentration of 10ppm, for 30minutes with a temperature of 298 K and a pH of 7.  The ranges of the adsorbents were within 0.1g to 0.020g for nitrate and phosphate; and 0.5g to 0.05g for cooper lead and cadmium.</w:t>
      </w:r>
    </w:p>
    <w:p w14:paraId="346B1BE2" w14:textId="6FBE871E" w:rsidR="006458F7" w:rsidRPr="004F6844" w:rsidRDefault="006458F7" w:rsidP="002C386F">
      <w:pPr>
        <w:spacing w:after="0" w:line="240" w:lineRule="auto"/>
        <w:jc w:val="both"/>
        <w:rPr>
          <w:rFonts w:ascii="Bookman Old Style" w:hAnsi="Bookman Old Style" w:cs="Times New Roman"/>
          <w:sz w:val="20"/>
          <w:szCs w:val="20"/>
        </w:rPr>
      </w:pPr>
      <w:r w:rsidRPr="004F6844">
        <w:rPr>
          <w:rFonts w:ascii="Bookman Old Style" w:hAnsi="Bookman Old Style" w:cs="Times New Roman"/>
          <w:sz w:val="20"/>
          <w:szCs w:val="20"/>
        </w:rPr>
        <w:t xml:space="preserve">Dosage is an essential factor in determining the number </w:t>
      </w:r>
      <w:r w:rsidR="00931034" w:rsidRPr="004F6844">
        <w:rPr>
          <w:rFonts w:ascii="Bookman Old Style" w:hAnsi="Bookman Old Style" w:cs="Times New Roman"/>
          <w:sz w:val="20"/>
          <w:szCs w:val="20"/>
        </w:rPr>
        <w:t xml:space="preserve">of sorption sites. From figure </w:t>
      </w:r>
      <w:r w:rsidRPr="004F6844">
        <w:rPr>
          <w:rFonts w:ascii="Bookman Old Style" w:hAnsi="Bookman Old Style" w:cs="Times New Roman"/>
          <w:sz w:val="20"/>
          <w:szCs w:val="20"/>
        </w:rPr>
        <w:t>1</w:t>
      </w:r>
      <w:r w:rsidR="00931034" w:rsidRPr="004F6844">
        <w:rPr>
          <w:rFonts w:ascii="Bookman Old Style" w:hAnsi="Bookman Old Style" w:cs="Times New Roman"/>
          <w:sz w:val="20"/>
          <w:szCs w:val="20"/>
        </w:rPr>
        <w:t xml:space="preserve"> to figure </w:t>
      </w:r>
      <w:r w:rsidRPr="004F6844">
        <w:rPr>
          <w:rFonts w:ascii="Bookman Old Style" w:hAnsi="Bookman Old Style" w:cs="Times New Roman"/>
          <w:sz w:val="20"/>
          <w:szCs w:val="20"/>
        </w:rPr>
        <w:t>14, the percentage removal of the adsorbate increased as the adsorbent dosage increased and declined as the adsorbent dosage decreased. This observation was similar to many other adsorption studies</w:t>
      </w:r>
      <w:r w:rsidR="00CD502B" w:rsidRPr="004F6844">
        <w:rPr>
          <w:rFonts w:ascii="Bookman Old Style" w:hAnsi="Bookman Old Style" w:cs="Times New Roman"/>
          <w:sz w:val="20"/>
          <w:szCs w:val="20"/>
          <w:vertAlign w:val="superscript"/>
        </w:rPr>
        <w:t>[20 &amp; 21]</w:t>
      </w:r>
      <w:r w:rsidRPr="004F6844">
        <w:rPr>
          <w:rFonts w:ascii="Bookman Old Style" w:hAnsi="Bookman Old Style" w:cs="Times New Roman"/>
          <w:sz w:val="20"/>
          <w:szCs w:val="20"/>
        </w:rPr>
        <w:t>. Therefore, more adsorbent means more sorption site, implying the presence more unbalance energy on the surface ready for intermolecular reactions</w:t>
      </w:r>
      <w:r w:rsidR="00CD502B" w:rsidRPr="004F6844">
        <w:rPr>
          <w:rFonts w:ascii="Bookman Old Style" w:hAnsi="Bookman Old Style" w:cs="Times New Roman"/>
          <w:sz w:val="20"/>
          <w:szCs w:val="20"/>
          <w:vertAlign w:val="superscript"/>
        </w:rPr>
        <w:t>[3]</w:t>
      </w:r>
      <w:r w:rsidRPr="004F6844">
        <w:rPr>
          <w:rFonts w:ascii="Bookman Old Style" w:hAnsi="Bookman Old Style" w:cs="Times New Roman"/>
          <w:sz w:val="20"/>
          <w:szCs w:val="20"/>
        </w:rPr>
        <w:t>.  The exception with this study was the removal of phosphate using kaolinite (S7). The adsorbent S7 was not able to remove phosphate. This is similar to the study done by</w:t>
      </w:r>
      <w:r w:rsidR="00CD502B" w:rsidRPr="004F6844">
        <w:rPr>
          <w:rFonts w:ascii="Bookman Old Style" w:hAnsi="Bookman Old Style" w:cs="Times New Roman"/>
          <w:sz w:val="20"/>
          <w:szCs w:val="20"/>
          <w:vertAlign w:val="superscript"/>
        </w:rPr>
        <w:t>[22]</w:t>
      </w:r>
      <w:r w:rsidRPr="004F6844">
        <w:rPr>
          <w:rFonts w:ascii="Bookman Old Style" w:hAnsi="Bookman Old Style" w:cs="Times New Roman"/>
          <w:sz w:val="20"/>
          <w:szCs w:val="20"/>
        </w:rPr>
        <w:t xml:space="preserve"> who found out that commercial kaolinite was not able to adsorb phosphate. </w:t>
      </w:r>
      <w:r w:rsidR="00CD502B" w:rsidRPr="004F6844">
        <w:rPr>
          <w:rFonts w:ascii="Bookman Old Style" w:hAnsi="Bookman Old Style" w:cs="Times New Roman"/>
          <w:sz w:val="20"/>
          <w:szCs w:val="20"/>
        </w:rPr>
        <w:t>Abosede et al.,</w:t>
      </w:r>
      <w:r w:rsidR="00CD502B" w:rsidRPr="004F6844">
        <w:rPr>
          <w:rFonts w:ascii="Bookman Old Style" w:hAnsi="Bookman Old Style" w:cs="Times New Roman"/>
          <w:sz w:val="20"/>
          <w:szCs w:val="20"/>
          <w:vertAlign w:val="superscript"/>
        </w:rPr>
        <w:t>[23]</w:t>
      </w:r>
      <w:r w:rsidRPr="004F6844">
        <w:rPr>
          <w:rFonts w:ascii="Bookman Old Style" w:hAnsi="Bookman Old Style" w:cs="Times New Roman"/>
          <w:sz w:val="20"/>
          <w:szCs w:val="20"/>
        </w:rPr>
        <w:t xml:space="preserve"> also concluded that adsorption of phosphate by kaolinite was not possible unless in an acidic medium.</w:t>
      </w:r>
    </w:p>
    <w:p w14:paraId="5524ED4B" w14:textId="77777777" w:rsidR="00263669" w:rsidRDefault="00263669" w:rsidP="002C386F">
      <w:pPr>
        <w:spacing w:before="240" w:line="240" w:lineRule="auto"/>
        <w:rPr>
          <w:rFonts w:ascii="Bookman Old Style" w:hAnsi="Bookman Old Style" w:cs="Times New Roman"/>
          <w:sz w:val="20"/>
          <w:szCs w:val="20"/>
        </w:rPr>
        <w:sectPr w:rsidR="00263669" w:rsidSect="0075348A">
          <w:type w:val="continuous"/>
          <w:pgSz w:w="12240" w:h="15840"/>
          <w:pgMar w:top="1440" w:right="1440" w:bottom="1440" w:left="1440" w:header="720" w:footer="720" w:gutter="0"/>
          <w:cols w:space="720"/>
          <w:docGrid w:linePitch="360"/>
        </w:sectPr>
      </w:pPr>
    </w:p>
    <w:p w14:paraId="0C198020" w14:textId="77B0CFE8" w:rsidR="006458F7" w:rsidRPr="004F6844" w:rsidRDefault="006458F7" w:rsidP="002C386F">
      <w:pPr>
        <w:spacing w:before="240" w:line="240" w:lineRule="auto"/>
        <w:rPr>
          <w:rFonts w:ascii="Bookman Old Style" w:hAnsi="Bookman Old Style" w:cs="Times New Roman"/>
          <w:sz w:val="20"/>
          <w:szCs w:val="20"/>
        </w:rPr>
      </w:pPr>
      <w:r w:rsidRPr="004F6844">
        <w:rPr>
          <w:rFonts w:ascii="Bookman Old Style" w:hAnsi="Bookman Old Style"/>
          <w:noProof/>
          <w:sz w:val="20"/>
          <w:szCs w:val="20"/>
          <w:lang w:val="en-US"/>
        </w:rPr>
        <w:lastRenderedPageBreak/>
        <w:drawing>
          <wp:inline distT="0" distB="0" distL="0" distR="0" wp14:anchorId="0110EB48" wp14:editId="02AA2A31">
            <wp:extent cx="2578100" cy="2070100"/>
            <wp:effectExtent l="0" t="0" r="12700" b="63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95508FE" w14:textId="3402DBD7" w:rsidR="006458F7" w:rsidRPr="004F6844" w:rsidRDefault="006458F7" w:rsidP="002C386F">
      <w:pPr>
        <w:pStyle w:val="Caption"/>
        <w:rPr>
          <w:rFonts w:ascii="Bookman Old Style" w:hAnsi="Bookman Old Style" w:cs="Times New Roman"/>
          <w:i w:val="0"/>
          <w:color w:val="auto"/>
          <w:sz w:val="20"/>
          <w:szCs w:val="20"/>
          <w:vertAlign w:val="superscript"/>
        </w:rPr>
      </w:pPr>
      <w:bookmarkStart w:id="3" w:name="_Toc86554880"/>
      <w:bookmarkStart w:id="4" w:name="_Toc87205444"/>
      <w:bookmarkStart w:id="5" w:name="_Toc104977849"/>
      <w:r w:rsidRPr="004F6844">
        <w:rPr>
          <w:rFonts w:ascii="Bookman Old Style" w:hAnsi="Bookman Old Style" w:cs="Times New Roman"/>
          <w:b/>
          <w:i w:val="0"/>
          <w:color w:val="000000" w:themeColor="text1"/>
          <w:sz w:val="20"/>
          <w:szCs w:val="20"/>
        </w:rPr>
        <w:t xml:space="preserve">Figure </w:t>
      </w:r>
      <w:r w:rsidR="00CB7915">
        <w:rPr>
          <w:rFonts w:ascii="Bookman Old Style" w:hAnsi="Bookman Old Style" w:cs="Times New Roman"/>
          <w:b/>
          <w:i w:val="0"/>
          <w:color w:val="000000" w:themeColor="text1"/>
          <w:sz w:val="20"/>
          <w:szCs w:val="20"/>
        </w:rPr>
        <w:t>1</w:t>
      </w:r>
      <w:r w:rsidRPr="004F6844">
        <w:rPr>
          <w:rFonts w:ascii="Bookman Old Style" w:hAnsi="Bookman Old Style" w:cs="Times New Roman"/>
          <w:b/>
          <w:i w:val="0"/>
          <w:color w:val="000000" w:themeColor="text1"/>
          <w:sz w:val="20"/>
          <w:szCs w:val="20"/>
        </w:rPr>
        <w:t xml:space="preserve"> </w:t>
      </w:r>
      <w:r w:rsidRPr="004F6844">
        <w:rPr>
          <w:rFonts w:ascii="Bookman Old Style" w:hAnsi="Bookman Old Style" w:cs="Times New Roman"/>
          <w:i w:val="0"/>
          <w:color w:val="auto"/>
          <w:sz w:val="20"/>
          <w:szCs w:val="20"/>
        </w:rPr>
        <w:t>Effect of adsorbents dosage on the percentage removal of NO</w:t>
      </w:r>
      <w:r w:rsidRPr="004F6844">
        <w:rPr>
          <w:rFonts w:ascii="Bookman Old Style" w:hAnsi="Bookman Old Style" w:cs="Times New Roman"/>
          <w:i w:val="0"/>
          <w:color w:val="auto"/>
          <w:sz w:val="20"/>
          <w:szCs w:val="20"/>
          <w:vertAlign w:val="subscript"/>
        </w:rPr>
        <w:t>3</w:t>
      </w:r>
      <w:r w:rsidRPr="004F6844">
        <w:rPr>
          <w:rFonts w:ascii="Bookman Old Style" w:hAnsi="Bookman Old Style" w:cs="Times New Roman"/>
          <w:i w:val="0"/>
          <w:color w:val="auto"/>
          <w:sz w:val="20"/>
          <w:szCs w:val="20"/>
          <w:vertAlign w:val="superscript"/>
        </w:rPr>
        <w:t>-</w:t>
      </w:r>
      <w:bookmarkEnd w:id="3"/>
      <w:bookmarkEnd w:id="4"/>
      <w:bookmarkEnd w:id="5"/>
    </w:p>
    <w:p w14:paraId="5E46C90B" w14:textId="77777777" w:rsidR="006458F7" w:rsidRPr="004F6844" w:rsidRDefault="006458F7" w:rsidP="002C386F">
      <w:pPr>
        <w:spacing w:before="240" w:line="240" w:lineRule="auto"/>
        <w:rPr>
          <w:rFonts w:ascii="Bookman Old Style" w:hAnsi="Bookman Old Style" w:cs="Times New Roman"/>
          <w:sz w:val="20"/>
          <w:szCs w:val="20"/>
        </w:rPr>
      </w:pPr>
      <w:r w:rsidRPr="004F6844">
        <w:rPr>
          <w:rFonts w:ascii="Bookman Old Style" w:hAnsi="Bookman Old Style"/>
          <w:noProof/>
          <w:sz w:val="20"/>
          <w:szCs w:val="20"/>
          <w:lang w:val="en-US"/>
        </w:rPr>
        <w:drawing>
          <wp:inline distT="0" distB="0" distL="0" distR="0" wp14:anchorId="17ACC868" wp14:editId="2D4D347F">
            <wp:extent cx="2597150" cy="1860550"/>
            <wp:effectExtent l="0" t="0" r="12700" b="63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C9BA3DB" w14:textId="0740E093" w:rsidR="006458F7" w:rsidRPr="004F6844" w:rsidRDefault="006458F7" w:rsidP="002C386F">
      <w:pPr>
        <w:pStyle w:val="Caption"/>
        <w:rPr>
          <w:rFonts w:ascii="Bookman Old Style" w:hAnsi="Bookman Old Style" w:cs="Times New Roman"/>
          <w:i w:val="0"/>
          <w:color w:val="auto"/>
          <w:sz w:val="20"/>
          <w:szCs w:val="20"/>
          <w:vertAlign w:val="superscript"/>
        </w:rPr>
      </w:pPr>
      <w:bookmarkStart w:id="6" w:name="_Toc86554881"/>
      <w:bookmarkStart w:id="7" w:name="_Toc87205445"/>
      <w:bookmarkStart w:id="8" w:name="_Toc104977850"/>
      <w:r w:rsidRPr="004F6844">
        <w:rPr>
          <w:rFonts w:ascii="Bookman Old Style" w:hAnsi="Bookman Old Style" w:cs="Times New Roman"/>
          <w:b/>
          <w:i w:val="0"/>
          <w:color w:val="000000" w:themeColor="text1"/>
          <w:sz w:val="20"/>
          <w:szCs w:val="20"/>
        </w:rPr>
        <w:t xml:space="preserve">Figure </w:t>
      </w:r>
      <w:r w:rsidR="005C2EA5">
        <w:rPr>
          <w:rFonts w:ascii="Bookman Old Style" w:hAnsi="Bookman Old Style" w:cs="Times New Roman"/>
          <w:b/>
          <w:i w:val="0"/>
          <w:color w:val="000000" w:themeColor="text1"/>
          <w:sz w:val="20"/>
          <w:szCs w:val="20"/>
        </w:rPr>
        <w:t>2</w:t>
      </w:r>
      <w:r w:rsidRPr="004F6844">
        <w:rPr>
          <w:rFonts w:ascii="Bookman Old Style" w:hAnsi="Bookman Old Style" w:cs="Times New Roman"/>
          <w:i w:val="0"/>
          <w:color w:val="auto"/>
          <w:sz w:val="20"/>
          <w:szCs w:val="20"/>
        </w:rPr>
        <w:t xml:space="preserve"> Effect of adsorbents dosage on the percentage removal of PO</w:t>
      </w:r>
      <w:r w:rsidRPr="004F6844">
        <w:rPr>
          <w:rFonts w:ascii="Bookman Old Style" w:hAnsi="Bookman Old Style" w:cs="Times New Roman"/>
          <w:i w:val="0"/>
          <w:color w:val="auto"/>
          <w:sz w:val="20"/>
          <w:szCs w:val="20"/>
          <w:vertAlign w:val="subscript"/>
        </w:rPr>
        <w:t>4</w:t>
      </w:r>
      <w:r w:rsidRPr="004F6844">
        <w:rPr>
          <w:rFonts w:ascii="Bookman Old Style" w:hAnsi="Bookman Old Style" w:cs="Times New Roman"/>
          <w:i w:val="0"/>
          <w:color w:val="auto"/>
          <w:sz w:val="20"/>
          <w:szCs w:val="20"/>
          <w:vertAlign w:val="superscript"/>
        </w:rPr>
        <w:t>3-</w:t>
      </w:r>
      <w:bookmarkEnd w:id="6"/>
      <w:bookmarkEnd w:id="7"/>
      <w:bookmarkEnd w:id="8"/>
    </w:p>
    <w:p w14:paraId="59E9E1DF" w14:textId="77777777" w:rsidR="006458F7" w:rsidRPr="004F6844" w:rsidRDefault="006458F7" w:rsidP="002C386F">
      <w:pPr>
        <w:spacing w:before="240" w:line="240" w:lineRule="auto"/>
        <w:rPr>
          <w:rFonts w:ascii="Bookman Old Style" w:hAnsi="Bookman Old Style" w:cs="Times New Roman"/>
          <w:sz w:val="20"/>
          <w:szCs w:val="20"/>
        </w:rPr>
      </w:pPr>
      <w:r w:rsidRPr="004F6844">
        <w:rPr>
          <w:rFonts w:ascii="Bookman Old Style" w:hAnsi="Bookman Old Style"/>
          <w:noProof/>
          <w:sz w:val="20"/>
          <w:szCs w:val="20"/>
          <w:lang w:val="en-US"/>
        </w:rPr>
        <w:drawing>
          <wp:inline distT="0" distB="0" distL="0" distR="0" wp14:anchorId="0873D9D5" wp14:editId="2C8C4E1A">
            <wp:extent cx="2698750" cy="1422400"/>
            <wp:effectExtent l="0" t="0" r="6350" b="63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C8B15A1" w14:textId="562256A0" w:rsidR="006458F7" w:rsidRPr="004F6844" w:rsidRDefault="006458F7" w:rsidP="002C386F">
      <w:pPr>
        <w:pStyle w:val="Caption"/>
        <w:rPr>
          <w:rFonts w:ascii="Bookman Old Style" w:hAnsi="Bookman Old Style" w:cs="Times New Roman"/>
          <w:i w:val="0"/>
          <w:color w:val="auto"/>
          <w:sz w:val="20"/>
          <w:szCs w:val="20"/>
          <w:vertAlign w:val="superscript"/>
        </w:rPr>
      </w:pPr>
      <w:bookmarkStart w:id="9" w:name="_Toc86554882"/>
      <w:bookmarkStart w:id="10" w:name="_Toc87205446"/>
      <w:bookmarkStart w:id="11" w:name="_Toc104977851"/>
      <w:r w:rsidRPr="004F6844">
        <w:rPr>
          <w:rFonts w:ascii="Bookman Old Style" w:hAnsi="Bookman Old Style" w:cs="Times New Roman"/>
          <w:b/>
          <w:i w:val="0"/>
          <w:color w:val="000000" w:themeColor="text1"/>
          <w:sz w:val="20"/>
          <w:szCs w:val="20"/>
        </w:rPr>
        <w:t xml:space="preserve">Figure </w:t>
      </w:r>
      <w:r w:rsidR="005C2EA5">
        <w:rPr>
          <w:rFonts w:ascii="Bookman Old Style" w:hAnsi="Bookman Old Style" w:cs="Times New Roman"/>
          <w:b/>
          <w:i w:val="0"/>
          <w:color w:val="000000" w:themeColor="text1"/>
          <w:sz w:val="20"/>
          <w:szCs w:val="20"/>
        </w:rPr>
        <w:t>3</w:t>
      </w:r>
      <w:r w:rsidRPr="004F6844">
        <w:rPr>
          <w:rFonts w:ascii="Bookman Old Style" w:hAnsi="Bookman Old Style"/>
          <w:color w:val="000000" w:themeColor="text1"/>
          <w:sz w:val="20"/>
          <w:szCs w:val="20"/>
        </w:rPr>
        <w:t xml:space="preserve"> </w:t>
      </w:r>
      <w:r w:rsidRPr="004F6844">
        <w:rPr>
          <w:rFonts w:ascii="Bookman Old Style" w:hAnsi="Bookman Old Style" w:cs="Times New Roman"/>
          <w:i w:val="0"/>
          <w:color w:val="auto"/>
          <w:sz w:val="20"/>
          <w:szCs w:val="20"/>
        </w:rPr>
        <w:t>Effect of adsorbents dosage on the percentage removal of Pb</w:t>
      </w:r>
      <w:r w:rsidRPr="004F6844">
        <w:rPr>
          <w:rFonts w:ascii="Bookman Old Style" w:hAnsi="Bookman Old Style" w:cs="Times New Roman"/>
          <w:i w:val="0"/>
          <w:color w:val="auto"/>
          <w:sz w:val="20"/>
          <w:szCs w:val="20"/>
          <w:vertAlign w:val="superscript"/>
        </w:rPr>
        <w:t>2+</w:t>
      </w:r>
      <w:bookmarkEnd w:id="9"/>
      <w:bookmarkEnd w:id="10"/>
      <w:bookmarkEnd w:id="11"/>
    </w:p>
    <w:p w14:paraId="7EC9B7B9" w14:textId="77777777" w:rsidR="006458F7" w:rsidRPr="004F6844" w:rsidRDefault="006458F7" w:rsidP="002C386F">
      <w:pPr>
        <w:pStyle w:val="Caption"/>
        <w:rPr>
          <w:rFonts w:ascii="Bookman Old Style" w:hAnsi="Bookman Old Style"/>
          <w:sz w:val="20"/>
          <w:szCs w:val="20"/>
        </w:rPr>
      </w:pPr>
      <w:r w:rsidRPr="004F6844">
        <w:rPr>
          <w:rFonts w:ascii="Bookman Old Style" w:hAnsi="Bookman Old Style"/>
          <w:noProof/>
          <w:sz w:val="20"/>
          <w:szCs w:val="20"/>
        </w:rPr>
        <w:drawing>
          <wp:inline distT="0" distB="0" distL="0" distR="0" wp14:anchorId="28E7E26B" wp14:editId="7BBEF694">
            <wp:extent cx="2876550" cy="158115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B9A2653" w14:textId="7E62127C" w:rsidR="006458F7" w:rsidRPr="004F6844" w:rsidRDefault="006458F7" w:rsidP="002C386F">
      <w:pPr>
        <w:pStyle w:val="Caption"/>
        <w:rPr>
          <w:rFonts w:ascii="Bookman Old Style" w:hAnsi="Bookman Old Style" w:cs="Times New Roman"/>
          <w:i w:val="0"/>
          <w:color w:val="auto"/>
          <w:sz w:val="20"/>
          <w:szCs w:val="20"/>
          <w:vertAlign w:val="superscript"/>
        </w:rPr>
      </w:pPr>
      <w:bookmarkStart w:id="12" w:name="_Toc86554883"/>
      <w:bookmarkStart w:id="13" w:name="_Toc87205447"/>
      <w:bookmarkStart w:id="14" w:name="_Toc104977852"/>
      <w:r w:rsidRPr="004F6844">
        <w:rPr>
          <w:rFonts w:ascii="Bookman Old Style" w:hAnsi="Bookman Old Style" w:cs="Times New Roman"/>
          <w:b/>
          <w:i w:val="0"/>
          <w:color w:val="000000" w:themeColor="text1"/>
          <w:sz w:val="20"/>
          <w:szCs w:val="20"/>
        </w:rPr>
        <w:lastRenderedPageBreak/>
        <w:t xml:space="preserve">Figure 4 </w:t>
      </w:r>
      <w:r w:rsidRPr="004F6844">
        <w:rPr>
          <w:rFonts w:ascii="Bookman Old Style" w:hAnsi="Bookman Old Style" w:cs="Times New Roman"/>
          <w:i w:val="0"/>
          <w:color w:val="auto"/>
          <w:sz w:val="20"/>
          <w:szCs w:val="20"/>
        </w:rPr>
        <w:t>Effect of adsorbents dosage on the percentage removal of Cu</w:t>
      </w:r>
      <w:r w:rsidRPr="004F6844">
        <w:rPr>
          <w:rFonts w:ascii="Bookman Old Style" w:hAnsi="Bookman Old Style" w:cs="Times New Roman"/>
          <w:i w:val="0"/>
          <w:color w:val="auto"/>
          <w:sz w:val="20"/>
          <w:szCs w:val="20"/>
          <w:vertAlign w:val="superscript"/>
        </w:rPr>
        <w:t>2+</w:t>
      </w:r>
      <w:bookmarkEnd w:id="12"/>
      <w:bookmarkEnd w:id="13"/>
      <w:bookmarkEnd w:id="14"/>
    </w:p>
    <w:p w14:paraId="03BD0A35" w14:textId="77777777" w:rsidR="006458F7" w:rsidRPr="004F6844" w:rsidRDefault="006458F7" w:rsidP="002C386F">
      <w:pPr>
        <w:spacing w:before="240" w:line="240" w:lineRule="auto"/>
        <w:rPr>
          <w:rFonts w:ascii="Bookman Old Style" w:hAnsi="Bookman Old Style" w:cs="Times New Roman"/>
          <w:sz w:val="20"/>
          <w:szCs w:val="20"/>
        </w:rPr>
      </w:pPr>
      <w:r w:rsidRPr="004F6844">
        <w:rPr>
          <w:rFonts w:ascii="Bookman Old Style" w:hAnsi="Bookman Old Style"/>
          <w:noProof/>
          <w:sz w:val="20"/>
          <w:szCs w:val="20"/>
          <w:lang w:val="en-US"/>
        </w:rPr>
        <w:drawing>
          <wp:inline distT="0" distB="0" distL="0" distR="0" wp14:anchorId="26CD00F6" wp14:editId="5F17C329">
            <wp:extent cx="2698750" cy="1962150"/>
            <wp:effectExtent l="0" t="0" r="635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63D54BF" w14:textId="364DE81E" w:rsidR="006458F7" w:rsidRDefault="006458F7" w:rsidP="00D21247">
      <w:pPr>
        <w:pStyle w:val="Caption"/>
        <w:spacing w:after="0"/>
        <w:jc w:val="both"/>
        <w:rPr>
          <w:rFonts w:ascii="Bookman Old Style" w:hAnsi="Bookman Old Style" w:cs="Times New Roman"/>
          <w:i w:val="0"/>
          <w:color w:val="auto"/>
          <w:sz w:val="20"/>
          <w:szCs w:val="20"/>
          <w:vertAlign w:val="superscript"/>
        </w:rPr>
      </w:pPr>
      <w:bookmarkStart w:id="15" w:name="_Toc86554884"/>
      <w:bookmarkStart w:id="16" w:name="_Toc87205448"/>
      <w:bookmarkStart w:id="17" w:name="_Toc104977853"/>
      <w:r w:rsidRPr="004F6844">
        <w:rPr>
          <w:rFonts w:ascii="Bookman Old Style" w:hAnsi="Bookman Old Style" w:cs="Times New Roman"/>
          <w:b/>
          <w:i w:val="0"/>
          <w:color w:val="000000" w:themeColor="text1"/>
          <w:sz w:val="20"/>
          <w:szCs w:val="20"/>
        </w:rPr>
        <w:t xml:space="preserve">Figure </w:t>
      </w:r>
      <w:r w:rsidR="005C2EA5">
        <w:rPr>
          <w:rFonts w:ascii="Bookman Old Style" w:hAnsi="Bookman Old Style" w:cs="Times New Roman"/>
          <w:b/>
          <w:i w:val="0"/>
          <w:color w:val="000000" w:themeColor="text1"/>
          <w:sz w:val="20"/>
          <w:szCs w:val="20"/>
        </w:rPr>
        <w:t>5</w:t>
      </w:r>
      <w:r w:rsidRPr="004F6844">
        <w:rPr>
          <w:rFonts w:ascii="Bookman Old Style" w:hAnsi="Bookman Old Style"/>
          <w:sz w:val="20"/>
          <w:szCs w:val="20"/>
        </w:rPr>
        <w:t xml:space="preserve"> </w:t>
      </w:r>
      <w:r w:rsidRPr="004F6844">
        <w:rPr>
          <w:rFonts w:ascii="Bookman Old Style" w:hAnsi="Bookman Old Style" w:cs="Times New Roman"/>
          <w:i w:val="0"/>
          <w:color w:val="auto"/>
          <w:sz w:val="20"/>
          <w:szCs w:val="20"/>
        </w:rPr>
        <w:t>Effect of adsorbents dosage on the percentage removal of Cd</w:t>
      </w:r>
      <w:r w:rsidRPr="004F6844">
        <w:rPr>
          <w:rFonts w:ascii="Bookman Old Style" w:hAnsi="Bookman Old Style" w:cs="Times New Roman"/>
          <w:i w:val="0"/>
          <w:color w:val="auto"/>
          <w:sz w:val="20"/>
          <w:szCs w:val="20"/>
          <w:vertAlign w:val="superscript"/>
        </w:rPr>
        <w:t>2+</w:t>
      </w:r>
      <w:bookmarkEnd w:id="15"/>
      <w:bookmarkEnd w:id="16"/>
      <w:bookmarkEnd w:id="17"/>
    </w:p>
    <w:p w14:paraId="23923BDD" w14:textId="77777777" w:rsidR="00D21247" w:rsidRPr="00D21247" w:rsidRDefault="00D21247" w:rsidP="00D21247">
      <w:pPr>
        <w:spacing w:after="0" w:line="240" w:lineRule="auto"/>
        <w:jc w:val="both"/>
        <w:rPr>
          <w:lang w:val="en-US"/>
        </w:rPr>
      </w:pPr>
    </w:p>
    <w:p w14:paraId="731D7E40" w14:textId="77777777" w:rsidR="006458F7" w:rsidRPr="00D51A94" w:rsidRDefault="006458F7" w:rsidP="00D21247">
      <w:pPr>
        <w:pStyle w:val="Heading2"/>
        <w:spacing w:before="0" w:line="240" w:lineRule="auto"/>
        <w:jc w:val="both"/>
        <w:rPr>
          <w:rFonts w:ascii="Bookman Old Style" w:hAnsi="Bookman Old Style"/>
          <w:color w:val="000000" w:themeColor="text1"/>
          <w:sz w:val="20"/>
          <w:szCs w:val="20"/>
        </w:rPr>
      </w:pPr>
      <w:bookmarkStart w:id="18" w:name="_Toc71527138"/>
      <w:bookmarkStart w:id="19" w:name="_Toc72138486"/>
      <w:bookmarkStart w:id="20" w:name="_Toc72306495"/>
      <w:bookmarkStart w:id="21" w:name="_Toc72310717"/>
      <w:bookmarkStart w:id="22" w:name="_Toc72310838"/>
      <w:bookmarkStart w:id="23" w:name="_Toc74024934"/>
      <w:bookmarkStart w:id="24" w:name="_Toc87205384"/>
      <w:bookmarkStart w:id="25" w:name="_Toc105786439"/>
      <w:r w:rsidRPr="00D51A94">
        <w:rPr>
          <w:rFonts w:ascii="Bookman Old Style" w:hAnsi="Bookman Old Style"/>
          <w:color w:val="000000" w:themeColor="text1"/>
          <w:sz w:val="20"/>
          <w:szCs w:val="20"/>
        </w:rPr>
        <w:t>Effect of contact time</w:t>
      </w:r>
      <w:bookmarkEnd w:id="18"/>
      <w:bookmarkEnd w:id="19"/>
      <w:bookmarkEnd w:id="20"/>
      <w:bookmarkEnd w:id="21"/>
      <w:bookmarkEnd w:id="22"/>
      <w:bookmarkEnd w:id="23"/>
      <w:bookmarkEnd w:id="24"/>
      <w:bookmarkEnd w:id="25"/>
    </w:p>
    <w:p w14:paraId="4F16EC94" w14:textId="77777777" w:rsidR="00263669" w:rsidRDefault="00263669" w:rsidP="00D21247">
      <w:pPr>
        <w:spacing w:after="0" w:line="240" w:lineRule="auto"/>
        <w:jc w:val="both"/>
        <w:rPr>
          <w:rFonts w:ascii="Bookman Old Style" w:hAnsi="Bookman Old Style" w:cs="Times New Roman"/>
          <w:sz w:val="20"/>
          <w:szCs w:val="20"/>
        </w:rPr>
        <w:sectPr w:rsidR="00263669" w:rsidSect="0075348A">
          <w:type w:val="continuous"/>
          <w:pgSz w:w="12240" w:h="15840"/>
          <w:pgMar w:top="1440" w:right="1440" w:bottom="1440" w:left="1440" w:header="720" w:footer="720" w:gutter="0"/>
          <w:cols w:space="720"/>
          <w:docGrid w:linePitch="360"/>
        </w:sectPr>
      </w:pPr>
    </w:p>
    <w:p w14:paraId="4D814B2B" w14:textId="01199FDF" w:rsidR="006458F7" w:rsidRPr="004F6844" w:rsidRDefault="006458F7" w:rsidP="00D21247">
      <w:pPr>
        <w:spacing w:after="0" w:line="240" w:lineRule="auto"/>
        <w:jc w:val="both"/>
        <w:rPr>
          <w:rFonts w:ascii="Bookman Old Style" w:hAnsi="Bookman Old Style" w:cs="Times New Roman"/>
          <w:sz w:val="20"/>
          <w:szCs w:val="20"/>
        </w:rPr>
      </w:pPr>
      <w:r w:rsidRPr="004F6844">
        <w:rPr>
          <w:rFonts w:ascii="Bookman Old Style" w:hAnsi="Bookman Old Style" w:cs="Times New Roman"/>
          <w:sz w:val="20"/>
          <w:szCs w:val="20"/>
        </w:rPr>
        <w:t>This parameter was studied at room temperature with a neutral pH, a concentration of 10ppm and the contact time ranging within 1min to 60 min. For nitrate and phosphate, 0.10g of absorbent was used and 0.20g for copper, lead and cadmium. This is an important parameter in the determination of the adsorption equilibrium time and adsorption kinetics.</w:t>
      </w:r>
    </w:p>
    <w:p w14:paraId="742D9C71" w14:textId="6BD77557" w:rsidR="006458F7" w:rsidRPr="004F6844" w:rsidRDefault="006458F7" w:rsidP="002C386F">
      <w:pPr>
        <w:spacing w:line="240" w:lineRule="auto"/>
        <w:rPr>
          <w:rFonts w:ascii="Bookman Old Style" w:hAnsi="Bookman Old Style" w:cs="Times New Roman"/>
          <w:sz w:val="20"/>
          <w:szCs w:val="20"/>
        </w:rPr>
      </w:pPr>
      <w:r w:rsidRPr="004F6844">
        <w:rPr>
          <w:rFonts w:ascii="Bookman Old Style" w:hAnsi="Bookman Old Style" w:cs="Times New Roman"/>
          <w:sz w:val="20"/>
          <w:szCs w:val="20"/>
        </w:rPr>
        <w:t>According to several studies</w:t>
      </w:r>
      <w:r w:rsidR="00CD502B" w:rsidRPr="004F6844">
        <w:rPr>
          <w:rFonts w:ascii="Bookman Old Style" w:hAnsi="Bookman Old Style" w:cs="Times New Roman"/>
          <w:sz w:val="20"/>
          <w:szCs w:val="20"/>
          <w:vertAlign w:val="superscript"/>
        </w:rPr>
        <w:t>[24 &amp; 25]</w:t>
      </w:r>
      <w:r w:rsidRPr="004F6844">
        <w:rPr>
          <w:rFonts w:ascii="Bookman Old Style" w:hAnsi="Bookman Old Style" w:cs="Times New Roman"/>
          <w:sz w:val="20"/>
          <w:szCs w:val="20"/>
        </w:rPr>
        <w:t xml:space="preserve">, the effect of contact time is observed with a rapid increase of percentage removal of the adsorbate in the first 10 to 20 minutes. Similarly, in this study it was observed from figure </w:t>
      </w:r>
      <w:r w:rsidR="005B60D3">
        <w:rPr>
          <w:rFonts w:ascii="Bookman Old Style" w:hAnsi="Bookman Old Style" w:cs="Times New Roman"/>
          <w:sz w:val="20"/>
          <w:szCs w:val="20"/>
        </w:rPr>
        <w:t>4</w:t>
      </w:r>
      <w:r w:rsidRPr="004F6844">
        <w:rPr>
          <w:rFonts w:ascii="Bookman Old Style" w:hAnsi="Bookman Old Style" w:cs="Times New Roman"/>
          <w:sz w:val="20"/>
          <w:szCs w:val="20"/>
        </w:rPr>
        <w:t xml:space="preserve"> to figure </w:t>
      </w:r>
      <w:r w:rsidR="005B60D3">
        <w:rPr>
          <w:rFonts w:ascii="Bookman Old Style" w:hAnsi="Bookman Old Style" w:cs="Times New Roman"/>
          <w:sz w:val="20"/>
          <w:szCs w:val="20"/>
        </w:rPr>
        <w:t>7</w:t>
      </w:r>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that</w:t>
      </w:r>
      <w:proofErr w:type="spellEnd"/>
      <w:r w:rsidRPr="004F6844">
        <w:rPr>
          <w:rFonts w:ascii="Bookman Old Style" w:hAnsi="Bookman Old Style" w:cs="Times New Roman"/>
          <w:sz w:val="20"/>
          <w:szCs w:val="20"/>
        </w:rPr>
        <w:t xml:space="preserve"> 99%, 96%, 96%, 75% and 100% respectively of nitrate, phosphate, lead, copper and cadmium were removed between 1 and 10 min. A very small change was observed from 10min to 20min and a very negligible change from 20 to 60min. Thus, the adsorption equilibrium was achieved at around 30min of contact time.</w:t>
      </w:r>
    </w:p>
    <w:p w14:paraId="413D244D" w14:textId="77777777" w:rsidR="00263669" w:rsidRDefault="00263669" w:rsidP="00931034">
      <w:pPr>
        <w:pStyle w:val="Caption"/>
        <w:rPr>
          <w:rFonts w:ascii="Bookman Old Style" w:hAnsi="Bookman Old Style" w:cs="Times New Roman"/>
          <w:i w:val="0"/>
          <w:color w:val="000000" w:themeColor="text1"/>
          <w:sz w:val="20"/>
          <w:szCs w:val="20"/>
        </w:rPr>
        <w:sectPr w:rsidR="00263669" w:rsidSect="0075348A">
          <w:type w:val="continuous"/>
          <w:pgSz w:w="12240" w:h="15840"/>
          <w:pgMar w:top="1440" w:right="1440" w:bottom="1440" w:left="1440" w:header="720" w:footer="720" w:gutter="0"/>
          <w:cols w:space="720"/>
          <w:docGrid w:linePitch="360"/>
        </w:sectPr>
      </w:pPr>
    </w:p>
    <w:p w14:paraId="14D78381" w14:textId="77777777" w:rsidR="006458F7" w:rsidRPr="004F6844" w:rsidRDefault="006458F7" w:rsidP="002C386F">
      <w:pPr>
        <w:spacing w:line="240" w:lineRule="auto"/>
        <w:rPr>
          <w:rFonts w:ascii="Bookman Old Style" w:hAnsi="Bookman Old Style" w:cs="Times New Roman"/>
          <w:sz w:val="20"/>
          <w:szCs w:val="20"/>
        </w:rPr>
      </w:pPr>
      <w:r w:rsidRPr="004F6844">
        <w:rPr>
          <w:rFonts w:ascii="Bookman Old Style" w:hAnsi="Bookman Old Style"/>
          <w:noProof/>
          <w:sz w:val="20"/>
          <w:szCs w:val="20"/>
          <w:lang w:val="en-US"/>
        </w:rPr>
        <w:drawing>
          <wp:inline distT="0" distB="0" distL="0" distR="0" wp14:anchorId="2C1B2B3F" wp14:editId="6D0F082F">
            <wp:extent cx="2679700" cy="2019300"/>
            <wp:effectExtent l="0" t="0" r="635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ADCA76F" w14:textId="4A8B73B7" w:rsidR="006458F7" w:rsidRPr="004F6844" w:rsidRDefault="006458F7" w:rsidP="002C386F">
      <w:pPr>
        <w:pStyle w:val="Caption"/>
        <w:rPr>
          <w:rFonts w:ascii="Bookman Old Style" w:hAnsi="Bookman Old Style" w:cs="Times New Roman"/>
          <w:i w:val="0"/>
          <w:color w:val="auto"/>
          <w:sz w:val="20"/>
          <w:szCs w:val="20"/>
          <w:vertAlign w:val="superscript"/>
        </w:rPr>
      </w:pPr>
      <w:bookmarkStart w:id="26" w:name="_Toc86554885"/>
      <w:bookmarkStart w:id="27" w:name="_Toc87205449"/>
      <w:bookmarkStart w:id="28" w:name="_Toc104977854"/>
      <w:r w:rsidRPr="004F6844">
        <w:rPr>
          <w:rFonts w:ascii="Bookman Old Style" w:hAnsi="Bookman Old Style" w:cs="Times New Roman"/>
          <w:b/>
          <w:i w:val="0"/>
          <w:color w:val="000000" w:themeColor="text1"/>
          <w:sz w:val="20"/>
          <w:szCs w:val="20"/>
        </w:rPr>
        <w:t xml:space="preserve">Figure </w:t>
      </w:r>
      <w:r w:rsidR="005B60D3">
        <w:rPr>
          <w:rFonts w:ascii="Bookman Old Style" w:hAnsi="Bookman Old Style" w:cs="Times New Roman"/>
          <w:b/>
          <w:i w:val="0"/>
          <w:color w:val="000000" w:themeColor="text1"/>
          <w:sz w:val="20"/>
          <w:szCs w:val="20"/>
        </w:rPr>
        <w:t>6</w:t>
      </w:r>
      <w:r w:rsidRPr="004F6844">
        <w:rPr>
          <w:rFonts w:ascii="Bookman Old Style" w:hAnsi="Bookman Old Style" w:cs="Times New Roman"/>
          <w:b/>
          <w:i w:val="0"/>
          <w:color w:val="auto"/>
          <w:sz w:val="20"/>
          <w:szCs w:val="20"/>
        </w:rPr>
        <w:t xml:space="preserve"> </w:t>
      </w:r>
      <w:r w:rsidRPr="004F6844">
        <w:rPr>
          <w:rFonts w:ascii="Bookman Old Style" w:hAnsi="Bookman Old Style" w:cs="Times New Roman"/>
          <w:i w:val="0"/>
          <w:color w:val="auto"/>
          <w:sz w:val="20"/>
          <w:szCs w:val="20"/>
        </w:rPr>
        <w:t>Effect of contact time on the percentage removal of NO</w:t>
      </w:r>
      <w:r w:rsidRPr="004F6844">
        <w:rPr>
          <w:rFonts w:ascii="Bookman Old Style" w:hAnsi="Bookman Old Style" w:cs="Times New Roman"/>
          <w:i w:val="0"/>
          <w:color w:val="auto"/>
          <w:sz w:val="20"/>
          <w:szCs w:val="20"/>
          <w:vertAlign w:val="subscript"/>
        </w:rPr>
        <w:t>3</w:t>
      </w:r>
      <w:r w:rsidRPr="004F6844">
        <w:rPr>
          <w:rFonts w:ascii="Bookman Old Style" w:hAnsi="Bookman Old Style" w:cs="Times New Roman"/>
          <w:i w:val="0"/>
          <w:color w:val="auto"/>
          <w:sz w:val="20"/>
          <w:szCs w:val="20"/>
          <w:vertAlign w:val="superscript"/>
        </w:rPr>
        <w:t>-</w:t>
      </w:r>
      <w:bookmarkEnd w:id="26"/>
      <w:bookmarkEnd w:id="27"/>
      <w:bookmarkEnd w:id="28"/>
    </w:p>
    <w:p w14:paraId="6E10104F" w14:textId="77777777" w:rsidR="006458F7" w:rsidRPr="004F6844" w:rsidRDefault="006458F7" w:rsidP="002C386F">
      <w:pPr>
        <w:spacing w:line="240" w:lineRule="auto"/>
        <w:rPr>
          <w:rFonts w:ascii="Bookman Old Style" w:hAnsi="Bookman Old Style" w:cs="Times New Roman"/>
          <w:sz w:val="20"/>
          <w:szCs w:val="20"/>
        </w:rPr>
      </w:pPr>
      <w:r w:rsidRPr="004F6844">
        <w:rPr>
          <w:rFonts w:ascii="Bookman Old Style" w:hAnsi="Bookman Old Style"/>
          <w:noProof/>
          <w:sz w:val="20"/>
          <w:szCs w:val="20"/>
          <w:lang w:val="en-US"/>
        </w:rPr>
        <w:lastRenderedPageBreak/>
        <w:drawing>
          <wp:inline distT="0" distB="0" distL="0" distR="0" wp14:anchorId="069EF2C1" wp14:editId="03E94A3A">
            <wp:extent cx="2641600" cy="1828800"/>
            <wp:effectExtent l="0" t="0" r="635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94E8F5F" w14:textId="3EA7B040" w:rsidR="006458F7" w:rsidRPr="004F6844" w:rsidRDefault="006458F7" w:rsidP="002C386F">
      <w:pPr>
        <w:pStyle w:val="Caption"/>
        <w:rPr>
          <w:rFonts w:ascii="Bookman Old Style" w:hAnsi="Bookman Old Style" w:cs="Times New Roman"/>
          <w:i w:val="0"/>
          <w:color w:val="auto"/>
          <w:sz w:val="20"/>
          <w:szCs w:val="20"/>
          <w:vertAlign w:val="superscript"/>
        </w:rPr>
      </w:pPr>
      <w:bookmarkStart w:id="29" w:name="_Toc86554886"/>
      <w:bookmarkStart w:id="30" w:name="_Toc87205450"/>
      <w:bookmarkStart w:id="31" w:name="_Toc104977855"/>
      <w:r w:rsidRPr="004F6844">
        <w:rPr>
          <w:rFonts w:ascii="Bookman Old Style" w:hAnsi="Bookman Old Style" w:cs="Times New Roman"/>
          <w:b/>
          <w:i w:val="0"/>
          <w:color w:val="000000" w:themeColor="text1"/>
          <w:sz w:val="20"/>
          <w:szCs w:val="20"/>
        </w:rPr>
        <w:t xml:space="preserve">Figure </w:t>
      </w:r>
      <w:r w:rsidR="005B60D3">
        <w:rPr>
          <w:rFonts w:ascii="Bookman Old Style" w:hAnsi="Bookman Old Style" w:cs="Times New Roman"/>
          <w:b/>
          <w:i w:val="0"/>
          <w:color w:val="000000" w:themeColor="text1"/>
          <w:sz w:val="20"/>
          <w:szCs w:val="20"/>
        </w:rPr>
        <w:t>7</w:t>
      </w:r>
      <w:r w:rsidRPr="004F6844">
        <w:rPr>
          <w:rFonts w:ascii="Bookman Old Style" w:hAnsi="Bookman Old Style"/>
          <w:sz w:val="20"/>
          <w:szCs w:val="20"/>
        </w:rPr>
        <w:t xml:space="preserve"> </w:t>
      </w:r>
      <w:r w:rsidRPr="004F6844">
        <w:rPr>
          <w:rFonts w:ascii="Bookman Old Style" w:hAnsi="Bookman Old Style" w:cs="Times New Roman"/>
          <w:i w:val="0"/>
          <w:color w:val="auto"/>
          <w:sz w:val="20"/>
          <w:szCs w:val="20"/>
        </w:rPr>
        <w:t>Effect of contact time on the percentage removal of PO</w:t>
      </w:r>
      <w:r w:rsidRPr="004F6844">
        <w:rPr>
          <w:rFonts w:ascii="Bookman Old Style" w:hAnsi="Bookman Old Style" w:cs="Times New Roman"/>
          <w:i w:val="0"/>
          <w:color w:val="auto"/>
          <w:sz w:val="20"/>
          <w:szCs w:val="20"/>
          <w:vertAlign w:val="subscript"/>
        </w:rPr>
        <w:t>4</w:t>
      </w:r>
      <w:r w:rsidRPr="004F6844">
        <w:rPr>
          <w:rFonts w:ascii="Bookman Old Style" w:hAnsi="Bookman Old Style" w:cs="Times New Roman"/>
          <w:i w:val="0"/>
          <w:color w:val="auto"/>
          <w:sz w:val="20"/>
          <w:szCs w:val="20"/>
          <w:vertAlign w:val="superscript"/>
        </w:rPr>
        <w:t>3-</w:t>
      </w:r>
      <w:bookmarkEnd w:id="29"/>
      <w:bookmarkEnd w:id="30"/>
      <w:bookmarkEnd w:id="31"/>
    </w:p>
    <w:p w14:paraId="2840B2D6" w14:textId="77777777" w:rsidR="006F493F" w:rsidRPr="004F6844" w:rsidRDefault="006F493F" w:rsidP="006F493F">
      <w:pPr>
        <w:rPr>
          <w:rFonts w:ascii="Bookman Old Style" w:hAnsi="Bookman Old Style"/>
          <w:sz w:val="20"/>
          <w:szCs w:val="20"/>
          <w:lang w:val="en-US"/>
        </w:rPr>
      </w:pPr>
    </w:p>
    <w:p w14:paraId="55DF2646" w14:textId="77777777" w:rsidR="006458F7" w:rsidRPr="004F6844" w:rsidRDefault="006458F7" w:rsidP="002C386F">
      <w:pPr>
        <w:spacing w:line="240" w:lineRule="auto"/>
        <w:rPr>
          <w:rFonts w:ascii="Bookman Old Style" w:hAnsi="Bookman Old Style" w:cs="Times New Roman"/>
          <w:sz w:val="20"/>
          <w:szCs w:val="20"/>
        </w:rPr>
      </w:pPr>
      <w:r w:rsidRPr="004F6844">
        <w:rPr>
          <w:rFonts w:ascii="Bookman Old Style" w:hAnsi="Bookman Old Style"/>
          <w:noProof/>
          <w:sz w:val="20"/>
          <w:szCs w:val="20"/>
          <w:lang w:val="en-US"/>
        </w:rPr>
        <w:drawing>
          <wp:inline distT="0" distB="0" distL="0" distR="0" wp14:anchorId="40D391B5" wp14:editId="6406D415">
            <wp:extent cx="2895600" cy="2006600"/>
            <wp:effectExtent l="0" t="0" r="0" b="1270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CCC2185" w14:textId="151246FB" w:rsidR="006458F7" w:rsidRPr="004F6844" w:rsidRDefault="006458F7" w:rsidP="002C386F">
      <w:pPr>
        <w:pStyle w:val="Caption"/>
        <w:rPr>
          <w:rFonts w:ascii="Bookman Old Style" w:hAnsi="Bookman Old Style" w:cs="Times New Roman"/>
          <w:i w:val="0"/>
          <w:color w:val="auto"/>
          <w:sz w:val="20"/>
          <w:szCs w:val="20"/>
          <w:vertAlign w:val="superscript"/>
        </w:rPr>
      </w:pPr>
      <w:bookmarkStart w:id="32" w:name="_Toc86554887"/>
      <w:bookmarkStart w:id="33" w:name="_Toc87205451"/>
      <w:bookmarkStart w:id="34" w:name="_Toc104977856"/>
      <w:r w:rsidRPr="004F6844">
        <w:rPr>
          <w:rFonts w:ascii="Bookman Old Style" w:hAnsi="Bookman Old Style" w:cs="Times New Roman"/>
          <w:b/>
          <w:i w:val="0"/>
          <w:color w:val="000000" w:themeColor="text1"/>
          <w:sz w:val="20"/>
          <w:szCs w:val="20"/>
        </w:rPr>
        <w:t xml:space="preserve">Figure </w:t>
      </w:r>
      <w:r w:rsidR="005B60D3">
        <w:rPr>
          <w:rFonts w:ascii="Bookman Old Style" w:hAnsi="Bookman Old Style" w:cs="Times New Roman"/>
          <w:b/>
          <w:i w:val="0"/>
          <w:color w:val="000000" w:themeColor="text1"/>
          <w:sz w:val="20"/>
          <w:szCs w:val="20"/>
        </w:rPr>
        <w:t>8</w:t>
      </w:r>
      <w:r w:rsidRPr="004F6844">
        <w:rPr>
          <w:rFonts w:ascii="Bookman Old Style" w:hAnsi="Bookman Old Style"/>
          <w:sz w:val="20"/>
          <w:szCs w:val="20"/>
        </w:rPr>
        <w:t xml:space="preserve"> </w:t>
      </w:r>
      <w:r w:rsidRPr="004F6844">
        <w:rPr>
          <w:rFonts w:ascii="Bookman Old Style" w:hAnsi="Bookman Old Style" w:cs="Times New Roman"/>
          <w:i w:val="0"/>
          <w:color w:val="auto"/>
          <w:sz w:val="20"/>
          <w:szCs w:val="20"/>
        </w:rPr>
        <w:t>Effect of contact time on the percentage removal of Pb</w:t>
      </w:r>
      <w:r w:rsidRPr="004F6844">
        <w:rPr>
          <w:rFonts w:ascii="Bookman Old Style" w:hAnsi="Bookman Old Style" w:cs="Times New Roman"/>
          <w:i w:val="0"/>
          <w:color w:val="auto"/>
          <w:sz w:val="20"/>
          <w:szCs w:val="20"/>
          <w:vertAlign w:val="superscript"/>
        </w:rPr>
        <w:t>2+</w:t>
      </w:r>
      <w:bookmarkEnd w:id="32"/>
      <w:bookmarkEnd w:id="33"/>
      <w:bookmarkEnd w:id="34"/>
    </w:p>
    <w:p w14:paraId="6E2EE034" w14:textId="77777777" w:rsidR="006458F7" w:rsidRPr="004F6844" w:rsidRDefault="006458F7" w:rsidP="002C386F">
      <w:pPr>
        <w:spacing w:line="240" w:lineRule="auto"/>
        <w:rPr>
          <w:rFonts w:ascii="Bookman Old Style" w:hAnsi="Bookman Old Style" w:cs="Times New Roman"/>
          <w:sz w:val="20"/>
          <w:szCs w:val="20"/>
        </w:rPr>
      </w:pPr>
      <w:r w:rsidRPr="004F6844">
        <w:rPr>
          <w:rFonts w:ascii="Bookman Old Style" w:hAnsi="Bookman Old Style"/>
          <w:noProof/>
          <w:sz w:val="20"/>
          <w:szCs w:val="20"/>
          <w:lang w:val="en-US"/>
        </w:rPr>
        <w:drawing>
          <wp:inline distT="0" distB="0" distL="0" distR="0" wp14:anchorId="2FABFCAD" wp14:editId="4FA0C727">
            <wp:extent cx="2762250" cy="2298700"/>
            <wp:effectExtent l="0" t="0" r="0" b="63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75C1285" w14:textId="36ECAFB9" w:rsidR="006458F7" w:rsidRPr="004F6844" w:rsidRDefault="006458F7" w:rsidP="002C386F">
      <w:pPr>
        <w:pStyle w:val="Caption"/>
        <w:rPr>
          <w:rFonts w:ascii="Bookman Old Style" w:hAnsi="Bookman Old Style" w:cs="Times New Roman"/>
          <w:i w:val="0"/>
          <w:color w:val="auto"/>
          <w:sz w:val="20"/>
          <w:szCs w:val="20"/>
          <w:vertAlign w:val="superscript"/>
        </w:rPr>
      </w:pPr>
      <w:bookmarkStart w:id="35" w:name="_Toc86554888"/>
      <w:bookmarkStart w:id="36" w:name="_Toc87205452"/>
      <w:bookmarkStart w:id="37" w:name="_Toc104977857"/>
      <w:r w:rsidRPr="004F6844">
        <w:rPr>
          <w:rFonts w:ascii="Bookman Old Style" w:hAnsi="Bookman Old Style" w:cs="Times New Roman"/>
          <w:b/>
          <w:i w:val="0"/>
          <w:color w:val="000000" w:themeColor="text1"/>
          <w:sz w:val="20"/>
          <w:szCs w:val="20"/>
        </w:rPr>
        <w:t xml:space="preserve">Figure </w:t>
      </w:r>
      <w:r w:rsidR="005B60D3">
        <w:rPr>
          <w:rFonts w:ascii="Bookman Old Style" w:hAnsi="Bookman Old Style" w:cs="Times New Roman"/>
          <w:b/>
          <w:i w:val="0"/>
          <w:color w:val="000000" w:themeColor="text1"/>
          <w:sz w:val="20"/>
          <w:szCs w:val="20"/>
        </w:rPr>
        <w:t>9</w:t>
      </w:r>
      <w:r w:rsidRPr="004F6844">
        <w:rPr>
          <w:rFonts w:ascii="Bookman Old Style" w:hAnsi="Bookman Old Style" w:cs="Times New Roman"/>
          <w:b/>
          <w:i w:val="0"/>
          <w:color w:val="000000" w:themeColor="text1"/>
          <w:sz w:val="20"/>
          <w:szCs w:val="20"/>
        </w:rPr>
        <w:t xml:space="preserve"> </w:t>
      </w:r>
      <w:r w:rsidRPr="004F6844">
        <w:rPr>
          <w:rFonts w:ascii="Bookman Old Style" w:hAnsi="Bookman Old Style" w:cs="Times New Roman"/>
          <w:i w:val="0"/>
          <w:color w:val="auto"/>
          <w:sz w:val="20"/>
          <w:szCs w:val="20"/>
        </w:rPr>
        <w:t>Effect of contact time on the percentage removal of Cu</w:t>
      </w:r>
      <w:r w:rsidRPr="004F6844">
        <w:rPr>
          <w:rFonts w:ascii="Bookman Old Style" w:hAnsi="Bookman Old Style" w:cs="Times New Roman"/>
          <w:i w:val="0"/>
          <w:color w:val="auto"/>
          <w:sz w:val="20"/>
          <w:szCs w:val="20"/>
          <w:vertAlign w:val="superscript"/>
        </w:rPr>
        <w:t>2+</w:t>
      </w:r>
      <w:bookmarkEnd w:id="35"/>
      <w:bookmarkEnd w:id="36"/>
      <w:bookmarkEnd w:id="37"/>
    </w:p>
    <w:p w14:paraId="423F33E2" w14:textId="77777777" w:rsidR="006458F7" w:rsidRPr="004F6844" w:rsidRDefault="006458F7" w:rsidP="002C386F">
      <w:pPr>
        <w:spacing w:line="240" w:lineRule="auto"/>
        <w:rPr>
          <w:rFonts w:ascii="Bookman Old Style" w:hAnsi="Bookman Old Style" w:cs="Times New Roman"/>
          <w:sz w:val="20"/>
          <w:szCs w:val="20"/>
        </w:rPr>
      </w:pPr>
      <w:r w:rsidRPr="004F6844">
        <w:rPr>
          <w:rFonts w:ascii="Bookman Old Style" w:hAnsi="Bookman Old Style" w:cs="Times New Roman"/>
          <w:noProof/>
          <w:sz w:val="20"/>
          <w:szCs w:val="20"/>
          <w:lang w:val="en-US"/>
        </w:rPr>
        <w:lastRenderedPageBreak/>
        <w:drawing>
          <wp:inline distT="0" distB="0" distL="0" distR="0" wp14:anchorId="21D8FC97" wp14:editId="3C2D57DC">
            <wp:extent cx="2730500" cy="2266950"/>
            <wp:effectExtent l="0" t="0" r="1270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DB64E74" w14:textId="65867FCC" w:rsidR="006458F7" w:rsidRPr="004F6844" w:rsidRDefault="006458F7" w:rsidP="002C386F">
      <w:pPr>
        <w:pStyle w:val="Caption"/>
        <w:rPr>
          <w:rFonts w:ascii="Bookman Old Style" w:hAnsi="Bookman Old Style" w:cs="Times New Roman"/>
          <w:b/>
          <w:i w:val="0"/>
          <w:color w:val="auto"/>
          <w:sz w:val="20"/>
          <w:szCs w:val="20"/>
          <w:vertAlign w:val="superscript"/>
        </w:rPr>
      </w:pPr>
      <w:bookmarkStart w:id="38" w:name="_Toc86554889"/>
      <w:bookmarkStart w:id="39" w:name="_Toc87205453"/>
      <w:bookmarkStart w:id="40" w:name="_Toc104977858"/>
      <w:r w:rsidRPr="004F6844">
        <w:rPr>
          <w:rFonts w:ascii="Bookman Old Style" w:hAnsi="Bookman Old Style" w:cs="Times New Roman"/>
          <w:b/>
          <w:i w:val="0"/>
          <w:color w:val="000000" w:themeColor="text1"/>
          <w:sz w:val="20"/>
          <w:szCs w:val="20"/>
        </w:rPr>
        <w:t xml:space="preserve">Figure </w:t>
      </w:r>
      <w:r w:rsidR="005B60D3">
        <w:rPr>
          <w:rFonts w:ascii="Bookman Old Style" w:hAnsi="Bookman Old Style" w:cs="Times New Roman"/>
          <w:b/>
          <w:i w:val="0"/>
          <w:color w:val="000000" w:themeColor="text1"/>
          <w:sz w:val="20"/>
          <w:szCs w:val="20"/>
        </w:rPr>
        <w:t>10</w:t>
      </w:r>
      <w:r w:rsidRPr="004F6844">
        <w:rPr>
          <w:rFonts w:ascii="Bookman Old Style" w:hAnsi="Bookman Old Style"/>
          <w:sz w:val="20"/>
          <w:szCs w:val="20"/>
        </w:rPr>
        <w:t xml:space="preserve"> </w:t>
      </w:r>
      <w:r w:rsidRPr="004F6844">
        <w:rPr>
          <w:rFonts w:ascii="Bookman Old Style" w:hAnsi="Bookman Old Style" w:cs="Times New Roman"/>
          <w:i w:val="0"/>
          <w:color w:val="auto"/>
          <w:sz w:val="20"/>
          <w:szCs w:val="20"/>
        </w:rPr>
        <w:t>Effect of contact time on the percentage removal of Cd</w:t>
      </w:r>
      <w:r w:rsidRPr="004F6844">
        <w:rPr>
          <w:rFonts w:ascii="Bookman Old Style" w:hAnsi="Bookman Old Style" w:cs="Times New Roman"/>
          <w:i w:val="0"/>
          <w:color w:val="auto"/>
          <w:sz w:val="20"/>
          <w:szCs w:val="20"/>
          <w:vertAlign w:val="superscript"/>
        </w:rPr>
        <w:t>2+</w:t>
      </w:r>
      <w:bookmarkEnd w:id="38"/>
      <w:bookmarkEnd w:id="39"/>
      <w:bookmarkEnd w:id="40"/>
    </w:p>
    <w:p w14:paraId="7C228476" w14:textId="77777777" w:rsidR="006458F7" w:rsidRPr="00D51A94" w:rsidRDefault="006458F7" w:rsidP="00D21247">
      <w:pPr>
        <w:pStyle w:val="Heading2"/>
        <w:spacing w:before="0"/>
        <w:jc w:val="both"/>
        <w:rPr>
          <w:rFonts w:ascii="Bookman Old Style" w:hAnsi="Bookman Old Style"/>
          <w:color w:val="000000" w:themeColor="text1"/>
          <w:sz w:val="20"/>
          <w:szCs w:val="20"/>
        </w:rPr>
      </w:pPr>
      <w:r w:rsidRPr="00D51A94">
        <w:rPr>
          <w:rFonts w:ascii="Bookman Old Style" w:hAnsi="Bookman Old Style"/>
          <w:color w:val="000000" w:themeColor="text1"/>
          <w:sz w:val="20"/>
          <w:szCs w:val="20"/>
        </w:rPr>
        <w:t xml:space="preserve"> </w:t>
      </w:r>
      <w:bookmarkStart w:id="41" w:name="_Toc74024935"/>
      <w:bookmarkStart w:id="42" w:name="_Toc87205385"/>
      <w:bookmarkStart w:id="43" w:name="_Toc105786440"/>
      <w:r w:rsidRPr="00D51A94">
        <w:rPr>
          <w:rFonts w:ascii="Bookman Old Style" w:hAnsi="Bookman Old Style"/>
          <w:color w:val="000000" w:themeColor="text1"/>
          <w:sz w:val="20"/>
          <w:szCs w:val="20"/>
        </w:rPr>
        <w:t>Effect of initial ion concentration</w:t>
      </w:r>
      <w:bookmarkEnd w:id="41"/>
      <w:bookmarkEnd w:id="42"/>
      <w:bookmarkEnd w:id="43"/>
    </w:p>
    <w:p w14:paraId="49ED7CA2" w14:textId="77777777" w:rsidR="00263669" w:rsidRDefault="00263669" w:rsidP="00D21247">
      <w:pPr>
        <w:spacing w:after="0" w:line="240" w:lineRule="auto"/>
        <w:jc w:val="both"/>
        <w:rPr>
          <w:rFonts w:ascii="Bookman Old Style" w:hAnsi="Bookman Old Style" w:cs="Times New Roman"/>
          <w:sz w:val="20"/>
          <w:szCs w:val="20"/>
        </w:rPr>
        <w:sectPr w:rsidR="00263669" w:rsidSect="0075348A">
          <w:type w:val="continuous"/>
          <w:pgSz w:w="12240" w:h="15840"/>
          <w:pgMar w:top="1440" w:right="1440" w:bottom="1440" w:left="1440" w:header="720" w:footer="720" w:gutter="0"/>
          <w:cols w:space="720"/>
          <w:docGrid w:linePitch="360"/>
        </w:sectPr>
      </w:pPr>
    </w:p>
    <w:p w14:paraId="53409847" w14:textId="61A67543" w:rsidR="006458F7" w:rsidRPr="004F6844" w:rsidRDefault="006458F7" w:rsidP="00D21247">
      <w:pPr>
        <w:spacing w:after="0" w:line="240" w:lineRule="auto"/>
        <w:jc w:val="both"/>
        <w:rPr>
          <w:rFonts w:ascii="Bookman Old Style" w:hAnsi="Bookman Old Style" w:cs="Times New Roman"/>
          <w:sz w:val="20"/>
          <w:szCs w:val="20"/>
        </w:rPr>
      </w:pPr>
      <w:r w:rsidRPr="004F6844">
        <w:rPr>
          <w:rFonts w:ascii="Bookman Old Style" w:hAnsi="Bookman Old Style" w:cs="Times New Roman"/>
          <w:sz w:val="20"/>
          <w:szCs w:val="20"/>
        </w:rPr>
        <w:t xml:space="preserve">The effect of initial ion concentration was determined using 0.10g as initial dosage for nitrate and phosphate and 0.20g for lead, copper and cadmium. The working pH was 7, contact time was 30 minutes and the temperature was 298K. The concentration variation was between 10ppm to 100ppm. </w:t>
      </w:r>
    </w:p>
    <w:p w14:paraId="701ECDE8" w14:textId="354614B4" w:rsidR="006458F7" w:rsidRPr="004F6844" w:rsidRDefault="006458F7" w:rsidP="00D21247">
      <w:pPr>
        <w:spacing w:after="0" w:line="240" w:lineRule="auto"/>
        <w:jc w:val="both"/>
        <w:rPr>
          <w:rFonts w:ascii="Bookman Old Style" w:hAnsi="Bookman Old Style" w:cs="Times New Roman"/>
          <w:sz w:val="20"/>
          <w:szCs w:val="20"/>
        </w:rPr>
      </w:pPr>
      <w:r w:rsidRPr="004F6844">
        <w:rPr>
          <w:rFonts w:ascii="Bookman Old Style" w:hAnsi="Bookman Old Style" w:cs="Times New Roman"/>
          <w:sz w:val="20"/>
          <w:szCs w:val="20"/>
        </w:rPr>
        <w:t>The effect of initial ion concentration is observed by the decrease of percentage removal, as the initial concentration is increased. This happens normally after the adsorbent has reached saturation, meaning the sorption site on the adsorbents become less than the ions presents in the solution</w:t>
      </w:r>
      <w:r w:rsidR="00CD502B" w:rsidRPr="004F6844">
        <w:rPr>
          <w:rFonts w:ascii="Bookman Old Style" w:hAnsi="Bookman Old Style" w:cs="Times New Roman"/>
          <w:sz w:val="20"/>
          <w:szCs w:val="20"/>
          <w:vertAlign w:val="superscript"/>
        </w:rPr>
        <w:t>[26 &amp; 27]</w:t>
      </w:r>
      <w:r w:rsidRPr="004F6844">
        <w:rPr>
          <w:rFonts w:ascii="Bookman Old Style" w:hAnsi="Bookman Old Style" w:cs="Times New Roman"/>
          <w:sz w:val="20"/>
          <w:szCs w:val="20"/>
        </w:rPr>
        <w:t xml:space="preserve">.  From figures </w:t>
      </w:r>
      <w:r w:rsidR="00271B0C">
        <w:rPr>
          <w:rFonts w:ascii="Bookman Old Style" w:hAnsi="Bookman Old Style" w:cs="Times New Roman"/>
          <w:sz w:val="20"/>
          <w:szCs w:val="20"/>
        </w:rPr>
        <w:t>9</w:t>
      </w:r>
      <w:r w:rsidRPr="004F6844">
        <w:rPr>
          <w:rFonts w:ascii="Bookman Old Style" w:hAnsi="Bookman Old Style" w:cs="Times New Roman"/>
          <w:sz w:val="20"/>
          <w:szCs w:val="20"/>
        </w:rPr>
        <w:t xml:space="preserve">, </w:t>
      </w:r>
      <w:r w:rsidR="00271B0C">
        <w:rPr>
          <w:rFonts w:ascii="Bookman Old Style" w:hAnsi="Bookman Old Style" w:cs="Times New Roman"/>
          <w:sz w:val="20"/>
          <w:szCs w:val="20"/>
        </w:rPr>
        <w:t>10</w:t>
      </w:r>
      <w:r w:rsidRPr="004F6844">
        <w:rPr>
          <w:rFonts w:ascii="Bookman Old Style" w:hAnsi="Bookman Old Style" w:cs="Times New Roman"/>
          <w:sz w:val="20"/>
          <w:szCs w:val="20"/>
        </w:rPr>
        <w:t xml:space="preserve">, </w:t>
      </w:r>
      <w:r w:rsidR="00271B0C">
        <w:rPr>
          <w:rFonts w:ascii="Bookman Old Style" w:hAnsi="Bookman Old Style" w:cs="Times New Roman"/>
          <w:sz w:val="20"/>
          <w:szCs w:val="20"/>
        </w:rPr>
        <w:t>11</w:t>
      </w:r>
      <w:r w:rsidRPr="004F6844">
        <w:rPr>
          <w:rFonts w:ascii="Bookman Old Style" w:hAnsi="Bookman Old Style" w:cs="Times New Roman"/>
          <w:sz w:val="20"/>
          <w:szCs w:val="20"/>
        </w:rPr>
        <w:t xml:space="preserve"> and </w:t>
      </w:r>
      <w:r w:rsidR="00271B0C">
        <w:rPr>
          <w:rFonts w:ascii="Bookman Old Style" w:hAnsi="Bookman Old Style" w:cs="Times New Roman"/>
          <w:sz w:val="20"/>
          <w:szCs w:val="20"/>
        </w:rPr>
        <w:t>12</w:t>
      </w:r>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it</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was</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observed</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that</w:t>
      </w:r>
      <w:proofErr w:type="spellEnd"/>
      <w:r w:rsidRPr="004F6844">
        <w:rPr>
          <w:rFonts w:ascii="Bookman Old Style" w:hAnsi="Bookman Old Style" w:cs="Times New Roman"/>
          <w:sz w:val="20"/>
          <w:szCs w:val="20"/>
        </w:rPr>
        <w:t xml:space="preserve"> up to 100 ppm, the different adsorbents kept their percentage removal at 100 % except for Copper, which percentage removal started decreasing just from 20 ppm. It </w:t>
      </w:r>
      <w:proofErr w:type="spellStart"/>
      <w:r w:rsidRPr="004F6844">
        <w:rPr>
          <w:rFonts w:ascii="Bookman Old Style" w:hAnsi="Bookman Old Style" w:cs="Times New Roman"/>
          <w:sz w:val="20"/>
          <w:szCs w:val="20"/>
        </w:rPr>
        <w:t>was</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also</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observed</w:t>
      </w:r>
      <w:proofErr w:type="spellEnd"/>
      <w:r w:rsidRPr="004F6844">
        <w:rPr>
          <w:rFonts w:ascii="Bookman Old Style" w:hAnsi="Bookman Old Style" w:cs="Times New Roman"/>
          <w:sz w:val="20"/>
          <w:szCs w:val="20"/>
        </w:rPr>
        <w:t xml:space="preserve"> in figures </w:t>
      </w:r>
      <w:r w:rsidR="00271B0C">
        <w:rPr>
          <w:rFonts w:ascii="Bookman Old Style" w:hAnsi="Bookman Old Style" w:cs="Times New Roman"/>
          <w:sz w:val="20"/>
          <w:szCs w:val="20"/>
        </w:rPr>
        <w:t>13</w:t>
      </w:r>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that</w:t>
      </w:r>
      <w:proofErr w:type="spellEnd"/>
      <w:r w:rsidRPr="004F6844">
        <w:rPr>
          <w:rFonts w:ascii="Bookman Old Style" w:hAnsi="Bookman Old Style" w:cs="Times New Roman"/>
          <w:sz w:val="20"/>
          <w:szCs w:val="20"/>
        </w:rPr>
        <w:t xml:space="preserve"> at 20 ppm, 50 ppm and 100ppm, the percentage removal respectively decreased at 99, 98 and 97 %.</w:t>
      </w:r>
    </w:p>
    <w:p w14:paraId="5C556BC4" w14:textId="77777777" w:rsidR="00263669" w:rsidRDefault="00263669" w:rsidP="00D21247">
      <w:pPr>
        <w:pStyle w:val="Caption"/>
        <w:spacing w:after="0"/>
        <w:jc w:val="both"/>
        <w:rPr>
          <w:rFonts w:ascii="Bookman Old Style" w:hAnsi="Bookman Old Style" w:cs="Times New Roman"/>
          <w:i w:val="0"/>
          <w:color w:val="000000" w:themeColor="text1"/>
          <w:sz w:val="20"/>
          <w:szCs w:val="20"/>
        </w:rPr>
        <w:sectPr w:rsidR="00263669" w:rsidSect="0075348A">
          <w:type w:val="continuous"/>
          <w:pgSz w:w="12240" w:h="15840"/>
          <w:pgMar w:top="1440" w:right="1440" w:bottom="1440" w:left="1440" w:header="720" w:footer="720" w:gutter="0"/>
          <w:cols w:space="720"/>
          <w:docGrid w:linePitch="360"/>
        </w:sectPr>
      </w:pPr>
    </w:p>
    <w:p w14:paraId="68CE2F9F" w14:textId="77777777" w:rsidR="006458F7" w:rsidRPr="004F6844" w:rsidRDefault="006458F7" w:rsidP="002C386F">
      <w:pPr>
        <w:spacing w:line="240" w:lineRule="auto"/>
        <w:rPr>
          <w:rFonts w:ascii="Bookman Old Style" w:hAnsi="Bookman Old Style" w:cs="Times New Roman"/>
          <w:sz w:val="20"/>
          <w:szCs w:val="20"/>
        </w:rPr>
      </w:pPr>
      <w:r w:rsidRPr="004F6844">
        <w:rPr>
          <w:rFonts w:ascii="Bookman Old Style" w:hAnsi="Bookman Old Style"/>
          <w:noProof/>
          <w:sz w:val="20"/>
          <w:szCs w:val="20"/>
          <w:lang w:val="en-US"/>
        </w:rPr>
        <w:drawing>
          <wp:inline distT="0" distB="0" distL="0" distR="0" wp14:anchorId="01045535" wp14:editId="4D4D5894">
            <wp:extent cx="2889250" cy="1838325"/>
            <wp:effectExtent l="0" t="0" r="6350"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905C7CB" w14:textId="0B5F3573" w:rsidR="006458F7" w:rsidRPr="004F6844" w:rsidRDefault="006458F7" w:rsidP="002C386F">
      <w:pPr>
        <w:pStyle w:val="Caption"/>
        <w:rPr>
          <w:rFonts w:ascii="Bookman Old Style" w:hAnsi="Bookman Old Style" w:cs="Times New Roman"/>
          <w:i w:val="0"/>
          <w:color w:val="auto"/>
          <w:sz w:val="20"/>
          <w:szCs w:val="20"/>
        </w:rPr>
      </w:pPr>
      <w:bookmarkStart w:id="44" w:name="_Toc86554890"/>
      <w:bookmarkStart w:id="45" w:name="_Toc87205454"/>
      <w:bookmarkStart w:id="46" w:name="_Toc104977859"/>
      <w:r w:rsidRPr="004F6844">
        <w:rPr>
          <w:rFonts w:ascii="Bookman Old Style" w:hAnsi="Bookman Old Style" w:cs="Times New Roman"/>
          <w:b/>
          <w:i w:val="0"/>
          <w:color w:val="000000" w:themeColor="text1"/>
          <w:sz w:val="20"/>
          <w:szCs w:val="20"/>
        </w:rPr>
        <w:t xml:space="preserve">Figure </w:t>
      </w:r>
      <w:r w:rsidR="005B60D3">
        <w:rPr>
          <w:rFonts w:ascii="Bookman Old Style" w:hAnsi="Bookman Old Style" w:cs="Times New Roman"/>
          <w:b/>
          <w:i w:val="0"/>
          <w:color w:val="000000" w:themeColor="text1"/>
          <w:sz w:val="20"/>
          <w:szCs w:val="20"/>
        </w:rPr>
        <w:t>11</w:t>
      </w:r>
      <w:r w:rsidRPr="004F6844">
        <w:rPr>
          <w:rFonts w:ascii="Bookman Old Style" w:hAnsi="Bookman Old Style" w:cs="Times New Roman"/>
          <w:b/>
          <w:i w:val="0"/>
          <w:color w:val="auto"/>
          <w:sz w:val="20"/>
          <w:szCs w:val="20"/>
        </w:rPr>
        <w:t xml:space="preserve"> </w:t>
      </w:r>
      <w:r w:rsidRPr="004F6844">
        <w:rPr>
          <w:rFonts w:ascii="Bookman Old Style" w:hAnsi="Bookman Old Style" w:cs="Times New Roman"/>
          <w:i w:val="0"/>
          <w:color w:val="auto"/>
          <w:sz w:val="20"/>
          <w:szCs w:val="20"/>
        </w:rPr>
        <w:t>Effect of NO</w:t>
      </w:r>
      <w:r w:rsidRPr="004F6844">
        <w:rPr>
          <w:rFonts w:ascii="Bookman Old Style" w:hAnsi="Bookman Old Style" w:cs="Times New Roman"/>
          <w:i w:val="0"/>
          <w:color w:val="auto"/>
          <w:sz w:val="20"/>
          <w:szCs w:val="20"/>
          <w:vertAlign w:val="subscript"/>
        </w:rPr>
        <w:t>3</w:t>
      </w:r>
      <w:r w:rsidRPr="004F6844">
        <w:rPr>
          <w:rFonts w:ascii="Bookman Old Style" w:hAnsi="Bookman Old Style" w:cs="Times New Roman"/>
          <w:i w:val="0"/>
          <w:color w:val="auto"/>
          <w:sz w:val="20"/>
          <w:szCs w:val="20"/>
          <w:vertAlign w:val="superscript"/>
        </w:rPr>
        <w:t>-</w:t>
      </w:r>
      <w:r w:rsidRPr="004F6844">
        <w:rPr>
          <w:rFonts w:ascii="Bookman Old Style" w:hAnsi="Bookman Old Style" w:cs="Times New Roman"/>
          <w:i w:val="0"/>
          <w:color w:val="auto"/>
          <w:sz w:val="20"/>
          <w:szCs w:val="20"/>
        </w:rPr>
        <w:t xml:space="preserve"> initial concentration on its percentage removal</w:t>
      </w:r>
      <w:bookmarkEnd w:id="44"/>
      <w:bookmarkEnd w:id="45"/>
      <w:bookmarkEnd w:id="46"/>
    </w:p>
    <w:p w14:paraId="7DCE9933" w14:textId="77777777" w:rsidR="006458F7" w:rsidRPr="004F6844" w:rsidRDefault="006458F7" w:rsidP="002C386F">
      <w:pPr>
        <w:spacing w:line="240" w:lineRule="auto"/>
        <w:rPr>
          <w:rFonts w:ascii="Bookman Old Style" w:hAnsi="Bookman Old Style" w:cs="Times New Roman"/>
          <w:sz w:val="20"/>
          <w:szCs w:val="20"/>
        </w:rPr>
      </w:pPr>
      <w:r w:rsidRPr="004F6844">
        <w:rPr>
          <w:rFonts w:ascii="Bookman Old Style" w:hAnsi="Bookman Old Style"/>
          <w:noProof/>
          <w:sz w:val="20"/>
          <w:szCs w:val="20"/>
          <w:lang w:val="en-US"/>
        </w:rPr>
        <w:lastRenderedPageBreak/>
        <w:drawing>
          <wp:inline distT="0" distB="0" distL="0" distR="0" wp14:anchorId="6BC66D00" wp14:editId="6D54C9EA">
            <wp:extent cx="2863850" cy="2028825"/>
            <wp:effectExtent l="0" t="0" r="12700"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9D82D4A" w14:textId="16758EA6" w:rsidR="006458F7" w:rsidRPr="004F6844" w:rsidRDefault="006458F7" w:rsidP="002C386F">
      <w:pPr>
        <w:pStyle w:val="Caption"/>
        <w:rPr>
          <w:rFonts w:ascii="Bookman Old Style" w:hAnsi="Bookman Old Style" w:cs="Times New Roman"/>
          <w:i w:val="0"/>
          <w:color w:val="auto"/>
          <w:sz w:val="20"/>
          <w:szCs w:val="20"/>
        </w:rPr>
      </w:pPr>
      <w:bookmarkStart w:id="47" w:name="_Toc86554891"/>
      <w:bookmarkStart w:id="48" w:name="_Toc87205455"/>
      <w:bookmarkStart w:id="49" w:name="_Toc104977860"/>
      <w:r w:rsidRPr="004F6844">
        <w:rPr>
          <w:rFonts w:ascii="Bookman Old Style" w:hAnsi="Bookman Old Style" w:cs="Times New Roman"/>
          <w:b/>
          <w:i w:val="0"/>
          <w:color w:val="000000" w:themeColor="text1"/>
          <w:sz w:val="20"/>
          <w:szCs w:val="20"/>
        </w:rPr>
        <w:t xml:space="preserve">Figure </w:t>
      </w:r>
      <w:r w:rsidR="005B60D3">
        <w:rPr>
          <w:rFonts w:ascii="Bookman Old Style" w:hAnsi="Bookman Old Style" w:cs="Times New Roman"/>
          <w:b/>
          <w:i w:val="0"/>
          <w:color w:val="000000" w:themeColor="text1"/>
          <w:sz w:val="20"/>
          <w:szCs w:val="20"/>
        </w:rPr>
        <w:t>12</w:t>
      </w:r>
      <w:r w:rsidRPr="004F6844">
        <w:rPr>
          <w:rFonts w:ascii="Bookman Old Style" w:hAnsi="Bookman Old Style" w:cs="Times New Roman"/>
          <w:b/>
          <w:i w:val="0"/>
          <w:color w:val="000000" w:themeColor="text1"/>
          <w:sz w:val="20"/>
          <w:szCs w:val="20"/>
        </w:rPr>
        <w:t xml:space="preserve"> </w:t>
      </w:r>
      <w:r w:rsidRPr="004F6844">
        <w:rPr>
          <w:rFonts w:ascii="Bookman Old Style" w:hAnsi="Bookman Old Style" w:cs="Times New Roman"/>
          <w:i w:val="0"/>
          <w:color w:val="auto"/>
          <w:sz w:val="20"/>
          <w:szCs w:val="20"/>
        </w:rPr>
        <w:t>Effect of PO</w:t>
      </w:r>
      <w:r w:rsidRPr="004F6844">
        <w:rPr>
          <w:rFonts w:ascii="Bookman Old Style" w:hAnsi="Bookman Old Style" w:cs="Times New Roman"/>
          <w:i w:val="0"/>
          <w:color w:val="auto"/>
          <w:sz w:val="20"/>
          <w:szCs w:val="20"/>
          <w:vertAlign w:val="subscript"/>
        </w:rPr>
        <w:t>4</w:t>
      </w:r>
      <w:r w:rsidRPr="004F6844">
        <w:rPr>
          <w:rFonts w:ascii="Bookman Old Style" w:hAnsi="Bookman Old Style" w:cs="Times New Roman"/>
          <w:i w:val="0"/>
          <w:color w:val="auto"/>
          <w:sz w:val="20"/>
          <w:szCs w:val="20"/>
          <w:vertAlign w:val="superscript"/>
        </w:rPr>
        <w:t>3-</w:t>
      </w:r>
      <w:r w:rsidRPr="004F6844">
        <w:rPr>
          <w:rFonts w:ascii="Bookman Old Style" w:hAnsi="Bookman Old Style" w:cs="Times New Roman"/>
          <w:i w:val="0"/>
          <w:color w:val="auto"/>
          <w:sz w:val="20"/>
          <w:szCs w:val="20"/>
          <w:vertAlign w:val="subscript"/>
        </w:rPr>
        <w:t xml:space="preserve"> </w:t>
      </w:r>
      <w:r w:rsidRPr="004F6844">
        <w:rPr>
          <w:rFonts w:ascii="Bookman Old Style" w:hAnsi="Bookman Old Style" w:cs="Times New Roman"/>
          <w:i w:val="0"/>
          <w:color w:val="auto"/>
          <w:sz w:val="20"/>
          <w:szCs w:val="20"/>
        </w:rPr>
        <w:t>initial concentration on its percentage removal</w:t>
      </w:r>
      <w:bookmarkEnd w:id="47"/>
      <w:bookmarkEnd w:id="48"/>
      <w:bookmarkEnd w:id="49"/>
    </w:p>
    <w:p w14:paraId="754E6225" w14:textId="77777777" w:rsidR="006458F7" w:rsidRPr="004F6844" w:rsidRDefault="006458F7" w:rsidP="002C386F">
      <w:pPr>
        <w:spacing w:line="240" w:lineRule="auto"/>
        <w:rPr>
          <w:rFonts w:ascii="Bookman Old Style" w:hAnsi="Bookman Old Style" w:cs="Times New Roman"/>
          <w:sz w:val="20"/>
          <w:szCs w:val="20"/>
        </w:rPr>
      </w:pPr>
      <w:r w:rsidRPr="004F6844">
        <w:rPr>
          <w:rFonts w:ascii="Bookman Old Style" w:hAnsi="Bookman Old Style"/>
          <w:noProof/>
          <w:sz w:val="20"/>
          <w:szCs w:val="20"/>
          <w:lang w:val="en-US"/>
        </w:rPr>
        <w:drawing>
          <wp:inline distT="0" distB="0" distL="0" distR="0" wp14:anchorId="4CBA859E" wp14:editId="591183B0">
            <wp:extent cx="2870200" cy="2432050"/>
            <wp:effectExtent l="0" t="0" r="6350" b="63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B1825CB" w14:textId="1AE48E89" w:rsidR="006458F7" w:rsidRPr="004F6844" w:rsidRDefault="006458F7" w:rsidP="002C386F">
      <w:pPr>
        <w:pStyle w:val="Caption"/>
        <w:rPr>
          <w:rFonts w:ascii="Bookman Old Style" w:hAnsi="Bookman Old Style" w:cs="Times New Roman"/>
          <w:i w:val="0"/>
          <w:color w:val="auto"/>
          <w:sz w:val="20"/>
          <w:szCs w:val="20"/>
        </w:rPr>
      </w:pPr>
      <w:bookmarkStart w:id="50" w:name="_Toc86554892"/>
      <w:bookmarkStart w:id="51" w:name="_Toc87205456"/>
      <w:bookmarkStart w:id="52" w:name="_Toc104977861"/>
      <w:r w:rsidRPr="004F6844">
        <w:rPr>
          <w:rFonts w:ascii="Bookman Old Style" w:hAnsi="Bookman Old Style" w:cs="Times New Roman"/>
          <w:b/>
          <w:i w:val="0"/>
          <w:color w:val="000000" w:themeColor="text1"/>
          <w:sz w:val="20"/>
          <w:szCs w:val="20"/>
        </w:rPr>
        <w:t xml:space="preserve">Figure </w:t>
      </w:r>
      <w:r w:rsidR="005B60D3">
        <w:rPr>
          <w:rFonts w:ascii="Bookman Old Style" w:hAnsi="Bookman Old Style" w:cs="Times New Roman"/>
          <w:b/>
          <w:i w:val="0"/>
          <w:color w:val="000000" w:themeColor="text1"/>
          <w:sz w:val="20"/>
          <w:szCs w:val="20"/>
        </w:rPr>
        <w:t>13</w:t>
      </w:r>
      <w:r w:rsidRPr="004F6844">
        <w:rPr>
          <w:rFonts w:ascii="Bookman Old Style" w:hAnsi="Bookman Old Style"/>
          <w:sz w:val="20"/>
          <w:szCs w:val="20"/>
        </w:rPr>
        <w:t xml:space="preserve"> </w:t>
      </w:r>
      <w:r w:rsidRPr="004F6844">
        <w:rPr>
          <w:rFonts w:ascii="Bookman Old Style" w:hAnsi="Bookman Old Style" w:cs="Times New Roman"/>
          <w:i w:val="0"/>
          <w:color w:val="auto"/>
          <w:sz w:val="20"/>
          <w:szCs w:val="20"/>
        </w:rPr>
        <w:t>Effect of Pb</w:t>
      </w:r>
      <w:r w:rsidRPr="004F6844">
        <w:rPr>
          <w:rFonts w:ascii="Bookman Old Style" w:hAnsi="Bookman Old Style" w:cs="Times New Roman"/>
          <w:i w:val="0"/>
          <w:color w:val="auto"/>
          <w:sz w:val="20"/>
          <w:szCs w:val="20"/>
          <w:vertAlign w:val="superscript"/>
        </w:rPr>
        <w:t>2+</w:t>
      </w:r>
      <w:r w:rsidRPr="004F6844">
        <w:rPr>
          <w:rFonts w:ascii="Bookman Old Style" w:hAnsi="Bookman Old Style" w:cs="Times New Roman"/>
          <w:i w:val="0"/>
          <w:color w:val="auto"/>
          <w:sz w:val="20"/>
          <w:szCs w:val="20"/>
          <w:vertAlign w:val="subscript"/>
        </w:rPr>
        <w:t xml:space="preserve"> </w:t>
      </w:r>
      <w:r w:rsidRPr="004F6844">
        <w:rPr>
          <w:rFonts w:ascii="Bookman Old Style" w:hAnsi="Bookman Old Style" w:cs="Times New Roman"/>
          <w:i w:val="0"/>
          <w:color w:val="auto"/>
          <w:sz w:val="20"/>
          <w:szCs w:val="20"/>
        </w:rPr>
        <w:t>initial concentration on its percentage removal</w:t>
      </w:r>
      <w:bookmarkEnd w:id="50"/>
      <w:bookmarkEnd w:id="51"/>
      <w:bookmarkEnd w:id="52"/>
    </w:p>
    <w:p w14:paraId="486EBC6E" w14:textId="77777777" w:rsidR="006458F7" w:rsidRPr="004F6844" w:rsidRDefault="006458F7" w:rsidP="002C386F">
      <w:pPr>
        <w:spacing w:line="240" w:lineRule="auto"/>
        <w:rPr>
          <w:rFonts w:ascii="Bookman Old Style" w:hAnsi="Bookman Old Style" w:cs="Times New Roman"/>
          <w:sz w:val="20"/>
          <w:szCs w:val="20"/>
        </w:rPr>
      </w:pPr>
      <w:r w:rsidRPr="004F6844">
        <w:rPr>
          <w:rFonts w:ascii="Bookman Old Style" w:hAnsi="Bookman Old Style"/>
          <w:noProof/>
          <w:sz w:val="20"/>
          <w:szCs w:val="20"/>
          <w:lang w:val="en-US"/>
        </w:rPr>
        <w:drawing>
          <wp:inline distT="0" distB="0" distL="0" distR="0" wp14:anchorId="141EEA45" wp14:editId="30064379">
            <wp:extent cx="3232150" cy="2628900"/>
            <wp:effectExtent l="0" t="0" r="635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B3FA013" w14:textId="1C71F76C" w:rsidR="006458F7" w:rsidRPr="004F6844" w:rsidRDefault="006458F7" w:rsidP="002C386F">
      <w:pPr>
        <w:pStyle w:val="Caption"/>
        <w:rPr>
          <w:rFonts w:ascii="Bookman Old Style" w:hAnsi="Bookman Old Style" w:cs="Times New Roman"/>
          <w:i w:val="0"/>
          <w:color w:val="auto"/>
          <w:sz w:val="20"/>
          <w:szCs w:val="20"/>
        </w:rPr>
      </w:pPr>
      <w:bookmarkStart w:id="53" w:name="_Toc86554893"/>
      <w:bookmarkStart w:id="54" w:name="_Toc87205457"/>
      <w:bookmarkStart w:id="55" w:name="_Toc104977862"/>
      <w:r w:rsidRPr="004F6844">
        <w:rPr>
          <w:rFonts w:ascii="Bookman Old Style" w:hAnsi="Bookman Old Style" w:cs="Times New Roman"/>
          <w:b/>
          <w:i w:val="0"/>
          <w:color w:val="000000" w:themeColor="text1"/>
          <w:sz w:val="20"/>
          <w:szCs w:val="20"/>
        </w:rPr>
        <w:t xml:space="preserve">Figure </w:t>
      </w:r>
      <w:r w:rsidR="005B60D3">
        <w:rPr>
          <w:rFonts w:ascii="Bookman Old Style" w:hAnsi="Bookman Old Style" w:cs="Times New Roman"/>
          <w:b/>
          <w:i w:val="0"/>
          <w:color w:val="000000" w:themeColor="text1"/>
          <w:sz w:val="20"/>
          <w:szCs w:val="20"/>
        </w:rPr>
        <w:t>14</w:t>
      </w:r>
      <w:r w:rsidRPr="004F6844">
        <w:rPr>
          <w:rFonts w:ascii="Bookman Old Style" w:hAnsi="Bookman Old Style" w:cs="Times New Roman"/>
          <w:b/>
          <w:i w:val="0"/>
          <w:color w:val="auto"/>
          <w:sz w:val="20"/>
          <w:szCs w:val="20"/>
        </w:rPr>
        <w:t xml:space="preserve"> </w:t>
      </w:r>
      <w:r w:rsidRPr="004F6844">
        <w:rPr>
          <w:rFonts w:ascii="Bookman Old Style" w:hAnsi="Bookman Old Style" w:cs="Times New Roman"/>
          <w:i w:val="0"/>
          <w:color w:val="auto"/>
          <w:sz w:val="20"/>
          <w:szCs w:val="20"/>
        </w:rPr>
        <w:t>Effect of Cu</w:t>
      </w:r>
      <w:r w:rsidRPr="004F6844">
        <w:rPr>
          <w:rFonts w:ascii="Bookman Old Style" w:hAnsi="Bookman Old Style" w:cs="Times New Roman"/>
          <w:i w:val="0"/>
          <w:color w:val="auto"/>
          <w:sz w:val="20"/>
          <w:szCs w:val="20"/>
          <w:vertAlign w:val="superscript"/>
        </w:rPr>
        <w:t>2+</w:t>
      </w:r>
      <w:r w:rsidRPr="004F6844">
        <w:rPr>
          <w:rFonts w:ascii="Bookman Old Style" w:hAnsi="Bookman Old Style" w:cs="Times New Roman"/>
          <w:i w:val="0"/>
          <w:color w:val="auto"/>
          <w:sz w:val="20"/>
          <w:szCs w:val="20"/>
          <w:vertAlign w:val="subscript"/>
        </w:rPr>
        <w:t xml:space="preserve"> </w:t>
      </w:r>
      <w:r w:rsidRPr="004F6844">
        <w:rPr>
          <w:rFonts w:ascii="Bookman Old Style" w:hAnsi="Bookman Old Style" w:cs="Times New Roman"/>
          <w:i w:val="0"/>
          <w:color w:val="auto"/>
          <w:sz w:val="20"/>
          <w:szCs w:val="20"/>
        </w:rPr>
        <w:t>initial concentration on its percentage removal</w:t>
      </w:r>
      <w:bookmarkEnd w:id="53"/>
      <w:bookmarkEnd w:id="54"/>
      <w:bookmarkEnd w:id="55"/>
    </w:p>
    <w:p w14:paraId="32ECEA1F" w14:textId="77777777" w:rsidR="006458F7" w:rsidRPr="004F6844" w:rsidRDefault="006458F7" w:rsidP="002C386F">
      <w:pPr>
        <w:spacing w:line="240" w:lineRule="auto"/>
        <w:rPr>
          <w:rFonts w:ascii="Bookman Old Style" w:hAnsi="Bookman Old Style" w:cs="Times New Roman"/>
          <w:sz w:val="20"/>
          <w:szCs w:val="20"/>
        </w:rPr>
      </w:pPr>
      <w:r w:rsidRPr="004F6844">
        <w:rPr>
          <w:rFonts w:ascii="Bookman Old Style" w:hAnsi="Bookman Old Style"/>
          <w:noProof/>
          <w:sz w:val="20"/>
          <w:szCs w:val="20"/>
          <w:lang w:val="en-US"/>
        </w:rPr>
        <w:lastRenderedPageBreak/>
        <w:drawing>
          <wp:inline distT="0" distB="0" distL="0" distR="0" wp14:anchorId="1596448E" wp14:editId="31F4A2AF">
            <wp:extent cx="2895600" cy="26289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5DE6C58" w14:textId="7A1FB31E" w:rsidR="006458F7" w:rsidRPr="004F6844" w:rsidRDefault="006458F7" w:rsidP="002C386F">
      <w:pPr>
        <w:pStyle w:val="Caption"/>
        <w:rPr>
          <w:rFonts w:ascii="Bookman Old Style" w:hAnsi="Bookman Old Style" w:cs="Times New Roman"/>
          <w:i w:val="0"/>
          <w:color w:val="auto"/>
          <w:sz w:val="20"/>
          <w:szCs w:val="20"/>
        </w:rPr>
      </w:pPr>
      <w:bookmarkStart w:id="56" w:name="_Toc86554894"/>
      <w:bookmarkStart w:id="57" w:name="_Toc87205458"/>
      <w:bookmarkStart w:id="58" w:name="_Toc104977863"/>
      <w:r w:rsidRPr="004F6844">
        <w:rPr>
          <w:rFonts w:ascii="Bookman Old Style" w:hAnsi="Bookman Old Style" w:cs="Times New Roman"/>
          <w:b/>
          <w:i w:val="0"/>
          <w:color w:val="000000" w:themeColor="text1"/>
          <w:sz w:val="20"/>
          <w:szCs w:val="20"/>
        </w:rPr>
        <w:t xml:space="preserve">Figure </w:t>
      </w:r>
      <w:r w:rsidR="005B60D3">
        <w:rPr>
          <w:rFonts w:ascii="Bookman Old Style" w:hAnsi="Bookman Old Style" w:cs="Times New Roman"/>
          <w:b/>
          <w:i w:val="0"/>
          <w:color w:val="000000" w:themeColor="text1"/>
          <w:sz w:val="20"/>
          <w:szCs w:val="20"/>
        </w:rPr>
        <w:t>15</w:t>
      </w:r>
      <w:r w:rsidRPr="004F6844">
        <w:rPr>
          <w:rFonts w:ascii="Bookman Old Style" w:hAnsi="Bookman Old Style"/>
          <w:sz w:val="20"/>
          <w:szCs w:val="20"/>
        </w:rPr>
        <w:t xml:space="preserve"> </w:t>
      </w:r>
      <w:r w:rsidRPr="004F6844">
        <w:rPr>
          <w:rFonts w:ascii="Bookman Old Style" w:hAnsi="Bookman Old Style" w:cs="Times New Roman"/>
          <w:i w:val="0"/>
          <w:color w:val="auto"/>
          <w:sz w:val="20"/>
          <w:szCs w:val="20"/>
        </w:rPr>
        <w:t>Effect of Cd</w:t>
      </w:r>
      <w:r w:rsidRPr="004F6844">
        <w:rPr>
          <w:rFonts w:ascii="Bookman Old Style" w:hAnsi="Bookman Old Style" w:cs="Times New Roman"/>
          <w:i w:val="0"/>
          <w:color w:val="auto"/>
          <w:sz w:val="20"/>
          <w:szCs w:val="20"/>
          <w:vertAlign w:val="superscript"/>
        </w:rPr>
        <w:t>2+</w:t>
      </w:r>
      <w:r w:rsidRPr="004F6844">
        <w:rPr>
          <w:rFonts w:ascii="Bookman Old Style" w:hAnsi="Bookman Old Style" w:cs="Times New Roman"/>
          <w:i w:val="0"/>
          <w:color w:val="auto"/>
          <w:sz w:val="20"/>
          <w:szCs w:val="20"/>
          <w:vertAlign w:val="subscript"/>
        </w:rPr>
        <w:t xml:space="preserve"> </w:t>
      </w:r>
      <w:r w:rsidRPr="004F6844">
        <w:rPr>
          <w:rFonts w:ascii="Bookman Old Style" w:hAnsi="Bookman Old Style" w:cs="Times New Roman"/>
          <w:i w:val="0"/>
          <w:color w:val="auto"/>
          <w:sz w:val="20"/>
          <w:szCs w:val="20"/>
        </w:rPr>
        <w:t>initial concentration on its percentage removal</w:t>
      </w:r>
      <w:bookmarkEnd w:id="56"/>
      <w:bookmarkEnd w:id="57"/>
      <w:bookmarkEnd w:id="58"/>
    </w:p>
    <w:p w14:paraId="790D8892" w14:textId="77777777" w:rsidR="006458F7" w:rsidRPr="004F6844" w:rsidRDefault="006458F7" w:rsidP="00D21247">
      <w:pPr>
        <w:pStyle w:val="Heading3"/>
        <w:numPr>
          <w:ilvl w:val="0"/>
          <w:numId w:val="0"/>
        </w:numPr>
        <w:spacing w:before="0" w:line="240" w:lineRule="auto"/>
        <w:jc w:val="both"/>
        <w:rPr>
          <w:rFonts w:ascii="Bookman Old Style" w:hAnsi="Bookman Old Style" w:cs="Times New Roman"/>
          <w:color w:val="auto"/>
          <w:sz w:val="20"/>
          <w:szCs w:val="20"/>
        </w:rPr>
      </w:pPr>
      <w:bookmarkStart w:id="59" w:name="_Toc74024936"/>
      <w:bookmarkStart w:id="60" w:name="_Toc87205386"/>
      <w:bookmarkStart w:id="61" w:name="_Toc105786441"/>
      <w:r w:rsidRPr="004F6844">
        <w:rPr>
          <w:rFonts w:ascii="Bookman Old Style" w:hAnsi="Bookman Old Style" w:cs="Times New Roman"/>
          <w:color w:val="auto"/>
          <w:sz w:val="20"/>
          <w:szCs w:val="20"/>
        </w:rPr>
        <w:t>Effect of temperature</w:t>
      </w:r>
      <w:bookmarkEnd w:id="59"/>
      <w:bookmarkEnd w:id="60"/>
      <w:bookmarkEnd w:id="61"/>
    </w:p>
    <w:p w14:paraId="2640BDC0" w14:textId="77777777" w:rsidR="00263669" w:rsidRDefault="00263669" w:rsidP="00D21247">
      <w:pPr>
        <w:spacing w:after="0" w:line="240" w:lineRule="auto"/>
        <w:jc w:val="both"/>
        <w:rPr>
          <w:rFonts w:ascii="Bookman Old Style" w:hAnsi="Bookman Old Style" w:cs="Times New Roman"/>
          <w:sz w:val="20"/>
          <w:szCs w:val="20"/>
        </w:rPr>
        <w:sectPr w:rsidR="00263669" w:rsidSect="0075348A">
          <w:type w:val="continuous"/>
          <w:pgSz w:w="12240" w:h="15840"/>
          <w:pgMar w:top="1440" w:right="1440" w:bottom="1440" w:left="1440" w:header="720" w:footer="720" w:gutter="0"/>
          <w:cols w:space="720"/>
          <w:docGrid w:linePitch="360"/>
        </w:sectPr>
      </w:pPr>
    </w:p>
    <w:p w14:paraId="173D48F2" w14:textId="541434F7" w:rsidR="006458F7" w:rsidRPr="004F6844" w:rsidRDefault="006458F7" w:rsidP="00D21247">
      <w:pPr>
        <w:spacing w:after="0" w:line="240" w:lineRule="auto"/>
        <w:jc w:val="both"/>
        <w:rPr>
          <w:rFonts w:ascii="Bookman Old Style" w:hAnsi="Bookman Old Style" w:cs="Times New Roman"/>
          <w:sz w:val="20"/>
          <w:szCs w:val="20"/>
        </w:rPr>
      </w:pPr>
      <w:r w:rsidRPr="004F6844">
        <w:rPr>
          <w:rFonts w:ascii="Bookman Old Style" w:hAnsi="Bookman Old Style" w:cs="Times New Roman"/>
          <w:sz w:val="20"/>
          <w:szCs w:val="20"/>
        </w:rPr>
        <w:t xml:space="preserve">This parameter was studied using the adsorbents dosage of 0.10g for nitrate and phosphate, and 0.20g for cadmium, lead and copper. The initial concentration was 10ppm, the pH was 7, the contact time was 30 minutes and the temperature varied between 298K and 353K. </w:t>
      </w:r>
    </w:p>
    <w:p w14:paraId="25242D54" w14:textId="3D4F5E5A" w:rsidR="006458F7" w:rsidRPr="004F6844" w:rsidRDefault="006458F7" w:rsidP="00D21247">
      <w:pPr>
        <w:spacing w:after="0" w:line="240" w:lineRule="auto"/>
        <w:jc w:val="both"/>
        <w:rPr>
          <w:rFonts w:ascii="Bookman Old Style" w:hAnsi="Bookman Old Style" w:cs="Times New Roman"/>
          <w:sz w:val="20"/>
          <w:szCs w:val="20"/>
        </w:rPr>
      </w:pPr>
      <w:r w:rsidRPr="004F6844">
        <w:rPr>
          <w:rFonts w:ascii="Bookman Old Style" w:hAnsi="Bookman Old Style" w:cs="Times New Roman"/>
          <w:sz w:val="20"/>
          <w:szCs w:val="20"/>
        </w:rPr>
        <w:t xml:space="preserve">This experiment, Figures </w:t>
      </w:r>
      <w:r w:rsidR="005B60D3">
        <w:rPr>
          <w:rFonts w:ascii="Bookman Old Style" w:hAnsi="Bookman Old Style" w:cs="Times New Roman"/>
          <w:sz w:val="20"/>
          <w:szCs w:val="20"/>
        </w:rPr>
        <w:t>14</w:t>
      </w:r>
      <w:r w:rsidRPr="004F6844">
        <w:rPr>
          <w:rFonts w:ascii="Bookman Old Style" w:hAnsi="Bookman Old Style" w:cs="Times New Roman"/>
          <w:sz w:val="20"/>
          <w:szCs w:val="20"/>
        </w:rPr>
        <w:t xml:space="preserve">, </w:t>
      </w:r>
      <w:r w:rsidR="005B60D3">
        <w:rPr>
          <w:rFonts w:ascii="Bookman Old Style" w:hAnsi="Bookman Old Style" w:cs="Times New Roman"/>
          <w:sz w:val="20"/>
          <w:szCs w:val="20"/>
        </w:rPr>
        <w:t>15</w:t>
      </w:r>
      <w:r w:rsidRPr="004F6844">
        <w:rPr>
          <w:rFonts w:ascii="Bookman Old Style" w:hAnsi="Bookman Old Style" w:cs="Times New Roman"/>
          <w:sz w:val="20"/>
          <w:szCs w:val="20"/>
        </w:rPr>
        <w:t xml:space="preserve">, </w:t>
      </w:r>
      <w:r w:rsidR="005B60D3">
        <w:rPr>
          <w:rFonts w:ascii="Bookman Old Style" w:hAnsi="Bookman Old Style" w:cs="Times New Roman"/>
          <w:sz w:val="20"/>
          <w:szCs w:val="20"/>
        </w:rPr>
        <w:t>16</w:t>
      </w:r>
      <w:r w:rsidRPr="004F6844">
        <w:rPr>
          <w:rFonts w:ascii="Bookman Old Style" w:hAnsi="Bookman Old Style" w:cs="Times New Roman"/>
          <w:sz w:val="20"/>
          <w:szCs w:val="20"/>
        </w:rPr>
        <w:t xml:space="preserve">, and </w:t>
      </w:r>
      <w:r w:rsidR="005B60D3">
        <w:rPr>
          <w:rFonts w:ascii="Bookman Old Style" w:hAnsi="Bookman Old Style" w:cs="Times New Roman"/>
          <w:sz w:val="20"/>
          <w:szCs w:val="20"/>
        </w:rPr>
        <w:t>17</w:t>
      </w:r>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revealed</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that</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temperature</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had</w:t>
      </w:r>
      <w:proofErr w:type="spellEnd"/>
      <w:r w:rsidRPr="004F6844">
        <w:rPr>
          <w:rFonts w:ascii="Bookman Old Style" w:hAnsi="Bookman Old Style" w:cs="Times New Roman"/>
          <w:sz w:val="20"/>
          <w:szCs w:val="20"/>
        </w:rPr>
        <w:t xml:space="preserve"> no effect on the adsorption study. In general, increasing the temperature reduces adsorption as the attractiveness between the adsorbent and the ions site of the adsorbate decreases</w:t>
      </w:r>
      <w:r w:rsidR="00CD502B" w:rsidRPr="004F6844">
        <w:rPr>
          <w:rFonts w:ascii="Bookman Old Style" w:hAnsi="Bookman Old Style" w:cs="Times New Roman"/>
          <w:sz w:val="20"/>
          <w:szCs w:val="20"/>
          <w:vertAlign w:val="superscript"/>
        </w:rPr>
        <w:t>[28]</w:t>
      </w:r>
      <w:r w:rsidRPr="004F6844">
        <w:rPr>
          <w:rFonts w:ascii="Bookman Old Style" w:hAnsi="Bookman Old Style" w:cs="Times New Roman"/>
          <w:sz w:val="20"/>
          <w:szCs w:val="20"/>
        </w:rPr>
        <w:t xml:space="preserve">. However, this temperature is differ for different ions. Therefore, for lead in figure </w:t>
      </w:r>
      <w:r w:rsidR="005B60D3">
        <w:rPr>
          <w:rFonts w:ascii="Bookman Old Style" w:hAnsi="Bookman Old Style" w:cs="Times New Roman"/>
          <w:sz w:val="20"/>
          <w:szCs w:val="20"/>
        </w:rPr>
        <w:t>15</w:t>
      </w:r>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it</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was</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observed</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that</w:t>
      </w:r>
      <w:proofErr w:type="spellEnd"/>
      <w:r w:rsidRPr="004F6844">
        <w:rPr>
          <w:rFonts w:ascii="Bookman Old Style" w:hAnsi="Bookman Old Style" w:cs="Times New Roman"/>
          <w:sz w:val="20"/>
          <w:szCs w:val="20"/>
        </w:rPr>
        <w:t xml:space="preserve"> as the temperature increased from 298 k to 353k, the percentage removal decreased.</w:t>
      </w:r>
    </w:p>
    <w:p w14:paraId="7B7C3A14" w14:textId="77777777" w:rsidR="00263669" w:rsidRDefault="00263669" w:rsidP="00D21247">
      <w:pPr>
        <w:pStyle w:val="Caption"/>
        <w:spacing w:after="0"/>
        <w:jc w:val="both"/>
        <w:rPr>
          <w:rFonts w:ascii="Bookman Old Style" w:hAnsi="Bookman Old Style" w:cs="Times New Roman"/>
          <w:i w:val="0"/>
          <w:color w:val="000000" w:themeColor="text1"/>
          <w:sz w:val="20"/>
          <w:szCs w:val="20"/>
        </w:rPr>
        <w:sectPr w:rsidR="00263669" w:rsidSect="0075348A">
          <w:type w:val="continuous"/>
          <w:pgSz w:w="12240" w:h="15840"/>
          <w:pgMar w:top="1440" w:right="1440" w:bottom="1440" w:left="1440" w:header="720" w:footer="720" w:gutter="0"/>
          <w:cols w:space="720"/>
          <w:docGrid w:linePitch="360"/>
        </w:sectPr>
      </w:pPr>
    </w:p>
    <w:p w14:paraId="77EBB8F1" w14:textId="77777777" w:rsidR="006458F7" w:rsidRPr="004F6844" w:rsidRDefault="006458F7" w:rsidP="002C386F">
      <w:pPr>
        <w:spacing w:line="240" w:lineRule="auto"/>
        <w:rPr>
          <w:rFonts w:ascii="Bookman Old Style" w:hAnsi="Bookman Old Style" w:cs="Times New Roman"/>
          <w:i/>
          <w:sz w:val="20"/>
          <w:szCs w:val="20"/>
        </w:rPr>
      </w:pPr>
      <w:r w:rsidRPr="004F6844">
        <w:rPr>
          <w:rFonts w:ascii="Bookman Old Style" w:hAnsi="Bookman Old Style"/>
          <w:noProof/>
          <w:sz w:val="20"/>
          <w:szCs w:val="20"/>
          <w:lang w:val="en-US"/>
        </w:rPr>
        <w:drawing>
          <wp:inline distT="0" distB="0" distL="0" distR="0" wp14:anchorId="2314DC41" wp14:editId="394CFA2D">
            <wp:extent cx="3054350" cy="2298700"/>
            <wp:effectExtent l="0" t="0" r="12700" b="63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bookmarkStart w:id="62" w:name="_Toc86554895"/>
      <w:bookmarkStart w:id="63" w:name="_Toc87205459"/>
    </w:p>
    <w:p w14:paraId="2922F60E" w14:textId="76CBB14F" w:rsidR="006458F7" w:rsidRPr="004F6844" w:rsidRDefault="006458F7" w:rsidP="002C386F">
      <w:pPr>
        <w:pStyle w:val="Caption"/>
        <w:rPr>
          <w:rFonts w:ascii="Bookman Old Style" w:hAnsi="Bookman Old Style" w:cs="Times New Roman"/>
          <w:i w:val="0"/>
          <w:color w:val="auto"/>
          <w:sz w:val="20"/>
          <w:szCs w:val="20"/>
          <w:vertAlign w:val="superscript"/>
        </w:rPr>
      </w:pPr>
      <w:bookmarkStart w:id="64" w:name="_Toc104977864"/>
      <w:r w:rsidRPr="004F6844">
        <w:rPr>
          <w:rFonts w:ascii="Bookman Old Style" w:hAnsi="Bookman Old Style" w:cs="Times New Roman"/>
          <w:b/>
          <w:i w:val="0"/>
          <w:color w:val="000000" w:themeColor="text1"/>
          <w:sz w:val="20"/>
          <w:szCs w:val="20"/>
        </w:rPr>
        <w:t xml:space="preserve">Figure </w:t>
      </w:r>
      <w:r w:rsidR="005B60D3">
        <w:rPr>
          <w:rFonts w:ascii="Bookman Old Style" w:hAnsi="Bookman Old Style" w:cs="Times New Roman"/>
          <w:b/>
          <w:i w:val="0"/>
          <w:color w:val="000000" w:themeColor="text1"/>
          <w:sz w:val="20"/>
          <w:szCs w:val="20"/>
        </w:rPr>
        <w:t>16</w:t>
      </w:r>
      <w:r w:rsidRPr="004F6844">
        <w:rPr>
          <w:rFonts w:ascii="Bookman Old Style" w:hAnsi="Bookman Old Style" w:cs="Times New Roman"/>
          <w:b/>
          <w:i w:val="0"/>
          <w:color w:val="auto"/>
          <w:sz w:val="20"/>
          <w:szCs w:val="20"/>
        </w:rPr>
        <w:t xml:space="preserve"> </w:t>
      </w:r>
      <w:r w:rsidRPr="004F6844">
        <w:rPr>
          <w:rFonts w:ascii="Bookman Old Style" w:hAnsi="Bookman Old Style" w:cs="Times New Roman"/>
          <w:i w:val="0"/>
          <w:color w:val="auto"/>
          <w:sz w:val="20"/>
          <w:szCs w:val="20"/>
        </w:rPr>
        <w:t>Effect of temperature on the percentage removal of NO</w:t>
      </w:r>
      <w:r w:rsidRPr="004F6844">
        <w:rPr>
          <w:rFonts w:ascii="Bookman Old Style" w:hAnsi="Bookman Old Style" w:cs="Times New Roman"/>
          <w:i w:val="0"/>
          <w:color w:val="auto"/>
          <w:sz w:val="20"/>
          <w:szCs w:val="20"/>
          <w:vertAlign w:val="subscript"/>
        </w:rPr>
        <w:t>3</w:t>
      </w:r>
      <w:r w:rsidRPr="004F6844">
        <w:rPr>
          <w:rFonts w:ascii="Bookman Old Style" w:hAnsi="Bookman Old Style" w:cs="Times New Roman"/>
          <w:i w:val="0"/>
          <w:color w:val="auto"/>
          <w:sz w:val="20"/>
          <w:szCs w:val="20"/>
          <w:vertAlign w:val="superscript"/>
        </w:rPr>
        <w:t>-</w:t>
      </w:r>
      <w:bookmarkEnd w:id="62"/>
      <w:bookmarkEnd w:id="63"/>
      <w:bookmarkEnd w:id="64"/>
    </w:p>
    <w:p w14:paraId="713E3447" w14:textId="77777777" w:rsidR="006F493F" w:rsidRPr="004F6844" w:rsidRDefault="006F493F" w:rsidP="006F493F">
      <w:pPr>
        <w:rPr>
          <w:rFonts w:ascii="Bookman Old Style" w:hAnsi="Bookman Old Style"/>
          <w:sz w:val="20"/>
          <w:szCs w:val="20"/>
          <w:lang w:val="en-US"/>
        </w:rPr>
      </w:pPr>
    </w:p>
    <w:p w14:paraId="3D463E58" w14:textId="77777777" w:rsidR="006458F7" w:rsidRPr="004F6844" w:rsidRDefault="006458F7" w:rsidP="002C386F">
      <w:pPr>
        <w:pStyle w:val="Caption"/>
        <w:rPr>
          <w:rFonts w:ascii="Bookman Old Style" w:hAnsi="Bookman Old Style"/>
          <w:sz w:val="20"/>
          <w:szCs w:val="20"/>
        </w:rPr>
      </w:pPr>
      <w:r w:rsidRPr="004F6844">
        <w:rPr>
          <w:rFonts w:ascii="Bookman Old Style" w:hAnsi="Bookman Old Style"/>
          <w:noProof/>
          <w:sz w:val="20"/>
          <w:szCs w:val="20"/>
        </w:rPr>
        <w:lastRenderedPageBreak/>
        <w:drawing>
          <wp:inline distT="0" distB="0" distL="0" distR="0" wp14:anchorId="5CC16D6A" wp14:editId="73FD9C9B">
            <wp:extent cx="3568700" cy="2006600"/>
            <wp:effectExtent l="0" t="0" r="12700" b="1270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AD285D8" w14:textId="58C60AA6" w:rsidR="006458F7" w:rsidRPr="004F6844" w:rsidRDefault="006458F7" w:rsidP="002C386F">
      <w:pPr>
        <w:pStyle w:val="Caption"/>
        <w:rPr>
          <w:rFonts w:ascii="Bookman Old Style" w:hAnsi="Bookman Old Style" w:cs="Times New Roman"/>
          <w:i w:val="0"/>
          <w:color w:val="auto"/>
          <w:sz w:val="20"/>
          <w:szCs w:val="20"/>
          <w:vertAlign w:val="superscript"/>
        </w:rPr>
      </w:pPr>
      <w:bookmarkStart w:id="65" w:name="_Toc86554896"/>
      <w:bookmarkStart w:id="66" w:name="_Toc87205460"/>
      <w:bookmarkStart w:id="67" w:name="_Toc104977865"/>
      <w:r w:rsidRPr="004F6844">
        <w:rPr>
          <w:rFonts w:ascii="Bookman Old Style" w:hAnsi="Bookman Old Style" w:cs="Times New Roman"/>
          <w:b/>
          <w:i w:val="0"/>
          <w:color w:val="000000" w:themeColor="text1"/>
          <w:sz w:val="20"/>
          <w:szCs w:val="20"/>
        </w:rPr>
        <w:t xml:space="preserve">Figure </w:t>
      </w:r>
      <w:r w:rsidR="005B60D3">
        <w:rPr>
          <w:rFonts w:ascii="Bookman Old Style" w:hAnsi="Bookman Old Style" w:cs="Times New Roman"/>
          <w:b/>
          <w:i w:val="0"/>
          <w:color w:val="000000" w:themeColor="text1"/>
          <w:sz w:val="20"/>
          <w:szCs w:val="20"/>
        </w:rPr>
        <w:t>17</w:t>
      </w:r>
      <w:r w:rsidRPr="004F6844">
        <w:rPr>
          <w:rFonts w:ascii="Bookman Old Style" w:hAnsi="Bookman Old Style"/>
          <w:sz w:val="20"/>
          <w:szCs w:val="20"/>
        </w:rPr>
        <w:t xml:space="preserve"> </w:t>
      </w:r>
      <w:r w:rsidRPr="004F6844">
        <w:rPr>
          <w:rFonts w:ascii="Bookman Old Style" w:hAnsi="Bookman Old Style" w:cs="Times New Roman"/>
          <w:i w:val="0"/>
          <w:color w:val="auto"/>
          <w:sz w:val="20"/>
          <w:szCs w:val="20"/>
        </w:rPr>
        <w:t>Effect of temperature on the percentage removal of PO</w:t>
      </w:r>
      <w:r w:rsidRPr="004F6844">
        <w:rPr>
          <w:rFonts w:ascii="Bookman Old Style" w:hAnsi="Bookman Old Style" w:cs="Times New Roman"/>
          <w:i w:val="0"/>
          <w:color w:val="auto"/>
          <w:sz w:val="20"/>
          <w:szCs w:val="20"/>
          <w:vertAlign w:val="subscript"/>
        </w:rPr>
        <w:t>4</w:t>
      </w:r>
      <w:r w:rsidRPr="004F6844">
        <w:rPr>
          <w:rFonts w:ascii="Bookman Old Style" w:hAnsi="Bookman Old Style" w:cs="Times New Roman"/>
          <w:i w:val="0"/>
          <w:color w:val="auto"/>
          <w:sz w:val="20"/>
          <w:szCs w:val="20"/>
          <w:vertAlign w:val="superscript"/>
        </w:rPr>
        <w:t>3-</w:t>
      </w:r>
      <w:bookmarkEnd w:id="65"/>
      <w:bookmarkEnd w:id="66"/>
      <w:bookmarkEnd w:id="67"/>
    </w:p>
    <w:p w14:paraId="152F45F2" w14:textId="77777777" w:rsidR="006458F7" w:rsidRPr="004F6844" w:rsidRDefault="006458F7" w:rsidP="002C386F">
      <w:pPr>
        <w:spacing w:line="240" w:lineRule="auto"/>
        <w:rPr>
          <w:rFonts w:ascii="Bookman Old Style" w:hAnsi="Bookman Old Style" w:cs="Times New Roman"/>
          <w:sz w:val="20"/>
          <w:szCs w:val="20"/>
        </w:rPr>
      </w:pPr>
      <w:r w:rsidRPr="004F6844">
        <w:rPr>
          <w:rFonts w:ascii="Bookman Old Style" w:hAnsi="Bookman Old Style"/>
          <w:noProof/>
          <w:sz w:val="20"/>
          <w:szCs w:val="20"/>
          <w:lang w:val="en-US"/>
        </w:rPr>
        <w:drawing>
          <wp:inline distT="0" distB="0" distL="0" distR="0" wp14:anchorId="2E95F450" wp14:editId="51C38933">
            <wp:extent cx="2768600" cy="1739900"/>
            <wp:effectExtent l="0" t="0" r="12700" b="1270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19B17AD" w14:textId="21FC5D59" w:rsidR="006458F7" w:rsidRPr="004F6844" w:rsidRDefault="006458F7" w:rsidP="002C386F">
      <w:pPr>
        <w:pStyle w:val="Caption"/>
        <w:rPr>
          <w:rFonts w:ascii="Bookman Old Style" w:hAnsi="Bookman Old Style" w:cs="Times New Roman"/>
          <w:i w:val="0"/>
          <w:color w:val="auto"/>
          <w:sz w:val="20"/>
          <w:szCs w:val="20"/>
          <w:vertAlign w:val="superscript"/>
        </w:rPr>
      </w:pPr>
      <w:bookmarkStart w:id="68" w:name="_Toc86554897"/>
      <w:bookmarkStart w:id="69" w:name="_Toc87205461"/>
      <w:bookmarkStart w:id="70" w:name="_Toc104977866"/>
      <w:r w:rsidRPr="004F6844">
        <w:rPr>
          <w:rFonts w:ascii="Bookman Old Style" w:hAnsi="Bookman Old Style" w:cs="Times New Roman"/>
          <w:b/>
          <w:i w:val="0"/>
          <w:color w:val="000000" w:themeColor="text1"/>
          <w:sz w:val="20"/>
          <w:szCs w:val="20"/>
        </w:rPr>
        <w:t xml:space="preserve">Figure </w:t>
      </w:r>
      <w:r w:rsidR="005B60D3">
        <w:rPr>
          <w:rFonts w:ascii="Bookman Old Style" w:hAnsi="Bookman Old Style" w:cs="Times New Roman"/>
          <w:b/>
          <w:i w:val="0"/>
          <w:color w:val="000000" w:themeColor="text1"/>
          <w:sz w:val="20"/>
          <w:szCs w:val="20"/>
        </w:rPr>
        <w:t>18</w:t>
      </w:r>
      <w:r w:rsidRPr="004F6844">
        <w:rPr>
          <w:rFonts w:ascii="Bookman Old Style" w:hAnsi="Bookman Old Style"/>
          <w:color w:val="000000" w:themeColor="text1"/>
          <w:sz w:val="20"/>
          <w:szCs w:val="20"/>
        </w:rPr>
        <w:t xml:space="preserve"> </w:t>
      </w:r>
      <w:r w:rsidRPr="004F6844">
        <w:rPr>
          <w:rFonts w:ascii="Bookman Old Style" w:hAnsi="Bookman Old Style" w:cs="Times New Roman"/>
          <w:i w:val="0"/>
          <w:color w:val="auto"/>
          <w:sz w:val="20"/>
          <w:szCs w:val="20"/>
        </w:rPr>
        <w:t>Effect of temperature on the percentage removal of Pb</w:t>
      </w:r>
      <w:r w:rsidRPr="004F6844">
        <w:rPr>
          <w:rFonts w:ascii="Bookman Old Style" w:hAnsi="Bookman Old Style" w:cs="Times New Roman"/>
          <w:i w:val="0"/>
          <w:color w:val="auto"/>
          <w:sz w:val="20"/>
          <w:szCs w:val="20"/>
          <w:vertAlign w:val="superscript"/>
        </w:rPr>
        <w:t>2+</w:t>
      </w:r>
      <w:bookmarkEnd w:id="68"/>
      <w:bookmarkEnd w:id="69"/>
      <w:bookmarkEnd w:id="70"/>
    </w:p>
    <w:p w14:paraId="45E81B9E" w14:textId="77777777" w:rsidR="006458F7" w:rsidRPr="004F6844" w:rsidRDefault="006458F7" w:rsidP="002C386F">
      <w:pPr>
        <w:spacing w:line="240" w:lineRule="auto"/>
        <w:rPr>
          <w:rFonts w:ascii="Bookman Old Style" w:hAnsi="Bookman Old Style" w:cs="Times New Roman"/>
          <w:sz w:val="20"/>
          <w:szCs w:val="20"/>
        </w:rPr>
      </w:pPr>
      <w:r w:rsidRPr="004F6844">
        <w:rPr>
          <w:rFonts w:ascii="Bookman Old Style" w:hAnsi="Bookman Old Style"/>
          <w:noProof/>
          <w:sz w:val="20"/>
          <w:szCs w:val="20"/>
          <w:lang w:val="en-US"/>
        </w:rPr>
        <w:drawing>
          <wp:inline distT="0" distB="0" distL="0" distR="0" wp14:anchorId="76B48EC7" wp14:editId="65732A2D">
            <wp:extent cx="2654300" cy="1936750"/>
            <wp:effectExtent l="0" t="0" r="12700" b="635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4785915" w14:textId="1CD74F77" w:rsidR="006458F7" w:rsidRPr="004F6844" w:rsidRDefault="006458F7" w:rsidP="002C386F">
      <w:pPr>
        <w:pStyle w:val="Caption"/>
        <w:rPr>
          <w:rFonts w:ascii="Bookman Old Style" w:hAnsi="Bookman Old Style" w:cs="Times New Roman"/>
          <w:i w:val="0"/>
          <w:color w:val="auto"/>
          <w:sz w:val="20"/>
          <w:szCs w:val="20"/>
          <w:vertAlign w:val="superscript"/>
        </w:rPr>
      </w:pPr>
      <w:bookmarkStart w:id="71" w:name="_Toc86554898"/>
      <w:bookmarkStart w:id="72" w:name="_Toc87205462"/>
      <w:bookmarkStart w:id="73" w:name="_Toc104977867"/>
      <w:r w:rsidRPr="004F6844">
        <w:rPr>
          <w:rFonts w:ascii="Bookman Old Style" w:hAnsi="Bookman Old Style" w:cs="Times New Roman"/>
          <w:b/>
          <w:i w:val="0"/>
          <w:color w:val="000000" w:themeColor="text1"/>
          <w:sz w:val="20"/>
          <w:szCs w:val="20"/>
        </w:rPr>
        <w:t xml:space="preserve">Figure </w:t>
      </w:r>
      <w:r w:rsidR="005B60D3">
        <w:rPr>
          <w:rFonts w:ascii="Bookman Old Style" w:hAnsi="Bookman Old Style" w:cs="Times New Roman"/>
          <w:b/>
          <w:i w:val="0"/>
          <w:color w:val="000000" w:themeColor="text1"/>
          <w:sz w:val="20"/>
          <w:szCs w:val="20"/>
        </w:rPr>
        <w:t>19</w:t>
      </w:r>
      <w:r w:rsidRPr="004F6844">
        <w:rPr>
          <w:rFonts w:ascii="Bookman Old Style" w:hAnsi="Bookman Old Style" w:cs="Times New Roman"/>
          <w:i w:val="0"/>
          <w:color w:val="auto"/>
          <w:sz w:val="20"/>
          <w:szCs w:val="20"/>
        </w:rPr>
        <w:t xml:space="preserve"> Effect of temperature on the percentage removal of Cu</w:t>
      </w:r>
      <w:r w:rsidRPr="004F6844">
        <w:rPr>
          <w:rFonts w:ascii="Bookman Old Style" w:hAnsi="Bookman Old Style" w:cs="Times New Roman"/>
          <w:i w:val="0"/>
          <w:color w:val="auto"/>
          <w:sz w:val="20"/>
          <w:szCs w:val="20"/>
          <w:vertAlign w:val="superscript"/>
        </w:rPr>
        <w:t>2+</w:t>
      </w:r>
      <w:bookmarkEnd w:id="71"/>
      <w:bookmarkEnd w:id="72"/>
      <w:bookmarkEnd w:id="73"/>
    </w:p>
    <w:p w14:paraId="4031AF69" w14:textId="77777777" w:rsidR="004F6844" w:rsidRPr="004F6844" w:rsidRDefault="004F6844" w:rsidP="004F6844">
      <w:pPr>
        <w:pStyle w:val="Caption"/>
        <w:rPr>
          <w:rFonts w:ascii="Bookman Old Style" w:hAnsi="Bookman Old Style" w:cs="Times New Roman"/>
          <w:i w:val="0"/>
          <w:color w:val="000000" w:themeColor="text1"/>
          <w:sz w:val="20"/>
          <w:szCs w:val="20"/>
        </w:rPr>
      </w:pPr>
    </w:p>
    <w:p w14:paraId="06F2039E" w14:textId="77777777" w:rsidR="006458F7" w:rsidRPr="004F6844" w:rsidRDefault="006458F7" w:rsidP="002C386F">
      <w:pPr>
        <w:spacing w:line="240" w:lineRule="auto"/>
        <w:rPr>
          <w:rFonts w:ascii="Bookman Old Style" w:hAnsi="Bookman Old Style" w:cs="Times New Roman"/>
          <w:sz w:val="20"/>
          <w:szCs w:val="20"/>
        </w:rPr>
      </w:pPr>
      <w:r w:rsidRPr="004F6844">
        <w:rPr>
          <w:rFonts w:ascii="Bookman Old Style" w:hAnsi="Bookman Old Style"/>
          <w:noProof/>
          <w:sz w:val="20"/>
          <w:szCs w:val="20"/>
          <w:lang w:val="en-US"/>
        </w:rPr>
        <w:lastRenderedPageBreak/>
        <w:drawing>
          <wp:inline distT="0" distB="0" distL="0" distR="0" wp14:anchorId="47232581" wp14:editId="35A7ED6E">
            <wp:extent cx="2628900" cy="165735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D817A80" w14:textId="1062D144" w:rsidR="006458F7" w:rsidRPr="004F6844" w:rsidRDefault="006458F7" w:rsidP="002C386F">
      <w:pPr>
        <w:pStyle w:val="Caption"/>
        <w:rPr>
          <w:rFonts w:ascii="Bookman Old Style" w:hAnsi="Bookman Old Style" w:cs="Times New Roman"/>
          <w:b/>
          <w:i w:val="0"/>
          <w:color w:val="auto"/>
          <w:sz w:val="20"/>
          <w:szCs w:val="20"/>
          <w:vertAlign w:val="superscript"/>
        </w:rPr>
      </w:pPr>
      <w:bookmarkStart w:id="74" w:name="_Toc86554899"/>
      <w:bookmarkStart w:id="75" w:name="_Toc87205463"/>
      <w:bookmarkStart w:id="76" w:name="_Toc104977868"/>
      <w:r w:rsidRPr="004F6844">
        <w:rPr>
          <w:rFonts w:ascii="Bookman Old Style" w:hAnsi="Bookman Old Style" w:cs="Times New Roman"/>
          <w:b/>
          <w:i w:val="0"/>
          <w:color w:val="000000" w:themeColor="text1"/>
          <w:sz w:val="20"/>
          <w:szCs w:val="20"/>
        </w:rPr>
        <w:t xml:space="preserve">Figure </w:t>
      </w:r>
      <w:r w:rsidR="005B60D3">
        <w:rPr>
          <w:rFonts w:ascii="Bookman Old Style" w:hAnsi="Bookman Old Style" w:cs="Times New Roman"/>
          <w:b/>
          <w:i w:val="0"/>
          <w:color w:val="000000" w:themeColor="text1"/>
          <w:sz w:val="20"/>
          <w:szCs w:val="20"/>
        </w:rPr>
        <w:t>20</w:t>
      </w:r>
      <w:r w:rsidRPr="004F6844">
        <w:rPr>
          <w:rFonts w:ascii="Bookman Old Style" w:hAnsi="Bookman Old Style"/>
          <w:sz w:val="20"/>
          <w:szCs w:val="20"/>
        </w:rPr>
        <w:t xml:space="preserve"> </w:t>
      </w:r>
      <w:r w:rsidRPr="004F6844">
        <w:rPr>
          <w:rFonts w:ascii="Bookman Old Style" w:hAnsi="Bookman Old Style" w:cs="Times New Roman"/>
          <w:i w:val="0"/>
          <w:color w:val="auto"/>
          <w:sz w:val="20"/>
          <w:szCs w:val="20"/>
        </w:rPr>
        <w:t>Effect of temperature on the percentage removal of Cd</w:t>
      </w:r>
      <w:r w:rsidRPr="004F6844">
        <w:rPr>
          <w:rFonts w:ascii="Bookman Old Style" w:hAnsi="Bookman Old Style" w:cs="Times New Roman"/>
          <w:i w:val="0"/>
          <w:color w:val="auto"/>
          <w:sz w:val="20"/>
          <w:szCs w:val="20"/>
          <w:vertAlign w:val="superscript"/>
        </w:rPr>
        <w:t>2+</w:t>
      </w:r>
      <w:bookmarkEnd w:id="74"/>
      <w:bookmarkEnd w:id="75"/>
      <w:bookmarkEnd w:id="76"/>
    </w:p>
    <w:p w14:paraId="3B453985" w14:textId="77777777" w:rsidR="006458F7" w:rsidRPr="004F6844" w:rsidRDefault="006458F7" w:rsidP="00D21247">
      <w:pPr>
        <w:spacing w:after="0" w:line="240" w:lineRule="auto"/>
        <w:rPr>
          <w:rFonts w:ascii="Bookman Old Style" w:hAnsi="Bookman Old Style" w:cs="Times New Roman"/>
          <w:sz w:val="20"/>
          <w:szCs w:val="20"/>
        </w:rPr>
      </w:pPr>
    </w:p>
    <w:p w14:paraId="69BC85EB" w14:textId="77777777" w:rsidR="006458F7" w:rsidRPr="004F6844" w:rsidRDefault="006458F7" w:rsidP="00D21247">
      <w:pPr>
        <w:pStyle w:val="Heading3"/>
        <w:numPr>
          <w:ilvl w:val="0"/>
          <w:numId w:val="0"/>
        </w:numPr>
        <w:spacing w:before="0" w:line="240" w:lineRule="auto"/>
        <w:rPr>
          <w:rFonts w:ascii="Bookman Old Style" w:hAnsi="Bookman Old Style" w:cs="Times New Roman"/>
          <w:color w:val="auto"/>
          <w:sz w:val="20"/>
          <w:szCs w:val="20"/>
        </w:rPr>
      </w:pPr>
      <w:bookmarkStart w:id="77" w:name="_Toc71527141"/>
      <w:bookmarkStart w:id="78" w:name="_Toc72138489"/>
      <w:bookmarkStart w:id="79" w:name="_Toc72306498"/>
      <w:bookmarkStart w:id="80" w:name="_Toc72310720"/>
      <w:bookmarkStart w:id="81" w:name="_Toc72310841"/>
      <w:bookmarkStart w:id="82" w:name="_Toc74024937"/>
      <w:bookmarkStart w:id="83" w:name="_Toc87205387"/>
      <w:bookmarkStart w:id="84" w:name="_Toc105786442"/>
      <w:r w:rsidRPr="004F6844">
        <w:rPr>
          <w:rFonts w:ascii="Bookman Old Style" w:hAnsi="Bookman Old Style" w:cs="Times New Roman"/>
          <w:color w:val="auto"/>
          <w:sz w:val="20"/>
          <w:szCs w:val="20"/>
        </w:rPr>
        <w:t xml:space="preserve">Effect of </w:t>
      </w:r>
      <w:bookmarkEnd w:id="77"/>
      <w:bookmarkEnd w:id="78"/>
      <w:bookmarkEnd w:id="79"/>
      <w:bookmarkEnd w:id="80"/>
      <w:bookmarkEnd w:id="81"/>
      <w:r w:rsidRPr="004F6844">
        <w:rPr>
          <w:rFonts w:ascii="Bookman Old Style" w:hAnsi="Bookman Old Style" w:cs="Times New Roman"/>
          <w:color w:val="auto"/>
          <w:sz w:val="20"/>
          <w:szCs w:val="20"/>
        </w:rPr>
        <w:t>pH</w:t>
      </w:r>
      <w:bookmarkEnd w:id="82"/>
      <w:bookmarkEnd w:id="83"/>
      <w:bookmarkEnd w:id="84"/>
    </w:p>
    <w:p w14:paraId="42492D26" w14:textId="77777777" w:rsidR="00263669" w:rsidRDefault="00263669" w:rsidP="00D21247">
      <w:pPr>
        <w:spacing w:after="0" w:line="240" w:lineRule="auto"/>
        <w:jc w:val="both"/>
        <w:rPr>
          <w:rFonts w:ascii="Bookman Old Style" w:hAnsi="Bookman Old Style" w:cs="Times New Roman"/>
          <w:sz w:val="20"/>
          <w:szCs w:val="20"/>
        </w:rPr>
        <w:sectPr w:rsidR="00263669" w:rsidSect="0075348A">
          <w:type w:val="continuous"/>
          <w:pgSz w:w="12240" w:h="15840"/>
          <w:pgMar w:top="1440" w:right="1440" w:bottom="1440" w:left="1440" w:header="720" w:footer="720" w:gutter="0"/>
          <w:cols w:space="720"/>
          <w:docGrid w:linePitch="360"/>
        </w:sectPr>
      </w:pPr>
    </w:p>
    <w:p w14:paraId="006A8A13" w14:textId="67CD191C" w:rsidR="006458F7" w:rsidRPr="004F6844" w:rsidRDefault="006458F7" w:rsidP="00D21247">
      <w:pPr>
        <w:spacing w:after="0" w:line="240" w:lineRule="auto"/>
        <w:jc w:val="both"/>
        <w:rPr>
          <w:rFonts w:ascii="Bookman Old Style" w:hAnsi="Bookman Old Style" w:cs="Times New Roman"/>
          <w:sz w:val="20"/>
          <w:szCs w:val="20"/>
        </w:rPr>
      </w:pPr>
      <w:r w:rsidRPr="004F6844">
        <w:rPr>
          <w:rFonts w:ascii="Bookman Old Style" w:hAnsi="Bookman Old Style" w:cs="Times New Roman"/>
          <w:sz w:val="20"/>
          <w:szCs w:val="20"/>
        </w:rPr>
        <w:t>This parameter was investigated at 298 K, 10 ppm concentration, and adsorbent dosages of 0.10 g for nitrate and phosphate and 0.20 g for lead, copper, and cadmium.</w:t>
      </w:r>
    </w:p>
    <w:p w14:paraId="123FBE7E" w14:textId="6EEEF6E5" w:rsidR="006458F7" w:rsidRPr="004F6844" w:rsidRDefault="006458F7" w:rsidP="00D21247">
      <w:pPr>
        <w:spacing w:after="0" w:line="240" w:lineRule="auto"/>
        <w:jc w:val="both"/>
        <w:rPr>
          <w:rFonts w:ascii="Bookman Old Style" w:hAnsi="Bookman Old Style" w:cs="Times New Roman"/>
          <w:sz w:val="20"/>
          <w:szCs w:val="20"/>
        </w:rPr>
      </w:pPr>
      <w:r w:rsidRPr="004F6844">
        <w:rPr>
          <w:rFonts w:ascii="Bookman Old Style" w:hAnsi="Bookman Old Style" w:cs="Times New Roman"/>
          <w:sz w:val="20"/>
          <w:szCs w:val="20"/>
        </w:rPr>
        <w:t xml:space="preserve">The pH is a crucial parameter in adsorption study. At different pH levels, different adsorbates and adsorbents respond differently. The alkali-treated clay mineral plays a major role as an adsorbent in the adsorption study. As in an acidic medium using an alkali-treated clay, both the medium and the adsorbate compete for the adsorbent active site. In a basic medium, there is a higher probability of a hydroxyl group formation </w:t>
      </w:r>
      <w:r w:rsidR="00931034" w:rsidRPr="004F6844">
        <w:rPr>
          <w:rFonts w:ascii="Bookman Old Style" w:hAnsi="Bookman Old Style" w:cs="Times New Roman"/>
          <w:sz w:val="20"/>
          <w:szCs w:val="20"/>
          <w:vertAlign w:val="superscript"/>
        </w:rPr>
        <w:t>[29]</w:t>
      </w:r>
      <w:r w:rsidRPr="004F6844">
        <w:rPr>
          <w:rFonts w:ascii="Bookman Old Style" w:hAnsi="Bookman Old Style" w:cs="Times New Roman"/>
          <w:sz w:val="20"/>
          <w:szCs w:val="20"/>
        </w:rPr>
        <w:t xml:space="preserve">. In figure </w:t>
      </w:r>
      <w:r w:rsidR="004D16E6">
        <w:rPr>
          <w:rFonts w:ascii="Bookman Old Style" w:hAnsi="Bookman Old Style" w:cs="Times New Roman"/>
          <w:sz w:val="20"/>
          <w:szCs w:val="20"/>
        </w:rPr>
        <w:t>20</w:t>
      </w:r>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where</w:t>
      </w:r>
      <w:proofErr w:type="spellEnd"/>
      <w:r w:rsidRPr="004F6844">
        <w:rPr>
          <w:rFonts w:ascii="Bookman Old Style" w:hAnsi="Bookman Old Style" w:cs="Times New Roman"/>
          <w:sz w:val="20"/>
          <w:szCs w:val="20"/>
        </w:rPr>
        <w:t xml:space="preserve"> nitrate </w:t>
      </w:r>
      <w:proofErr w:type="spellStart"/>
      <w:r w:rsidRPr="004F6844">
        <w:rPr>
          <w:rFonts w:ascii="Bookman Old Style" w:hAnsi="Bookman Old Style" w:cs="Times New Roman"/>
          <w:sz w:val="20"/>
          <w:szCs w:val="20"/>
        </w:rPr>
        <w:t>was</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used</w:t>
      </w:r>
      <w:proofErr w:type="spellEnd"/>
      <w:r w:rsidRPr="004F6844">
        <w:rPr>
          <w:rFonts w:ascii="Bookman Old Style" w:hAnsi="Bookman Old Style" w:cs="Times New Roman"/>
          <w:sz w:val="20"/>
          <w:szCs w:val="20"/>
        </w:rPr>
        <w:t xml:space="preserve"> as an adsorbate in an acidic medium, the percentage removal was 27% this was significantly low compared to the percentage removal of the same adsorbate in an alkaline and neutral media, which was of 100%. The percentage removal of nitrate decreased in the acidic medium due to the saturation of the active site on the adsorbent. This was similar to phosphate figure </w:t>
      </w:r>
      <w:r w:rsidR="005B60D3">
        <w:rPr>
          <w:rFonts w:ascii="Bookman Old Style" w:hAnsi="Bookman Old Style" w:cs="Times New Roman"/>
          <w:sz w:val="20"/>
          <w:szCs w:val="20"/>
        </w:rPr>
        <w:t>19</w:t>
      </w:r>
      <w:r w:rsidRPr="004F6844">
        <w:rPr>
          <w:rFonts w:ascii="Bookman Old Style" w:hAnsi="Bookman Old Style" w:cs="Times New Roman"/>
          <w:sz w:val="20"/>
          <w:szCs w:val="20"/>
        </w:rPr>
        <w:t xml:space="preserve">, lead figure </w:t>
      </w:r>
      <w:r w:rsidR="005B60D3">
        <w:rPr>
          <w:rFonts w:ascii="Bookman Old Style" w:hAnsi="Bookman Old Style" w:cs="Times New Roman"/>
          <w:sz w:val="20"/>
          <w:szCs w:val="20"/>
        </w:rPr>
        <w:t>20</w:t>
      </w:r>
      <w:r w:rsidRPr="004F6844">
        <w:rPr>
          <w:rFonts w:ascii="Bookman Old Style" w:hAnsi="Bookman Old Style" w:cs="Times New Roman"/>
          <w:sz w:val="20"/>
          <w:szCs w:val="20"/>
        </w:rPr>
        <w:t xml:space="preserve"> and </w:t>
      </w:r>
      <w:proofErr w:type="spellStart"/>
      <w:r w:rsidRPr="004F6844">
        <w:rPr>
          <w:rFonts w:ascii="Bookman Old Style" w:hAnsi="Bookman Old Style" w:cs="Times New Roman"/>
          <w:sz w:val="20"/>
          <w:szCs w:val="20"/>
        </w:rPr>
        <w:t>copper</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adsorbates</w:t>
      </w:r>
      <w:proofErr w:type="spellEnd"/>
      <w:r w:rsidRPr="004F6844">
        <w:rPr>
          <w:rFonts w:ascii="Bookman Old Style" w:hAnsi="Bookman Old Style" w:cs="Times New Roman"/>
          <w:sz w:val="20"/>
          <w:szCs w:val="20"/>
        </w:rPr>
        <w:t xml:space="preserve"> figure </w:t>
      </w:r>
      <w:r w:rsidR="005B60D3">
        <w:rPr>
          <w:rFonts w:ascii="Bookman Old Style" w:hAnsi="Bookman Old Style" w:cs="Times New Roman"/>
          <w:sz w:val="20"/>
          <w:szCs w:val="20"/>
        </w:rPr>
        <w:t>21</w:t>
      </w:r>
      <w:r w:rsidRPr="004F6844">
        <w:rPr>
          <w:rFonts w:ascii="Bookman Old Style" w:hAnsi="Bookman Old Style" w:cs="Times New Roman"/>
          <w:sz w:val="20"/>
          <w:szCs w:val="20"/>
        </w:rPr>
        <w:t xml:space="preserve">. With Cadmium as an </w:t>
      </w:r>
      <w:proofErr w:type="spellStart"/>
      <w:r w:rsidRPr="004F6844">
        <w:rPr>
          <w:rFonts w:ascii="Bookman Old Style" w:hAnsi="Bookman Old Style" w:cs="Times New Roman"/>
          <w:sz w:val="20"/>
          <w:szCs w:val="20"/>
        </w:rPr>
        <w:t>adsorbate</w:t>
      </w:r>
      <w:proofErr w:type="spellEnd"/>
      <w:r w:rsidRPr="004F6844">
        <w:rPr>
          <w:rFonts w:ascii="Bookman Old Style" w:hAnsi="Bookman Old Style" w:cs="Times New Roman"/>
          <w:sz w:val="20"/>
          <w:szCs w:val="20"/>
        </w:rPr>
        <w:t xml:space="preserve"> figure </w:t>
      </w:r>
      <w:r w:rsidR="005B60D3">
        <w:rPr>
          <w:rFonts w:ascii="Bookman Old Style" w:hAnsi="Bookman Old Style" w:cs="Times New Roman"/>
          <w:sz w:val="20"/>
          <w:szCs w:val="20"/>
        </w:rPr>
        <w:t>22</w:t>
      </w:r>
      <w:r w:rsidRPr="004F6844">
        <w:rPr>
          <w:rFonts w:ascii="Bookman Old Style" w:hAnsi="Bookman Old Style" w:cs="Times New Roman"/>
          <w:sz w:val="20"/>
          <w:szCs w:val="20"/>
        </w:rPr>
        <w:t xml:space="preserve">, the pH </w:t>
      </w:r>
      <w:proofErr w:type="spellStart"/>
      <w:r w:rsidRPr="004F6844">
        <w:rPr>
          <w:rFonts w:ascii="Bookman Old Style" w:hAnsi="Bookman Old Style" w:cs="Times New Roman"/>
          <w:sz w:val="20"/>
          <w:szCs w:val="20"/>
        </w:rPr>
        <w:t>did</w:t>
      </w:r>
      <w:proofErr w:type="spellEnd"/>
      <w:r w:rsidRPr="004F6844">
        <w:rPr>
          <w:rFonts w:ascii="Bookman Old Style" w:hAnsi="Bookman Old Style" w:cs="Times New Roman"/>
          <w:sz w:val="20"/>
          <w:szCs w:val="20"/>
        </w:rPr>
        <w:t xml:space="preserve"> not affect the percentage removal.</w:t>
      </w:r>
    </w:p>
    <w:p w14:paraId="576AB184" w14:textId="77777777" w:rsidR="00263669" w:rsidRDefault="00263669" w:rsidP="00D21247">
      <w:pPr>
        <w:pStyle w:val="Caption"/>
        <w:spacing w:after="0"/>
        <w:rPr>
          <w:rFonts w:ascii="Bookman Old Style" w:hAnsi="Bookman Old Style" w:cs="Times New Roman"/>
          <w:i w:val="0"/>
          <w:color w:val="000000" w:themeColor="text1"/>
          <w:sz w:val="20"/>
          <w:szCs w:val="20"/>
        </w:rPr>
        <w:sectPr w:rsidR="00263669" w:rsidSect="0075348A">
          <w:type w:val="continuous"/>
          <w:pgSz w:w="12240" w:h="15840"/>
          <w:pgMar w:top="1440" w:right="1440" w:bottom="1440" w:left="1440" w:header="720" w:footer="720" w:gutter="0"/>
          <w:cols w:space="720"/>
          <w:docGrid w:linePitch="360"/>
        </w:sectPr>
      </w:pPr>
    </w:p>
    <w:p w14:paraId="57916C42" w14:textId="77777777" w:rsidR="007E0333" w:rsidRDefault="007E0333" w:rsidP="00D21247">
      <w:pPr>
        <w:pStyle w:val="Caption"/>
        <w:spacing w:after="0"/>
        <w:rPr>
          <w:rFonts w:ascii="Bookman Old Style" w:hAnsi="Bookman Old Style" w:cs="Times New Roman"/>
          <w:i w:val="0"/>
          <w:color w:val="000000" w:themeColor="text1"/>
          <w:sz w:val="20"/>
          <w:szCs w:val="20"/>
        </w:rPr>
      </w:pPr>
    </w:p>
    <w:p w14:paraId="4A140E07" w14:textId="77777777" w:rsidR="006458F7" w:rsidRPr="004F6844" w:rsidRDefault="006458F7" w:rsidP="002C386F">
      <w:pPr>
        <w:spacing w:line="240" w:lineRule="auto"/>
        <w:rPr>
          <w:rFonts w:ascii="Bookman Old Style" w:hAnsi="Bookman Old Style" w:cs="Times New Roman"/>
          <w:i/>
          <w:sz w:val="20"/>
          <w:szCs w:val="20"/>
        </w:rPr>
      </w:pPr>
      <w:r w:rsidRPr="004F6844">
        <w:rPr>
          <w:rFonts w:ascii="Bookman Old Style" w:hAnsi="Bookman Old Style"/>
          <w:noProof/>
          <w:sz w:val="20"/>
          <w:szCs w:val="20"/>
          <w:lang w:val="en-US"/>
        </w:rPr>
        <w:drawing>
          <wp:inline distT="0" distB="0" distL="0" distR="0" wp14:anchorId="259B224C" wp14:editId="1ABA29E7">
            <wp:extent cx="2838450" cy="1778000"/>
            <wp:effectExtent l="0" t="0" r="0" b="1270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bookmarkStart w:id="85" w:name="_Toc86554900"/>
      <w:bookmarkStart w:id="86" w:name="_Toc87205464"/>
    </w:p>
    <w:p w14:paraId="7E6B033C" w14:textId="6FF0DE44" w:rsidR="006458F7" w:rsidRPr="004F6844" w:rsidRDefault="006458F7" w:rsidP="002C386F">
      <w:pPr>
        <w:pStyle w:val="Caption"/>
        <w:rPr>
          <w:rFonts w:ascii="Bookman Old Style" w:hAnsi="Bookman Old Style" w:cs="Times New Roman"/>
          <w:i w:val="0"/>
          <w:color w:val="auto"/>
          <w:sz w:val="20"/>
          <w:szCs w:val="20"/>
          <w:vertAlign w:val="superscript"/>
        </w:rPr>
      </w:pPr>
      <w:bookmarkStart w:id="87" w:name="_Toc104977869"/>
      <w:r w:rsidRPr="004F6844">
        <w:rPr>
          <w:rFonts w:ascii="Bookman Old Style" w:hAnsi="Bookman Old Style" w:cs="Times New Roman"/>
          <w:b/>
          <w:i w:val="0"/>
          <w:color w:val="000000" w:themeColor="text1"/>
          <w:sz w:val="20"/>
          <w:szCs w:val="20"/>
        </w:rPr>
        <w:t xml:space="preserve">Figure </w:t>
      </w:r>
      <w:r w:rsidR="005B60D3">
        <w:rPr>
          <w:rFonts w:ascii="Bookman Old Style" w:hAnsi="Bookman Old Style" w:cs="Times New Roman"/>
          <w:b/>
          <w:i w:val="0"/>
          <w:color w:val="000000" w:themeColor="text1"/>
          <w:sz w:val="20"/>
          <w:szCs w:val="20"/>
        </w:rPr>
        <w:t>21</w:t>
      </w:r>
      <w:r w:rsidRPr="004F6844">
        <w:rPr>
          <w:rFonts w:ascii="Bookman Old Style" w:hAnsi="Bookman Old Style"/>
          <w:color w:val="000000" w:themeColor="text1"/>
          <w:sz w:val="20"/>
          <w:szCs w:val="20"/>
        </w:rPr>
        <w:t xml:space="preserve"> </w:t>
      </w:r>
      <w:r w:rsidRPr="004F6844">
        <w:rPr>
          <w:rFonts w:ascii="Bookman Old Style" w:hAnsi="Bookman Old Style" w:cs="Times New Roman"/>
          <w:i w:val="0"/>
          <w:color w:val="auto"/>
          <w:sz w:val="20"/>
          <w:szCs w:val="20"/>
        </w:rPr>
        <w:t>Effect of pH on the percentage removal of NO</w:t>
      </w:r>
      <w:r w:rsidRPr="004F6844">
        <w:rPr>
          <w:rFonts w:ascii="Bookman Old Style" w:hAnsi="Bookman Old Style" w:cs="Times New Roman"/>
          <w:i w:val="0"/>
          <w:color w:val="auto"/>
          <w:sz w:val="20"/>
          <w:szCs w:val="20"/>
          <w:vertAlign w:val="subscript"/>
        </w:rPr>
        <w:t>3</w:t>
      </w:r>
      <w:r w:rsidRPr="004F6844">
        <w:rPr>
          <w:rFonts w:ascii="Bookman Old Style" w:hAnsi="Bookman Old Style" w:cs="Times New Roman"/>
          <w:i w:val="0"/>
          <w:color w:val="auto"/>
          <w:sz w:val="20"/>
          <w:szCs w:val="20"/>
          <w:vertAlign w:val="superscript"/>
        </w:rPr>
        <w:t>-</w:t>
      </w:r>
      <w:bookmarkEnd w:id="85"/>
      <w:bookmarkEnd w:id="86"/>
      <w:bookmarkEnd w:id="87"/>
    </w:p>
    <w:p w14:paraId="6A68117A" w14:textId="77777777" w:rsidR="006458F7" w:rsidRPr="004F6844" w:rsidRDefault="006458F7" w:rsidP="002C386F">
      <w:pPr>
        <w:spacing w:line="240" w:lineRule="auto"/>
        <w:rPr>
          <w:rFonts w:ascii="Bookman Old Style" w:hAnsi="Bookman Old Style" w:cs="Times New Roman"/>
          <w:sz w:val="20"/>
          <w:szCs w:val="20"/>
        </w:rPr>
      </w:pPr>
      <w:r w:rsidRPr="004F6844">
        <w:rPr>
          <w:rFonts w:ascii="Bookman Old Style" w:hAnsi="Bookman Old Style"/>
          <w:noProof/>
          <w:sz w:val="20"/>
          <w:szCs w:val="20"/>
          <w:lang w:val="en-US"/>
        </w:rPr>
        <w:lastRenderedPageBreak/>
        <w:drawing>
          <wp:inline distT="0" distB="0" distL="0" distR="0" wp14:anchorId="745B7C91" wp14:editId="4A0876CB">
            <wp:extent cx="2813050" cy="1879600"/>
            <wp:effectExtent l="0" t="0" r="6350" b="635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57358C0" w14:textId="6EA88D59" w:rsidR="006458F7" w:rsidRPr="004F6844" w:rsidRDefault="006458F7" w:rsidP="002C386F">
      <w:pPr>
        <w:pStyle w:val="Caption"/>
        <w:rPr>
          <w:rFonts w:ascii="Bookman Old Style" w:hAnsi="Bookman Old Style" w:cs="Times New Roman"/>
          <w:i w:val="0"/>
          <w:color w:val="auto"/>
          <w:sz w:val="20"/>
          <w:szCs w:val="20"/>
          <w:vertAlign w:val="superscript"/>
        </w:rPr>
      </w:pPr>
      <w:bookmarkStart w:id="88" w:name="_Toc86554901"/>
      <w:bookmarkStart w:id="89" w:name="_Toc87205465"/>
      <w:bookmarkStart w:id="90" w:name="_Toc104977870"/>
      <w:r w:rsidRPr="004F6844">
        <w:rPr>
          <w:rFonts w:ascii="Bookman Old Style" w:hAnsi="Bookman Old Style" w:cs="Times New Roman"/>
          <w:b/>
          <w:i w:val="0"/>
          <w:color w:val="000000" w:themeColor="text1"/>
          <w:sz w:val="20"/>
          <w:szCs w:val="20"/>
        </w:rPr>
        <w:t xml:space="preserve">Figure </w:t>
      </w:r>
      <w:r w:rsidR="005B60D3">
        <w:rPr>
          <w:rFonts w:ascii="Bookman Old Style" w:hAnsi="Bookman Old Style" w:cs="Times New Roman"/>
          <w:b/>
          <w:i w:val="0"/>
          <w:color w:val="000000" w:themeColor="text1"/>
          <w:sz w:val="20"/>
          <w:szCs w:val="20"/>
        </w:rPr>
        <w:t>22</w:t>
      </w:r>
      <w:r w:rsidRPr="004F6844">
        <w:rPr>
          <w:rFonts w:ascii="Bookman Old Style" w:hAnsi="Bookman Old Style" w:cs="Times New Roman"/>
          <w:i w:val="0"/>
          <w:color w:val="auto"/>
          <w:sz w:val="20"/>
          <w:szCs w:val="20"/>
        </w:rPr>
        <w:t xml:space="preserve"> Effect of pH on the percentage removal of PO</w:t>
      </w:r>
      <w:r w:rsidRPr="004F6844">
        <w:rPr>
          <w:rFonts w:ascii="Bookman Old Style" w:hAnsi="Bookman Old Style" w:cs="Times New Roman"/>
          <w:i w:val="0"/>
          <w:color w:val="auto"/>
          <w:sz w:val="20"/>
          <w:szCs w:val="20"/>
          <w:vertAlign w:val="subscript"/>
        </w:rPr>
        <w:t>4</w:t>
      </w:r>
      <w:r w:rsidRPr="004F6844">
        <w:rPr>
          <w:rFonts w:ascii="Bookman Old Style" w:hAnsi="Bookman Old Style" w:cs="Times New Roman"/>
          <w:i w:val="0"/>
          <w:color w:val="auto"/>
          <w:sz w:val="20"/>
          <w:szCs w:val="20"/>
          <w:vertAlign w:val="superscript"/>
        </w:rPr>
        <w:t>3-</w:t>
      </w:r>
      <w:bookmarkEnd w:id="88"/>
      <w:bookmarkEnd w:id="89"/>
      <w:bookmarkEnd w:id="90"/>
    </w:p>
    <w:p w14:paraId="25209904" w14:textId="77777777" w:rsidR="006458F7" w:rsidRPr="004F6844" w:rsidRDefault="006458F7" w:rsidP="002C386F">
      <w:pPr>
        <w:pStyle w:val="Caption"/>
        <w:rPr>
          <w:rFonts w:ascii="Bookman Old Style" w:hAnsi="Bookman Old Style"/>
          <w:i w:val="0"/>
          <w:sz w:val="20"/>
          <w:szCs w:val="20"/>
        </w:rPr>
      </w:pPr>
      <w:r w:rsidRPr="004F6844">
        <w:rPr>
          <w:rFonts w:ascii="Bookman Old Style" w:hAnsi="Bookman Old Style"/>
          <w:i w:val="0"/>
          <w:noProof/>
          <w:sz w:val="20"/>
          <w:szCs w:val="20"/>
        </w:rPr>
        <w:drawing>
          <wp:inline distT="0" distB="0" distL="0" distR="0" wp14:anchorId="04A3C749" wp14:editId="752FE059">
            <wp:extent cx="2806700" cy="1898650"/>
            <wp:effectExtent l="0" t="0" r="12700" b="635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E9AEB11" w14:textId="6B424DAD" w:rsidR="006458F7" w:rsidRPr="004F6844" w:rsidRDefault="006458F7" w:rsidP="002C386F">
      <w:pPr>
        <w:pStyle w:val="Caption"/>
        <w:rPr>
          <w:rFonts w:ascii="Bookman Old Style" w:hAnsi="Bookman Old Style" w:cs="Times New Roman"/>
          <w:i w:val="0"/>
          <w:color w:val="auto"/>
          <w:sz w:val="20"/>
          <w:szCs w:val="20"/>
          <w:vertAlign w:val="superscript"/>
        </w:rPr>
      </w:pPr>
      <w:bookmarkStart w:id="91" w:name="_Toc86554902"/>
      <w:bookmarkStart w:id="92" w:name="_Toc87205466"/>
      <w:bookmarkStart w:id="93" w:name="_Toc104977871"/>
      <w:r w:rsidRPr="004F6844">
        <w:rPr>
          <w:rFonts w:ascii="Bookman Old Style" w:hAnsi="Bookman Old Style" w:cs="Times New Roman"/>
          <w:b/>
          <w:i w:val="0"/>
          <w:color w:val="000000" w:themeColor="text1"/>
          <w:sz w:val="20"/>
          <w:szCs w:val="20"/>
        </w:rPr>
        <w:t xml:space="preserve">Figure </w:t>
      </w:r>
      <w:r w:rsidR="005B60D3">
        <w:rPr>
          <w:rFonts w:ascii="Bookman Old Style" w:hAnsi="Bookman Old Style" w:cs="Times New Roman"/>
          <w:b/>
          <w:i w:val="0"/>
          <w:color w:val="000000" w:themeColor="text1"/>
          <w:sz w:val="20"/>
          <w:szCs w:val="20"/>
        </w:rPr>
        <w:t>23</w:t>
      </w:r>
      <w:r w:rsidRPr="004F6844">
        <w:rPr>
          <w:rFonts w:ascii="Bookman Old Style" w:hAnsi="Bookman Old Style" w:cs="Times New Roman"/>
          <w:b/>
          <w:i w:val="0"/>
          <w:color w:val="auto"/>
          <w:sz w:val="20"/>
          <w:szCs w:val="20"/>
        </w:rPr>
        <w:t xml:space="preserve"> </w:t>
      </w:r>
      <w:r w:rsidRPr="004F6844">
        <w:rPr>
          <w:rFonts w:ascii="Bookman Old Style" w:hAnsi="Bookman Old Style" w:cs="Times New Roman"/>
          <w:i w:val="0"/>
          <w:color w:val="auto"/>
          <w:sz w:val="20"/>
          <w:szCs w:val="20"/>
        </w:rPr>
        <w:t>Effect of pH on the percentage removal of Pb</w:t>
      </w:r>
      <w:r w:rsidRPr="004F6844">
        <w:rPr>
          <w:rFonts w:ascii="Bookman Old Style" w:hAnsi="Bookman Old Style" w:cs="Times New Roman"/>
          <w:i w:val="0"/>
          <w:color w:val="auto"/>
          <w:sz w:val="20"/>
          <w:szCs w:val="20"/>
          <w:vertAlign w:val="superscript"/>
        </w:rPr>
        <w:t>2+</w:t>
      </w:r>
      <w:bookmarkEnd w:id="91"/>
      <w:bookmarkEnd w:id="92"/>
      <w:bookmarkEnd w:id="93"/>
    </w:p>
    <w:p w14:paraId="4838E95B" w14:textId="77777777" w:rsidR="006458F7" w:rsidRPr="004F6844" w:rsidRDefault="006458F7" w:rsidP="002C386F">
      <w:pPr>
        <w:pStyle w:val="Caption"/>
        <w:rPr>
          <w:rFonts w:ascii="Bookman Old Style" w:hAnsi="Bookman Old Style"/>
          <w:sz w:val="20"/>
          <w:szCs w:val="20"/>
        </w:rPr>
      </w:pPr>
      <w:r w:rsidRPr="004F6844">
        <w:rPr>
          <w:rFonts w:ascii="Bookman Old Style" w:hAnsi="Bookman Old Style"/>
          <w:noProof/>
          <w:sz w:val="20"/>
          <w:szCs w:val="20"/>
        </w:rPr>
        <w:drawing>
          <wp:inline distT="0" distB="0" distL="0" distR="0" wp14:anchorId="7C71FED3" wp14:editId="652CE873">
            <wp:extent cx="2800350" cy="200025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A5D1D67" w14:textId="526587C8" w:rsidR="006458F7" w:rsidRPr="004F6844" w:rsidRDefault="006458F7" w:rsidP="002C386F">
      <w:pPr>
        <w:pStyle w:val="Caption"/>
        <w:rPr>
          <w:rFonts w:ascii="Bookman Old Style" w:hAnsi="Bookman Old Style" w:cs="Times New Roman"/>
          <w:i w:val="0"/>
          <w:color w:val="auto"/>
          <w:sz w:val="20"/>
          <w:szCs w:val="20"/>
          <w:vertAlign w:val="superscript"/>
        </w:rPr>
      </w:pPr>
      <w:bookmarkStart w:id="94" w:name="_Toc86554903"/>
      <w:bookmarkStart w:id="95" w:name="_Toc87205467"/>
      <w:bookmarkStart w:id="96" w:name="_Toc104977872"/>
      <w:r w:rsidRPr="004F6844">
        <w:rPr>
          <w:rFonts w:ascii="Bookman Old Style" w:hAnsi="Bookman Old Style" w:cs="Times New Roman"/>
          <w:b/>
          <w:i w:val="0"/>
          <w:color w:val="000000" w:themeColor="text1"/>
          <w:sz w:val="20"/>
          <w:szCs w:val="20"/>
        </w:rPr>
        <w:t xml:space="preserve">Figure </w:t>
      </w:r>
      <w:r w:rsidR="005B60D3">
        <w:rPr>
          <w:rFonts w:ascii="Bookman Old Style" w:hAnsi="Bookman Old Style" w:cs="Times New Roman"/>
          <w:b/>
          <w:i w:val="0"/>
          <w:color w:val="000000" w:themeColor="text1"/>
          <w:sz w:val="20"/>
          <w:szCs w:val="20"/>
        </w:rPr>
        <w:t>24</w:t>
      </w:r>
      <w:r w:rsidRPr="004F6844">
        <w:rPr>
          <w:rFonts w:ascii="Bookman Old Style" w:hAnsi="Bookman Old Style" w:cs="Times New Roman"/>
          <w:b/>
          <w:i w:val="0"/>
          <w:color w:val="auto"/>
          <w:sz w:val="20"/>
          <w:szCs w:val="20"/>
        </w:rPr>
        <w:t xml:space="preserve"> </w:t>
      </w:r>
      <w:r w:rsidRPr="004F6844">
        <w:rPr>
          <w:rFonts w:ascii="Bookman Old Style" w:hAnsi="Bookman Old Style" w:cs="Times New Roman"/>
          <w:i w:val="0"/>
          <w:color w:val="auto"/>
          <w:sz w:val="20"/>
          <w:szCs w:val="20"/>
        </w:rPr>
        <w:t>Effect of pH on the percentage removal of Cu</w:t>
      </w:r>
      <w:r w:rsidRPr="004F6844">
        <w:rPr>
          <w:rFonts w:ascii="Bookman Old Style" w:hAnsi="Bookman Old Style" w:cs="Times New Roman"/>
          <w:i w:val="0"/>
          <w:color w:val="auto"/>
          <w:sz w:val="20"/>
          <w:szCs w:val="20"/>
          <w:vertAlign w:val="superscript"/>
        </w:rPr>
        <w:t>2+</w:t>
      </w:r>
      <w:bookmarkEnd w:id="94"/>
      <w:bookmarkEnd w:id="95"/>
      <w:bookmarkEnd w:id="96"/>
    </w:p>
    <w:p w14:paraId="713DCDFC" w14:textId="77777777" w:rsidR="006458F7" w:rsidRPr="004F6844" w:rsidRDefault="006458F7" w:rsidP="002C386F">
      <w:pPr>
        <w:spacing w:line="240" w:lineRule="auto"/>
        <w:rPr>
          <w:rFonts w:ascii="Bookman Old Style" w:hAnsi="Bookman Old Style" w:cs="Times New Roman"/>
          <w:sz w:val="20"/>
          <w:szCs w:val="20"/>
        </w:rPr>
      </w:pPr>
      <w:r w:rsidRPr="004F6844">
        <w:rPr>
          <w:rFonts w:ascii="Bookman Old Style" w:hAnsi="Bookman Old Style"/>
          <w:noProof/>
          <w:sz w:val="20"/>
          <w:szCs w:val="20"/>
          <w:lang w:val="en-US"/>
        </w:rPr>
        <w:lastRenderedPageBreak/>
        <w:drawing>
          <wp:inline distT="0" distB="0" distL="0" distR="0" wp14:anchorId="7684DDD7" wp14:editId="073AA112">
            <wp:extent cx="3543300" cy="177165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4D5367C" w14:textId="07C4E4C9" w:rsidR="00154C22" w:rsidRPr="004F6844" w:rsidRDefault="006458F7" w:rsidP="00D21247">
      <w:pPr>
        <w:pStyle w:val="Caption"/>
        <w:spacing w:after="0"/>
        <w:rPr>
          <w:rFonts w:ascii="Bookman Old Style" w:hAnsi="Bookman Old Style" w:cs="Times New Roman"/>
          <w:b/>
          <w:i w:val="0"/>
          <w:color w:val="auto"/>
          <w:sz w:val="20"/>
          <w:szCs w:val="20"/>
          <w:vertAlign w:val="superscript"/>
        </w:rPr>
      </w:pPr>
      <w:bookmarkStart w:id="97" w:name="_Toc86554904"/>
      <w:bookmarkStart w:id="98" w:name="_Toc87205468"/>
      <w:bookmarkStart w:id="99" w:name="_Toc104977873"/>
      <w:r w:rsidRPr="004F6844">
        <w:rPr>
          <w:rFonts w:ascii="Bookman Old Style" w:hAnsi="Bookman Old Style" w:cs="Times New Roman"/>
          <w:b/>
          <w:i w:val="0"/>
          <w:color w:val="000000" w:themeColor="text1"/>
          <w:sz w:val="20"/>
          <w:szCs w:val="20"/>
        </w:rPr>
        <w:t xml:space="preserve">Figure </w:t>
      </w:r>
      <w:r w:rsidR="005B60D3">
        <w:rPr>
          <w:rFonts w:ascii="Bookman Old Style" w:hAnsi="Bookman Old Style" w:cs="Times New Roman"/>
          <w:b/>
          <w:i w:val="0"/>
          <w:color w:val="000000" w:themeColor="text1"/>
          <w:sz w:val="20"/>
          <w:szCs w:val="20"/>
        </w:rPr>
        <w:t>25</w:t>
      </w:r>
      <w:r w:rsidRPr="004F6844">
        <w:rPr>
          <w:rFonts w:ascii="Bookman Old Style" w:hAnsi="Bookman Old Style" w:cs="Times New Roman"/>
          <w:b/>
          <w:i w:val="0"/>
          <w:color w:val="000000" w:themeColor="text1"/>
          <w:sz w:val="20"/>
          <w:szCs w:val="20"/>
        </w:rPr>
        <w:t xml:space="preserve"> </w:t>
      </w:r>
      <w:r w:rsidRPr="004F6844">
        <w:rPr>
          <w:rFonts w:ascii="Bookman Old Style" w:hAnsi="Bookman Old Style" w:cs="Times New Roman"/>
          <w:i w:val="0"/>
          <w:color w:val="auto"/>
          <w:sz w:val="20"/>
          <w:szCs w:val="20"/>
        </w:rPr>
        <w:t>Effect of pH on the percentage removal of Cd</w:t>
      </w:r>
      <w:r w:rsidRPr="004F6844">
        <w:rPr>
          <w:rFonts w:ascii="Bookman Old Style" w:hAnsi="Bookman Old Style" w:cs="Times New Roman"/>
          <w:i w:val="0"/>
          <w:color w:val="auto"/>
          <w:sz w:val="20"/>
          <w:szCs w:val="20"/>
          <w:vertAlign w:val="superscript"/>
        </w:rPr>
        <w:t>2+</w:t>
      </w:r>
      <w:bookmarkEnd w:id="97"/>
      <w:bookmarkEnd w:id="98"/>
      <w:bookmarkEnd w:id="99"/>
    </w:p>
    <w:p w14:paraId="314258D9" w14:textId="77777777" w:rsidR="00AA2AC1" w:rsidRPr="004F6844" w:rsidRDefault="00AA2AC1" w:rsidP="00D21247">
      <w:pPr>
        <w:spacing w:after="0" w:line="240" w:lineRule="auto"/>
        <w:jc w:val="both"/>
        <w:rPr>
          <w:rFonts w:ascii="Bookman Old Style" w:eastAsia="Calibri" w:hAnsi="Bookman Old Style" w:cs="Times New Roman"/>
          <w:sz w:val="20"/>
          <w:szCs w:val="20"/>
          <w:lang w:val="en-US"/>
        </w:rPr>
      </w:pPr>
    </w:p>
    <w:p w14:paraId="03FB94CF" w14:textId="77777777" w:rsidR="00AA2AC1" w:rsidRPr="004F6844" w:rsidRDefault="000E07ED" w:rsidP="00D21247">
      <w:pPr>
        <w:spacing w:after="0" w:line="240" w:lineRule="auto"/>
        <w:jc w:val="both"/>
        <w:rPr>
          <w:rFonts w:ascii="Bookman Old Style" w:hAnsi="Bookman Old Style" w:cs="Times New Roman"/>
          <w:b/>
          <w:bCs/>
          <w:sz w:val="20"/>
          <w:szCs w:val="20"/>
          <w:lang w:val="en-US"/>
        </w:rPr>
      </w:pPr>
      <w:r w:rsidRPr="004F6844">
        <w:rPr>
          <w:rFonts w:ascii="Bookman Old Style" w:hAnsi="Bookman Old Style" w:cs="Times New Roman"/>
          <w:b/>
          <w:bCs/>
          <w:sz w:val="20"/>
          <w:szCs w:val="20"/>
          <w:lang w:val="en-US"/>
        </w:rPr>
        <w:t>CONCLUSION</w:t>
      </w:r>
    </w:p>
    <w:p w14:paraId="1CB7F4EB" w14:textId="416F1044" w:rsidR="00D93AC6" w:rsidRDefault="00150777" w:rsidP="00D21247">
      <w:pPr>
        <w:spacing w:after="0" w:line="240" w:lineRule="auto"/>
        <w:jc w:val="both"/>
        <w:rPr>
          <w:rFonts w:ascii="Bookman Old Style" w:hAnsi="Bookman Old Style" w:cs="Times New Roman"/>
          <w:sz w:val="20"/>
          <w:szCs w:val="20"/>
        </w:rPr>
      </w:pPr>
      <w:r w:rsidRPr="004F6844">
        <w:rPr>
          <w:rFonts w:ascii="Bookman Old Style" w:hAnsi="Bookman Old Style" w:cs="Times New Roman"/>
          <w:sz w:val="20"/>
          <w:szCs w:val="20"/>
        </w:rPr>
        <w:t xml:space="preserve">After characterization, the unknown clay mineral from </w:t>
      </w:r>
      <w:r w:rsidRPr="004F6844">
        <w:rPr>
          <w:rFonts w:ascii="Bookman Old Style" w:hAnsi="Bookman Old Style" w:cs="Times New Roman"/>
          <w:color w:val="000000" w:themeColor="text1"/>
          <w:sz w:val="20"/>
          <w:szCs w:val="20"/>
        </w:rPr>
        <w:t>Mukurweini</w:t>
      </w:r>
      <w:r w:rsidRPr="004F6844">
        <w:rPr>
          <w:rFonts w:ascii="Bookman Old Style" w:hAnsi="Bookman Old Style" w:cs="Times New Roman"/>
          <w:sz w:val="20"/>
          <w:szCs w:val="20"/>
        </w:rPr>
        <w:t xml:space="preserve"> was identified as kaolinite 1A and the alkali thermal treated clay mineral as hydrosodalite sodium hexakis (alumino silicate). From the adsorption study, the percentage removal increased as the adsorbents dosage increased.</w:t>
      </w:r>
      <w:r w:rsidRPr="004F6844">
        <w:rPr>
          <w:rFonts w:ascii="Bookman Old Style" w:hAnsi="Bookman Old Style"/>
          <w:sz w:val="20"/>
          <w:szCs w:val="20"/>
        </w:rPr>
        <w:t xml:space="preserve"> </w:t>
      </w:r>
      <w:r w:rsidRPr="004F6844">
        <w:rPr>
          <w:rFonts w:ascii="Bookman Old Style" w:hAnsi="Bookman Old Style" w:cs="Times New Roman"/>
          <w:sz w:val="20"/>
          <w:szCs w:val="20"/>
        </w:rPr>
        <w:t>30 minutes of contact time was required to reach equilibrium. At 100 ppm concentration of the adsorbate, the percentage removal remained at 99.2%. The increase in temperature did not affect the adsorption study; however, the later was greatly affected by the change in pH.</w:t>
      </w:r>
    </w:p>
    <w:p w14:paraId="5CCFCE8D" w14:textId="77777777" w:rsidR="009D27BE" w:rsidRPr="004F6844" w:rsidRDefault="009D27BE" w:rsidP="00D21247">
      <w:pPr>
        <w:spacing w:after="0" w:line="240" w:lineRule="auto"/>
        <w:jc w:val="both"/>
        <w:rPr>
          <w:rFonts w:ascii="Bookman Old Style" w:eastAsia="Calibri" w:hAnsi="Bookman Old Style" w:cs="Times New Roman"/>
          <w:b/>
          <w:bCs/>
          <w:kern w:val="0"/>
          <w:sz w:val="20"/>
          <w:szCs w:val="20"/>
          <w:lang w:val="en-US"/>
          <w14:ligatures w14:val="none"/>
        </w:rPr>
      </w:pPr>
    </w:p>
    <w:p w14:paraId="1ACA1E37" w14:textId="1B784846" w:rsidR="00472A57" w:rsidRPr="009D27BE" w:rsidRDefault="00950A1F" w:rsidP="00D21247">
      <w:pPr>
        <w:spacing w:after="0" w:line="240" w:lineRule="auto"/>
        <w:jc w:val="both"/>
        <w:rPr>
          <w:rFonts w:ascii="Bookman Old Style" w:eastAsia="Calibri" w:hAnsi="Bookman Old Style" w:cs="Times New Roman"/>
          <w:b/>
          <w:bCs/>
          <w:color w:val="000000" w:themeColor="text1"/>
          <w:kern w:val="0"/>
          <w:sz w:val="20"/>
          <w:szCs w:val="20"/>
          <w:lang w:val="en-US"/>
          <w14:ligatures w14:val="none"/>
        </w:rPr>
      </w:pPr>
      <w:r w:rsidRPr="009D27BE">
        <w:rPr>
          <w:rFonts w:ascii="Bookman Old Style" w:eastAsia="Calibri" w:hAnsi="Bookman Old Style" w:cs="Times New Roman"/>
          <w:b/>
          <w:bCs/>
          <w:color w:val="000000" w:themeColor="text1"/>
          <w:kern w:val="0"/>
          <w:sz w:val="20"/>
          <w:szCs w:val="20"/>
          <w:lang w:val="en-US"/>
          <w14:ligatures w14:val="none"/>
        </w:rPr>
        <w:t>References</w:t>
      </w:r>
    </w:p>
    <w:p w14:paraId="0AC2A53E" w14:textId="185DC951" w:rsidR="00574148" w:rsidRDefault="00574148" w:rsidP="00BC19E0">
      <w:pPr>
        <w:pStyle w:val="ListParagraph"/>
        <w:numPr>
          <w:ilvl w:val="0"/>
          <w:numId w:val="8"/>
        </w:numPr>
        <w:spacing w:after="0" w:line="240" w:lineRule="auto"/>
        <w:jc w:val="both"/>
        <w:rPr>
          <w:rFonts w:ascii="Bookman Old Style" w:eastAsia="Calibri" w:hAnsi="Bookman Old Style" w:cs="Times New Roman"/>
          <w:noProof/>
          <w:color w:val="000000" w:themeColor="text1"/>
          <w:sz w:val="20"/>
          <w:szCs w:val="20"/>
        </w:rPr>
      </w:pPr>
      <w:r w:rsidRPr="00574148">
        <w:rPr>
          <w:rFonts w:ascii="Bookman Old Style" w:eastAsia="Calibri" w:hAnsi="Bookman Old Style" w:cs="Times New Roman"/>
          <w:noProof/>
          <w:color w:val="000000" w:themeColor="text1"/>
          <w:sz w:val="20"/>
          <w:szCs w:val="20"/>
        </w:rPr>
        <w:t xml:space="preserve">Haseena, M., Malik, M. F., Javed, A., Arshad, S., Asif, N., Zulfiqar, S., &amp; Hanif, J. (2017). Water pollution and human health. Environmental Risk Assessment and Remediation, 1(3), 16-19. </w:t>
      </w:r>
      <w:hyperlink r:id="rId39" w:history="1">
        <w:r w:rsidRPr="005741C3">
          <w:rPr>
            <w:rStyle w:val="Hyperlink"/>
            <w:rFonts w:ascii="Bookman Old Style" w:eastAsia="Calibri" w:hAnsi="Bookman Old Style" w:cs="Times New Roman"/>
            <w:noProof/>
            <w:sz w:val="20"/>
            <w:szCs w:val="20"/>
          </w:rPr>
          <w:t>https://doi.org/10.4066/2529-8046.100020</w:t>
        </w:r>
      </w:hyperlink>
      <w:r>
        <w:rPr>
          <w:rFonts w:ascii="Bookman Old Style" w:eastAsia="Calibri" w:hAnsi="Bookman Old Style" w:cs="Times New Roman"/>
          <w:noProof/>
          <w:color w:val="000000" w:themeColor="text1"/>
          <w:sz w:val="20"/>
          <w:szCs w:val="20"/>
        </w:rPr>
        <w:t>.</w:t>
      </w:r>
    </w:p>
    <w:p w14:paraId="4C20EC29" w14:textId="7206D267" w:rsidR="002246AD" w:rsidRPr="00BC19E0" w:rsidRDefault="002246AD" w:rsidP="00BC19E0">
      <w:pPr>
        <w:pStyle w:val="ListParagraph"/>
        <w:numPr>
          <w:ilvl w:val="0"/>
          <w:numId w:val="8"/>
        </w:numPr>
        <w:spacing w:after="0" w:line="240" w:lineRule="auto"/>
        <w:jc w:val="both"/>
        <w:rPr>
          <w:rFonts w:ascii="Bookman Old Style" w:eastAsia="Calibri" w:hAnsi="Bookman Old Style" w:cs="Times New Roman"/>
          <w:noProof/>
          <w:color w:val="000000" w:themeColor="text1"/>
          <w:sz w:val="20"/>
          <w:szCs w:val="20"/>
        </w:rPr>
      </w:pPr>
      <w:r w:rsidRPr="00BC19E0">
        <w:rPr>
          <w:rFonts w:ascii="Bookman Old Style" w:eastAsia="Calibri" w:hAnsi="Bookman Old Style" w:cs="Times New Roman"/>
          <w:noProof/>
          <w:color w:val="000000" w:themeColor="text1"/>
          <w:sz w:val="20"/>
          <w:szCs w:val="20"/>
        </w:rPr>
        <w:t xml:space="preserve">Himansku Pathak, B.P. Bhatt, S.K Gupta. (2015). Water Pollution-Sources,Effects And Control. In H. Pathak, </w:t>
      </w:r>
      <w:r w:rsidRPr="00BC19E0">
        <w:rPr>
          <w:rFonts w:ascii="Bookman Old Style" w:eastAsia="Calibri" w:hAnsi="Bookman Old Style" w:cs="Times New Roman"/>
          <w:i/>
          <w:iCs/>
          <w:noProof/>
          <w:color w:val="000000" w:themeColor="text1"/>
          <w:sz w:val="20"/>
          <w:szCs w:val="20"/>
        </w:rPr>
        <w:t>State of Indian Agricultural water.</w:t>
      </w:r>
      <w:r w:rsidRPr="00BC19E0">
        <w:rPr>
          <w:rFonts w:ascii="Bookman Old Style" w:eastAsia="Calibri" w:hAnsi="Bookman Old Style" w:cs="Times New Roman"/>
          <w:noProof/>
          <w:color w:val="000000" w:themeColor="text1"/>
          <w:sz w:val="20"/>
          <w:szCs w:val="20"/>
        </w:rPr>
        <w:t xml:space="preserve"> New Delhi: National Academy of Agricultural Sciences</w:t>
      </w:r>
      <w:r w:rsidRPr="00BC19E0">
        <w:rPr>
          <w:rFonts w:ascii="Bookman Old Style" w:eastAsia="Calibri" w:hAnsi="Bookman Old Style" w:cs="Times New Roman"/>
          <w:color w:val="000000" w:themeColor="text1"/>
          <w:sz w:val="20"/>
          <w:szCs w:val="20"/>
        </w:rPr>
        <w:t xml:space="preserve"> 7, 3528-3570</w:t>
      </w:r>
      <w:r w:rsidRPr="00BC19E0">
        <w:rPr>
          <w:rFonts w:ascii="Bookman Old Style" w:eastAsia="Calibri" w:hAnsi="Bookman Old Style" w:cs="Times New Roman"/>
          <w:noProof/>
          <w:color w:val="000000" w:themeColor="text1"/>
          <w:sz w:val="20"/>
          <w:szCs w:val="20"/>
        </w:rPr>
        <w:t>.</w:t>
      </w:r>
    </w:p>
    <w:p w14:paraId="779BABDB" w14:textId="7ADEE3C8" w:rsidR="00574148" w:rsidRPr="00574148" w:rsidRDefault="00574148" w:rsidP="00BC19E0">
      <w:pPr>
        <w:pStyle w:val="ListParagraph"/>
        <w:numPr>
          <w:ilvl w:val="0"/>
          <w:numId w:val="8"/>
        </w:numPr>
        <w:spacing w:after="0" w:line="240" w:lineRule="auto"/>
        <w:jc w:val="both"/>
        <w:rPr>
          <w:rFonts w:ascii="Bookman Old Style" w:eastAsia="Calibri" w:hAnsi="Bookman Old Style" w:cs="Times New Roman"/>
          <w:noProof/>
          <w:color w:val="000000" w:themeColor="text1"/>
          <w:sz w:val="20"/>
          <w:szCs w:val="20"/>
        </w:rPr>
      </w:pPr>
      <w:r w:rsidRPr="00574148">
        <w:rPr>
          <w:rFonts w:ascii="Bookman Old Style" w:hAnsi="Bookman Old Style" w:cs="Times New Roman"/>
          <w:noProof/>
          <w:color w:val="000000" w:themeColor="text1"/>
          <w:sz w:val="20"/>
          <w:szCs w:val="20"/>
        </w:rPr>
        <w:t xml:space="preserve">Hu, H., &amp; Xu, K. (2020). Physicochemical technologies for HRPs and risk control. In H. Ren &amp; X. Zhang (Eds.), High-Risk Pollutants in Wastewater (pp. 169-207). Elsevier. </w:t>
      </w:r>
      <w:hyperlink r:id="rId40" w:history="1">
        <w:r w:rsidRPr="005741C3">
          <w:rPr>
            <w:rStyle w:val="Hyperlink"/>
            <w:rFonts w:ascii="Bookman Old Style" w:hAnsi="Bookman Old Style" w:cs="Times New Roman"/>
            <w:noProof/>
            <w:sz w:val="20"/>
            <w:szCs w:val="20"/>
          </w:rPr>
          <w:t>https://doi.org/10.1016/B978-0-12-816448-8.00008-3</w:t>
        </w:r>
      </w:hyperlink>
    </w:p>
    <w:p w14:paraId="3B4E8B15" w14:textId="6B287B02" w:rsidR="00574148" w:rsidRDefault="00574148" w:rsidP="00BC19E0">
      <w:pPr>
        <w:pStyle w:val="ListParagraph"/>
        <w:numPr>
          <w:ilvl w:val="0"/>
          <w:numId w:val="8"/>
        </w:numPr>
        <w:spacing w:after="0" w:line="240" w:lineRule="auto"/>
        <w:jc w:val="both"/>
        <w:rPr>
          <w:rFonts w:ascii="Bookman Old Style" w:eastAsia="Calibri" w:hAnsi="Bookman Old Style" w:cs="Times New Roman"/>
          <w:noProof/>
          <w:color w:val="000000" w:themeColor="text1"/>
          <w:sz w:val="20"/>
          <w:szCs w:val="20"/>
        </w:rPr>
      </w:pPr>
      <w:r w:rsidRPr="00574148">
        <w:rPr>
          <w:rFonts w:ascii="Bookman Old Style" w:eastAsia="Calibri" w:hAnsi="Bookman Old Style" w:cs="Times New Roman"/>
          <w:noProof/>
          <w:color w:val="000000" w:themeColor="text1"/>
          <w:sz w:val="20"/>
          <w:szCs w:val="20"/>
        </w:rPr>
        <w:t xml:space="preserve">Hartwig, A. (2013). Cadmium and cancer. In Metal ions in life sciences (Vol. 11, pp. 491-507). </w:t>
      </w:r>
      <w:hyperlink r:id="rId41" w:history="1">
        <w:r w:rsidRPr="005741C3">
          <w:rPr>
            <w:rStyle w:val="Hyperlink"/>
            <w:rFonts w:ascii="Bookman Old Style" w:eastAsia="Calibri" w:hAnsi="Bookman Old Style" w:cs="Times New Roman"/>
            <w:noProof/>
            <w:sz w:val="20"/>
            <w:szCs w:val="20"/>
          </w:rPr>
          <w:t>https://doi.org/10.1007/978-94-007-5179-8_15</w:t>
        </w:r>
      </w:hyperlink>
    </w:p>
    <w:p w14:paraId="2E747BF5" w14:textId="6189C4C4" w:rsidR="00574148" w:rsidRDefault="00574148" w:rsidP="00BC19E0">
      <w:pPr>
        <w:pStyle w:val="ListParagraph"/>
        <w:numPr>
          <w:ilvl w:val="0"/>
          <w:numId w:val="8"/>
        </w:numPr>
        <w:spacing w:after="0" w:line="240" w:lineRule="auto"/>
        <w:jc w:val="both"/>
        <w:rPr>
          <w:rFonts w:ascii="Bookman Old Style" w:eastAsia="Calibri" w:hAnsi="Bookman Old Style" w:cs="Times New Roman"/>
          <w:noProof/>
          <w:color w:val="000000" w:themeColor="text1"/>
          <w:sz w:val="20"/>
          <w:szCs w:val="20"/>
        </w:rPr>
      </w:pPr>
      <w:r w:rsidRPr="00574148">
        <w:rPr>
          <w:rFonts w:ascii="Bookman Old Style" w:eastAsia="Calibri" w:hAnsi="Bookman Old Style" w:cs="Times New Roman"/>
          <w:noProof/>
          <w:color w:val="000000" w:themeColor="text1"/>
          <w:sz w:val="20"/>
          <w:szCs w:val="20"/>
        </w:rPr>
        <w:t xml:space="preserve">Mateo-Sagasta, J., Marjani Zadeh, S., &amp; Turral, H. (2017). Water pollution from agriculture: A global review. Food and Agriculture Organization of the United Nations. </w:t>
      </w:r>
      <w:hyperlink r:id="rId42" w:history="1">
        <w:r w:rsidRPr="005741C3">
          <w:rPr>
            <w:rStyle w:val="Hyperlink"/>
            <w:rFonts w:ascii="Bookman Old Style" w:eastAsia="Calibri" w:hAnsi="Bookman Old Style" w:cs="Times New Roman"/>
            <w:noProof/>
            <w:sz w:val="20"/>
            <w:szCs w:val="20"/>
          </w:rPr>
          <w:t>https://www.fao.org/3/i7754e/i7754e.pdf</w:t>
        </w:r>
      </w:hyperlink>
    </w:p>
    <w:p w14:paraId="4ED334BC" w14:textId="493B27DF" w:rsidR="00574148" w:rsidRDefault="00574148" w:rsidP="00BC19E0">
      <w:pPr>
        <w:pStyle w:val="ListParagraph"/>
        <w:numPr>
          <w:ilvl w:val="0"/>
          <w:numId w:val="8"/>
        </w:numPr>
        <w:spacing w:after="0" w:line="240" w:lineRule="auto"/>
        <w:jc w:val="both"/>
        <w:rPr>
          <w:rFonts w:ascii="Bookman Old Style" w:eastAsia="Calibri" w:hAnsi="Bookman Old Style" w:cs="Times New Roman"/>
          <w:noProof/>
          <w:color w:val="000000" w:themeColor="text1"/>
          <w:sz w:val="20"/>
          <w:szCs w:val="20"/>
        </w:rPr>
      </w:pPr>
      <w:r w:rsidRPr="00574148">
        <w:rPr>
          <w:rFonts w:ascii="Bookman Old Style" w:eastAsia="Calibri" w:hAnsi="Bookman Old Style" w:cs="Times New Roman"/>
          <w:noProof/>
          <w:color w:val="000000" w:themeColor="text1"/>
          <w:sz w:val="20"/>
          <w:szCs w:val="20"/>
        </w:rPr>
        <w:t xml:space="preserve">Selim, M. M. (2020). Introduction to the Integrated Nutrient Management Strategies and Their Contribution to Yield and Soil Properties. International Journal of Agronomy. </w:t>
      </w:r>
      <w:hyperlink r:id="rId43" w:history="1">
        <w:r w:rsidRPr="005741C3">
          <w:rPr>
            <w:rStyle w:val="Hyperlink"/>
            <w:rFonts w:ascii="Bookman Old Style" w:eastAsia="Calibri" w:hAnsi="Bookman Old Style" w:cs="Times New Roman"/>
            <w:noProof/>
            <w:sz w:val="20"/>
            <w:szCs w:val="20"/>
          </w:rPr>
          <w:t>https://doi.org/10.1155/2020/2821678</w:t>
        </w:r>
      </w:hyperlink>
    </w:p>
    <w:p w14:paraId="7C10EF28" w14:textId="12CC9DEC" w:rsidR="002246AD" w:rsidRPr="00BC19E0" w:rsidRDefault="002246AD" w:rsidP="00BC19E0">
      <w:pPr>
        <w:pStyle w:val="ListParagraph"/>
        <w:numPr>
          <w:ilvl w:val="0"/>
          <w:numId w:val="8"/>
        </w:numPr>
        <w:spacing w:after="0" w:line="240" w:lineRule="auto"/>
        <w:jc w:val="both"/>
        <w:rPr>
          <w:rFonts w:ascii="Bookman Old Style" w:eastAsia="Calibri" w:hAnsi="Bookman Old Style" w:cs="Times New Roman"/>
          <w:noProof/>
          <w:color w:val="000000" w:themeColor="text1"/>
          <w:sz w:val="20"/>
          <w:szCs w:val="20"/>
        </w:rPr>
      </w:pPr>
      <w:r w:rsidRPr="00BC19E0">
        <w:rPr>
          <w:rFonts w:ascii="Bookman Old Style" w:eastAsia="Calibri" w:hAnsi="Bookman Old Style" w:cs="Times New Roman"/>
          <w:noProof/>
          <w:color w:val="000000" w:themeColor="text1"/>
          <w:sz w:val="20"/>
          <w:szCs w:val="20"/>
        </w:rPr>
        <w:t xml:space="preserve">Shah Jahan Leghari, Niaz Ahmed,Mustafa Laghari, Abdul HafeezLaghar,Ghulam Mustafa Bhabhan,. (2016). Role of Nitrogen for Plant Growth and Development. </w:t>
      </w:r>
      <w:r w:rsidRPr="00BC19E0">
        <w:rPr>
          <w:rFonts w:ascii="Bookman Old Style" w:eastAsia="Calibri" w:hAnsi="Bookman Old Style" w:cs="Times New Roman"/>
          <w:i/>
          <w:iCs/>
          <w:noProof/>
          <w:color w:val="000000" w:themeColor="text1"/>
          <w:sz w:val="20"/>
          <w:szCs w:val="20"/>
        </w:rPr>
        <w:t>advance in Environmental Biology</w:t>
      </w:r>
      <w:r w:rsidRPr="00BC19E0">
        <w:rPr>
          <w:rFonts w:ascii="Bookman Old Style" w:eastAsia="Calibri" w:hAnsi="Bookman Old Style" w:cs="Times New Roman"/>
          <w:noProof/>
          <w:color w:val="000000" w:themeColor="text1"/>
          <w:sz w:val="20"/>
          <w:szCs w:val="20"/>
        </w:rPr>
        <w:t xml:space="preserve"> 9(10): 209-218.</w:t>
      </w:r>
    </w:p>
    <w:p w14:paraId="34172DDC" w14:textId="6AC67A3F" w:rsidR="00574148" w:rsidRDefault="00574148" w:rsidP="00BC19E0">
      <w:pPr>
        <w:pStyle w:val="ListParagraph"/>
        <w:numPr>
          <w:ilvl w:val="0"/>
          <w:numId w:val="8"/>
        </w:numPr>
        <w:spacing w:after="0" w:line="240" w:lineRule="auto"/>
        <w:jc w:val="both"/>
        <w:rPr>
          <w:rFonts w:ascii="Bookman Old Style" w:eastAsia="Calibri" w:hAnsi="Bookman Old Style" w:cs="Times New Roman"/>
          <w:noProof/>
          <w:color w:val="000000" w:themeColor="text1"/>
          <w:sz w:val="20"/>
          <w:szCs w:val="20"/>
        </w:rPr>
      </w:pPr>
      <w:r w:rsidRPr="00574148">
        <w:rPr>
          <w:rFonts w:ascii="Bookman Old Style" w:eastAsia="Calibri" w:hAnsi="Bookman Old Style" w:cs="Times New Roman"/>
          <w:noProof/>
          <w:color w:val="000000" w:themeColor="text1"/>
          <w:sz w:val="20"/>
          <w:szCs w:val="20"/>
        </w:rPr>
        <w:t xml:space="preserve">Bryan, N. S., &amp; van Grinsven, H. (2013). The role of nitrate in human health. Advances in Agronomy, 119, 153-182. </w:t>
      </w:r>
      <w:hyperlink r:id="rId44" w:history="1">
        <w:r w:rsidRPr="005741C3">
          <w:rPr>
            <w:rStyle w:val="Hyperlink"/>
            <w:rFonts w:ascii="Bookman Old Style" w:eastAsia="Calibri" w:hAnsi="Bookman Old Style" w:cs="Times New Roman"/>
            <w:noProof/>
            <w:sz w:val="20"/>
            <w:szCs w:val="20"/>
          </w:rPr>
          <w:t>https://doi.org/10.1016/B978-0-12-407247-3.00003-2</w:t>
        </w:r>
      </w:hyperlink>
    </w:p>
    <w:p w14:paraId="0EFB4F5F" w14:textId="6DF9A584" w:rsidR="00574148" w:rsidRDefault="00574148" w:rsidP="00BC19E0">
      <w:pPr>
        <w:pStyle w:val="ListParagraph"/>
        <w:numPr>
          <w:ilvl w:val="0"/>
          <w:numId w:val="8"/>
        </w:numPr>
        <w:spacing w:after="0" w:line="240" w:lineRule="auto"/>
        <w:jc w:val="both"/>
        <w:rPr>
          <w:rFonts w:ascii="Bookman Old Style" w:eastAsia="Calibri" w:hAnsi="Bookman Old Style" w:cs="Times New Roman"/>
          <w:noProof/>
          <w:color w:val="000000" w:themeColor="text1"/>
          <w:sz w:val="20"/>
          <w:szCs w:val="20"/>
        </w:rPr>
      </w:pPr>
      <w:r w:rsidRPr="00574148">
        <w:rPr>
          <w:rFonts w:ascii="Bookman Old Style" w:eastAsia="Calibri" w:hAnsi="Bookman Old Style" w:cs="Times New Roman"/>
          <w:noProof/>
          <w:color w:val="000000" w:themeColor="text1"/>
          <w:sz w:val="20"/>
          <w:szCs w:val="20"/>
        </w:rPr>
        <w:t xml:space="preserve">Majumdar, D. (2003). The blue baby syndrome: Nitrate poisoning in humans. Resonance, 8(10), 20-30. </w:t>
      </w:r>
      <w:hyperlink r:id="rId45" w:history="1">
        <w:r w:rsidRPr="005741C3">
          <w:rPr>
            <w:rStyle w:val="Hyperlink"/>
            <w:rFonts w:ascii="Bookman Old Style" w:eastAsia="Calibri" w:hAnsi="Bookman Old Style" w:cs="Times New Roman"/>
            <w:noProof/>
            <w:sz w:val="20"/>
            <w:szCs w:val="20"/>
          </w:rPr>
          <w:t>https://doi.org/10.1007/BF02840703</w:t>
        </w:r>
      </w:hyperlink>
    </w:p>
    <w:p w14:paraId="060AEC84" w14:textId="77777777" w:rsidR="00574148" w:rsidRDefault="00574148" w:rsidP="00BC19E0">
      <w:pPr>
        <w:pStyle w:val="ListParagraph"/>
        <w:numPr>
          <w:ilvl w:val="0"/>
          <w:numId w:val="8"/>
        </w:numPr>
        <w:spacing w:after="0" w:line="240" w:lineRule="auto"/>
        <w:jc w:val="both"/>
        <w:rPr>
          <w:rFonts w:ascii="Bookman Old Style" w:eastAsia="Calibri" w:hAnsi="Bookman Old Style" w:cs="Times New Roman"/>
          <w:noProof/>
          <w:color w:val="000000" w:themeColor="text1"/>
          <w:sz w:val="20"/>
          <w:szCs w:val="20"/>
        </w:rPr>
      </w:pPr>
      <w:r w:rsidRPr="00574148">
        <w:rPr>
          <w:rFonts w:ascii="Bookman Old Style" w:eastAsia="Calibri" w:hAnsi="Bookman Old Style" w:cs="Times New Roman"/>
          <w:noProof/>
          <w:color w:val="000000" w:themeColor="text1"/>
          <w:sz w:val="20"/>
          <w:szCs w:val="20"/>
        </w:rPr>
        <w:t xml:space="preserve">Ansari, A. A., Gill, S. S., Lanza, G. R., &amp; Rast, W. (Eds.). (2011). Eutrophication: Causes, Consequences and Control. Springer. </w:t>
      </w:r>
      <w:hyperlink r:id="rId46" w:history="1">
        <w:r w:rsidRPr="005741C3">
          <w:rPr>
            <w:rStyle w:val="Hyperlink"/>
            <w:rFonts w:ascii="Bookman Old Style" w:eastAsia="Calibri" w:hAnsi="Bookman Old Style" w:cs="Times New Roman"/>
            <w:noProof/>
            <w:sz w:val="20"/>
            <w:szCs w:val="20"/>
          </w:rPr>
          <w:t>https://doi.org/10.1007/978-90-481-9625-8</w:t>
        </w:r>
      </w:hyperlink>
      <w:r>
        <w:rPr>
          <w:rFonts w:ascii="Bookman Old Style" w:eastAsia="Calibri" w:hAnsi="Bookman Old Style" w:cs="Times New Roman"/>
          <w:noProof/>
          <w:color w:val="000000" w:themeColor="text1"/>
          <w:sz w:val="20"/>
          <w:szCs w:val="20"/>
        </w:rPr>
        <w:t xml:space="preserve"> </w:t>
      </w:r>
    </w:p>
    <w:p w14:paraId="4628B579" w14:textId="58C2BE38" w:rsidR="00F17D22" w:rsidRDefault="00F17D22" w:rsidP="00BC19E0">
      <w:pPr>
        <w:pStyle w:val="ListParagraph"/>
        <w:numPr>
          <w:ilvl w:val="0"/>
          <w:numId w:val="8"/>
        </w:numPr>
        <w:spacing w:after="0" w:line="240" w:lineRule="auto"/>
        <w:jc w:val="both"/>
        <w:rPr>
          <w:rFonts w:ascii="Bookman Old Style" w:eastAsia="Calibri" w:hAnsi="Bookman Old Style" w:cs="Times New Roman"/>
          <w:noProof/>
          <w:color w:val="000000" w:themeColor="text1"/>
          <w:sz w:val="20"/>
          <w:szCs w:val="20"/>
        </w:rPr>
      </w:pPr>
      <w:r w:rsidRPr="00F17D22">
        <w:rPr>
          <w:rFonts w:ascii="Bookman Old Style" w:eastAsia="Calibri" w:hAnsi="Bookman Old Style" w:cs="Times New Roman"/>
          <w:noProof/>
          <w:color w:val="000000" w:themeColor="text1"/>
          <w:sz w:val="20"/>
          <w:szCs w:val="20"/>
        </w:rPr>
        <w:t xml:space="preserve">Khan, T. A. (2011). Trace Elements in the Drinking Water and Their Possible Health Effects in Aligarh City, India. Journal of Water Resource and Protection. </w:t>
      </w:r>
      <w:hyperlink r:id="rId47" w:history="1">
        <w:r w:rsidRPr="005741C3">
          <w:rPr>
            <w:rStyle w:val="Hyperlink"/>
            <w:rFonts w:ascii="Bookman Old Style" w:eastAsia="Calibri" w:hAnsi="Bookman Old Style" w:cs="Times New Roman"/>
            <w:noProof/>
            <w:sz w:val="20"/>
            <w:szCs w:val="20"/>
          </w:rPr>
          <w:t>https://doi.org/10.4236/jwarp.2011.37062</w:t>
        </w:r>
      </w:hyperlink>
    </w:p>
    <w:p w14:paraId="1ABCCE9F" w14:textId="73B21DEA" w:rsidR="00F17D22" w:rsidRDefault="00F17D22" w:rsidP="00BC19E0">
      <w:pPr>
        <w:pStyle w:val="ListParagraph"/>
        <w:numPr>
          <w:ilvl w:val="0"/>
          <w:numId w:val="8"/>
        </w:numPr>
        <w:spacing w:after="0" w:line="240" w:lineRule="auto"/>
        <w:jc w:val="both"/>
        <w:rPr>
          <w:rFonts w:ascii="Bookman Old Style" w:eastAsia="Calibri" w:hAnsi="Bookman Old Style" w:cs="Times New Roman"/>
          <w:noProof/>
          <w:color w:val="000000" w:themeColor="text1"/>
          <w:sz w:val="20"/>
          <w:szCs w:val="20"/>
        </w:rPr>
      </w:pPr>
      <w:r w:rsidRPr="00F17D22">
        <w:rPr>
          <w:rFonts w:ascii="Bookman Old Style" w:eastAsia="Calibri" w:hAnsi="Bookman Old Style" w:cs="Times New Roman"/>
          <w:noProof/>
          <w:color w:val="000000" w:themeColor="text1"/>
          <w:sz w:val="20"/>
          <w:szCs w:val="20"/>
        </w:rPr>
        <w:lastRenderedPageBreak/>
        <w:t xml:space="preserve">World Health Organization. (2011). Arsenic in Drinking-water: Background document for development of WHO Guidelines for Drinking-water Quality. </w:t>
      </w:r>
      <w:hyperlink r:id="rId48" w:history="1">
        <w:r w:rsidRPr="005741C3">
          <w:rPr>
            <w:rStyle w:val="Hyperlink"/>
            <w:rFonts w:ascii="Bookman Old Style" w:eastAsia="Calibri" w:hAnsi="Bookman Old Style" w:cs="Times New Roman"/>
            <w:noProof/>
            <w:sz w:val="20"/>
            <w:szCs w:val="20"/>
          </w:rPr>
          <w:t>https://www.who.int/publications/i/item/9789241548116</w:t>
        </w:r>
      </w:hyperlink>
    </w:p>
    <w:p w14:paraId="266D1A59" w14:textId="795CEAC2" w:rsidR="00F17D22" w:rsidRDefault="00F17D22" w:rsidP="00BC19E0">
      <w:pPr>
        <w:pStyle w:val="ListParagraph"/>
        <w:numPr>
          <w:ilvl w:val="0"/>
          <w:numId w:val="8"/>
        </w:numPr>
        <w:spacing w:after="0" w:line="240" w:lineRule="auto"/>
        <w:jc w:val="both"/>
        <w:rPr>
          <w:rFonts w:ascii="Bookman Old Style" w:eastAsia="Calibri" w:hAnsi="Bookman Old Style" w:cs="Times New Roman"/>
          <w:noProof/>
          <w:color w:val="000000" w:themeColor="text1"/>
          <w:sz w:val="20"/>
          <w:szCs w:val="20"/>
        </w:rPr>
      </w:pPr>
      <w:r w:rsidRPr="00F17D22">
        <w:rPr>
          <w:rFonts w:ascii="Bookman Old Style" w:eastAsia="Calibri" w:hAnsi="Bookman Old Style" w:cs="Times New Roman"/>
          <w:noProof/>
          <w:color w:val="000000" w:themeColor="text1"/>
          <w:sz w:val="20"/>
          <w:szCs w:val="20"/>
        </w:rPr>
        <w:t xml:space="preserve">Yamasaki, H., Pilon, M., &amp; Shikanai, T. (2008). How do plants respond to copper deficiency? Plant Signal Behavior, 3(4), 231-232. </w:t>
      </w:r>
      <w:hyperlink r:id="rId49" w:history="1">
        <w:r w:rsidRPr="005741C3">
          <w:rPr>
            <w:rStyle w:val="Hyperlink"/>
            <w:rFonts w:ascii="Bookman Old Style" w:eastAsia="Calibri" w:hAnsi="Bookman Old Style" w:cs="Times New Roman"/>
            <w:noProof/>
            <w:sz w:val="20"/>
            <w:szCs w:val="20"/>
          </w:rPr>
          <w:t>https://doi.org/10.4161/psb.3.4.5094</w:t>
        </w:r>
      </w:hyperlink>
    </w:p>
    <w:p w14:paraId="328D5220" w14:textId="1248393C" w:rsidR="00F17D22" w:rsidRDefault="00F17D22" w:rsidP="00BC19E0">
      <w:pPr>
        <w:pStyle w:val="ListParagraph"/>
        <w:numPr>
          <w:ilvl w:val="0"/>
          <w:numId w:val="8"/>
        </w:numPr>
        <w:spacing w:after="0" w:line="240" w:lineRule="auto"/>
        <w:jc w:val="both"/>
        <w:rPr>
          <w:rFonts w:ascii="Bookman Old Style" w:eastAsia="Calibri" w:hAnsi="Bookman Old Style" w:cs="Times New Roman"/>
          <w:noProof/>
          <w:color w:val="000000" w:themeColor="text1"/>
          <w:sz w:val="20"/>
          <w:szCs w:val="20"/>
        </w:rPr>
      </w:pPr>
      <w:r w:rsidRPr="00F17D22">
        <w:rPr>
          <w:rFonts w:ascii="Bookman Old Style" w:eastAsia="Calibri" w:hAnsi="Bookman Old Style" w:cs="Times New Roman"/>
          <w:noProof/>
          <w:color w:val="000000" w:themeColor="text1"/>
          <w:sz w:val="20"/>
          <w:szCs w:val="20"/>
        </w:rPr>
        <w:t xml:space="preserve">National Research Council (US) Committee on Copper in Drinking Water. (2000). Copper in Drinking Water. National Academies Press (US). </w:t>
      </w:r>
      <w:hyperlink r:id="rId50" w:history="1">
        <w:r w:rsidRPr="005741C3">
          <w:rPr>
            <w:rStyle w:val="Hyperlink"/>
            <w:rFonts w:ascii="Bookman Old Style" w:eastAsia="Calibri" w:hAnsi="Bookman Old Style" w:cs="Times New Roman"/>
            <w:noProof/>
            <w:sz w:val="20"/>
            <w:szCs w:val="20"/>
          </w:rPr>
          <w:t>https://doi.org/10.17226/9782</w:t>
        </w:r>
      </w:hyperlink>
    </w:p>
    <w:p w14:paraId="4325AAC6" w14:textId="0F1A112B" w:rsidR="00F17D22" w:rsidRDefault="00F17D22" w:rsidP="00BC19E0">
      <w:pPr>
        <w:pStyle w:val="ListParagraph"/>
        <w:numPr>
          <w:ilvl w:val="0"/>
          <w:numId w:val="8"/>
        </w:numPr>
        <w:spacing w:after="0" w:line="240" w:lineRule="auto"/>
        <w:jc w:val="both"/>
        <w:rPr>
          <w:rFonts w:ascii="Bookman Old Style" w:eastAsia="Calibri" w:hAnsi="Bookman Old Style" w:cs="Times New Roman"/>
          <w:noProof/>
          <w:color w:val="000000" w:themeColor="text1"/>
          <w:sz w:val="20"/>
          <w:szCs w:val="20"/>
        </w:rPr>
      </w:pPr>
      <w:r w:rsidRPr="00F17D22">
        <w:rPr>
          <w:rFonts w:ascii="Bookman Old Style" w:eastAsia="Calibri" w:hAnsi="Bookman Old Style" w:cs="Times New Roman"/>
          <w:noProof/>
          <w:color w:val="000000" w:themeColor="text1"/>
          <w:sz w:val="20"/>
          <w:szCs w:val="20"/>
        </w:rPr>
        <w:t xml:space="preserve">Debnath, B., Singh, W. S., &amp; Manna, K. (2019). Sources and toxicological effects of lead on human health. Indian Journal of Medical Specialities, 10(2), 66-71. </w:t>
      </w:r>
      <w:hyperlink r:id="rId51" w:history="1">
        <w:r w:rsidRPr="005741C3">
          <w:rPr>
            <w:rStyle w:val="Hyperlink"/>
            <w:rFonts w:ascii="Bookman Old Style" w:eastAsia="Calibri" w:hAnsi="Bookman Old Style" w:cs="Times New Roman"/>
            <w:noProof/>
            <w:sz w:val="20"/>
            <w:szCs w:val="20"/>
          </w:rPr>
          <w:t>https://doi.org/10.4103/INJMS.INJMS_30_18</w:t>
        </w:r>
      </w:hyperlink>
    </w:p>
    <w:p w14:paraId="54D32CB5" w14:textId="1587E35B" w:rsidR="00F17D22" w:rsidRDefault="00F17D22" w:rsidP="00BC19E0">
      <w:pPr>
        <w:pStyle w:val="ListParagraph"/>
        <w:numPr>
          <w:ilvl w:val="0"/>
          <w:numId w:val="8"/>
        </w:numPr>
        <w:spacing w:after="0" w:line="240" w:lineRule="auto"/>
        <w:jc w:val="both"/>
        <w:rPr>
          <w:rFonts w:ascii="Bookman Old Style" w:eastAsia="Calibri" w:hAnsi="Bookman Old Style" w:cs="Times New Roman"/>
          <w:noProof/>
          <w:color w:val="000000" w:themeColor="text1"/>
          <w:sz w:val="20"/>
          <w:szCs w:val="20"/>
        </w:rPr>
      </w:pPr>
      <w:r w:rsidRPr="00F17D22">
        <w:rPr>
          <w:rFonts w:ascii="Bookman Old Style" w:eastAsia="Calibri" w:hAnsi="Bookman Old Style" w:cs="Times New Roman"/>
          <w:noProof/>
          <w:color w:val="000000" w:themeColor="text1"/>
          <w:sz w:val="20"/>
          <w:szCs w:val="20"/>
        </w:rPr>
        <w:t xml:space="preserve">Assi, M. A., Hezmee, M. N. M., Haron, A. W., Sabri, M. Y., &amp; Rajion, M. A. (2016). The detrimental effects of lead on human and animal health. Veterinary World, 9(6), 660-671. </w:t>
      </w:r>
      <w:hyperlink r:id="rId52" w:history="1">
        <w:r w:rsidRPr="005741C3">
          <w:rPr>
            <w:rStyle w:val="Hyperlink"/>
            <w:rFonts w:ascii="Bookman Old Style" w:eastAsia="Calibri" w:hAnsi="Bookman Old Style" w:cs="Times New Roman"/>
            <w:noProof/>
            <w:sz w:val="20"/>
            <w:szCs w:val="20"/>
          </w:rPr>
          <w:t>https://doi.org/10.14202/vetworld.2016.660-671</w:t>
        </w:r>
      </w:hyperlink>
    </w:p>
    <w:p w14:paraId="0A551C84" w14:textId="1FBAF97E" w:rsidR="00F17D22" w:rsidRPr="00F17D22" w:rsidRDefault="00F17D22" w:rsidP="00BC19E0">
      <w:pPr>
        <w:pStyle w:val="ListParagraph"/>
        <w:numPr>
          <w:ilvl w:val="0"/>
          <w:numId w:val="8"/>
        </w:numPr>
        <w:spacing w:after="0" w:line="240" w:lineRule="auto"/>
        <w:jc w:val="both"/>
        <w:rPr>
          <w:rFonts w:ascii="Bookman Old Style" w:hAnsi="Bookman Old Style"/>
          <w:color w:val="000000" w:themeColor="text1"/>
          <w:sz w:val="20"/>
          <w:szCs w:val="20"/>
        </w:rPr>
      </w:pPr>
      <w:r w:rsidRPr="00F17D22">
        <w:rPr>
          <w:rFonts w:ascii="Bookman Old Style" w:eastAsia="Calibri" w:hAnsi="Bookman Old Style" w:cs="Times New Roman"/>
          <w:noProof/>
          <w:color w:val="000000" w:themeColor="text1"/>
          <w:sz w:val="20"/>
          <w:szCs w:val="20"/>
        </w:rPr>
        <w:t xml:space="preserve">Cannata, M. G., Carvalho, R., Bertoli, A. C., Augusto, A. S., Bastos, A. R. R., Carvalho, J. G., &amp; Freitas, M. P. (2013). Effects of Cadmium and Lead on Plant Growth and Content of Heavy Metals in Arugula Cultivated in Nutritive Solution. Communications in Soil Science and Plant Analysis, 44(5), 952-961. </w:t>
      </w:r>
      <w:hyperlink r:id="rId53" w:history="1">
        <w:r w:rsidRPr="005741C3">
          <w:rPr>
            <w:rStyle w:val="Hyperlink"/>
            <w:rFonts w:ascii="Bookman Old Style" w:eastAsia="Calibri" w:hAnsi="Bookman Old Style" w:cs="Times New Roman"/>
            <w:noProof/>
            <w:sz w:val="20"/>
            <w:szCs w:val="20"/>
          </w:rPr>
          <w:t>https://doi.org/10.1080/00103624.2013.753700</w:t>
        </w:r>
      </w:hyperlink>
    </w:p>
    <w:p w14:paraId="0DAD61E0" w14:textId="53D9CD6A" w:rsidR="00F17D22" w:rsidRPr="00F17D22" w:rsidRDefault="00F17D22" w:rsidP="00BC19E0">
      <w:pPr>
        <w:pStyle w:val="ListParagraph"/>
        <w:numPr>
          <w:ilvl w:val="0"/>
          <w:numId w:val="8"/>
        </w:numPr>
        <w:spacing w:after="0" w:line="240" w:lineRule="auto"/>
        <w:jc w:val="both"/>
        <w:rPr>
          <w:rFonts w:ascii="Bookman Old Style" w:eastAsia="Calibri" w:hAnsi="Bookman Old Style" w:cs="Times New Roman"/>
          <w:noProof/>
          <w:color w:val="000000" w:themeColor="text1"/>
          <w:sz w:val="20"/>
          <w:szCs w:val="20"/>
        </w:rPr>
      </w:pPr>
      <w:proofErr w:type="spellStart"/>
      <w:r w:rsidRPr="00F17D22">
        <w:rPr>
          <w:rFonts w:ascii="Bookman Old Style" w:hAnsi="Bookman Old Style"/>
          <w:color w:val="000000" w:themeColor="text1"/>
          <w:sz w:val="20"/>
          <w:szCs w:val="20"/>
        </w:rPr>
        <w:t>Králik</w:t>
      </w:r>
      <w:proofErr w:type="spellEnd"/>
      <w:r w:rsidRPr="00F17D22">
        <w:rPr>
          <w:rFonts w:ascii="Bookman Old Style" w:hAnsi="Bookman Old Style"/>
          <w:color w:val="000000" w:themeColor="text1"/>
          <w:sz w:val="20"/>
          <w:szCs w:val="20"/>
        </w:rPr>
        <w:t xml:space="preserve">, M. (2014). Adsorption, </w:t>
      </w:r>
      <w:proofErr w:type="spellStart"/>
      <w:r w:rsidRPr="00F17D22">
        <w:rPr>
          <w:rFonts w:ascii="Bookman Old Style" w:hAnsi="Bookman Old Style"/>
          <w:color w:val="000000" w:themeColor="text1"/>
          <w:sz w:val="20"/>
          <w:szCs w:val="20"/>
        </w:rPr>
        <w:t>chemisorption</w:t>
      </w:r>
      <w:proofErr w:type="spellEnd"/>
      <w:r w:rsidRPr="00F17D22">
        <w:rPr>
          <w:rFonts w:ascii="Bookman Old Style" w:hAnsi="Bookman Old Style"/>
          <w:color w:val="000000" w:themeColor="text1"/>
          <w:sz w:val="20"/>
          <w:szCs w:val="20"/>
        </w:rPr>
        <w:t xml:space="preserve">, and </w:t>
      </w:r>
      <w:proofErr w:type="spellStart"/>
      <w:r w:rsidRPr="00F17D22">
        <w:rPr>
          <w:rFonts w:ascii="Bookman Old Style" w:hAnsi="Bookman Old Style"/>
          <w:color w:val="000000" w:themeColor="text1"/>
          <w:sz w:val="20"/>
          <w:szCs w:val="20"/>
        </w:rPr>
        <w:t>catalysis</w:t>
      </w:r>
      <w:proofErr w:type="spellEnd"/>
      <w:r w:rsidRPr="00F17D22">
        <w:rPr>
          <w:rFonts w:ascii="Bookman Old Style" w:hAnsi="Bookman Old Style"/>
          <w:color w:val="000000" w:themeColor="text1"/>
          <w:sz w:val="20"/>
          <w:szCs w:val="20"/>
        </w:rPr>
        <w:t xml:space="preserve">. Chemical Papers, 68(12), 1625–1638. </w:t>
      </w:r>
      <w:hyperlink r:id="rId54" w:history="1">
        <w:r w:rsidRPr="005741C3">
          <w:rPr>
            <w:rStyle w:val="Hyperlink"/>
            <w:rFonts w:ascii="Bookman Old Style" w:hAnsi="Bookman Old Style"/>
            <w:sz w:val="20"/>
            <w:szCs w:val="20"/>
          </w:rPr>
          <w:t>https://doi.org/10.2478/s11696-014-0624-9</w:t>
        </w:r>
      </w:hyperlink>
    </w:p>
    <w:p w14:paraId="436CC800" w14:textId="7C294158" w:rsidR="00F17D22" w:rsidRDefault="00F17D22" w:rsidP="00BC19E0">
      <w:pPr>
        <w:pStyle w:val="ListParagraph"/>
        <w:numPr>
          <w:ilvl w:val="0"/>
          <w:numId w:val="8"/>
        </w:numPr>
        <w:spacing w:after="0" w:line="240" w:lineRule="auto"/>
        <w:jc w:val="both"/>
        <w:rPr>
          <w:rFonts w:ascii="Bookman Old Style" w:eastAsia="Calibri" w:hAnsi="Bookman Old Style" w:cs="Times New Roman"/>
          <w:noProof/>
          <w:color w:val="000000" w:themeColor="text1"/>
          <w:sz w:val="20"/>
          <w:szCs w:val="20"/>
        </w:rPr>
      </w:pPr>
      <w:r w:rsidRPr="00F17D22">
        <w:rPr>
          <w:rFonts w:ascii="Bookman Old Style" w:eastAsia="Calibri" w:hAnsi="Bookman Old Style" w:cs="Times New Roman"/>
          <w:noProof/>
          <w:color w:val="000000" w:themeColor="text1"/>
          <w:sz w:val="20"/>
          <w:szCs w:val="20"/>
        </w:rPr>
        <w:t xml:space="preserve">Fowler, B. A., Alexander, J., &amp; Oskarsson, A. (2015). Toxic Metals in Food. In G. F. Nordberg, B. A. Fowler, &amp; M. Nordberg (Eds.), Handbook on the Toxicology of Metals (4th ed., pp. 123-140). Academic Press. </w:t>
      </w:r>
      <w:hyperlink r:id="rId55" w:history="1">
        <w:r w:rsidRPr="005741C3">
          <w:rPr>
            <w:rStyle w:val="Hyperlink"/>
            <w:rFonts w:ascii="Bookman Old Style" w:eastAsia="Calibri" w:hAnsi="Bookman Old Style" w:cs="Times New Roman"/>
            <w:noProof/>
            <w:sz w:val="20"/>
            <w:szCs w:val="20"/>
          </w:rPr>
          <w:t>https://doi.org/10.1016/B978-0-444-59453-2.00006-8</w:t>
        </w:r>
      </w:hyperlink>
    </w:p>
    <w:p w14:paraId="570F052C" w14:textId="5AB82A70" w:rsidR="00F17D22" w:rsidRPr="00F17D22" w:rsidRDefault="00F17D22" w:rsidP="00BC19E0">
      <w:pPr>
        <w:pStyle w:val="Bibliography"/>
        <w:numPr>
          <w:ilvl w:val="0"/>
          <w:numId w:val="8"/>
        </w:numPr>
        <w:spacing w:after="0" w:line="240" w:lineRule="auto"/>
        <w:jc w:val="both"/>
        <w:rPr>
          <w:rFonts w:ascii="Bookman Old Style" w:hAnsi="Bookman Old Style" w:cs="Times New Roman"/>
          <w:noProof/>
          <w:color w:val="000000" w:themeColor="text1"/>
          <w:sz w:val="20"/>
          <w:szCs w:val="20"/>
        </w:rPr>
      </w:pPr>
      <w:r w:rsidRPr="00F17D22">
        <w:rPr>
          <w:rFonts w:ascii="Bookman Old Style" w:eastAsia="Calibri" w:hAnsi="Bookman Old Style" w:cs="Times New Roman"/>
          <w:noProof/>
          <w:color w:val="000000" w:themeColor="text1"/>
          <w:sz w:val="20"/>
          <w:szCs w:val="20"/>
        </w:rPr>
        <w:t xml:space="preserve">Rafati Rahimzadeh, M., Rafati Rahimzadeh, M., Kazemi, S., &amp; Moghadamnia, A.-A. (2017). Cadmium toxicity and treatment: An update. Caspian Journal of Internal Medicine, 8(3), 135-145. </w:t>
      </w:r>
      <w:hyperlink r:id="rId56" w:history="1">
        <w:r w:rsidRPr="005741C3">
          <w:rPr>
            <w:rStyle w:val="Hyperlink"/>
            <w:rFonts w:ascii="Bookman Old Style" w:eastAsia="Calibri" w:hAnsi="Bookman Old Style" w:cs="Times New Roman"/>
            <w:noProof/>
            <w:sz w:val="20"/>
            <w:szCs w:val="20"/>
          </w:rPr>
          <w:t>https://doi.org/10.22088/cjim.8.3.135</w:t>
        </w:r>
      </w:hyperlink>
    </w:p>
    <w:p w14:paraId="312B6C27" w14:textId="0B6905C5" w:rsidR="002246AD" w:rsidRPr="00BC19E0" w:rsidRDefault="002246AD" w:rsidP="00BC19E0">
      <w:pPr>
        <w:pStyle w:val="Bibliography"/>
        <w:numPr>
          <w:ilvl w:val="0"/>
          <w:numId w:val="8"/>
        </w:numPr>
        <w:spacing w:after="0" w:line="240" w:lineRule="auto"/>
        <w:jc w:val="both"/>
        <w:rPr>
          <w:rFonts w:ascii="Bookman Old Style" w:hAnsi="Bookman Old Style" w:cs="Times New Roman"/>
          <w:noProof/>
          <w:color w:val="000000" w:themeColor="text1"/>
          <w:sz w:val="20"/>
          <w:szCs w:val="20"/>
        </w:rPr>
      </w:pPr>
      <w:r w:rsidRPr="00BC19E0">
        <w:rPr>
          <w:rFonts w:ascii="Bookman Old Style" w:hAnsi="Bookman Old Style" w:cs="Times New Roman"/>
          <w:noProof/>
          <w:color w:val="000000" w:themeColor="text1"/>
          <w:sz w:val="20"/>
          <w:szCs w:val="20"/>
        </w:rPr>
        <w:t xml:space="preserve">Suresh Guptaa and B V Babu. (2006). Adsorption of Cr(VI) by a Low-Cost Adsorbent Prepared from Neem Leaves. </w:t>
      </w:r>
      <w:r w:rsidRPr="00BC19E0">
        <w:rPr>
          <w:rFonts w:ascii="Bookman Old Style" w:hAnsi="Bookman Old Style" w:cs="Times New Roman"/>
          <w:i/>
          <w:iCs/>
          <w:noProof/>
          <w:color w:val="000000" w:themeColor="text1"/>
          <w:sz w:val="20"/>
          <w:szCs w:val="20"/>
        </w:rPr>
        <w:t>National Conference on Environmental Conservation</w:t>
      </w:r>
      <w:r w:rsidRPr="00BC19E0">
        <w:rPr>
          <w:rFonts w:ascii="Bookman Old Style" w:hAnsi="Bookman Old Style" w:cs="Times New Roman"/>
          <w:noProof/>
          <w:color w:val="000000" w:themeColor="text1"/>
          <w:sz w:val="20"/>
          <w:szCs w:val="20"/>
        </w:rPr>
        <w:t>, 175-180.</w:t>
      </w:r>
    </w:p>
    <w:p w14:paraId="76CB328E" w14:textId="389532AD" w:rsidR="00F17D22" w:rsidRDefault="00F17D22" w:rsidP="00BC19E0">
      <w:pPr>
        <w:pStyle w:val="Bibliography"/>
        <w:numPr>
          <w:ilvl w:val="0"/>
          <w:numId w:val="8"/>
        </w:numPr>
        <w:spacing w:after="0" w:line="240" w:lineRule="auto"/>
        <w:jc w:val="both"/>
        <w:rPr>
          <w:rFonts w:ascii="Bookman Old Style" w:hAnsi="Bookman Old Style" w:cs="Times New Roman"/>
          <w:noProof/>
          <w:color w:val="000000" w:themeColor="text1"/>
          <w:sz w:val="20"/>
          <w:szCs w:val="20"/>
        </w:rPr>
      </w:pPr>
      <w:r w:rsidRPr="00F17D22">
        <w:rPr>
          <w:rFonts w:ascii="Bookman Old Style" w:hAnsi="Bookman Old Style" w:cs="Times New Roman"/>
          <w:noProof/>
          <w:color w:val="000000" w:themeColor="text1"/>
          <w:sz w:val="20"/>
          <w:szCs w:val="20"/>
        </w:rPr>
        <w:t xml:space="preserve">Wang, F. Y., Wang, H., &amp; Ma, J. W. (2010). Adsorption of cadmium (II) ions from aqueous solution by a new low-cost adsorbent--bamboo charcoal. Journal of Hazardous Materials, 177(1-3), 300-306. </w:t>
      </w:r>
      <w:hyperlink r:id="rId57" w:history="1">
        <w:r w:rsidRPr="005741C3">
          <w:rPr>
            <w:rStyle w:val="Hyperlink"/>
            <w:rFonts w:ascii="Bookman Old Style" w:hAnsi="Bookman Old Style" w:cs="Times New Roman"/>
            <w:noProof/>
            <w:sz w:val="20"/>
            <w:szCs w:val="20"/>
          </w:rPr>
          <w:t>https://doi.org/10.1016/j.jhazmat.2009.12.032</w:t>
        </w:r>
      </w:hyperlink>
    </w:p>
    <w:p w14:paraId="4ABC344C" w14:textId="43AEB579" w:rsidR="00F17D22" w:rsidRDefault="00F17D22" w:rsidP="00BC19E0">
      <w:pPr>
        <w:pStyle w:val="Bibliography"/>
        <w:numPr>
          <w:ilvl w:val="0"/>
          <w:numId w:val="8"/>
        </w:numPr>
        <w:spacing w:after="0" w:line="240" w:lineRule="auto"/>
        <w:jc w:val="both"/>
        <w:rPr>
          <w:rFonts w:ascii="Bookman Old Style" w:hAnsi="Bookman Old Style" w:cs="Times New Roman"/>
          <w:noProof/>
          <w:color w:val="000000" w:themeColor="text1"/>
          <w:sz w:val="20"/>
          <w:szCs w:val="20"/>
        </w:rPr>
      </w:pPr>
      <w:r w:rsidRPr="00F17D22">
        <w:rPr>
          <w:rFonts w:ascii="Bookman Old Style" w:hAnsi="Bookman Old Style" w:cs="Times New Roman"/>
          <w:noProof/>
          <w:color w:val="000000" w:themeColor="text1"/>
          <w:sz w:val="20"/>
          <w:szCs w:val="20"/>
        </w:rPr>
        <w:t xml:space="preserve">Padmavathy, K. S., Madhu, G., &amp; Haseenaa, P. V. (2016). A study on Effects of pH, Adsorbent Dosage, Time, Initial Concentration and Adsorption Isotherm Study for the Removal of Hexavalent Chromium (Cr (VI)) from Wastewater by Magnetite Nanoparticles. Procedia Technology, 24, 585-594. </w:t>
      </w:r>
      <w:hyperlink r:id="rId58" w:history="1">
        <w:r w:rsidRPr="005741C3">
          <w:rPr>
            <w:rStyle w:val="Hyperlink"/>
            <w:rFonts w:ascii="Bookman Old Style" w:hAnsi="Bookman Old Style" w:cs="Times New Roman"/>
            <w:noProof/>
            <w:sz w:val="20"/>
            <w:szCs w:val="20"/>
          </w:rPr>
          <w:t>https://doi.org/10.1016/j.protcy.2016.05.127</w:t>
        </w:r>
      </w:hyperlink>
    </w:p>
    <w:p w14:paraId="4A19748C" w14:textId="62123043" w:rsidR="00F17D22" w:rsidRPr="00F17D22" w:rsidRDefault="00F17D22" w:rsidP="00BC19E0">
      <w:pPr>
        <w:pStyle w:val="ListParagraph"/>
        <w:numPr>
          <w:ilvl w:val="0"/>
          <w:numId w:val="8"/>
        </w:numPr>
        <w:spacing w:after="0" w:line="240" w:lineRule="auto"/>
        <w:jc w:val="both"/>
        <w:rPr>
          <w:rFonts w:ascii="Bookman Old Style" w:eastAsia="Calibri" w:hAnsi="Bookman Old Style" w:cs="Times New Roman"/>
          <w:noProof/>
          <w:color w:val="000000" w:themeColor="text1"/>
          <w:sz w:val="20"/>
          <w:szCs w:val="20"/>
        </w:rPr>
      </w:pPr>
      <w:r w:rsidRPr="00F17D22">
        <w:rPr>
          <w:rFonts w:ascii="Bookman Old Style" w:hAnsi="Bookman Old Style" w:cs="Times New Roman"/>
          <w:noProof/>
          <w:color w:val="000000" w:themeColor="text1"/>
          <w:sz w:val="20"/>
          <w:szCs w:val="20"/>
        </w:rPr>
        <w:t xml:space="preserve">Hu, H., &amp; Xu, K. (2020). Chapter 8 - Physicochemical technologies for HRPs and risk control. In X. Zhang &amp; H. Ren (Eds.), High-Risk Pollutants in Wastewater (pp. 169-207). Elsevier. </w:t>
      </w:r>
      <w:hyperlink r:id="rId59" w:history="1">
        <w:r w:rsidRPr="005741C3">
          <w:rPr>
            <w:rStyle w:val="Hyperlink"/>
            <w:rFonts w:ascii="Bookman Old Style" w:hAnsi="Bookman Old Style" w:cs="Times New Roman"/>
            <w:noProof/>
            <w:sz w:val="20"/>
            <w:szCs w:val="20"/>
          </w:rPr>
          <w:t>https://doi.org/10.1016/B978-0-12-816448-8.00008-3</w:t>
        </w:r>
      </w:hyperlink>
    </w:p>
    <w:p w14:paraId="59536AD5" w14:textId="40EAAF1D" w:rsidR="00F17D22" w:rsidRPr="00F17D22" w:rsidRDefault="00F17D22" w:rsidP="00BC19E0">
      <w:pPr>
        <w:pStyle w:val="ListParagraph"/>
        <w:numPr>
          <w:ilvl w:val="0"/>
          <w:numId w:val="8"/>
        </w:numPr>
        <w:spacing w:after="0" w:line="240" w:lineRule="auto"/>
        <w:jc w:val="both"/>
        <w:rPr>
          <w:rFonts w:ascii="Bookman Old Style" w:hAnsi="Bookman Old Style"/>
          <w:color w:val="000000" w:themeColor="text1"/>
          <w:sz w:val="20"/>
          <w:szCs w:val="20"/>
          <w:shd w:val="clear" w:color="auto" w:fill="FFFFFF"/>
        </w:rPr>
      </w:pPr>
      <w:r w:rsidRPr="00F17D22">
        <w:rPr>
          <w:rFonts w:ascii="Bookman Old Style" w:eastAsia="Calibri" w:hAnsi="Bookman Old Style" w:cs="Times New Roman"/>
          <w:noProof/>
          <w:color w:val="000000" w:themeColor="text1"/>
          <w:sz w:val="20"/>
          <w:szCs w:val="20"/>
        </w:rPr>
        <w:t xml:space="preserve">Hartwig, A. (2013). Cadmium and cancer. Metal ions in life sciences 11, 491-507. </w:t>
      </w:r>
      <w:hyperlink r:id="rId60" w:history="1">
        <w:r w:rsidRPr="005741C3">
          <w:rPr>
            <w:rStyle w:val="Hyperlink"/>
            <w:rFonts w:ascii="Bookman Old Style" w:eastAsia="Calibri" w:hAnsi="Bookman Old Style" w:cs="Times New Roman"/>
            <w:noProof/>
            <w:sz w:val="20"/>
            <w:szCs w:val="20"/>
          </w:rPr>
          <w:t>https://doi.org/10.1007/978-94-007-5179-8_15</w:t>
        </w:r>
      </w:hyperlink>
    </w:p>
    <w:p w14:paraId="5B53A3A7" w14:textId="530B8A1A" w:rsidR="00F17D22" w:rsidRPr="00F17D22" w:rsidRDefault="00F17D22" w:rsidP="00BC19E0">
      <w:pPr>
        <w:pStyle w:val="ListParagraph"/>
        <w:numPr>
          <w:ilvl w:val="0"/>
          <w:numId w:val="8"/>
        </w:numPr>
        <w:spacing w:after="0" w:line="240" w:lineRule="auto"/>
        <w:jc w:val="both"/>
        <w:rPr>
          <w:rFonts w:ascii="Bookman Old Style" w:hAnsi="Bookman Old Style"/>
          <w:color w:val="000000" w:themeColor="text1"/>
          <w:sz w:val="20"/>
          <w:szCs w:val="20"/>
        </w:rPr>
      </w:pPr>
      <w:proofErr w:type="spellStart"/>
      <w:r w:rsidRPr="00F17D22">
        <w:rPr>
          <w:rFonts w:ascii="Bookman Old Style" w:hAnsi="Bookman Old Style"/>
          <w:color w:val="000000" w:themeColor="text1"/>
          <w:sz w:val="20"/>
          <w:szCs w:val="20"/>
          <w:shd w:val="clear" w:color="auto" w:fill="FFFFFF"/>
        </w:rPr>
        <w:t>Ye</w:t>
      </w:r>
      <w:proofErr w:type="spellEnd"/>
      <w:r w:rsidRPr="00F17D22">
        <w:rPr>
          <w:rFonts w:ascii="Bookman Old Style" w:hAnsi="Bookman Old Style"/>
          <w:color w:val="000000" w:themeColor="text1"/>
          <w:sz w:val="20"/>
          <w:szCs w:val="20"/>
          <w:shd w:val="clear" w:color="auto" w:fill="FFFFFF"/>
        </w:rPr>
        <w:t xml:space="preserve">, R., Zhao, M., Mao, X., Wang, Z., </w:t>
      </w:r>
      <w:proofErr w:type="spellStart"/>
      <w:r w:rsidRPr="00F17D22">
        <w:rPr>
          <w:rFonts w:ascii="Bookman Old Style" w:hAnsi="Bookman Old Style"/>
          <w:color w:val="000000" w:themeColor="text1"/>
          <w:sz w:val="20"/>
          <w:szCs w:val="20"/>
          <w:shd w:val="clear" w:color="auto" w:fill="FFFFFF"/>
        </w:rPr>
        <w:t>Garzón</w:t>
      </w:r>
      <w:proofErr w:type="spellEnd"/>
      <w:r w:rsidRPr="00F17D22">
        <w:rPr>
          <w:rFonts w:ascii="Bookman Old Style" w:hAnsi="Bookman Old Style"/>
          <w:color w:val="000000" w:themeColor="text1"/>
          <w:sz w:val="20"/>
          <w:szCs w:val="20"/>
          <w:shd w:val="clear" w:color="auto" w:fill="FFFFFF"/>
        </w:rPr>
        <w:t xml:space="preserve">, D. A., Pu, H., Zhao, Z., &amp; Chen, P. (2021). </w:t>
      </w:r>
      <w:proofErr w:type="spellStart"/>
      <w:r w:rsidRPr="00F17D22">
        <w:rPr>
          <w:rFonts w:ascii="Bookman Old Style" w:hAnsi="Bookman Old Style"/>
          <w:color w:val="000000" w:themeColor="text1"/>
          <w:sz w:val="20"/>
          <w:szCs w:val="20"/>
          <w:shd w:val="clear" w:color="auto" w:fill="FFFFFF"/>
        </w:rPr>
        <w:t>Nanoscale</w:t>
      </w:r>
      <w:proofErr w:type="spellEnd"/>
      <w:r w:rsidRPr="00F17D22">
        <w:rPr>
          <w:rFonts w:ascii="Bookman Old Style" w:hAnsi="Bookman Old Style"/>
          <w:color w:val="000000" w:themeColor="text1"/>
          <w:sz w:val="20"/>
          <w:szCs w:val="20"/>
          <w:shd w:val="clear" w:color="auto" w:fill="FFFFFF"/>
        </w:rPr>
        <w:t xml:space="preserve"> </w:t>
      </w:r>
      <w:proofErr w:type="spellStart"/>
      <w:r w:rsidRPr="00F17D22">
        <w:rPr>
          <w:rFonts w:ascii="Bookman Old Style" w:hAnsi="Bookman Old Style"/>
          <w:color w:val="000000" w:themeColor="text1"/>
          <w:sz w:val="20"/>
          <w:szCs w:val="20"/>
          <w:shd w:val="clear" w:color="auto" w:fill="FFFFFF"/>
        </w:rPr>
        <w:t>cooperative</w:t>
      </w:r>
      <w:proofErr w:type="spellEnd"/>
      <w:r w:rsidRPr="00F17D22">
        <w:rPr>
          <w:rFonts w:ascii="Bookman Old Style" w:hAnsi="Bookman Old Style"/>
          <w:color w:val="000000" w:themeColor="text1"/>
          <w:sz w:val="20"/>
          <w:szCs w:val="20"/>
          <w:shd w:val="clear" w:color="auto" w:fill="FFFFFF"/>
        </w:rPr>
        <w:t xml:space="preserve"> adsorption for </w:t>
      </w:r>
      <w:proofErr w:type="spellStart"/>
      <w:r w:rsidRPr="00F17D22">
        <w:rPr>
          <w:rFonts w:ascii="Bookman Old Style" w:hAnsi="Bookman Old Style"/>
          <w:color w:val="000000" w:themeColor="text1"/>
          <w:sz w:val="20"/>
          <w:szCs w:val="20"/>
          <w:shd w:val="clear" w:color="auto" w:fill="FFFFFF"/>
        </w:rPr>
        <w:t>materials</w:t>
      </w:r>
      <w:proofErr w:type="spellEnd"/>
      <w:r w:rsidRPr="00F17D22">
        <w:rPr>
          <w:rFonts w:ascii="Bookman Old Style" w:hAnsi="Bookman Old Style"/>
          <w:color w:val="000000" w:themeColor="text1"/>
          <w:sz w:val="20"/>
          <w:szCs w:val="20"/>
          <w:shd w:val="clear" w:color="auto" w:fill="FFFFFF"/>
        </w:rPr>
        <w:t xml:space="preserve"> control. Nat Commun, 12(1), 4287. </w:t>
      </w:r>
      <w:hyperlink r:id="rId61" w:history="1">
        <w:r w:rsidRPr="005741C3">
          <w:rPr>
            <w:rStyle w:val="Hyperlink"/>
            <w:rFonts w:ascii="Bookman Old Style" w:hAnsi="Bookman Old Style"/>
            <w:sz w:val="20"/>
            <w:szCs w:val="20"/>
            <w:shd w:val="clear" w:color="auto" w:fill="FFFFFF"/>
          </w:rPr>
          <w:t>https://doi.org/10.1038/s41467-021-24590-y</w:t>
        </w:r>
      </w:hyperlink>
    </w:p>
    <w:p w14:paraId="295B237E" w14:textId="258EB5C1" w:rsidR="00F17D22" w:rsidRPr="00F17D22" w:rsidRDefault="00F17D22" w:rsidP="00BC19E0">
      <w:pPr>
        <w:pStyle w:val="ListParagraph"/>
        <w:numPr>
          <w:ilvl w:val="0"/>
          <w:numId w:val="8"/>
        </w:numPr>
        <w:spacing w:after="0" w:line="240" w:lineRule="auto"/>
        <w:jc w:val="both"/>
        <w:rPr>
          <w:rFonts w:ascii="Bookman Old Style" w:hAnsi="Bookman Old Style" w:cs="Times New Roman"/>
          <w:color w:val="000000" w:themeColor="text1"/>
          <w:sz w:val="20"/>
          <w:szCs w:val="20"/>
        </w:rPr>
      </w:pPr>
      <w:proofErr w:type="spellStart"/>
      <w:r w:rsidRPr="00F17D22">
        <w:rPr>
          <w:rFonts w:ascii="Bookman Old Style" w:hAnsi="Bookman Old Style" w:cs="Arial"/>
          <w:color w:val="000000" w:themeColor="text1"/>
          <w:sz w:val="20"/>
          <w:szCs w:val="20"/>
          <w:shd w:val="clear" w:color="auto" w:fill="FFFFFF"/>
        </w:rPr>
        <w:t>Olarinde</w:t>
      </w:r>
      <w:proofErr w:type="spellEnd"/>
      <w:r w:rsidRPr="00F17D22">
        <w:rPr>
          <w:rFonts w:ascii="Bookman Old Style" w:hAnsi="Bookman Old Style" w:cs="Arial"/>
          <w:color w:val="000000" w:themeColor="text1"/>
          <w:sz w:val="20"/>
          <w:szCs w:val="20"/>
          <w:shd w:val="clear" w:color="auto" w:fill="FFFFFF"/>
        </w:rPr>
        <w:t xml:space="preserve">, M. G., </w:t>
      </w:r>
      <w:proofErr w:type="spellStart"/>
      <w:r w:rsidRPr="00F17D22">
        <w:rPr>
          <w:rFonts w:ascii="Bookman Old Style" w:hAnsi="Bookman Old Style" w:cs="Arial"/>
          <w:color w:val="000000" w:themeColor="text1"/>
          <w:sz w:val="20"/>
          <w:szCs w:val="20"/>
          <w:shd w:val="clear" w:color="auto" w:fill="FFFFFF"/>
        </w:rPr>
        <w:t>Agenuma</w:t>
      </w:r>
      <w:proofErr w:type="spellEnd"/>
      <w:r w:rsidRPr="00F17D22">
        <w:rPr>
          <w:rFonts w:ascii="Bookman Old Style" w:hAnsi="Bookman Old Style" w:cs="Arial"/>
          <w:color w:val="000000" w:themeColor="text1"/>
          <w:sz w:val="20"/>
          <w:szCs w:val="20"/>
          <w:shd w:val="clear" w:color="auto" w:fill="FFFFFF"/>
        </w:rPr>
        <w:t xml:space="preserve">, A. M., Joseph, A. O., &amp; </w:t>
      </w:r>
      <w:proofErr w:type="spellStart"/>
      <w:r w:rsidRPr="00F17D22">
        <w:rPr>
          <w:rFonts w:ascii="Bookman Old Style" w:hAnsi="Bookman Old Style" w:cs="Arial"/>
          <w:color w:val="000000" w:themeColor="text1"/>
          <w:sz w:val="20"/>
          <w:szCs w:val="20"/>
          <w:shd w:val="clear" w:color="auto" w:fill="FFFFFF"/>
        </w:rPr>
        <w:t>Abosede</w:t>
      </w:r>
      <w:proofErr w:type="spellEnd"/>
      <w:r w:rsidRPr="00F17D22">
        <w:rPr>
          <w:rFonts w:ascii="Bookman Old Style" w:hAnsi="Bookman Old Style" w:cs="Arial"/>
          <w:color w:val="000000" w:themeColor="text1"/>
          <w:sz w:val="20"/>
          <w:szCs w:val="20"/>
          <w:shd w:val="clear" w:color="auto" w:fill="FFFFFF"/>
        </w:rPr>
        <w:t xml:space="preserve">, A. (2019). </w:t>
      </w:r>
      <w:proofErr w:type="spellStart"/>
      <w:r w:rsidRPr="00F17D22">
        <w:rPr>
          <w:rFonts w:ascii="Bookman Old Style" w:hAnsi="Bookman Old Style" w:cs="Arial"/>
          <w:color w:val="000000" w:themeColor="text1"/>
          <w:sz w:val="20"/>
          <w:szCs w:val="20"/>
          <w:shd w:val="clear" w:color="auto" w:fill="FFFFFF"/>
        </w:rPr>
        <w:t>Environmental</w:t>
      </w:r>
      <w:proofErr w:type="spellEnd"/>
      <w:r w:rsidRPr="00F17D22">
        <w:rPr>
          <w:rFonts w:ascii="Bookman Old Style" w:hAnsi="Bookman Old Style" w:cs="Arial"/>
          <w:color w:val="000000" w:themeColor="text1"/>
          <w:sz w:val="20"/>
          <w:szCs w:val="20"/>
          <w:shd w:val="clear" w:color="auto" w:fill="FFFFFF"/>
        </w:rPr>
        <w:t xml:space="preserve"> </w:t>
      </w:r>
      <w:proofErr w:type="spellStart"/>
      <w:r w:rsidRPr="00F17D22">
        <w:rPr>
          <w:rFonts w:ascii="Bookman Old Style" w:hAnsi="Bookman Old Style" w:cs="Arial"/>
          <w:color w:val="000000" w:themeColor="text1"/>
          <w:sz w:val="20"/>
          <w:szCs w:val="20"/>
          <w:shd w:val="clear" w:color="auto" w:fill="FFFFFF"/>
        </w:rPr>
        <w:t>health</w:t>
      </w:r>
      <w:proofErr w:type="spellEnd"/>
      <w:r w:rsidRPr="00F17D22">
        <w:rPr>
          <w:rFonts w:ascii="Bookman Old Style" w:hAnsi="Bookman Old Style" w:cs="Arial"/>
          <w:color w:val="000000" w:themeColor="text1"/>
          <w:sz w:val="20"/>
          <w:szCs w:val="20"/>
          <w:shd w:val="clear" w:color="auto" w:fill="FFFFFF"/>
        </w:rPr>
        <w:t xml:space="preserve"> </w:t>
      </w:r>
      <w:proofErr w:type="spellStart"/>
      <w:r w:rsidRPr="00F17D22">
        <w:rPr>
          <w:rFonts w:ascii="Bookman Old Style" w:hAnsi="Bookman Old Style" w:cs="Arial"/>
          <w:color w:val="000000" w:themeColor="text1"/>
          <w:sz w:val="20"/>
          <w:szCs w:val="20"/>
          <w:shd w:val="clear" w:color="auto" w:fill="FFFFFF"/>
        </w:rPr>
        <w:t>status</w:t>
      </w:r>
      <w:proofErr w:type="spellEnd"/>
      <w:r w:rsidRPr="00F17D22">
        <w:rPr>
          <w:rFonts w:ascii="Bookman Old Style" w:hAnsi="Bookman Old Style" w:cs="Arial"/>
          <w:color w:val="000000" w:themeColor="text1"/>
          <w:sz w:val="20"/>
          <w:szCs w:val="20"/>
          <w:shd w:val="clear" w:color="auto" w:fill="FFFFFF"/>
        </w:rPr>
        <w:t xml:space="preserve"> of </w:t>
      </w:r>
      <w:proofErr w:type="spellStart"/>
      <w:r w:rsidRPr="00F17D22">
        <w:rPr>
          <w:rFonts w:ascii="Bookman Old Style" w:hAnsi="Bookman Old Style" w:cs="Arial"/>
          <w:color w:val="000000" w:themeColor="text1"/>
          <w:sz w:val="20"/>
          <w:szCs w:val="20"/>
          <w:shd w:val="clear" w:color="auto" w:fill="FFFFFF"/>
        </w:rPr>
        <w:t>some</w:t>
      </w:r>
      <w:proofErr w:type="spellEnd"/>
      <w:r w:rsidRPr="00F17D22">
        <w:rPr>
          <w:rFonts w:ascii="Bookman Old Style" w:hAnsi="Bookman Old Style" w:cs="Arial"/>
          <w:color w:val="000000" w:themeColor="text1"/>
          <w:sz w:val="20"/>
          <w:szCs w:val="20"/>
          <w:shd w:val="clear" w:color="auto" w:fill="FFFFFF"/>
        </w:rPr>
        <w:t xml:space="preserve"> </w:t>
      </w:r>
      <w:proofErr w:type="spellStart"/>
      <w:r w:rsidRPr="00F17D22">
        <w:rPr>
          <w:rFonts w:ascii="Bookman Old Style" w:hAnsi="Bookman Old Style" w:cs="Arial"/>
          <w:color w:val="000000" w:themeColor="text1"/>
          <w:sz w:val="20"/>
          <w:szCs w:val="20"/>
          <w:shd w:val="clear" w:color="auto" w:fill="FFFFFF"/>
        </w:rPr>
        <w:t>aquatic</w:t>
      </w:r>
      <w:proofErr w:type="spellEnd"/>
      <w:r w:rsidRPr="00F17D22">
        <w:rPr>
          <w:rFonts w:ascii="Bookman Old Style" w:hAnsi="Bookman Old Style" w:cs="Arial"/>
          <w:color w:val="000000" w:themeColor="text1"/>
          <w:sz w:val="20"/>
          <w:szCs w:val="20"/>
          <w:shd w:val="clear" w:color="auto" w:fill="FFFFFF"/>
        </w:rPr>
        <w:t xml:space="preserve"> </w:t>
      </w:r>
      <w:proofErr w:type="spellStart"/>
      <w:r w:rsidRPr="00F17D22">
        <w:rPr>
          <w:rFonts w:ascii="Bookman Old Style" w:hAnsi="Bookman Old Style" w:cs="Arial"/>
          <w:color w:val="000000" w:themeColor="text1"/>
          <w:sz w:val="20"/>
          <w:szCs w:val="20"/>
          <w:shd w:val="clear" w:color="auto" w:fill="FFFFFF"/>
        </w:rPr>
        <w:t>ecosystems</w:t>
      </w:r>
      <w:proofErr w:type="spellEnd"/>
      <w:r w:rsidRPr="00F17D22">
        <w:rPr>
          <w:rFonts w:ascii="Bookman Old Style" w:hAnsi="Bookman Old Style" w:cs="Arial"/>
          <w:color w:val="000000" w:themeColor="text1"/>
          <w:sz w:val="20"/>
          <w:szCs w:val="20"/>
          <w:shd w:val="clear" w:color="auto" w:fill="FFFFFF"/>
        </w:rPr>
        <w:t xml:space="preserve"> in </w:t>
      </w:r>
      <w:proofErr w:type="spellStart"/>
      <w:r w:rsidRPr="00F17D22">
        <w:rPr>
          <w:rFonts w:ascii="Bookman Old Style" w:hAnsi="Bookman Old Style" w:cs="Arial"/>
          <w:color w:val="000000" w:themeColor="text1"/>
          <w:sz w:val="20"/>
          <w:szCs w:val="20"/>
          <w:shd w:val="clear" w:color="auto" w:fill="FFFFFF"/>
        </w:rPr>
        <w:t>Badagry</w:t>
      </w:r>
      <w:proofErr w:type="spellEnd"/>
      <w:r w:rsidRPr="00F17D22">
        <w:rPr>
          <w:rFonts w:ascii="Bookman Old Style" w:hAnsi="Bookman Old Style" w:cs="Arial"/>
          <w:color w:val="000000" w:themeColor="text1"/>
          <w:sz w:val="20"/>
          <w:szCs w:val="20"/>
          <w:shd w:val="clear" w:color="auto" w:fill="FFFFFF"/>
        </w:rPr>
        <w:t xml:space="preserve"> Division, Lagos, Nigeria. International Journal of </w:t>
      </w:r>
      <w:proofErr w:type="spellStart"/>
      <w:r w:rsidRPr="00F17D22">
        <w:rPr>
          <w:rFonts w:ascii="Bookman Old Style" w:hAnsi="Bookman Old Style" w:cs="Arial"/>
          <w:color w:val="000000" w:themeColor="text1"/>
          <w:sz w:val="20"/>
          <w:szCs w:val="20"/>
          <w:shd w:val="clear" w:color="auto" w:fill="FFFFFF"/>
        </w:rPr>
        <w:t>Ecotoxicology</w:t>
      </w:r>
      <w:proofErr w:type="spellEnd"/>
      <w:r w:rsidRPr="00F17D22">
        <w:rPr>
          <w:rFonts w:ascii="Bookman Old Style" w:hAnsi="Bookman Old Style" w:cs="Arial"/>
          <w:color w:val="000000" w:themeColor="text1"/>
          <w:sz w:val="20"/>
          <w:szCs w:val="20"/>
          <w:shd w:val="clear" w:color="auto" w:fill="FFFFFF"/>
        </w:rPr>
        <w:t xml:space="preserve"> and </w:t>
      </w:r>
      <w:proofErr w:type="spellStart"/>
      <w:r w:rsidRPr="00F17D22">
        <w:rPr>
          <w:rFonts w:ascii="Bookman Old Style" w:hAnsi="Bookman Old Style" w:cs="Arial"/>
          <w:color w:val="000000" w:themeColor="text1"/>
          <w:sz w:val="20"/>
          <w:szCs w:val="20"/>
          <w:shd w:val="clear" w:color="auto" w:fill="FFFFFF"/>
        </w:rPr>
        <w:t>Ecobiology</w:t>
      </w:r>
      <w:proofErr w:type="spellEnd"/>
      <w:r w:rsidRPr="00F17D22">
        <w:rPr>
          <w:rFonts w:ascii="Bookman Old Style" w:hAnsi="Bookman Old Style" w:cs="Arial"/>
          <w:color w:val="000000" w:themeColor="text1"/>
          <w:sz w:val="20"/>
          <w:szCs w:val="20"/>
          <w:shd w:val="clear" w:color="auto" w:fill="FFFFFF"/>
        </w:rPr>
        <w:t xml:space="preserve">, 4(4), 93-102. </w:t>
      </w:r>
      <w:hyperlink r:id="rId62" w:history="1">
        <w:r w:rsidRPr="005741C3">
          <w:rPr>
            <w:rStyle w:val="Hyperlink"/>
            <w:rFonts w:ascii="Bookman Old Style" w:hAnsi="Bookman Old Style" w:cs="Arial"/>
            <w:sz w:val="20"/>
            <w:szCs w:val="20"/>
            <w:shd w:val="clear" w:color="auto" w:fill="FFFFFF"/>
          </w:rPr>
          <w:t>https://doi.org/10.11648/j.ijee.20190404.13</w:t>
        </w:r>
      </w:hyperlink>
    </w:p>
    <w:p w14:paraId="7E4FDFA7" w14:textId="121DEF0D" w:rsidR="00F17D22" w:rsidRDefault="00F17D22" w:rsidP="00BC19E0">
      <w:pPr>
        <w:pStyle w:val="Bibliography"/>
        <w:numPr>
          <w:ilvl w:val="0"/>
          <w:numId w:val="8"/>
        </w:numPr>
        <w:spacing w:after="0" w:line="240" w:lineRule="auto"/>
        <w:jc w:val="both"/>
        <w:rPr>
          <w:rFonts w:ascii="Bookman Old Style" w:hAnsi="Bookman Old Style" w:cs="Times New Roman"/>
          <w:noProof/>
          <w:color w:val="000000" w:themeColor="text1"/>
          <w:sz w:val="20"/>
          <w:szCs w:val="20"/>
        </w:rPr>
      </w:pPr>
      <w:r w:rsidRPr="00F17D22">
        <w:rPr>
          <w:rFonts w:ascii="Bookman Old Style" w:hAnsi="Bookman Old Style" w:cs="Times New Roman"/>
          <w:noProof/>
          <w:color w:val="000000" w:themeColor="text1"/>
          <w:sz w:val="20"/>
          <w:szCs w:val="20"/>
        </w:rPr>
        <w:t xml:space="preserve">Youcef, L. D., Belaroui, L. S., &amp; López-Galindo, A. (2019). Adsorption of a cationic methylene blue dye on an Algerian palygorskite. Applied Clay Science. </w:t>
      </w:r>
      <w:hyperlink r:id="rId63" w:history="1">
        <w:r w:rsidRPr="005741C3">
          <w:rPr>
            <w:rStyle w:val="Hyperlink"/>
            <w:rFonts w:ascii="Bookman Old Style" w:hAnsi="Bookman Old Style" w:cs="Times New Roman"/>
            <w:noProof/>
            <w:sz w:val="20"/>
            <w:szCs w:val="20"/>
          </w:rPr>
          <w:t>https://doi.org/10.1016/j.clay.2019.105145</w:t>
        </w:r>
      </w:hyperlink>
    </w:p>
    <w:p w14:paraId="627EA96C" w14:textId="4327993A" w:rsidR="00F17D22" w:rsidRDefault="00F17D22" w:rsidP="00BC19E0">
      <w:pPr>
        <w:pStyle w:val="Bibliography"/>
        <w:numPr>
          <w:ilvl w:val="0"/>
          <w:numId w:val="8"/>
        </w:numPr>
        <w:spacing w:after="0" w:line="240" w:lineRule="auto"/>
        <w:ind w:left="714" w:hanging="357"/>
        <w:jc w:val="both"/>
        <w:rPr>
          <w:rFonts w:ascii="Bookman Old Style" w:hAnsi="Bookman Old Style" w:cs="Times New Roman"/>
          <w:noProof/>
          <w:color w:val="000000" w:themeColor="text1"/>
          <w:sz w:val="20"/>
          <w:szCs w:val="20"/>
        </w:rPr>
      </w:pPr>
      <w:r w:rsidRPr="00F17D22">
        <w:rPr>
          <w:rFonts w:ascii="Bookman Old Style" w:hAnsi="Bookman Old Style" w:cs="Times New Roman"/>
          <w:noProof/>
          <w:color w:val="000000" w:themeColor="text1"/>
          <w:sz w:val="20"/>
          <w:szCs w:val="20"/>
        </w:rPr>
        <w:lastRenderedPageBreak/>
        <w:t xml:space="preserve">Gamoudi, S., &amp; Srasraa, E. (2019). Adsorption of organic dyes by HDPy+-modified clay: Effect of molecular structure on the adsorption. Journal of Molecular Structure, 1193, 522-531. </w:t>
      </w:r>
      <w:hyperlink r:id="rId64" w:history="1">
        <w:r w:rsidRPr="005741C3">
          <w:rPr>
            <w:rStyle w:val="Hyperlink"/>
            <w:rFonts w:ascii="Bookman Old Style" w:hAnsi="Bookman Old Style" w:cs="Times New Roman"/>
            <w:noProof/>
            <w:sz w:val="20"/>
            <w:szCs w:val="20"/>
          </w:rPr>
          <w:t>https://doi.org/10.1016/j.molstruc.2019.05.055</w:t>
        </w:r>
      </w:hyperlink>
    </w:p>
    <w:p w14:paraId="64F7210E" w14:textId="0BFCDC33" w:rsidR="00F17D22" w:rsidRPr="00F17D22" w:rsidRDefault="00F17D22" w:rsidP="00BC19E0">
      <w:pPr>
        <w:pStyle w:val="ListParagraph"/>
        <w:numPr>
          <w:ilvl w:val="0"/>
          <w:numId w:val="8"/>
        </w:numPr>
        <w:spacing w:after="0" w:line="240" w:lineRule="auto"/>
        <w:ind w:left="714" w:hanging="357"/>
        <w:jc w:val="both"/>
        <w:rPr>
          <w:rFonts w:ascii="Bookman Old Style" w:eastAsia="Calibri" w:hAnsi="Bookman Old Style" w:cs="Times New Roman"/>
          <w:noProof/>
          <w:color w:val="000000" w:themeColor="text1"/>
          <w:sz w:val="20"/>
          <w:szCs w:val="20"/>
        </w:rPr>
      </w:pPr>
      <w:r w:rsidRPr="00F17D22">
        <w:rPr>
          <w:rFonts w:ascii="Bookman Old Style" w:hAnsi="Bookman Old Style" w:cs="Times New Roman"/>
          <w:noProof/>
          <w:color w:val="000000" w:themeColor="text1"/>
          <w:sz w:val="20"/>
          <w:szCs w:val="20"/>
        </w:rPr>
        <w:t xml:space="preserve">Gorzin, F., &amp; Bahri Rasht Abadi, M. M. (2018). Adsorption of Cr(VI) from aqueous solution by adsorbent prepared from paper mill sludge: Kinetics and thermodynamics studies. Adsorption Science &amp; Technology, 36(1-2), 149-169. </w:t>
      </w:r>
      <w:hyperlink r:id="rId65" w:history="1">
        <w:r w:rsidRPr="005741C3">
          <w:rPr>
            <w:rStyle w:val="Hyperlink"/>
            <w:rFonts w:ascii="Bookman Old Style" w:hAnsi="Bookman Old Style" w:cs="Times New Roman"/>
            <w:noProof/>
            <w:sz w:val="20"/>
            <w:szCs w:val="20"/>
          </w:rPr>
          <w:t>https://doi.org/10.1177/0263617416686976</w:t>
        </w:r>
      </w:hyperlink>
    </w:p>
    <w:p w14:paraId="75CF3559" w14:textId="311B0BD3" w:rsidR="00F17D22" w:rsidRPr="00F17D22" w:rsidRDefault="00F17D22" w:rsidP="00BC19E0">
      <w:pPr>
        <w:pStyle w:val="ListParagraph"/>
        <w:numPr>
          <w:ilvl w:val="0"/>
          <w:numId w:val="8"/>
        </w:numPr>
        <w:spacing w:after="0" w:line="240" w:lineRule="auto"/>
        <w:ind w:left="714" w:hanging="357"/>
        <w:jc w:val="both"/>
        <w:rPr>
          <w:rFonts w:ascii="Bookman Old Style" w:hAnsi="Bookman Old Style" w:cs="Times New Roman"/>
          <w:color w:val="000000" w:themeColor="text1"/>
          <w:sz w:val="20"/>
          <w:szCs w:val="20"/>
        </w:rPr>
      </w:pPr>
      <w:r w:rsidRPr="00F17D22">
        <w:rPr>
          <w:rFonts w:ascii="Bookman Old Style" w:eastAsia="Calibri" w:hAnsi="Bookman Old Style" w:cs="Times New Roman"/>
          <w:noProof/>
          <w:color w:val="000000" w:themeColor="text1"/>
          <w:sz w:val="20"/>
          <w:szCs w:val="20"/>
        </w:rPr>
        <w:t xml:space="preserve">Al Mayyahi, A., &amp; Al-Asadi, H. A. A. (2018). Advanced Oxidation Processes (AOPs) for Wastewater Treatment and Reuse: A Brief Review. Asian Journal of Applied Science and Technology, 2(3), 18-30. </w:t>
      </w:r>
      <w:hyperlink r:id="rId66" w:history="1">
        <w:r w:rsidRPr="005741C3">
          <w:rPr>
            <w:rStyle w:val="Hyperlink"/>
            <w:rFonts w:ascii="Bookman Old Style" w:eastAsia="Calibri" w:hAnsi="Bookman Old Style" w:cs="Times New Roman"/>
            <w:noProof/>
            <w:sz w:val="20"/>
            <w:szCs w:val="20"/>
          </w:rPr>
          <w:t>http://www.ajast.net/volume-2-issue-3/</w:t>
        </w:r>
      </w:hyperlink>
    </w:p>
    <w:p w14:paraId="0939DC7D" w14:textId="5DA9AF16" w:rsidR="00F17D22" w:rsidRPr="00F17D22" w:rsidRDefault="00F17D22" w:rsidP="00BC19E0">
      <w:pPr>
        <w:pStyle w:val="ListParagraph"/>
        <w:numPr>
          <w:ilvl w:val="0"/>
          <w:numId w:val="8"/>
        </w:numPr>
        <w:spacing w:after="0" w:line="240" w:lineRule="auto"/>
        <w:ind w:left="714" w:hanging="357"/>
        <w:jc w:val="both"/>
        <w:rPr>
          <w:rFonts w:ascii="Bookman Old Style" w:hAnsi="Bookman Old Style"/>
          <w:color w:val="000000" w:themeColor="text1"/>
          <w:sz w:val="20"/>
          <w:szCs w:val="20"/>
        </w:rPr>
      </w:pPr>
      <w:r w:rsidRPr="00F17D22">
        <w:rPr>
          <w:rFonts w:ascii="Bookman Old Style" w:hAnsi="Bookman Old Style"/>
          <w:color w:val="000000" w:themeColor="text1"/>
          <w:sz w:val="20"/>
          <w:szCs w:val="20"/>
          <w:shd w:val="clear" w:color="auto" w:fill="FFFFFF"/>
        </w:rPr>
        <w:t xml:space="preserve">Wei, M., Zeng, Y., Zou, L., &amp; Xu, S. (2019). </w:t>
      </w:r>
      <w:proofErr w:type="spellStart"/>
      <w:r w:rsidRPr="00F17D22">
        <w:rPr>
          <w:rFonts w:ascii="Bookman Old Style" w:hAnsi="Bookman Old Style"/>
          <w:color w:val="000000" w:themeColor="text1"/>
          <w:sz w:val="20"/>
          <w:szCs w:val="20"/>
          <w:shd w:val="clear" w:color="auto" w:fill="FFFFFF"/>
        </w:rPr>
        <w:t>Analysis</w:t>
      </w:r>
      <w:proofErr w:type="spellEnd"/>
      <w:r w:rsidRPr="00F17D22">
        <w:rPr>
          <w:rFonts w:ascii="Bookman Old Style" w:hAnsi="Bookman Old Style"/>
          <w:color w:val="000000" w:themeColor="text1"/>
          <w:sz w:val="20"/>
          <w:szCs w:val="20"/>
          <w:shd w:val="clear" w:color="auto" w:fill="FFFFFF"/>
        </w:rPr>
        <w:t xml:space="preserve"> of the Influence of Water-</w:t>
      </w:r>
      <w:proofErr w:type="spellStart"/>
      <w:r w:rsidRPr="00F17D22">
        <w:rPr>
          <w:rFonts w:ascii="Bookman Old Style" w:hAnsi="Bookman Old Style"/>
          <w:color w:val="000000" w:themeColor="text1"/>
          <w:sz w:val="20"/>
          <w:szCs w:val="20"/>
          <w:shd w:val="clear" w:color="auto" w:fill="FFFFFF"/>
        </w:rPr>
        <w:t>Vapor</w:t>
      </w:r>
      <w:proofErr w:type="spellEnd"/>
      <w:r w:rsidRPr="00F17D22">
        <w:rPr>
          <w:rFonts w:ascii="Bookman Old Style" w:hAnsi="Bookman Old Style"/>
          <w:color w:val="000000" w:themeColor="text1"/>
          <w:sz w:val="20"/>
          <w:szCs w:val="20"/>
          <w:shd w:val="clear" w:color="auto" w:fill="FFFFFF"/>
        </w:rPr>
        <w:t xml:space="preserve"> Correction </w:t>
      </w:r>
      <w:proofErr w:type="spellStart"/>
      <w:r w:rsidRPr="00F17D22">
        <w:rPr>
          <w:rFonts w:ascii="Bookman Old Style" w:hAnsi="Bookman Old Style"/>
          <w:color w:val="000000" w:themeColor="text1"/>
          <w:sz w:val="20"/>
          <w:szCs w:val="20"/>
          <w:shd w:val="clear" w:color="auto" w:fill="FFFFFF"/>
        </w:rPr>
        <w:t>Term</w:t>
      </w:r>
      <w:proofErr w:type="spellEnd"/>
      <w:r w:rsidRPr="00F17D22">
        <w:rPr>
          <w:rFonts w:ascii="Bookman Old Style" w:hAnsi="Bookman Old Style"/>
          <w:color w:val="000000" w:themeColor="text1"/>
          <w:sz w:val="20"/>
          <w:szCs w:val="20"/>
          <w:shd w:val="clear" w:color="auto" w:fill="FFFFFF"/>
        </w:rPr>
        <w:t xml:space="preserve"> on the </w:t>
      </w:r>
      <w:proofErr w:type="spellStart"/>
      <w:r w:rsidRPr="00F17D22">
        <w:rPr>
          <w:rFonts w:ascii="Bookman Old Style" w:hAnsi="Bookman Old Style"/>
          <w:color w:val="000000" w:themeColor="text1"/>
          <w:sz w:val="20"/>
          <w:szCs w:val="20"/>
          <w:shd w:val="clear" w:color="auto" w:fill="FFFFFF"/>
        </w:rPr>
        <w:t>Measurement</w:t>
      </w:r>
      <w:proofErr w:type="spellEnd"/>
      <w:r w:rsidRPr="00F17D22">
        <w:rPr>
          <w:rFonts w:ascii="Bookman Old Style" w:hAnsi="Bookman Old Style"/>
          <w:color w:val="000000" w:themeColor="text1"/>
          <w:sz w:val="20"/>
          <w:szCs w:val="20"/>
          <w:shd w:val="clear" w:color="auto" w:fill="FFFFFF"/>
        </w:rPr>
        <w:t xml:space="preserve"> </w:t>
      </w:r>
      <w:proofErr w:type="spellStart"/>
      <w:r w:rsidRPr="00F17D22">
        <w:rPr>
          <w:rFonts w:ascii="Bookman Old Style" w:hAnsi="Bookman Old Style"/>
          <w:color w:val="000000" w:themeColor="text1"/>
          <w:sz w:val="20"/>
          <w:szCs w:val="20"/>
          <w:shd w:val="clear" w:color="auto" w:fill="FFFFFF"/>
        </w:rPr>
        <w:t>Uncertainty</w:t>
      </w:r>
      <w:proofErr w:type="spellEnd"/>
      <w:r w:rsidRPr="00F17D22">
        <w:rPr>
          <w:rFonts w:ascii="Bookman Old Style" w:hAnsi="Bookman Old Style"/>
          <w:color w:val="000000" w:themeColor="text1"/>
          <w:sz w:val="20"/>
          <w:szCs w:val="20"/>
          <w:shd w:val="clear" w:color="auto" w:fill="FFFFFF"/>
        </w:rPr>
        <w:t xml:space="preserve"> of Wind Speed. MAPAN, 34, 333-343. </w:t>
      </w:r>
      <w:hyperlink r:id="rId67" w:history="1">
        <w:r w:rsidRPr="005741C3">
          <w:rPr>
            <w:rStyle w:val="Hyperlink"/>
            <w:rFonts w:ascii="Bookman Old Style" w:hAnsi="Bookman Old Style"/>
            <w:sz w:val="20"/>
            <w:szCs w:val="20"/>
            <w:shd w:val="clear" w:color="auto" w:fill="FFFFFF"/>
          </w:rPr>
          <w:t>https://doi.org/10.1007/s12647-019-00338-4</w:t>
        </w:r>
      </w:hyperlink>
    </w:p>
    <w:p w14:paraId="2DAFD39D" w14:textId="7DDC4FF0" w:rsidR="002246AD" w:rsidRPr="00BC19E0" w:rsidRDefault="00F17D22" w:rsidP="00F17D22">
      <w:pPr>
        <w:pStyle w:val="ListParagraph"/>
        <w:numPr>
          <w:ilvl w:val="0"/>
          <w:numId w:val="8"/>
        </w:numPr>
        <w:spacing w:after="0" w:line="240" w:lineRule="auto"/>
        <w:ind w:left="714" w:hanging="357"/>
        <w:jc w:val="both"/>
        <w:rPr>
          <w:rFonts w:ascii="Bookman Old Style" w:hAnsi="Bookman Old Style"/>
          <w:color w:val="000000" w:themeColor="text1"/>
          <w:sz w:val="20"/>
          <w:szCs w:val="20"/>
        </w:rPr>
      </w:pPr>
      <w:proofErr w:type="spellStart"/>
      <w:r w:rsidRPr="00F17D22">
        <w:rPr>
          <w:rFonts w:ascii="Bookman Old Style" w:hAnsi="Bookman Old Style" w:cs="Arial"/>
          <w:color w:val="000000" w:themeColor="text1"/>
          <w:sz w:val="20"/>
          <w:szCs w:val="20"/>
          <w:shd w:val="clear" w:color="auto" w:fill="FFFFFF"/>
        </w:rPr>
        <w:t>Eshraq</w:t>
      </w:r>
      <w:proofErr w:type="spellEnd"/>
      <w:r w:rsidRPr="00F17D22">
        <w:rPr>
          <w:rFonts w:ascii="Bookman Old Style" w:hAnsi="Bookman Old Style" w:cs="Arial"/>
          <w:color w:val="000000" w:themeColor="text1"/>
          <w:sz w:val="20"/>
          <w:szCs w:val="20"/>
          <w:shd w:val="clear" w:color="auto" w:fill="FFFFFF"/>
        </w:rPr>
        <w:t xml:space="preserve">, B. K., Mona, A. M., Sayed, A. F., &amp; </w:t>
      </w:r>
      <w:proofErr w:type="spellStart"/>
      <w:r w:rsidRPr="00F17D22">
        <w:rPr>
          <w:rFonts w:ascii="Bookman Old Style" w:hAnsi="Bookman Old Style" w:cs="Arial"/>
          <w:color w:val="000000" w:themeColor="text1"/>
          <w:sz w:val="20"/>
          <w:szCs w:val="20"/>
          <w:shd w:val="clear" w:color="auto" w:fill="FFFFFF"/>
        </w:rPr>
        <w:t>Emam</w:t>
      </w:r>
      <w:proofErr w:type="spellEnd"/>
      <w:r w:rsidRPr="00F17D22">
        <w:rPr>
          <w:rFonts w:ascii="Bookman Old Style" w:hAnsi="Bookman Old Style" w:cs="Arial"/>
          <w:color w:val="000000" w:themeColor="text1"/>
          <w:sz w:val="20"/>
          <w:szCs w:val="20"/>
          <w:shd w:val="clear" w:color="auto" w:fill="FFFFFF"/>
        </w:rPr>
        <w:t xml:space="preserve">, A. A. (2016). </w:t>
      </w:r>
      <w:proofErr w:type="spellStart"/>
      <w:r w:rsidRPr="00F17D22">
        <w:rPr>
          <w:rFonts w:ascii="Bookman Old Style" w:hAnsi="Bookman Old Style" w:cs="Arial"/>
          <w:color w:val="000000" w:themeColor="text1"/>
          <w:sz w:val="20"/>
          <w:szCs w:val="20"/>
          <w:shd w:val="clear" w:color="auto" w:fill="FFFFFF"/>
        </w:rPr>
        <w:t>Effect</w:t>
      </w:r>
      <w:proofErr w:type="spellEnd"/>
      <w:r w:rsidRPr="00F17D22">
        <w:rPr>
          <w:rFonts w:ascii="Bookman Old Style" w:hAnsi="Bookman Old Style" w:cs="Arial"/>
          <w:color w:val="000000" w:themeColor="text1"/>
          <w:sz w:val="20"/>
          <w:szCs w:val="20"/>
          <w:shd w:val="clear" w:color="auto" w:fill="FFFFFF"/>
        </w:rPr>
        <w:t xml:space="preserve"> of </w:t>
      </w:r>
      <w:proofErr w:type="spellStart"/>
      <w:r w:rsidRPr="00F17D22">
        <w:rPr>
          <w:rFonts w:ascii="Bookman Old Style" w:hAnsi="Bookman Old Style" w:cs="Arial"/>
          <w:color w:val="000000" w:themeColor="text1"/>
          <w:sz w:val="20"/>
          <w:szCs w:val="20"/>
          <w:shd w:val="clear" w:color="auto" w:fill="FFFFFF"/>
        </w:rPr>
        <w:t>Soaking</w:t>
      </w:r>
      <w:proofErr w:type="spellEnd"/>
      <w:r w:rsidRPr="00F17D22">
        <w:rPr>
          <w:rFonts w:ascii="Bookman Old Style" w:hAnsi="Bookman Old Style" w:cs="Arial"/>
          <w:color w:val="000000" w:themeColor="text1"/>
          <w:sz w:val="20"/>
          <w:szCs w:val="20"/>
          <w:shd w:val="clear" w:color="auto" w:fill="FFFFFF"/>
        </w:rPr>
        <w:t xml:space="preserve">, Cooking and Germination on Chemical </w:t>
      </w:r>
      <w:proofErr w:type="spellStart"/>
      <w:r w:rsidRPr="00F17D22">
        <w:rPr>
          <w:rFonts w:ascii="Bookman Old Style" w:hAnsi="Bookman Old Style" w:cs="Arial"/>
          <w:color w:val="000000" w:themeColor="text1"/>
          <w:sz w:val="20"/>
          <w:szCs w:val="20"/>
          <w:shd w:val="clear" w:color="auto" w:fill="FFFFFF"/>
        </w:rPr>
        <w:t>Constituents</w:t>
      </w:r>
      <w:proofErr w:type="spellEnd"/>
      <w:r w:rsidRPr="00F17D22">
        <w:rPr>
          <w:rFonts w:ascii="Bookman Old Style" w:hAnsi="Bookman Old Style" w:cs="Arial"/>
          <w:color w:val="000000" w:themeColor="text1"/>
          <w:sz w:val="20"/>
          <w:szCs w:val="20"/>
          <w:shd w:val="clear" w:color="auto" w:fill="FFFFFF"/>
        </w:rPr>
        <w:t xml:space="preserve"> and Bioactive Compounds as </w:t>
      </w:r>
      <w:proofErr w:type="spellStart"/>
      <w:r w:rsidRPr="00F17D22">
        <w:rPr>
          <w:rFonts w:ascii="Bookman Old Style" w:hAnsi="Bookman Old Style" w:cs="Arial"/>
          <w:color w:val="000000" w:themeColor="text1"/>
          <w:sz w:val="20"/>
          <w:szCs w:val="20"/>
          <w:shd w:val="clear" w:color="auto" w:fill="FFFFFF"/>
        </w:rPr>
        <w:t>well</w:t>
      </w:r>
      <w:proofErr w:type="spellEnd"/>
      <w:r w:rsidRPr="00F17D22">
        <w:rPr>
          <w:rFonts w:ascii="Bookman Old Style" w:hAnsi="Bookman Old Style" w:cs="Arial"/>
          <w:color w:val="000000" w:themeColor="text1"/>
          <w:sz w:val="20"/>
          <w:szCs w:val="20"/>
          <w:shd w:val="clear" w:color="auto" w:fill="FFFFFF"/>
        </w:rPr>
        <w:t xml:space="preserve"> as </w:t>
      </w:r>
      <w:proofErr w:type="spellStart"/>
      <w:r w:rsidRPr="00F17D22">
        <w:rPr>
          <w:rFonts w:ascii="Bookman Old Style" w:hAnsi="Bookman Old Style" w:cs="Arial"/>
          <w:color w:val="000000" w:themeColor="text1"/>
          <w:sz w:val="20"/>
          <w:szCs w:val="20"/>
          <w:shd w:val="clear" w:color="auto" w:fill="FFFFFF"/>
        </w:rPr>
        <w:t>their</w:t>
      </w:r>
      <w:proofErr w:type="spellEnd"/>
      <w:r w:rsidRPr="00F17D22">
        <w:rPr>
          <w:rFonts w:ascii="Bookman Old Style" w:hAnsi="Bookman Old Style" w:cs="Arial"/>
          <w:color w:val="000000" w:themeColor="text1"/>
          <w:sz w:val="20"/>
          <w:szCs w:val="20"/>
          <w:shd w:val="clear" w:color="auto" w:fill="FFFFFF"/>
        </w:rPr>
        <w:t xml:space="preserve"> </w:t>
      </w:r>
      <w:proofErr w:type="spellStart"/>
      <w:r w:rsidRPr="00F17D22">
        <w:rPr>
          <w:rFonts w:ascii="Bookman Old Style" w:hAnsi="Bookman Old Style" w:cs="Arial"/>
          <w:color w:val="000000" w:themeColor="text1"/>
          <w:sz w:val="20"/>
          <w:szCs w:val="20"/>
          <w:shd w:val="clear" w:color="auto" w:fill="FFFFFF"/>
        </w:rPr>
        <w:t>Cytotoxic</w:t>
      </w:r>
      <w:proofErr w:type="spellEnd"/>
      <w:r w:rsidRPr="00F17D22">
        <w:rPr>
          <w:rFonts w:ascii="Bookman Old Style" w:hAnsi="Bookman Old Style" w:cs="Arial"/>
          <w:color w:val="000000" w:themeColor="text1"/>
          <w:sz w:val="20"/>
          <w:szCs w:val="20"/>
          <w:shd w:val="clear" w:color="auto" w:fill="FFFFFF"/>
        </w:rPr>
        <w:t xml:space="preserve"> </w:t>
      </w:r>
      <w:proofErr w:type="spellStart"/>
      <w:r w:rsidRPr="00F17D22">
        <w:rPr>
          <w:rFonts w:ascii="Bookman Old Style" w:hAnsi="Bookman Old Style" w:cs="Arial"/>
          <w:color w:val="000000" w:themeColor="text1"/>
          <w:sz w:val="20"/>
          <w:szCs w:val="20"/>
          <w:shd w:val="clear" w:color="auto" w:fill="FFFFFF"/>
        </w:rPr>
        <w:t>Activities</w:t>
      </w:r>
      <w:proofErr w:type="spellEnd"/>
      <w:r w:rsidRPr="00F17D22">
        <w:rPr>
          <w:rFonts w:ascii="Bookman Old Style" w:hAnsi="Bookman Old Style" w:cs="Arial"/>
          <w:color w:val="000000" w:themeColor="text1"/>
          <w:sz w:val="20"/>
          <w:szCs w:val="20"/>
          <w:shd w:val="clear" w:color="auto" w:fill="FFFFFF"/>
        </w:rPr>
        <w:t xml:space="preserve"> of Black Bean </w:t>
      </w:r>
      <w:proofErr w:type="spellStart"/>
      <w:r w:rsidRPr="00F17D22">
        <w:rPr>
          <w:rFonts w:ascii="Bookman Old Style" w:hAnsi="Bookman Old Style" w:cs="Arial"/>
          <w:color w:val="000000" w:themeColor="text1"/>
          <w:sz w:val="20"/>
          <w:szCs w:val="20"/>
          <w:shd w:val="clear" w:color="auto" w:fill="FFFFFF"/>
        </w:rPr>
        <w:t>Extracts</w:t>
      </w:r>
      <w:proofErr w:type="spellEnd"/>
      <w:r w:rsidRPr="00F17D22">
        <w:rPr>
          <w:rFonts w:ascii="Bookman Old Style" w:hAnsi="Bookman Old Style" w:cs="Arial"/>
          <w:color w:val="000000" w:themeColor="text1"/>
          <w:sz w:val="20"/>
          <w:szCs w:val="20"/>
          <w:shd w:val="clear" w:color="auto" w:fill="FFFFFF"/>
        </w:rPr>
        <w:t xml:space="preserve">. Nat Prod </w:t>
      </w:r>
      <w:proofErr w:type="spellStart"/>
      <w:r w:rsidRPr="00F17D22">
        <w:rPr>
          <w:rFonts w:ascii="Bookman Old Style" w:hAnsi="Bookman Old Style" w:cs="Arial"/>
          <w:color w:val="000000" w:themeColor="text1"/>
          <w:sz w:val="20"/>
          <w:szCs w:val="20"/>
          <w:shd w:val="clear" w:color="auto" w:fill="FFFFFF"/>
        </w:rPr>
        <w:t>Chem</w:t>
      </w:r>
      <w:proofErr w:type="spellEnd"/>
      <w:r w:rsidRPr="00F17D22">
        <w:rPr>
          <w:rFonts w:ascii="Bookman Old Style" w:hAnsi="Bookman Old Style" w:cs="Arial"/>
          <w:color w:val="000000" w:themeColor="text1"/>
          <w:sz w:val="20"/>
          <w:szCs w:val="20"/>
          <w:shd w:val="clear" w:color="auto" w:fill="FFFFFF"/>
        </w:rPr>
        <w:t xml:space="preserve"> </w:t>
      </w:r>
      <w:proofErr w:type="spellStart"/>
      <w:r w:rsidRPr="00F17D22">
        <w:rPr>
          <w:rFonts w:ascii="Bookman Old Style" w:hAnsi="Bookman Old Style" w:cs="Arial"/>
          <w:color w:val="000000" w:themeColor="text1"/>
          <w:sz w:val="20"/>
          <w:szCs w:val="20"/>
          <w:shd w:val="clear" w:color="auto" w:fill="FFFFFF"/>
        </w:rPr>
        <w:t>Res</w:t>
      </w:r>
      <w:proofErr w:type="spellEnd"/>
      <w:r w:rsidRPr="00F17D22">
        <w:rPr>
          <w:rFonts w:ascii="Bookman Old Style" w:hAnsi="Bookman Old Style" w:cs="Arial"/>
          <w:color w:val="000000" w:themeColor="text1"/>
          <w:sz w:val="20"/>
          <w:szCs w:val="20"/>
          <w:shd w:val="clear" w:color="auto" w:fill="FFFFFF"/>
        </w:rPr>
        <w:t xml:space="preserve">, 4(6), 237. </w:t>
      </w:r>
      <w:hyperlink r:id="rId68" w:history="1">
        <w:r w:rsidRPr="005741C3">
          <w:rPr>
            <w:rStyle w:val="Hyperlink"/>
            <w:rFonts w:ascii="Bookman Old Style" w:hAnsi="Bookman Old Style" w:cs="Arial"/>
            <w:sz w:val="20"/>
            <w:szCs w:val="20"/>
            <w:shd w:val="clear" w:color="auto" w:fill="FFFFFF"/>
          </w:rPr>
          <w:t>https://doi.org/10.4172/2329-6836.1000237</w:t>
        </w:r>
      </w:hyperlink>
      <w:r>
        <w:rPr>
          <w:rFonts w:ascii="Bookman Old Style" w:hAnsi="Bookman Old Style" w:cs="Arial"/>
          <w:color w:val="000000" w:themeColor="text1"/>
          <w:sz w:val="20"/>
          <w:szCs w:val="20"/>
          <w:shd w:val="clear" w:color="auto" w:fill="FFFFFF"/>
        </w:rPr>
        <w:t xml:space="preserve"> </w:t>
      </w:r>
    </w:p>
    <w:sectPr w:rsidR="002246AD" w:rsidRPr="00BC19E0" w:rsidSect="0075348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2DE21C" w14:textId="77777777" w:rsidR="00FA794C" w:rsidRDefault="00FA794C" w:rsidP="0058386F">
      <w:pPr>
        <w:spacing w:after="0" w:line="240" w:lineRule="auto"/>
      </w:pPr>
      <w:r>
        <w:separator/>
      </w:r>
    </w:p>
  </w:endnote>
  <w:endnote w:type="continuationSeparator" w:id="0">
    <w:p w14:paraId="0C14B9C0" w14:textId="77777777" w:rsidR="00FA794C" w:rsidRDefault="00FA794C" w:rsidP="00583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1E729" w14:textId="77777777" w:rsidR="0058386F" w:rsidRDefault="005838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40983" w14:textId="77777777" w:rsidR="0058386F" w:rsidRDefault="005838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185EF" w14:textId="77777777" w:rsidR="0058386F" w:rsidRDefault="005838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14AEF" w14:textId="77777777" w:rsidR="00FA794C" w:rsidRDefault="00FA794C" w:rsidP="0058386F">
      <w:pPr>
        <w:spacing w:after="0" w:line="240" w:lineRule="auto"/>
      </w:pPr>
      <w:r>
        <w:separator/>
      </w:r>
    </w:p>
  </w:footnote>
  <w:footnote w:type="continuationSeparator" w:id="0">
    <w:p w14:paraId="02D6414D" w14:textId="77777777" w:rsidR="00FA794C" w:rsidRDefault="00FA794C" w:rsidP="005838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0492B" w14:textId="4B336DDC" w:rsidR="0058386F" w:rsidRDefault="0058386F">
    <w:pPr>
      <w:pStyle w:val="Header"/>
    </w:pPr>
    <w:r>
      <w:rPr>
        <w:noProof/>
      </w:rPr>
      <w:pict w14:anchorId="07BF26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93938"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8F375" w14:textId="02912388" w:rsidR="0058386F" w:rsidRDefault="0058386F">
    <w:pPr>
      <w:pStyle w:val="Header"/>
    </w:pPr>
    <w:r>
      <w:rPr>
        <w:noProof/>
      </w:rPr>
      <w:pict w14:anchorId="4E53DE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93939"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C4FD9" w14:textId="7B724AE1" w:rsidR="0058386F" w:rsidRDefault="0058386F">
    <w:pPr>
      <w:pStyle w:val="Header"/>
    </w:pPr>
    <w:r>
      <w:rPr>
        <w:noProof/>
      </w:rPr>
      <w:pict w14:anchorId="0F6D9E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93937"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5F3F49"/>
    <w:multiLevelType w:val="hybridMultilevel"/>
    <w:tmpl w:val="C3AC29AE"/>
    <w:lvl w:ilvl="0" w:tplc="AB1262B6">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025AF6"/>
    <w:multiLevelType w:val="hybridMultilevel"/>
    <w:tmpl w:val="D340C644"/>
    <w:lvl w:ilvl="0" w:tplc="F0D81916">
      <w:start w:val="1"/>
      <w:numFmt w:val="decimal"/>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2A7A40F1"/>
    <w:multiLevelType w:val="hybridMultilevel"/>
    <w:tmpl w:val="9356E0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5B12FF"/>
    <w:multiLevelType w:val="hybridMultilevel"/>
    <w:tmpl w:val="6DF60D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310E23"/>
    <w:multiLevelType w:val="multilevel"/>
    <w:tmpl w:val="3A4AA182"/>
    <w:lvl w:ilvl="0">
      <w:start w:val="1"/>
      <w:numFmt w:val="decimal"/>
      <w:pStyle w:val="Heading1"/>
      <w:lvlText w:val="%1"/>
      <w:lvlJc w:val="left"/>
      <w:pPr>
        <w:ind w:left="432" w:hanging="432"/>
      </w:pPr>
      <w:rPr>
        <w:b/>
        <w:color w:val="000000" w:themeColor="text1"/>
        <w:sz w:val="20"/>
        <w:szCs w:val="20"/>
      </w:rPr>
    </w:lvl>
    <w:lvl w:ilvl="1">
      <w:start w:val="1"/>
      <w:numFmt w:val="decimal"/>
      <w:pStyle w:val="Heading2"/>
      <w:lvlText w:val="%1.%2"/>
      <w:lvlJc w:val="left"/>
      <w:pPr>
        <w:ind w:left="576" w:hanging="576"/>
      </w:pPr>
      <w:rPr>
        <w:color w:val="auto"/>
      </w:rPr>
    </w:lvl>
    <w:lvl w:ilvl="2">
      <w:start w:val="1"/>
      <w:numFmt w:val="decimal"/>
      <w:pStyle w:val="Heading3"/>
      <w:lvlText w:val="%1.%2.%3"/>
      <w:lvlJc w:val="left"/>
      <w:pPr>
        <w:ind w:left="990" w:hanging="720"/>
      </w:pPr>
      <w:rPr>
        <w:b/>
        <w:i w:val="0"/>
        <w:color w:val="auto"/>
        <w:sz w:val="24"/>
        <w:szCs w:val="24"/>
      </w:rPr>
    </w:lvl>
    <w:lvl w:ilvl="3">
      <w:start w:val="1"/>
      <w:numFmt w:val="decimal"/>
      <w:pStyle w:val="Heading4"/>
      <w:lvlText w:val="%1.%2.%3.%4"/>
      <w:lvlJc w:val="left"/>
      <w:pPr>
        <w:ind w:left="864" w:hanging="864"/>
      </w:pPr>
      <w:rPr>
        <w:rFonts w:ascii="Times New Roman" w:hAnsi="Times New Roman" w:cs="Times New Roman" w:hint="default"/>
        <w:b/>
        <w:i w:val="0"/>
        <w:color w:val="auto"/>
      </w:rPr>
    </w:lvl>
    <w:lvl w:ilvl="4">
      <w:start w:val="1"/>
      <w:numFmt w:val="decimal"/>
      <w:pStyle w:val="Heading5"/>
      <w:lvlText w:val="%1.%2.%3.%4.%5"/>
      <w:lvlJc w:val="left"/>
      <w:pPr>
        <w:ind w:left="1008" w:hanging="1008"/>
      </w:pPr>
      <w:rPr>
        <w:b/>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480815D5"/>
    <w:multiLevelType w:val="hybridMultilevel"/>
    <w:tmpl w:val="CC4ABB42"/>
    <w:lvl w:ilvl="0" w:tplc="489606A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F8820A4"/>
    <w:multiLevelType w:val="hybridMultilevel"/>
    <w:tmpl w:val="C4BA9646"/>
    <w:lvl w:ilvl="0" w:tplc="EF4CDBB8">
      <w:start w:val="2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0223755"/>
    <w:multiLevelType w:val="hybridMultilevel"/>
    <w:tmpl w:val="EBFA5E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8F3C5B"/>
    <w:multiLevelType w:val="hybridMultilevel"/>
    <w:tmpl w:val="77F0C414"/>
    <w:lvl w:ilvl="0" w:tplc="9392E7B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5"/>
  </w:num>
  <w:num w:numId="4">
    <w:abstractNumId w:val="4"/>
  </w:num>
  <w:num w:numId="5">
    <w:abstractNumId w:val="8"/>
  </w:num>
  <w:num w:numId="6">
    <w:abstractNumId w:val="3"/>
  </w:num>
  <w:num w:numId="7">
    <w:abstractNumId w:val="7"/>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591F"/>
    <w:rsid w:val="00020C92"/>
    <w:rsid w:val="000675A3"/>
    <w:rsid w:val="0008620D"/>
    <w:rsid w:val="000A591F"/>
    <w:rsid w:val="000B12B4"/>
    <w:rsid w:val="000B6267"/>
    <w:rsid w:val="000D16D2"/>
    <w:rsid w:val="000E07ED"/>
    <w:rsid w:val="000E4241"/>
    <w:rsid w:val="000F622F"/>
    <w:rsid w:val="00132B41"/>
    <w:rsid w:val="00150777"/>
    <w:rsid w:val="00154C22"/>
    <w:rsid w:val="00190995"/>
    <w:rsid w:val="001D3B89"/>
    <w:rsid w:val="001D5C19"/>
    <w:rsid w:val="001D726B"/>
    <w:rsid w:val="00207938"/>
    <w:rsid w:val="002246AD"/>
    <w:rsid w:val="002527EE"/>
    <w:rsid w:val="0025580A"/>
    <w:rsid w:val="00263669"/>
    <w:rsid w:val="00271B0C"/>
    <w:rsid w:val="00275AC9"/>
    <w:rsid w:val="002775F7"/>
    <w:rsid w:val="002A1B5F"/>
    <w:rsid w:val="002C386F"/>
    <w:rsid w:val="002F18F9"/>
    <w:rsid w:val="002F7D04"/>
    <w:rsid w:val="0031137D"/>
    <w:rsid w:val="0033071F"/>
    <w:rsid w:val="003A0191"/>
    <w:rsid w:val="003F00A6"/>
    <w:rsid w:val="0040075C"/>
    <w:rsid w:val="00414C9E"/>
    <w:rsid w:val="00452E71"/>
    <w:rsid w:val="00472A57"/>
    <w:rsid w:val="00493230"/>
    <w:rsid w:val="004A68A7"/>
    <w:rsid w:val="004D16E6"/>
    <w:rsid w:val="004F6844"/>
    <w:rsid w:val="0052379A"/>
    <w:rsid w:val="00527091"/>
    <w:rsid w:val="005305CA"/>
    <w:rsid w:val="00554269"/>
    <w:rsid w:val="00561FA0"/>
    <w:rsid w:val="0056726F"/>
    <w:rsid w:val="00573176"/>
    <w:rsid w:val="00574148"/>
    <w:rsid w:val="0058386F"/>
    <w:rsid w:val="005B60D3"/>
    <w:rsid w:val="005C2EA5"/>
    <w:rsid w:val="005D3C26"/>
    <w:rsid w:val="005E1D14"/>
    <w:rsid w:val="005F3B6E"/>
    <w:rsid w:val="0062405D"/>
    <w:rsid w:val="006458F7"/>
    <w:rsid w:val="00693B04"/>
    <w:rsid w:val="00696EAA"/>
    <w:rsid w:val="006B58C8"/>
    <w:rsid w:val="006F493F"/>
    <w:rsid w:val="006F4A6F"/>
    <w:rsid w:val="006F4AE1"/>
    <w:rsid w:val="00701E5E"/>
    <w:rsid w:val="007276DF"/>
    <w:rsid w:val="0075348A"/>
    <w:rsid w:val="0076142E"/>
    <w:rsid w:val="0079233C"/>
    <w:rsid w:val="007E0333"/>
    <w:rsid w:val="00801237"/>
    <w:rsid w:val="00824970"/>
    <w:rsid w:val="00831B95"/>
    <w:rsid w:val="00866EAB"/>
    <w:rsid w:val="008A13BA"/>
    <w:rsid w:val="008C0DE3"/>
    <w:rsid w:val="008C1085"/>
    <w:rsid w:val="008F0008"/>
    <w:rsid w:val="008F0111"/>
    <w:rsid w:val="008F27A4"/>
    <w:rsid w:val="00931034"/>
    <w:rsid w:val="009421EC"/>
    <w:rsid w:val="00950A1F"/>
    <w:rsid w:val="009678C7"/>
    <w:rsid w:val="0097451E"/>
    <w:rsid w:val="00977272"/>
    <w:rsid w:val="009B442B"/>
    <w:rsid w:val="009D27BE"/>
    <w:rsid w:val="009E4270"/>
    <w:rsid w:val="00A03ADB"/>
    <w:rsid w:val="00A57288"/>
    <w:rsid w:val="00A67A66"/>
    <w:rsid w:val="00A84835"/>
    <w:rsid w:val="00AA2AC1"/>
    <w:rsid w:val="00AA5B4F"/>
    <w:rsid w:val="00AB10F2"/>
    <w:rsid w:val="00AB3AF7"/>
    <w:rsid w:val="00B10B5F"/>
    <w:rsid w:val="00B540B2"/>
    <w:rsid w:val="00B92BF7"/>
    <w:rsid w:val="00BC19E0"/>
    <w:rsid w:val="00BD72F9"/>
    <w:rsid w:val="00BE798F"/>
    <w:rsid w:val="00C133A7"/>
    <w:rsid w:val="00C217E4"/>
    <w:rsid w:val="00C64FC4"/>
    <w:rsid w:val="00C7074E"/>
    <w:rsid w:val="00CB7915"/>
    <w:rsid w:val="00CD502B"/>
    <w:rsid w:val="00CD5F98"/>
    <w:rsid w:val="00CE74C5"/>
    <w:rsid w:val="00CF4A2E"/>
    <w:rsid w:val="00D21247"/>
    <w:rsid w:val="00D32209"/>
    <w:rsid w:val="00D51A94"/>
    <w:rsid w:val="00D66F63"/>
    <w:rsid w:val="00D81C44"/>
    <w:rsid w:val="00D87359"/>
    <w:rsid w:val="00D93AC6"/>
    <w:rsid w:val="00DA73B6"/>
    <w:rsid w:val="00E2119C"/>
    <w:rsid w:val="00E32DC4"/>
    <w:rsid w:val="00E335A2"/>
    <w:rsid w:val="00E77AD8"/>
    <w:rsid w:val="00F013FD"/>
    <w:rsid w:val="00F17D22"/>
    <w:rsid w:val="00F21857"/>
    <w:rsid w:val="00F76F36"/>
    <w:rsid w:val="00F9245D"/>
    <w:rsid w:val="00FA794C"/>
    <w:rsid w:val="00FB0BD0"/>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CA2A9E"/>
  <w15:docId w15:val="{673B4046-CE66-4A1B-9AF5-93AB503AA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fr-FR"/>
    </w:rPr>
  </w:style>
  <w:style w:type="paragraph" w:styleId="Heading1">
    <w:name w:val="heading 1"/>
    <w:basedOn w:val="Normal"/>
    <w:next w:val="Normal"/>
    <w:link w:val="Heading1Char"/>
    <w:uiPriority w:val="9"/>
    <w:qFormat/>
    <w:rsid w:val="000B12B4"/>
    <w:pPr>
      <w:keepNext/>
      <w:keepLines/>
      <w:numPr>
        <w:numId w:val="4"/>
      </w:numPr>
      <w:spacing w:before="480" w:after="0" w:line="276" w:lineRule="auto"/>
      <w:outlineLvl w:val="0"/>
    </w:pPr>
    <w:rPr>
      <w:rFonts w:asciiTheme="majorHAnsi" w:eastAsiaTheme="majorEastAsia" w:hAnsiTheme="majorHAnsi" w:cstheme="majorBidi"/>
      <w:b/>
      <w:bCs/>
      <w:color w:val="2F5496" w:themeColor="accent1" w:themeShade="BF"/>
      <w:kern w:val="0"/>
      <w:sz w:val="28"/>
      <w:szCs w:val="28"/>
      <w:lang w:val="en-US"/>
      <w14:ligatures w14:val="none"/>
    </w:rPr>
  </w:style>
  <w:style w:type="paragraph" w:styleId="Heading2">
    <w:name w:val="heading 2"/>
    <w:basedOn w:val="Normal"/>
    <w:next w:val="Normal"/>
    <w:link w:val="Heading2Char"/>
    <w:uiPriority w:val="9"/>
    <w:unhideWhenUsed/>
    <w:qFormat/>
    <w:rsid w:val="000B12B4"/>
    <w:pPr>
      <w:keepNext/>
      <w:keepLines/>
      <w:numPr>
        <w:ilvl w:val="1"/>
        <w:numId w:val="4"/>
      </w:numPr>
      <w:spacing w:before="200" w:after="0" w:line="276" w:lineRule="auto"/>
      <w:outlineLvl w:val="1"/>
    </w:pPr>
    <w:rPr>
      <w:rFonts w:asciiTheme="majorHAnsi" w:eastAsiaTheme="majorEastAsia" w:hAnsiTheme="majorHAnsi" w:cstheme="majorBidi"/>
      <w:b/>
      <w:bCs/>
      <w:color w:val="4472C4" w:themeColor="accent1"/>
      <w:kern w:val="0"/>
      <w:sz w:val="26"/>
      <w:szCs w:val="26"/>
      <w:lang w:val="en-US"/>
      <w14:ligatures w14:val="none"/>
    </w:rPr>
  </w:style>
  <w:style w:type="paragraph" w:styleId="Heading3">
    <w:name w:val="heading 3"/>
    <w:basedOn w:val="Normal"/>
    <w:next w:val="Normal"/>
    <w:link w:val="Heading3Char"/>
    <w:uiPriority w:val="9"/>
    <w:unhideWhenUsed/>
    <w:qFormat/>
    <w:rsid w:val="000B12B4"/>
    <w:pPr>
      <w:keepNext/>
      <w:keepLines/>
      <w:numPr>
        <w:ilvl w:val="2"/>
        <w:numId w:val="4"/>
      </w:numPr>
      <w:spacing w:before="200" w:after="0" w:line="276" w:lineRule="auto"/>
      <w:ind w:left="720"/>
      <w:outlineLvl w:val="2"/>
    </w:pPr>
    <w:rPr>
      <w:rFonts w:asciiTheme="majorHAnsi" w:eastAsiaTheme="majorEastAsia" w:hAnsiTheme="majorHAnsi" w:cstheme="majorBidi"/>
      <w:b/>
      <w:bCs/>
      <w:color w:val="4472C4" w:themeColor="accent1"/>
      <w:kern w:val="0"/>
      <w:lang w:val="en-US"/>
      <w14:ligatures w14:val="none"/>
    </w:rPr>
  </w:style>
  <w:style w:type="paragraph" w:styleId="Heading4">
    <w:name w:val="heading 4"/>
    <w:basedOn w:val="Normal"/>
    <w:next w:val="Normal"/>
    <w:link w:val="Heading4Char"/>
    <w:uiPriority w:val="9"/>
    <w:unhideWhenUsed/>
    <w:qFormat/>
    <w:rsid w:val="000B12B4"/>
    <w:pPr>
      <w:keepNext/>
      <w:keepLines/>
      <w:numPr>
        <w:ilvl w:val="3"/>
        <w:numId w:val="4"/>
      </w:numPr>
      <w:spacing w:before="200" w:after="0" w:line="276" w:lineRule="auto"/>
      <w:outlineLvl w:val="3"/>
    </w:pPr>
    <w:rPr>
      <w:rFonts w:asciiTheme="majorHAnsi" w:eastAsiaTheme="majorEastAsia" w:hAnsiTheme="majorHAnsi" w:cstheme="majorBidi"/>
      <w:b/>
      <w:bCs/>
      <w:i/>
      <w:iCs/>
      <w:color w:val="4472C4" w:themeColor="accent1"/>
      <w:kern w:val="0"/>
      <w:lang w:val="en-US"/>
      <w14:ligatures w14:val="none"/>
    </w:rPr>
  </w:style>
  <w:style w:type="paragraph" w:styleId="Heading5">
    <w:name w:val="heading 5"/>
    <w:basedOn w:val="Normal"/>
    <w:next w:val="Normal"/>
    <w:link w:val="Heading5Char"/>
    <w:uiPriority w:val="9"/>
    <w:unhideWhenUsed/>
    <w:qFormat/>
    <w:rsid w:val="000B12B4"/>
    <w:pPr>
      <w:keepNext/>
      <w:keepLines/>
      <w:numPr>
        <w:ilvl w:val="4"/>
        <w:numId w:val="4"/>
      </w:numPr>
      <w:spacing w:before="40" w:after="0" w:line="276" w:lineRule="auto"/>
      <w:outlineLvl w:val="4"/>
    </w:pPr>
    <w:rPr>
      <w:rFonts w:asciiTheme="majorHAnsi" w:eastAsiaTheme="majorEastAsia" w:hAnsiTheme="majorHAnsi" w:cstheme="majorBidi"/>
      <w:color w:val="2F5496" w:themeColor="accent1" w:themeShade="BF"/>
      <w:kern w:val="0"/>
      <w:lang w:val="en-US"/>
      <w14:ligatures w14:val="none"/>
    </w:rPr>
  </w:style>
  <w:style w:type="paragraph" w:styleId="Heading6">
    <w:name w:val="heading 6"/>
    <w:basedOn w:val="Normal"/>
    <w:next w:val="Normal"/>
    <w:link w:val="Heading6Char"/>
    <w:uiPriority w:val="9"/>
    <w:semiHidden/>
    <w:unhideWhenUsed/>
    <w:qFormat/>
    <w:rsid w:val="000B12B4"/>
    <w:pPr>
      <w:keepNext/>
      <w:keepLines/>
      <w:numPr>
        <w:ilvl w:val="5"/>
        <w:numId w:val="4"/>
      </w:numPr>
      <w:spacing w:before="40" w:after="0" w:line="276" w:lineRule="auto"/>
      <w:outlineLvl w:val="5"/>
    </w:pPr>
    <w:rPr>
      <w:rFonts w:asciiTheme="majorHAnsi" w:eastAsiaTheme="majorEastAsia" w:hAnsiTheme="majorHAnsi" w:cstheme="majorBidi"/>
      <w:color w:val="1F3763" w:themeColor="accent1" w:themeShade="7F"/>
      <w:kern w:val="0"/>
      <w:lang w:val="en-US"/>
      <w14:ligatures w14:val="none"/>
    </w:rPr>
  </w:style>
  <w:style w:type="paragraph" w:styleId="Heading7">
    <w:name w:val="heading 7"/>
    <w:basedOn w:val="Normal"/>
    <w:next w:val="Normal"/>
    <w:link w:val="Heading7Char"/>
    <w:uiPriority w:val="9"/>
    <w:semiHidden/>
    <w:unhideWhenUsed/>
    <w:qFormat/>
    <w:rsid w:val="000B12B4"/>
    <w:pPr>
      <w:keepNext/>
      <w:keepLines/>
      <w:numPr>
        <w:ilvl w:val="6"/>
        <w:numId w:val="4"/>
      </w:numPr>
      <w:spacing w:before="40" w:after="0" w:line="276" w:lineRule="auto"/>
      <w:outlineLvl w:val="6"/>
    </w:pPr>
    <w:rPr>
      <w:rFonts w:asciiTheme="majorHAnsi" w:eastAsiaTheme="majorEastAsia" w:hAnsiTheme="majorHAnsi" w:cstheme="majorBidi"/>
      <w:i/>
      <w:iCs/>
      <w:color w:val="1F3763" w:themeColor="accent1" w:themeShade="7F"/>
      <w:kern w:val="0"/>
      <w:lang w:val="en-US"/>
      <w14:ligatures w14:val="none"/>
    </w:rPr>
  </w:style>
  <w:style w:type="paragraph" w:styleId="Heading8">
    <w:name w:val="heading 8"/>
    <w:basedOn w:val="Normal"/>
    <w:next w:val="Normal"/>
    <w:link w:val="Heading8Char"/>
    <w:uiPriority w:val="9"/>
    <w:semiHidden/>
    <w:unhideWhenUsed/>
    <w:qFormat/>
    <w:rsid w:val="000B12B4"/>
    <w:pPr>
      <w:keepNext/>
      <w:keepLines/>
      <w:numPr>
        <w:ilvl w:val="7"/>
        <w:numId w:val="4"/>
      </w:numPr>
      <w:spacing w:before="40" w:after="0" w:line="276" w:lineRule="auto"/>
      <w:outlineLvl w:val="7"/>
    </w:pPr>
    <w:rPr>
      <w:rFonts w:asciiTheme="majorHAnsi" w:eastAsiaTheme="majorEastAsia" w:hAnsiTheme="majorHAnsi" w:cstheme="majorBidi"/>
      <w:color w:val="272727" w:themeColor="text1" w:themeTint="D8"/>
      <w:kern w:val="0"/>
      <w:sz w:val="21"/>
      <w:szCs w:val="21"/>
      <w:lang w:val="en-US"/>
      <w14:ligatures w14:val="none"/>
    </w:rPr>
  </w:style>
  <w:style w:type="paragraph" w:styleId="Heading9">
    <w:name w:val="heading 9"/>
    <w:basedOn w:val="Normal"/>
    <w:next w:val="Normal"/>
    <w:link w:val="Heading9Char"/>
    <w:uiPriority w:val="9"/>
    <w:semiHidden/>
    <w:unhideWhenUsed/>
    <w:qFormat/>
    <w:rsid w:val="000B12B4"/>
    <w:pPr>
      <w:keepNext/>
      <w:keepLines/>
      <w:numPr>
        <w:ilvl w:val="8"/>
        <w:numId w:val="4"/>
      </w:numPr>
      <w:spacing w:before="40" w:after="0" w:line="276" w:lineRule="auto"/>
      <w:outlineLvl w:val="8"/>
    </w:pPr>
    <w:rPr>
      <w:rFonts w:asciiTheme="majorHAnsi" w:eastAsiaTheme="majorEastAsia" w:hAnsiTheme="majorHAnsi" w:cstheme="majorBidi"/>
      <w:i/>
      <w:iCs/>
      <w:color w:val="272727" w:themeColor="text1" w:themeTint="D8"/>
      <w:kern w:val="0"/>
      <w:sz w:val="21"/>
      <w:szCs w:val="21"/>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013FD"/>
    <w:rPr>
      <w:color w:val="0000FF"/>
      <w:u w:val="single"/>
    </w:rPr>
  </w:style>
  <w:style w:type="paragraph" w:styleId="ListParagraph">
    <w:name w:val="List Paragraph"/>
    <w:basedOn w:val="Normal"/>
    <w:uiPriority w:val="34"/>
    <w:qFormat/>
    <w:rsid w:val="00493230"/>
    <w:pPr>
      <w:ind w:left="720"/>
      <w:contextualSpacing/>
    </w:pPr>
  </w:style>
  <w:style w:type="character" w:customStyle="1" w:styleId="Heading1Char">
    <w:name w:val="Heading 1 Char"/>
    <w:basedOn w:val="DefaultParagraphFont"/>
    <w:link w:val="Heading1"/>
    <w:uiPriority w:val="9"/>
    <w:rsid w:val="000B12B4"/>
    <w:rPr>
      <w:rFonts w:asciiTheme="majorHAnsi" w:eastAsiaTheme="majorEastAsia" w:hAnsiTheme="majorHAnsi" w:cstheme="majorBidi"/>
      <w:b/>
      <w:bCs/>
      <w:color w:val="2F5496" w:themeColor="accent1" w:themeShade="BF"/>
      <w:kern w:val="0"/>
      <w:sz w:val="28"/>
      <w:szCs w:val="28"/>
      <w14:ligatures w14:val="none"/>
    </w:rPr>
  </w:style>
  <w:style w:type="character" w:customStyle="1" w:styleId="Heading2Char">
    <w:name w:val="Heading 2 Char"/>
    <w:basedOn w:val="DefaultParagraphFont"/>
    <w:link w:val="Heading2"/>
    <w:uiPriority w:val="9"/>
    <w:rsid w:val="000B12B4"/>
    <w:rPr>
      <w:rFonts w:asciiTheme="majorHAnsi" w:eastAsiaTheme="majorEastAsia" w:hAnsiTheme="majorHAnsi" w:cstheme="majorBidi"/>
      <w:b/>
      <w:bCs/>
      <w:color w:val="4472C4" w:themeColor="accent1"/>
      <w:kern w:val="0"/>
      <w:sz w:val="26"/>
      <w:szCs w:val="26"/>
      <w14:ligatures w14:val="none"/>
    </w:rPr>
  </w:style>
  <w:style w:type="character" w:customStyle="1" w:styleId="Heading3Char">
    <w:name w:val="Heading 3 Char"/>
    <w:basedOn w:val="DefaultParagraphFont"/>
    <w:link w:val="Heading3"/>
    <w:uiPriority w:val="9"/>
    <w:rsid w:val="000B12B4"/>
    <w:rPr>
      <w:rFonts w:asciiTheme="majorHAnsi" w:eastAsiaTheme="majorEastAsia" w:hAnsiTheme="majorHAnsi" w:cstheme="majorBidi"/>
      <w:b/>
      <w:bCs/>
      <w:color w:val="4472C4" w:themeColor="accent1"/>
      <w:kern w:val="0"/>
      <w14:ligatures w14:val="none"/>
    </w:rPr>
  </w:style>
  <w:style w:type="character" w:customStyle="1" w:styleId="Heading4Char">
    <w:name w:val="Heading 4 Char"/>
    <w:basedOn w:val="DefaultParagraphFont"/>
    <w:link w:val="Heading4"/>
    <w:uiPriority w:val="9"/>
    <w:rsid w:val="000B12B4"/>
    <w:rPr>
      <w:rFonts w:asciiTheme="majorHAnsi" w:eastAsiaTheme="majorEastAsia" w:hAnsiTheme="majorHAnsi" w:cstheme="majorBidi"/>
      <w:b/>
      <w:bCs/>
      <w:i/>
      <w:iCs/>
      <w:color w:val="4472C4" w:themeColor="accent1"/>
      <w:kern w:val="0"/>
      <w14:ligatures w14:val="none"/>
    </w:rPr>
  </w:style>
  <w:style w:type="character" w:customStyle="1" w:styleId="Heading5Char">
    <w:name w:val="Heading 5 Char"/>
    <w:basedOn w:val="DefaultParagraphFont"/>
    <w:link w:val="Heading5"/>
    <w:uiPriority w:val="9"/>
    <w:rsid w:val="000B12B4"/>
    <w:rPr>
      <w:rFonts w:asciiTheme="majorHAnsi" w:eastAsiaTheme="majorEastAsia" w:hAnsiTheme="majorHAnsi" w:cstheme="majorBidi"/>
      <w:color w:val="2F5496" w:themeColor="accent1" w:themeShade="BF"/>
      <w:kern w:val="0"/>
      <w14:ligatures w14:val="none"/>
    </w:rPr>
  </w:style>
  <w:style w:type="character" w:customStyle="1" w:styleId="Heading6Char">
    <w:name w:val="Heading 6 Char"/>
    <w:basedOn w:val="DefaultParagraphFont"/>
    <w:link w:val="Heading6"/>
    <w:uiPriority w:val="9"/>
    <w:semiHidden/>
    <w:rsid w:val="000B12B4"/>
    <w:rPr>
      <w:rFonts w:asciiTheme="majorHAnsi" w:eastAsiaTheme="majorEastAsia" w:hAnsiTheme="majorHAnsi" w:cstheme="majorBidi"/>
      <w:color w:val="1F3763" w:themeColor="accent1" w:themeShade="7F"/>
      <w:kern w:val="0"/>
      <w14:ligatures w14:val="none"/>
    </w:rPr>
  </w:style>
  <w:style w:type="character" w:customStyle="1" w:styleId="Heading7Char">
    <w:name w:val="Heading 7 Char"/>
    <w:basedOn w:val="DefaultParagraphFont"/>
    <w:link w:val="Heading7"/>
    <w:uiPriority w:val="9"/>
    <w:semiHidden/>
    <w:rsid w:val="000B12B4"/>
    <w:rPr>
      <w:rFonts w:asciiTheme="majorHAnsi" w:eastAsiaTheme="majorEastAsia" w:hAnsiTheme="majorHAnsi" w:cstheme="majorBidi"/>
      <w:i/>
      <w:iCs/>
      <w:color w:val="1F3763" w:themeColor="accent1" w:themeShade="7F"/>
      <w:kern w:val="0"/>
      <w14:ligatures w14:val="none"/>
    </w:rPr>
  </w:style>
  <w:style w:type="character" w:customStyle="1" w:styleId="Heading8Char">
    <w:name w:val="Heading 8 Char"/>
    <w:basedOn w:val="DefaultParagraphFont"/>
    <w:link w:val="Heading8"/>
    <w:uiPriority w:val="9"/>
    <w:semiHidden/>
    <w:rsid w:val="000B12B4"/>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
    <w:name w:val="Heading 9 Char"/>
    <w:basedOn w:val="DefaultParagraphFont"/>
    <w:link w:val="Heading9"/>
    <w:uiPriority w:val="9"/>
    <w:semiHidden/>
    <w:rsid w:val="000B12B4"/>
    <w:rPr>
      <w:rFonts w:asciiTheme="majorHAnsi" w:eastAsiaTheme="majorEastAsia" w:hAnsiTheme="majorHAnsi" w:cstheme="majorBidi"/>
      <w:i/>
      <w:iCs/>
      <w:color w:val="272727" w:themeColor="text1" w:themeTint="D8"/>
      <w:kern w:val="0"/>
      <w:sz w:val="21"/>
      <w:szCs w:val="21"/>
      <w14:ligatures w14:val="none"/>
    </w:rPr>
  </w:style>
  <w:style w:type="paragraph" w:styleId="Caption">
    <w:name w:val="caption"/>
    <w:basedOn w:val="Normal"/>
    <w:next w:val="Normal"/>
    <w:uiPriority w:val="35"/>
    <w:unhideWhenUsed/>
    <w:qFormat/>
    <w:rsid w:val="000B12B4"/>
    <w:pPr>
      <w:spacing w:after="200" w:line="240" w:lineRule="auto"/>
    </w:pPr>
    <w:rPr>
      <w:i/>
      <w:iCs/>
      <w:color w:val="44546A" w:themeColor="text2"/>
      <w:kern w:val="0"/>
      <w:sz w:val="18"/>
      <w:szCs w:val="18"/>
      <w:lang w:val="en-US"/>
      <w14:ligatures w14:val="none"/>
    </w:rPr>
  </w:style>
  <w:style w:type="paragraph" w:styleId="NormalWeb">
    <w:name w:val="Normal (Web)"/>
    <w:basedOn w:val="Normal"/>
    <w:uiPriority w:val="99"/>
    <w:unhideWhenUsed/>
    <w:rsid w:val="00472A57"/>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styleId="LightGrid-Accent3">
    <w:name w:val="Light Grid Accent 3"/>
    <w:basedOn w:val="TableNormal"/>
    <w:uiPriority w:val="62"/>
    <w:rsid w:val="00977272"/>
    <w:pPr>
      <w:spacing w:after="0" w:line="240" w:lineRule="auto"/>
    </w:pPr>
    <w:rPr>
      <w:kern w:val="0"/>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PlainTable31">
    <w:name w:val="Plain Table 31"/>
    <w:basedOn w:val="TableNormal"/>
    <w:uiPriority w:val="43"/>
    <w:rsid w:val="0097727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
    <w:name w:val="Table Grid"/>
    <w:basedOn w:val="TableNormal"/>
    <w:uiPriority w:val="39"/>
    <w:rsid w:val="009772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2246AD"/>
  </w:style>
  <w:style w:type="character" w:styleId="UnresolvedMention">
    <w:name w:val="Unresolved Mention"/>
    <w:basedOn w:val="DefaultParagraphFont"/>
    <w:uiPriority w:val="99"/>
    <w:semiHidden/>
    <w:unhideWhenUsed/>
    <w:rsid w:val="00574148"/>
    <w:rPr>
      <w:color w:val="605E5C"/>
      <w:shd w:val="clear" w:color="auto" w:fill="E1DFDD"/>
    </w:rPr>
  </w:style>
  <w:style w:type="paragraph" w:styleId="Header">
    <w:name w:val="header"/>
    <w:basedOn w:val="Normal"/>
    <w:link w:val="HeaderChar"/>
    <w:uiPriority w:val="99"/>
    <w:unhideWhenUsed/>
    <w:rsid w:val="005838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386F"/>
    <w:rPr>
      <w:lang w:val="fr-FR"/>
    </w:rPr>
  </w:style>
  <w:style w:type="paragraph" w:styleId="Footer">
    <w:name w:val="footer"/>
    <w:basedOn w:val="Normal"/>
    <w:link w:val="FooterChar"/>
    <w:uiPriority w:val="99"/>
    <w:unhideWhenUsed/>
    <w:rsid w:val="005838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386F"/>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138675">
      <w:bodyDiv w:val="1"/>
      <w:marLeft w:val="0"/>
      <w:marRight w:val="0"/>
      <w:marTop w:val="0"/>
      <w:marBottom w:val="0"/>
      <w:divBdr>
        <w:top w:val="none" w:sz="0" w:space="0" w:color="auto"/>
        <w:left w:val="none" w:sz="0" w:space="0" w:color="auto"/>
        <w:bottom w:val="none" w:sz="0" w:space="0" w:color="auto"/>
        <w:right w:val="none" w:sz="0" w:space="0" w:color="auto"/>
      </w:divBdr>
    </w:div>
    <w:div w:id="401221399">
      <w:bodyDiv w:val="1"/>
      <w:marLeft w:val="0"/>
      <w:marRight w:val="0"/>
      <w:marTop w:val="0"/>
      <w:marBottom w:val="0"/>
      <w:divBdr>
        <w:top w:val="none" w:sz="0" w:space="0" w:color="auto"/>
        <w:left w:val="none" w:sz="0" w:space="0" w:color="auto"/>
        <w:bottom w:val="none" w:sz="0" w:space="0" w:color="auto"/>
        <w:right w:val="none" w:sz="0" w:space="0" w:color="auto"/>
      </w:divBdr>
    </w:div>
    <w:div w:id="446824803">
      <w:bodyDiv w:val="1"/>
      <w:marLeft w:val="0"/>
      <w:marRight w:val="0"/>
      <w:marTop w:val="0"/>
      <w:marBottom w:val="0"/>
      <w:divBdr>
        <w:top w:val="none" w:sz="0" w:space="0" w:color="auto"/>
        <w:left w:val="none" w:sz="0" w:space="0" w:color="auto"/>
        <w:bottom w:val="none" w:sz="0" w:space="0" w:color="auto"/>
        <w:right w:val="none" w:sz="0" w:space="0" w:color="auto"/>
      </w:divBdr>
    </w:div>
    <w:div w:id="513416921">
      <w:bodyDiv w:val="1"/>
      <w:marLeft w:val="0"/>
      <w:marRight w:val="0"/>
      <w:marTop w:val="0"/>
      <w:marBottom w:val="0"/>
      <w:divBdr>
        <w:top w:val="none" w:sz="0" w:space="0" w:color="auto"/>
        <w:left w:val="none" w:sz="0" w:space="0" w:color="auto"/>
        <w:bottom w:val="none" w:sz="0" w:space="0" w:color="auto"/>
        <w:right w:val="none" w:sz="0" w:space="0" w:color="auto"/>
      </w:divBdr>
    </w:div>
    <w:div w:id="697125416">
      <w:bodyDiv w:val="1"/>
      <w:marLeft w:val="0"/>
      <w:marRight w:val="0"/>
      <w:marTop w:val="0"/>
      <w:marBottom w:val="0"/>
      <w:divBdr>
        <w:top w:val="none" w:sz="0" w:space="0" w:color="auto"/>
        <w:left w:val="none" w:sz="0" w:space="0" w:color="auto"/>
        <w:bottom w:val="none" w:sz="0" w:space="0" w:color="auto"/>
        <w:right w:val="none" w:sz="0" w:space="0" w:color="auto"/>
      </w:divBdr>
    </w:div>
    <w:div w:id="916667645">
      <w:bodyDiv w:val="1"/>
      <w:marLeft w:val="0"/>
      <w:marRight w:val="0"/>
      <w:marTop w:val="0"/>
      <w:marBottom w:val="0"/>
      <w:divBdr>
        <w:top w:val="none" w:sz="0" w:space="0" w:color="auto"/>
        <w:left w:val="none" w:sz="0" w:space="0" w:color="auto"/>
        <w:bottom w:val="none" w:sz="0" w:space="0" w:color="auto"/>
        <w:right w:val="none" w:sz="0" w:space="0" w:color="auto"/>
      </w:divBdr>
    </w:div>
    <w:div w:id="1087187386">
      <w:bodyDiv w:val="1"/>
      <w:marLeft w:val="0"/>
      <w:marRight w:val="0"/>
      <w:marTop w:val="0"/>
      <w:marBottom w:val="0"/>
      <w:divBdr>
        <w:top w:val="none" w:sz="0" w:space="0" w:color="auto"/>
        <w:left w:val="none" w:sz="0" w:space="0" w:color="auto"/>
        <w:bottom w:val="none" w:sz="0" w:space="0" w:color="auto"/>
        <w:right w:val="none" w:sz="0" w:space="0" w:color="auto"/>
      </w:divBdr>
    </w:div>
    <w:div w:id="1228565664">
      <w:bodyDiv w:val="1"/>
      <w:marLeft w:val="0"/>
      <w:marRight w:val="0"/>
      <w:marTop w:val="0"/>
      <w:marBottom w:val="0"/>
      <w:divBdr>
        <w:top w:val="none" w:sz="0" w:space="0" w:color="auto"/>
        <w:left w:val="none" w:sz="0" w:space="0" w:color="auto"/>
        <w:bottom w:val="none" w:sz="0" w:space="0" w:color="auto"/>
        <w:right w:val="none" w:sz="0" w:space="0" w:color="auto"/>
      </w:divBdr>
    </w:div>
    <w:div w:id="1236010236">
      <w:bodyDiv w:val="1"/>
      <w:marLeft w:val="0"/>
      <w:marRight w:val="0"/>
      <w:marTop w:val="0"/>
      <w:marBottom w:val="0"/>
      <w:divBdr>
        <w:top w:val="none" w:sz="0" w:space="0" w:color="auto"/>
        <w:left w:val="none" w:sz="0" w:space="0" w:color="auto"/>
        <w:bottom w:val="none" w:sz="0" w:space="0" w:color="auto"/>
        <w:right w:val="none" w:sz="0" w:space="0" w:color="auto"/>
      </w:divBdr>
    </w:div>
    <w:div w:id="1323122956">
      <w:bodyDiv w:val="1"/>
      <w:marLeft w:val="0"/>
      <w:marRight w:val="0"/>
      <w:marTop w:val="0"/>
      <w:marBottom w:val="0"/>
      <w:divBdr>
        <w:top w:val="none" w:sz="0" w:space="0" w:color="auto"/>
        <w:left w:val="none" w:sz="0" w:space="0" w:color="auto"/>
        <w:bottom w:val="none" w:sz="0" w:space="0" w:color="auto"/>
        <w:right w:val="none" w:sz="0" w:space="0" w:color="auto"/>
      </w:divBdr>
    </w:div>
    <w:div w:id="1330601394">
      <w:bodyDiv w:val="1"/>
      <w:marLeft w:val="0"/>
      <w:marRight w:val="0"/>
      <w:marTop w:val="0"/>
      <w:marBottom w:val="0"/>
      <w:divBdr>
        <w:top w:val="none" w:sz="0" w:space="0" w:color="auto"/>
        <w:left w:val="none" w:sz="0" w:space="0" w:color="auto"/>
        <w:bottom w:val="none" w:sz="0" w:space="0" w:color="auto"/>
        <w:right w:val="none" w:sz="0" w:space="0" w:color="auto"/>
      </w:divBdr>
    </w:div>
    <w:div w:id="1499420161">
      <w:bodyDiv w:val="1"/>
      <w:marLeft w:val="0"/>
      <w:marRight w:val="0"/>
      <w:marTop w:val="0"/>
      <w:marBottom w:val="0"/>
      <w:divBdr>
        <w:top w:val="none" w:sz="0" w:space="0" w:color="auto"/>
        <w:left w:val="none" w:sz="0" w:space="0" w:color="auto"/>
        <w:bottom w:val="none" w:sz="0" w:space="0" w:color="auto"/>
        <w:right w:val="none" w:sz="0" w:space="0" w:color="auto"/>
      </w:divBdr>
    </w:div>
    <w:div w:id="1516576054">
      <w:bodyDiv w:val="1"/>
      <w:marLeft w:val="0"/>
      <w:marRight w:val="0"/>
      <w:marTop w:val="0"/>
      <w:marBottom w:val="0"/>
      <w:divBdr>
        <w:top w:val="none" w:sz="0" w:space="0" w:color="auto"/>
        <w:left w:val="none" w:sz="0" w:space="0" w:color="auto"/>
        <w:bottom w:val="none" w:sz="0" w:space="0" w:color="auto"/>
        <w:right w:val="none" w:sz="0" w:space="0" w:color="auto"/>
      </w:divBdr>
    </w:div>
    <w:div w:id="1572109067">
      <w:bodyDiv w:val="1"/>
      <w:marLeft w:val="0"/>
      <w:marRight w:val="0"/>
      <w:marTop w:val="0"/>
      <w:marBottom w:val="0"/>
      <w:divBdr>
        <w:top w:val="none" w:sz="0" w:space="0" w:color="auto"/>
        <w:left w:val="none" w:sz="0" w:space="0" w:color="auto"/>
        <w:bottom w:val="none" w:sz="0" w:space="0" w:color="auto"/>
        <w:right w:val="none" w:sz="0" w:space="0" w:color="auto"/>
      </w:divBdr>
    </w:div>
    <w:div w:id="1597593353">
      <w:bodyDiv w:val="1"/>
      <w:marLeft w:val="0"/>
      <w:marRight w:val="0"/>
      <w:marTop w:val="0"/>
      <w:marBottom w:val="0"/>
      <w:divBdr>
        <w:top w:val="none" w:sz="0" w:space="0" w:color="auto"/>
        <w:left w:val="none" w:sz="0" w:space="0" w:color="auto"/>
        <w:bottom w:val="none" w:sz="0" w:space="0" w:color="auto"/>
        <w:right w:val="none" w:sz="0" w:space="0" w:color="auto"/>
      </w:divBdr>
    </w:div>
    <w:div w:id="1826780305">
      <w:bodyDiv w:val="1"/>
      <w:marLeft w:val="0"/>
      <w:marRight w:val="0"/>
      <w:marTop w:val="0"/>
      <w:marBottom w:val="0"/>
      <w:divBdr>
        <w:top w:val="none" w:sz="0" w:space="0" w:color="auto"/>
        <w:left w:val="none" w:sz="0" w:space="0" w:color="auto"/>
        <w:bottom w:val="none" w:sz="0" w:space="0" w:color="auto"/>
        <w:right w:val="none" w:sz="0" w:space="0" w:color="auto"/>
      </w:divBdr>
    </w:div>
    <w:div w:id="1828786304">
      <w:bodyDiv w:val="1"/>
      <w:marLeft w:val="0"/>
      <w:marRight w:val="0"/>
      <w:marTop w:val="0"/>
      <w:marBottom w:val="0"/>
      <w:divBdr>
        <w:top w:val="none" w:sz="0" w:space="0" w:color="auto"/>
        <w:left w:val="none" w:sz="0" w:space="0" w:color="auto"/>
        <w:bottom w:val="none" w:sz="0" w:space="0" w:color="auto"/>
        <w:right w:val="none" w:sz="0" w:space="0" w:color="auto"/>
      </w:divBdr>
    </w:div>
    <w:div w:id="2021856202">
      <w:bodyDiv w:val="1"/>
      <w:marLeft w:val="0"/>
      <w:marRight w:val="0"/>
      <w:marTop w:val="0"/>
      <w:marBottom w:val="0"/>
      <w:divBdr>
        <w:top w:val="none" w:sz="0" w:space="0" w:color="auto"/>
        <w:left w:val="none" w:sz="0" w:space="0" w:color="auto"/>
        <w:bottom w:val="none" w:sz="0" w:space="0" w:color="auto"/>
        <w:right w:val="none" w:sz="0" w:space="0" w:color="auto"/>
      </w:divBdr>
    </w:div>
    <w:div w:id="2142338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3.xml"/><Relationship Id="rId21" Type="http://schemas.openxmlformats.org/officeDocument/2006/relationships/chart" Target="charts/chart8.xml"/><Relationship Id="rId42" Type="http://schemas.openxmlformats.org/officeDocument/2006/relationships/hyperlink" Target="https://www.fao.org/3/i7754e/i7754e.pdf" TargetMode="External"/><Relationship Id="rId47" Type="http://schemas.openxmlformats.org/officeDocument/2006/relationships/hyperlink" Target="https://doi.org/10.4236/jwarp.2011.37062" TargetMode="External"/><Relationship Id="rId63" Type="http://schemas.openxmlformats.org/officeDocument/2006/relationships/hyperlink" Target="https://doi.org/10.1016/j.clay.2019.105145" TargetMode="External"/><Relationship Id="rId68" Type="http://schemas.openxmlformats.org/officeDocument/2006/relationships/hyperlink" Target="https://doi.org/10.4172/2329-6836.100023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16.xml"/><Relationship Id="rId11" Type="http://schemas.openxmlformats.org/officeDocument/2006/relationships/footer" Target="footer2.xm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hyperlink" Target="https://doi.org/10.1016/B978-0-12-816448-8.00008-3" TargetMode="External"/><Relationship Id="rId45" Type="http://schemas.openxmlformats.org/officeDocument/2006/relationships/hyperlink" Target="https://doi.org/10.1007/BF02840703" TargetMode="External"/><Relationship Id="rId53" Type="http://schemas.openxmlformats.org/officeDocument/2006/relationships/hyperlink" Target="https://doi.org/10.1080/00103624.2013.753700" TargetMode="External"/><Relationship Id="rId58" Type="http://schemas.openxmlformats.org/officeDocument/2006/relationships/hyperlink" Target="https://doi.org/10.1016/j.protcy.2016.05.127" TargetMode="External"/><Relationship Id="rId66" Type="http://schemas.openxmlformats.org/officeDocument/2006/relationships/hyperlink" Target="http://www.ajast.net/volume-2-issue-3/" TargetMode="External"/><Relationship Id="rId5" Type="http://schemas.openxmlformats.org/officeDocument/2006/relationships/webSettings" Target="webSettings.xml"/><Relationship Id="rId61" Type="http://schemas.openxmlformats.org/officeDocument/2006/relationships/hyperlink" Target="https://doi.org/10.1038/s41467-021-24590-y" TargetMode="External"/><Relationship Id="rId19" Type="http://schemas.openxmlformats.org/officeDocument/2006/relationships/chart" Target="charts/chart6.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hyperlink" Target="https://doi.org/10.1155/2020/2821678" TargetMode="External"/><Relationship Id="rId48" Type="http://schemas.openxmlformats.org/officeDocument/2006/relationships/hyperlink" Target="https://www.who.int/publications/i/item/9789241548116" TargetMode="External"/><Relationship Id="rId56" Type="http://schemas.openxmlformats.org/officeDocument/2006/relationships/hyperlink" Target="https://doi.org/10.22088/cjim.8.3.135" TargetMode="External"/><Relationship Id="rId64" Type="http://schemas.openxmlformats.org/officeDocument/2006/relationships/hyperlink" Target="https://doi.org/10.1016/j.molstruc.2019.05.055" TargetMode="External"/><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doi.org/10.4103/INJMS.INJMS_30_18"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hyperlink" Target="https://doi.org/10.1007/978-90-481-9625-8" TargetMode="External"/><Relationship Id="rId59" Type="http://schemas.openxmlformats.org/officeDocument/2006/relationships/hyperlink" Target="https://doi.org/10.1016/B978-0-12-816448-8.00008-3" TargetMode="External"/><Relationship Id="rId67" Type="http://schemas.openxmlformats.org/officeDocument/2006/relationships/hyperlink" Target="https://doi.org/10.1007/s12647-019-00338-4" TargetMode="External"/><Relationship Id="rId20" Type="http://schemas.openxmlformats.org/officeDocument/2006/relationships/chart" Target="charts/chart7.xml"/><Relationship Id="rId41" Type="http://schemas.openxmlformats.org/officeDocument/2006/relationships/hyperlink" Target="https://doi.org/10.1007/978-94-007-5179-8_15" TargetMode="External"/><Relationship Id="rId54" Type="http://schemas.openxmlformats.org/officeDocument/2006/relationships/hyperlink" Target="https://doi.org/10.2478/s11696-014-0624-9" TargetMode="External"/><Relationship Id="rId62" Type="http://schemas.openxmlformats.org/officeDocument/2006/relationships/hyperlink" Target="https://doi.org/10.11648/j.ijee.20190404.13"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49" Type="http://schemas.openxmlformats.org/officeDocument/2006/relationships/hyperlink" Target="https://doi.org/10.4161/psb.3.4.5094" TargetMode="External"/><Relationship Id="rId57" Type="http://schemas.openxmlformats.org/officeDocument/2006/relationships/hyperlink" Target="https://doi.org/10.1016/j.jhazmat.2009.12.032" TargetMode="External"/><Relationship Id="rId10" Type="http://schemas.openxmlformats.org/officeDocument/2006/relationships/footer" Target="footer1.xml"/><Relationship Id="rId31" Type="http://schemas.openxmlformats.org/officeDocument/2006/relationships/chart" Target="charts/chart18.xml"/><Relationship Id="rId44" Type="http://schemas.openxmlformats.org/officeDocument/2006/relationships/hyperlink" Target="https://doi.org/10.1016/B978-0-12-407247-3.00003-2" TargetMode="External"/><Relationship Id="rId52" Type="http://schemas.openxmlformats.org/officeDocument/2006/relationships/hyperlink" Target="https://doi.org/10.14202/vetworld.2016.660-671" TargetMode="External"/><Relationship Id="rId60" Type="http://schemas.openxmlformats.org/officeDocument/2006/relationships/hyperlink" Target="https://doi.org/10.1007/978-94-007-5179-8_15" TargetMode="External"/><Relationship Id="rId65" Type="http://schemas.openxmlformats.org/officeDocument/2006/relationships/hyperlink" Target="https://doi.org/10.1177/0263617416686976"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chart" Target="charts/chart5.xml"/><Relationship Id="rId39" Type="http://schemas.openxmlformats.org/officeDocument/2006/relationships/hyperlink" Target="https://doi.org/10.4066/2529-8046.100020" TargetMode="External"/><Relationship Id="rId34" Type="http://schemas.openxmlformats.org/officeDocument/2006/relationships/chart" Target="charts/chart21.xml"/><Relationship Id="rId50" Type="http://schemas.openxmlformats.org/officeDocument/2006/relationships/hyperlink" Target="https://doi.org/10.17226/9782" TargetMode="External"/><Relationship Id="rId55" Type="http://schemas.openxmlformats.org/officeDocument/2006/relationships/hyperlink" Target="https://doi.org/10.1016/B978-0-444-59453-2.00006-8"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Nitrate</a:t>
            </a:r>
          </a:p>
        </c:rich>
      </c:tx>
      <c:overlay val="1"/>
    </c:title>
    <c:autoTitleDeleted val="0"/>
    <c:plotArea>
      <c:layout>
        <c:manualLayout>
          <c:layoutTarget val="inner"/>
          <c:xMode val="edge"/>
          <c:yMode val="edge"/>
          <c:x val="0.18537376079523799"/>
          <c:y val="0.22593755090958459"/>
          <c:w val="0.62741554439363167"/>
          <c:h val="0.44113319168437276"/>
        </c:manualLayout>
      </c:layout>
      <c:barChart>
        <c:barDir val="col"/>
        <c:grouping val="clustered"/>
        <c:varyColors val="0"/>
        <c:ser>
          <c:idx val="0"/>
          <c:order val="0"/>
          <c:tx>
            <c:strRef>
              <c:f>Sheet1!$D$4</c:f>
              <c:strCache>
                <c:ptCount val="1"/>
                <c:pt idx="0">
                  <c:v>0.1g</c:v>
                </c:pt>
              </c:strCache>
            </c:strRef>
          </c:tx>
          <c:invertIfNegative val="0"/>
          <c:cat>
            <c:strRef>
              <c:f>Sheet1!$C$5:$C$11</c:f>
              <c:strCache>
                <c:ptCount val="7"/>
                <c:pt idx="0">
                  <c:v>S1</c:v>
                </c:pt>
                <c:pt idx="1">
                  <c:v>S2</c:v>
                </c:pt>
                <c:pt idx="2">
                  <c:v>S3</c:v>
                </c:pt>
                <c:pt idx="3">
                  <c:v>S4</c:v>
                </c:pt>
                <c:pt idx="4">
                  <c:v>S5</c:v>
                </c:pt>
                <c:pt idx="5">
                  <c:v>S6</c:v>
                </c:pt>
                <c:pt idx="6">
                  <c:v>S7</c:v>
                </c:pt>
              </c:strCache>
            </c:strRef>
          </c:cat>
          <c:val>
            <c:numRef>
              <c:f>Sheet1!$D$5:$D$11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0066-4D78-B820-E65A66A25341}"/>
            </c:ext>
          </c:extLst>
        </c:ser>
        <c:ser>
          <c:idx val="1"/>
          <c:order val="1"/>
          <c:tx>
            <c:strRef>
              <c:f>Sheet1!$E$4</c:f>
              <c:strCache>
                <c:ptCount val="1"/>
                <c:pt idx="0">
                  <c:v>0.075g</c:v>
                </c:pt>
              </c:strCache>
            </c:strRef>
          </c:tx>
          <c:invertIfNegative val="0"/>
          <c:cat>
            <c:strRef>
              <c:f>Sheet1!$C$5:$C$11</c:f>
              <c:strCache>
                <c:ptCount val="7"/>
                <c:pt idx="0">
                  <c:v>S1</c:v>
                </c:pt>
                <c:pt idx="1">
                  <c:v>S2</c:v>
                </c:pt>
                <c:pt idx="2">
                  <c:v>S3</c:v>
                </c:pt>
                <c:pt idx="3">
                  <c:v>S4</c:v>
                </c:pt>
                <c:pt idx="4">
                  <c:v>S5</c:v>
                </c:pt>
                <c:pt idx="5">
                  <c:v>S6</c:v>
                </c:pt>
                <c:pt idx="6">
                  <c:v>S7</c:v>
                </c:pt>
              </c:strCache>
            </c:strRef>
          </c:cat>
          <c:val>
            <c:numRef>
              <c:f>Sheet1!$E$5:$E$11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0066-4D78-B820-E65A66A25341}"/>
            </c:ext>
          </c:extLst>
        </c:ser>
        <c:ser>
          <c:idx val="2"/>
          <c:order val="2"/>
          <c:tx>
            <c:strRef>
              <c:f>Sheet1!$F$4</c:f>
              <c:strCache>
                <c:ptCount val="1"/>
                <c:pt idx="0">
                  <c:v>0.050g</c:v>
                </c:pt>
              </c:strCache>
            </c:strRef>
          </c:tx>
          <c:invertIfNegative val="0"/>
          <c:cat>
            <c:strRef>
              <c:f>Sheet1!$C$5:$C$11</c:f>
              <c:strCache>
                <c:ptCount val="7"/>
                <c:pt idx="0">
                  <c:v>S1</c:v>
                </c:pt>
                <c:pt idx="1">
                  <c:v>S2</c:v>
                </c:pt>
                <c:pt idx="2">
                  <c:v>S3</c:v>
                </c:pt>
                <c:pt idx="3">
                  <c:v>S4</c:v>
                </c:pt>
                <c:pt idx="4">
                  <c:v>S5</c:v>
                </c:pt>
                <c:pt idx="5">
                  <c:v>S6</c:v>
                </c:pt>
                <c:pt idx="6">
                  <c:v>S7</c:v>
                </c:pt>
              </c:strCache>
            </c:strRef>
          </c:cat>
          <c:val>
            <c:numRef>
              <c:f>Sheet1!$F$5:$F$11</c:f>
              <c:numCache>
                <c:formatCode>General</c:formatCode>
                <c:ptCount val="7"/>
                <c:pt idx="0">
                  <c:v>99.94</c:v>
                </c:pt>
                <c:pt idx="1">
                  <c:v>99.94</c:v>
                </c:pt>
                <c:pt idx="2">
                  <c:v>99.93</c:v>
                </c:pt>
                <c:pt idx="3">
                  <c:v>99.95</c:v>
                </c:pt>
                <c:pt idx="4">
                  <c:v>99.94</c:v>
                </c:pt>
                <c:pt idx="5">
                  <c:v>99.94</c:v>
                </c:pt>
                <c:pt idx="6">
                  <c:v>99.95</c:v>
                </c:pt>
              </c:numCache>
            </c:numRef>
          </c:val>
          <c:extLst>
            <c:ext xmlns:c16="http://schemas.microsoft.com/office/drawing/2014/chart" uri="{C3380CC4-5D6E-409C-BE32-E72D297353CC}">
              <c16:uniqueId val="{00000002-0066-4D78-B820-E65A66A25341}"/>
            </c:ext>
          </c:extLst>
        </c:ser>
        <c:ser>
          <c:idx val="3"/>
          <c:order val="3"/>
          <c:tx>
            <c:strRef>
              <c:f>Sheet1!$G$4</c:f>
              <c:strCache>
                <c:ptCount val="1"/>
                <c:pt idx="0">
                  <c:v>0.020g</c:v>
                </c:pt>
              </c:strCache>
            </c:strRef>
          </c:tx>
          <c:invertIfNegative val="0"/>
          <c:cat>
            <c:strRef>
              <c:f>Sheet1!$C$5:$C$11</c:f>
              <c:strCache>
                <c:ptCount val="7"/>
                <c:pt idx="0">
                  <c:v>S1</c:v>
                </c:pt>
                <c:pt idx="1">
                  <c:v>S2</c:v>
                </c:pt>
                <c:pt idx="2">
                  <c:v>S3</c:v>
                </c:pt>
                <c:pt idx="3">
                  <c:v>S4</c:v>
                </c:pt>
                <c:pt idx="4">
                  <c:v>S5</c:v>
                </c:pt>
                <c:pt idx="5">
                  <c:v>S6</c:v>
                </c:pt>
                <c:pt idx="6">
                  <c:v>S7</c:v>
                </c:pt>
              </c:strCache>
            </c:strRef>
          </c:cat>
          <c:val>
            <c:numRef>
              <c:f>Sheet1!$G$5:$G$11</c:f>
              <c:numCache>
                <c:formatCode>General</c:formatCode>
                <c:ptCount val="7"/>
                <c:pt idx="0">
                  <c:v>96.07</c:v>
                </c:pt>
                <c:pt idx="1">
                  <c:v>96.01</c:v>
                </c:pt>
                <c:pt idx="2">
                  <c:v>96.04</c:v>
                </c:pt>
                <c:pt idx="3">
                  <c:v>96.04</c:v>
                </c:pt>
                <c:pt idx="4">
                  <c:v>96.11</c:v>
                </c:pt>
                <c:pt idx="5">
                  <c:v>96.02</c:v>
                </c:pt>
                <c:pt idx="6">
                  <c:v>99.02</c:v>
                </c:pt>
              </c:numCache>
            </c:numRef>
          </c:val>
          <c:extLst>
            <c:ext xmlns:c16="http://schemas.microsoft.com/office/drawing/2014/chart" uri="{C3380CC4-5D6E-409C-BE32-E72D297353CC}">
              <c16:uniqueId val="{00000003-0066-4D78-B820-E65A66A25341}"/>
            </c:ext>
          </c:extLst>
        </c:ser>
        <c:dLbls>
          <c:showLegendKey val="0"/>
          <c:showVal val="0"/>
          <c:showCatName val="0"/>
          <c:showSerName val="0"/>
          <c:showPercent val="0"/>
          <c:showBubbleSize val="0"/>
        </c:dLbls>
        <c:gapWidth val="150"/>
        <c:axId val="262005120"/>
        <c:axId val="262007424"/>
      </c:barChart>
      <c:catAx>
        <c:axId val="262005120"/>
        <c:scaling>
          <c:orientation val="minMax"/>
        </c:scaling>
        <c:delete val="0"/>
        <c:axPos val="b"/>
        <c:title>
          <c:tx>
            <c:rich>
              <a:bodyPr/>
              <a:lstStyle/>
              <a:p>
                <a:pPr>
                  <a:defRPr/>
                </a:pPr>
                <a:r>
                  <a:rPr lang="en-US" sz="1050" b="0">
                    <a:latin typeface="Times New Roman" pitchFamily="18" charset="0"/>
                    <a:cs typeface="Times New Roman" pitchFamily="18" charset="0"/>
                  </a:rPr>
                  <a:t>Adsorbent</a:t>
                </a:r>
                <a:r>
                  <a:rPr lang="en-US" sz="1050" b="1">
                    <a:latin typeface="Times New Roman" pitchFamily="18" charset="0"/>
                    <a:cs typeface="Times New Roman" pitchFamily="18" charset="0"/>
                  </a:rPr>
                  <a:t>s</a:t>
                </a:r>
                <a:endParaRPr lang="en-US" sz="1050">
                  <a:latin typeface="Times New Roman" pitchFamily="18" charset="0"/>
                  <a:cs typeface="Times New Roman" pitchFamily="18" charset="0"/>
                </a:endParaRPr>
              </a:p>
            </c:rich>
          </c:tx>
          <c:overlay val="0"/>
        </c:title>
        <c:numFmt formatCode="General" sourceLinked="0"/>
        <c:majorTickMark val="out"/>
        <c:minorTickMark val="none"/>
        <c:tickLblPos val="nextTo"/>
        <c:crossAx val="262007424"/>
        <c:crosses val="autoZero"/>
        <c:auto val="1"/>
        <c:lblAlgn val="ctr"/>
        <c:lblOffset val="100"/>
        <c:noMultiLvlLbl val="0"/>
      </c:catAx>
      <c:valAx>
        <c:axId val="262007424"/>
        <c:scaling>
          <c:orientation val="minMax"/>
        </c:scaling>
        <c:delete val="0"/>
        <c:axPos val="l"/>
        <c:majorGridlines/>
        <c:title>
          <c:tx>
            <c:rich>
              <a:bodyPr rot="-5400000" vert="horz"/>
              <a:lstStyle/>
              <a:p>
                <a:pPr>
                  <a:defRPr/>
                </a:pPr>
                <a:r>
                  <a:rPr lang="en-US" sz="1050" b="0">
                    <a:latin typeface="Times New Roman" pitchFamily="18" charset="0"/>
                    <a:cs typeface="Times New Roman" pitchFamily="18" charset="0"/>
                  </a:rPr>
                  <a:t>%</a:t>
                </a:r>
                <a:r>
                  <a:rPr lang="en-US" sz="1050" b="0" baseline="0">
                    <a:latin typeface="Times New Roman" pitchFamily="18" charset="0"/>
                    <a:cs typeface="Times New Roman" pitchFamily="18" charset="0"/>
                  </a:rPr>
                  <a:t> </a:t>
                </a: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262005120"/>
        <c:crosses val="autoZero"/>
        <c:crossBetween val="between"/>
      </c:valAx>
    </c:plotArea>
    <c:legend>
      <c:legendPos val="r"/>
      <c:layout>
        <c:manualLayout>
          <c:xMode val="edge"/>
          <c:yMode val="edge"/>
          <c:x val="0.81273339630743735"/>
          <c:y val="0.16744031134039281"/>
          <c:w val="0.18726660369256262"/>
          <c:h val="0.66511865327178932"/>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Cadmium</a:t>
            </a:r>
          </a:p>
        </c:rich>
      </c:tx>
      <c:overlay val="1"/>
    </c:title>
    <c:autoTitleDeleted val="0"/>
    <c:plotArea>
      <c:layout>
        <c:manualLayout>
          <c:layoutTarget val="inner"/>
          <c:xMode val="edge"/>
          <c:yMode val="edge"/>
          <c:x val="0.15875899407024824"/>
          <c:y val="0.18851870078740154"/>
          <c:w val="0.65459940388807336"/>
          <c:h val="0.47705790682414689"/>
        </c:manualLayout>
      </c:layout>
      <c:barChart>
        <c:barDir val="col"/>
        <c:grouping val="clustered"/>
        <c:varyColors val="0"/>
        <c:ser>
          <c:idx val="0"/>
          <c:order val="0"/>
          <c:tx>
            <c:strRef>
              <c:f>Sheet2!$B$51</c:f>
              <c:strCache>
                <c:ptCount val="1"/>
                <c:pt idx="0">
                  <c:v>60min</c:v>
                </c:pt>
              </c:strCache>
            </c:strRef>
          </c:tx>
          <c:invertIfNegative val="0"/>
          <c:cat>
            <c:strRef>
              <c:f>Sheet2!$A$52:$A$58</c:f>
              <c:strCache>
                <c:ptCount val="7"/>
                <c:pt idx="0">
                  <c:v>S1</c:v>
                </c:pt>
                <c:pt idx="1">
                  <c:v>S2</c:v>
                </c:pt>
                <c:pt idx="2">
                  <c:v>S3</c:v>
                </c:pt>
                <c:pt idx="3">
                  <c:v>S4</c:v>
                </c:pt>
                <c:pt idx="4">
                  <c:v>S5</c:v>
                </c:pt>
                <c:pt idx="5">
                  <c:v>S6</c:v>
                </c:pt>
                <c:pt idx="6">
                  <c:v>S7</c:v>
                </c:pt>
              </c:strCache>
            </c:strRef>
          </c:cat>
          <c:val>
            <c:numRef>
              <c:f>Sheet2!$B$52:$B$58</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6C85-4DAC-A472-6218EFD547FF}"/>
            </c:ext>
          </c:extLst>
        </c:ser>
        <c:ser>
          <c:idx val="1"/>
          <c:order val="1"/>
          <c:tx>
            <c:strRef>
              <c:f>Sheet2!$C$51</c:f>
              <c:strCache>
                <c:ptCount val="1"/>
                <c:pt idx="0">
                  <c:v>30min</c:v>
                </c:pt>
              </c:strCache>
            </c:strRef>
          </c:tx>
          <c:invertIfNegative val="0"/>
          <c:cat>
            <c:strRef>
              <c:f>Sheet2!$A$52:$A$58</c:f>
              <c:strCache>
                <c:ptCount val="7"/>
                <c:pt idx="0">
                  <c:v>S1</c:v>
                </c:pt>
                <c:pt idx="1">
                  <c:v>S2</c:v>
                </c:pt>
                <c:pt idx="2">
                  <c:v>S3</c:v>
                </c:pt>
                <c:pt idx="3">
                  <c:v>S4</c:v>
                </c:pt>
                <c:pt idx="4">
                  <c:v>S5</c:v>
                </c:pt>
                <c:pt idx="5">
                  <c:v>S6</c:v>
                </c:pt>
                <c:pt idx="6">
                  <c:v>S7</c:v>
                </c:pt>
              </c:strCache>
            </c:strRef>
          </c:cat>
          <c:val>
            <c:numRef>
              <c:f>Sheet2!$C$52:$C$58</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6C85-4DAC-A472-6218EFD547FF}"/>
            </c:ext>
          </c:extLst>
        </c:ser>
        <c:ser>
          <c:idx val="2"/>
          <c:order val="2"/>
          <c:tx>
            <c:strRef>
              <c:f>Sheet2!$D$51</c:f>
              <c:strCache>
                <c:ptCount val="1"/>
                <c:pt idx="0">
                  <c:v>20min</c:v>
                </c:pt>
              </c:strCache>
            </c:strRef>
          </c:tx>
          <c:invertIfNegative val="0"/>
          <c:cat>
            <c:strRef>
              <c:f>Sheet2!$A$52:$A$58</c:f>
              <c:strCache>
                <c:ptCount val="7"/>
                <c:pt idx="0">
                  <c:v>S1</c:v>
                </c:pt>
                <c:pt idx="1">
                  <c:v>S2</c:v>
                </c:pt>
                <c:pt idx="2">
                  <c:v>S3</c:v>
                </c:pt>
                <c:pt idx="3">
                  <c:v>S4</c:v>
                </c:pt>
                <c:pt idx="4">
                  <c:v>S5</c:v>
                </c:pt>
                <c:pt idx="5">
                  <c:v>S6</c:v>
                </c:pt>
                <c:pt idx="6">
                  <c:v>S7</c:v>
                </c:pt>
              </c:strCache>
            </c:strRef>
          </c:cat>
          <c:val>
            <c:numRef>
              <c:f>Sheet2!$D$52:$D$58</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2-6C85-4DAC-A472-6218EFD547FF}"/>
            </c:ext>
          </c:extLst>
        </c:ser>
        <c:ser>
          <c:idx val="3"/>
          <c:order val="3"/>
          <c:tx>
            <c:strRef>
              <c:f>Sheet2!$E$51</c:f>
              <c:strCache>
                <c:ptCount val="1"/>
                <c:pt idx="0">
                  <c:v>10min</c:v>
                </c:pt>
              </c:strCache>
            </c:strRef>
          </c:tx>
          <c:invertIfNegative val="0"/>
          <c:cat>
            <c:strRef>
              <c:f>Sheet2!$A$52:$A$58</c:f>
              <c:strCache>
                <c:ptCount val="7"/>
                <c:pt idx="0">
                  <c:v>S1</c:v>
                </c:pt>
                <c:pt idx="1">
                  <c:v>S2</c:v>
                </c:pt>
                <c:pt idx="2">
                  <c:v>S3</c:v>
                </c:pt>
                <c:pt idx="3">
                  <c:v>S4</c:v>
                </c:pt>
                <c:pt idx="4">
                  <c:v>S5</c:v>
                </c:pt>
                <c:pt idx="5">
                  <c:v>S6</c:v>
                </c:pt>
                <c:pt idx="6">
                  <c:v>S7</c:v>
                </c:pt>
              </c:strCache>
            </c:strRef>
          </c:cat>
          <c:val>
            <c:numRef>
              <c:f>Sheet2!$E$52:$E$58</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3-6C85-4DAC-A472-6218EFD547FF}"/>
            </c:ext>
          </c:extLst>
        </c:ser>
        <c:ser>
          <c:idx val="4"/>
          <c:order val="4"/>
          <c:tx>
            <c:strRef>
              <c:f>Sheet2!$F$51</c:f>
              <c:strCache>
                <c:ptCount val="1"/>
                <c:pt idx="0">
                  <c:v>1min</c:v>
                </c:pt>
              </c:strCache>
            </c:strRef>
          </c:tx>
          <c:invertIfNegative val="0"/>
          <c:cat>
            <c:strRef>
              <c:f>Sheet2!$A$52:$A$58</c:f>
              <c:strCache>
                <c:ptCount val="7"/>
                <c:pt idx="0">
                  <c:v>S1</c:v>
                </c:pt>
                <c:pt idx="1">
                  <c:v>S2</c:v>
                </c:pt>
                <c:pt idx="2">
                  <c:v>S3</c:v>
                </c:pt>
                <c:pt idx="3">
                  <c:v>S4</c:v>
                </c:pt>
                <c:pt idx="4">
                  <c:v>S5</c:v>
                </c:pt>
                <c:pt idx="5">
                  <c:v>S6</c:v>
                </c:pt>
                <c:pt idx="6">
                  <c:v>S7</c:v>
                </c:pt>
              </c:strCache>
            </c:strRef>
          </c:cat>
          <c:val>
            <c:numRef>
              <c:f>Sheet2!$F$52:$F$58</c:f>
              <c:numCache>
                <c:formatCode>General</c:formatCode>
                <c:ptCount val="7"/>
                <c:pt idx="0">
                  <c:v>20.57</c:v>
                </c:pt>
                <c:pt idx="1">
                  <c:v>20.440000000000001</c:v>
                </c:pt>
                <c:pt idx="2">
                  <c:v>20.98</c:v>
                </c:pt>
                <c:pt idx="3">
                  <c:v>20.76</c:v>
                </c:pt>
                <c:pt idx="4">
                  <c:v>20.6</c:v>
                </c:pt>
                <c:pt idx="5">
                  <c:v>20.57</c:v>
                </c:pt>
                <c:pt idx="6">
                  <c:v>22.89</c:v>
                </c:pt>
              </c:numCache>
            </c:numRef>
          </c:val>
          <c:extLst>
            <c:ext xmlns:c16="http://schemas.microsoft.com/office/drawing/2014/chart" uri="{C3380CC4-5D6E-409C-BE32-E72D297353CC}">
              <c16:uniqueId val="{00000004-6C85-4DAC-A472-6218EFD547FF}"/>
            </c:ext>
          </c:extLst>
        </c:ser>
        <c:dLbls>
          <c:showLegendKey val="0"/>
          <c:showVal val="0"/>
          <c:showCatName val="0"/>
          <c:showSerName val="0"/>
          <c:showPercent val="0"/>
          <c:showBubbleSize val="0"/>
        </c:dLbls>
        <c:gapWidth val="150"/>
        <c:axId val="283316608"/>
        <c:axId val="283318528"/>
      </c:barChart>
      <c:catAx>
        <c:axId val="283316608"/>
        <c:scaling>
          <c:orientation val="minMax"/>
        </c:scaling>
        <c:delete val="0"/>
        <c:axPos val="b"/>
        <c:title>
          <c:tx>
            <c:rich>
              <a:bodyPr/>
              <a:lstStyle/>
              <a:p>
                <a:pPr>
                  <a:defRPr/>
                </a:pPr>
                <a:r>
                  <a:rPr lang="en-US" sz="1100" b="0">
                    <a:latin typeface="Times New Roman" pitchFamily="18" charset="0"/>
                    <a:cs typeface="Times New Roman" pitchFamily="18" charset="0"/>
                  </a:rPr>
                  <a:t>Adsorbents</a:t>
                </a:r>
              </a:p>
            </c:rich>
          </c:tx>
          <c:overlay val="0"/>
        </c:title>
        <c:numFmt formatCode="General" sourceLinked="0"/>
        <c:majorTickMark val="out"/>
        <c:minorTickMark val="none"/>
        <c:tickLblPos val="nextTo"/>
        <c:crossAx val="283318528"/>
        <c:crosses val="autoZero"/>
        <c:auto val="1"/>
        <c:lblAlgn val="ctr"/>
        <c:lblOffset val="100"/>
        <c:noMultiLvlLbl val="0"/>
      </c:catAx>
      <c:valAx>
        <c:axId val="283318528"/>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283316608"/>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Nitrate</a:t>
            </a:r>
          </a:p>
        </c:rich>
      </c:tx>
      <c:overlay val="1"/>
    </c:title>
    <c:autoTitleDeleted val="0"/>
    <c:plotArea>
      <c:layout>
        <c:manualLayout>
          <c:layoutTarget val="inner"/>
          <c:xMode val="edge"/>
          <c:yMode val="edge"/>
          <c:x val="0.17482466331052882"/>
          <c:y val="0.18914869336985052"/>
          <c:w val="0.60828126684623407"/>
          <c:h val="0.49888280269314167"/>
        </c:manualLayout>
      </c:layout>
      <c:barChart>
        <c:barDir val="col"/>
        <c:grouping val="clustered"/>
        <c:varyColors val="0"/>
        <c:ser>
          <c:idx val="0"/>
          <c:order val="0"/>
          <c:tx>
            <c:strRef>
              <c:f>Sheet3!$B$5</c:f>
              <c:strCache>
                <c:ptCount val="1"/>
                <c:pt idx="0">
                  <c:v>100ppm</c:v>
                </c:pt>
              </c:strCache>
            </c:strRef>
          </c:tx>
          <c:invertIfNegative val="0"/>
          <c:cat>
            <c:strRef>
              <c:f>Sheet3!$A$6:$A$12</c:f>
              <c:strCache>
                <c:ptCount val="7"/>
                <c:pt idx="0">
                  <c:v>S1</c:v>
                </c:pt>
                <c:pt idx="1">
                  <c:v>S2</c:v>
                </c:pt>
                <c:pt idx="2">
                  <c:v>S3</c:v>
                </c:pt>
                <c:pt idx="3">
                  <c:v>S4</c:v>
                </c:pt>
                <c:pt idx="4">
                  <c:v>S5</c:v>
                </c:pt>
                <c:pt idx="5">
                  <c:v>S6</c:v>
                </c:pt>
                <c:pt idx="6">
                  <c:v>S7</c:v>
                </c:pt>
              </c:strCache>
            </c:strRef>
          </c:cat>
          <c:val>
            <c:numRef>
              <c:f>Sheet3!$B$6:$B$12</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82B9-457A-8678-8D588FF4CB56}"/>
            </c:ext>
          </c:extLst>
        </c:ser>
        <c:ser>
          <c:idx val="1"/>
          <c:order val="1"/>
          <c:tx>
            <c:strRef>
              <c:f>Sheet3!$C$5</c:f>
              <c:strCache>
                <c:ptCount val="1"/>
                <c:pt idx="0">
                  <c:v>50ppm</c:v>
                </c:pt>
              </c:strCache>
            </c:strRef>
          </c:tx>
          <c:invertIfNegative val="0"/>
          <c:cat>
            <c:strRef>
              <c:f>Sheet3!$A$6:$A$12</c:f>
              <c:strCache>
                <c:ptCount val="7"/>
                <c:pt idx="0">
                  <c:v>S1</c:v>
                </c:pt>
                <c:pt idx="1">
                  <c:v>S2</c:v>
                </c:pt>
                <c:pt idx="2">
                  <c:v>S3</c:v>
                </c:pt>
                <c:pt idx="3">
                  <c:v>S4</c:v>
                </c:pt>
                <c:pt idx="4">
                  <c:v>S5</c:v>
                </c:pt>
                <c:pt idx="5">
                  <c:v>S6</c:v>
                </c:pt>
                <c:pt idx="6">
                  <c:v>S7</c:v>
                </c:pt>
              </c:strCache>
            </c:strRef>
          </c:cat>
          <c:val>
            <c:numRef>
              <c:f>Sheet3!$C$6:$C$12</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82B9-457A-8678-8D588FF4CB56}"/>
            </c:ext>
          </c:extLst>
        </c:ser>
        <c:ser>
          <c:idx val="2"/>
          <c:order val="2"/>
          <c:tx>
            <c:strRef>
              <c:f>Sheet3!$D$5</c:f>
              <c:strCache>
                <c:ptCount val="1"/>
                <c:pt idx="0">
                  <c:v>20ppm</c:v>
                </c:pt>
              </c:strCache>
            </c:strRef>
          </c:tx>
          <c:invertIfNegative val="0"/>
          <c:cat>
            <c:strRef>
              <c:f>Sheet3!$A$6:$A$12</c:f>
              <c:strCache>
                <c:ptCount val="7"/>
                <c:pt idx="0">
                  <c:v>S1</c:v>
                </c:pt>
                <c:pt idx="1">
                  <c:v>S2</c:v>
                </c:pt>
                <c:pt idx="2">
                  <c:v>S3</c:v>
                </c:pt>
                <c:pt idx="3">
                  <c:v>S4</c:v>
                </c:pt>
                <c:pt idx="4">
                  <c:v>S5</c:v>
                </c:pt>
                <c:pt idx="5">
                  <c:v>S6</c:v>
                </c:pt>
                <c:pt idx="6">
                  <c:v>S7</c:v>
                </c:pt>
              </c:strCache>
            </c:strRef>
          </c:cat>
          <c:val>
            <c:numRef>
              <c:f>Sheet3!$D$6:$D$12</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2-82B9-457A-8678-8D588FF4CB56}"/>
            </c:ext>
          </c:extLst>
        </c:ser>
        <c:ser>
          <c:idx val="3"/>
          <c:order val="3"/>
          <c:tx>
            <c:strRef>
              <c:f>Sheet3!$E$5</c:f>
              <c:strCache>
                <c:ptCount val="1"/>
                <c:pt idx="0">
                  <c:v>10ppm</c:v>
                </c:pt>
              </c:strCache>
            </c:strRef>
          </c:tx>
          <c:invertIfNegative val="0"/>
          <c:cat>
            <c:strRef>
              <c:f>Sheet3!$A$6:$A$12</c:f>
              <c:strCache>
                <c:ptCount val="7"/>
                <c:pt idx="0">
                  <c:v>S1</c:v>
                </c:pt>
                <c:pt idx="1">
                  <c:v>S2</c:v>
                </c:pt>
                <c:pt idx="2">
                  <c:v>S3</c:v>
                </c:pt>
                <c:pt idx="3">
                  <c:v>S4</c:v>
                </c:pt>
                <c:pt idx="4">
                  <c:v>S5</c:v>
                </c:pt>
                <c:pt idx="5">
                  <c:v>S6</c:v>
                </c:pt>
                <c:pt idx="6">
                  <c:v>S7</c:v>
                </c:pt>
              </c:strCache>
            </c:strRef>
          </c:cat>
          <c:val>
            <c:numRef>
              <c:f>Sheet3!$E$6:$E$12</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3-82B9-457A-8678-8D588FF4CB56}"/>
            </c:ext>
          </c:extLst>
        </c:ser>
        <c:dLbls>
          <c:showLegendKey val="0"/>
          <c:showVal val="0"/>
          <c:showCatName val="0"/>
          <c:showSerName val="0"/>
          <c:showPercent val="0"/>
          <c:showBubbleSize val="0"/>
        </c:dLbls>
        <c:gapWidth val="150"/>
        <c:axId val="278928000"/>
        <c:axId val="283427584"/>
      </c:barChart>
      <c:catAx>
        <c:axId val="278928000"/>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overlay val="0"/>
        </c:title>
        <c:numFmt formatCode="General" sourceLinked="0"/>
        <c:majorTickMark val="out"/>
        <c:minorTickMark val="none"/>
        <c:tickLblPos val="nextTo"/>
        <c:crossAx val="283427584"/>
        <c:crosses val="autoZero"/>
        <c:auto val="1"/>
        <c:lblAlgn val="ctr"/>
        <c:lblOffset val="100"/>
        <c:noMultiLvlLbl val="0"/>
      </c:catAx>
      <c:valAx>
        <c:axId val="283427584"/>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278928000"/>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Phosphate</a:t>
            </a:r>
          </a:p>
        </c:rich>
      </c:tx>
      <c:layout>
        <c:manualLayout>
          <c:xMode val="edge"/>
          <c:yMode val="edge"/>
          <c:x val="0.38146201520816059"/>
          <c:y val="3.6866359447004608E-2"/>
        </c:manualLayout>
      </c:layout>
      <c:overlay val="1"/>
    </c:title>
    <c:autoTitleDeleted val="0"/>
    <c:plotArea>
      <c:layout>
        <c:manualLayout>
          <c:layoutTarget val="inner"/>
          <c:xMode val="edge"/>
          <c:yMode val="edge"/>
          <c:x val="0.18059989274144456"/>
          <c:y val="0.16038414553019581"/>
          <c:w val="0.6044691883376121"/>
          <c:h val="0.55665638569372378"/>
        </c:manualLayout>
      </c:layout>
      <c:barChart>
        <c:barDir val="col"/>
        <c:grouping val="clustered"/>
        <c:varyColors val="0"/>
        <c:ser>
          <c:idx val="0"/>
          <c:order val="0"/>
          <c:tx>
            <c:strRef>
              <c:f>Sheet3!$B$15</c:f>
              <c:strCache>
                <c:ptCount val="1"/>
                <c:pt idx="0">
                  <c:v>100ppm</c:v>
                </c:pt>
              </c:strCache>
            </c:strRef>
          </c:tx>
          <c:invertIfNegative val="0"/>
          <c:cat>
            <c:strRef>
              <c:f>Sheet3!$A$16:$A$22</c:f>
              <c:strCache>
                <c:ptCount val="7"/>
                <c:pt idx="0">
                  <c:v>S1</c:v>
                </c:pt>
                <c:pt idx="1">
                  <c:v>S2</c:v>
                </c:pt>
                <c:pt idx="2">
                  <c:v>S3</c:v>
                </c:pt>
                <c:pt idx="3">
                  <c:v>S4</c:v>
                </c:pt>
                <c:pt idx="4">
                  <c:v>S5</c:v>
                </c:pt>
                <c:pt idx="5">
                  <c:v>S6</c:v>
                </c:pt>
                <c:pt idx="6">
                  <c:v>S7</c:v>
                </c:pt>
              </c:strCache>
            </c:strRef>
          </c:cat>
          <c:val>
            <c:numRef>
              <c:f>Sheet3!$B$16:$B$22</c:f>
              <c:numCache>
                <c:formatCode>General</c:formatCode>
                <c:ptCount val="7"/>
                <c:pt idx="0">
                  <c:v>100</c:v>
                </c:pt>
                <c:pt idx="1">
                  <c:v>100</c:v>
                </c:pt>
                <c:pt idx="2">
                  <c:v>100</c:v>
                </c:pt>
                <c:pt idx="3">
                  <c:v>100</c:v>
                </c:pt>
                <c:pt idx="4">
                  <c:v>100</c:v>
                </c:pt>
                <c:pt idx="5">
                  <c:v>100</c:v>
                </c:pt>
                <c:pt idx="6">
                  <c:v>0.2</c:v>
                </c:pt>
              </c:numCache>
            </c:numRef>
          </c:val>
          <c:extLst>
            <c:ext xmlns:c16="http://schemas.microsoft.com/office/drawing/2014/chart" uri="{C3380CC4-5D6E-409C-BE32-E72D297353CC}">
              <c16:uniqueId val="{00000000-B41F-477B-A7CE-9CFAF543C8DB}"/>
            </c:ext>
          </c:extLst>
        </c:ser>
        <c:ser>
          <c:idx val="1"/>
          <c:order val="1"/>
          <c:tx>
            <c:strRef>
              <c:f>Sheet3!$C$15</c:f>
              <c:strCache>
                <c:ptCount val="1"/>
                <c:pt idx="0">
                  <c:v>50ppm</c:v>
                </c:pt>
              </c:strCache>
            </c:strRef>
          </c:tx>
          <c:invertIfNegative val="0"/>
          <c:cat>
            <c:strRef>
              <c:f>Sheet3!$A$16:$A$22</c:f>
              <c:strCache>
                <c:ptCount val="7"/>
                <c:pt idx="0">
                  <c:v>S1</c:v>
                </c:pt>
                <c:pt idx="1">
                  <c:v>S2</c:v>
                </c:pt>
                <c:pt idx="2">
                  <c:v>S3</c:v>
                </c:pt>
                <c:pt idx="3">
                  <c:v>S4</c:v>
                </c:pt>
                <c:pt idx="4">
                  <c:v>S5</c:v>
                </c:pt>
                <c:pt idx="5">
                  <c:v>S6</c:v>
                </c:pt>
                <c:pt idx="6">
                  <c:v>S7</c:v>
                </c:pt>
              </c:strCache>
            </c:strRef>
          </c:cat>
          <c:val>
            <c:numRef>
              <c:f>Sheet3!$C$16:$C$22</c:f>
              <c:numCache>
                <c:formatCode>General</c:formatCode>
                <c:ptCount val="7"/>
                <c:pt idx="0">
                  <c:v>100</c:v>
                </c:pt>
                <c:pt idx="1">
                  <c:v>100</c:v>
                </c:pt>
                <c:pt idx="2">
                  <c:v>100</c:v>
                </c:pt>
                <c:pt idx="3">
                  <c:v>100</c:v>
                </c:pt>
                <c:pt idx="4">
                  <c:v>100</c:v>
                </c:pt>
                <c:pt idx="5">
                  <c:v>100</c:v>
                </c:pt>
                <c:pt idx="6">
                  <c:v>0.1</c:v>
                </c:pt>
              </c:numCache>
            </c:numRef>
          </c:val>
          <c:extLst>
            <c:ext xmlns:c16="http://schemas.microsoft.com/office/drawing/2014/chart" uri="{C3380CC4-5D6E-409C-BE32-E72D297353CC}">
              <c16:uniqueId val="{00000001-B41F-477B-A7CE-9CFAF543C8DB}"/>
            </c:ext>
          </c:extLst>
        </c:ser>
        <c:ser>
          <c:idx val="2"/>
          <c:order val="2"/>
          <c:tx>
            <c:strRef>
              <c:f>Sheet3!$D$15</c:f>
              <c:strCache>
                <c:ptCount val="1"/>
                <c:pt idx="0">
                  <c:v>20ppm</c:v>
                </c:pt>
              </c:strCache>
            </c:strRef>
          </c:tx>
          <c:invertIfNegative val="0"/>
          <c:cat>
            <c:strRef>
              <c:f>Sheet3!$A$16:$A$22</c:f>
              <c:strCache>
                <c:ptCount val="7"/>
                <c:pt idx="0">
                  <c:v>S1</c:v>
                </c:pt>
                <c:pt idx="1">
                  <c:v>S2</c:v>
                </c:pt>
                <c:pt idx="2">
                  <c:v>S3</c:v>
                </c:pt>
                <c:pt idx="3">
                  <c:v>S4</c:v>
                </c:pt>
                <c:pt idx="4">
                  <c:v>S5</c:v>
                </c:pt>
                <c:pt idx="5">
                  <c:v>S6</c:v>
                </c:pt>
                <c:pt idx="6">
                  <c:v>S7</c:v>
                </c:pt>
              </c:strCache>
            </c:strRef>
          </c:cat>
          <c:val>
            <c:numRef>
              <c:f>Sheet3!$D$16:$D$22</c:f>
              <c:numCache>
                <c:formatCode>General</c:formatCode>
                <c:ptCount val="7"/>
                <c:pt idx="0">
                  <c:v>100</c:v>
                </c:pt>
                <c:pt idx="1">
                  <c:v>100</c:v>
                </c:pt>
                <c:pt idx="2">
                  <c:v>100</c:v>
                </c:pt>
                <c:pt idx="3">
                  <c:v>100</c:v>
                </c:pt>
                <c:pt idx="4">
                  <c:v>100</c:v>
                </c:pt>
                <c:pt idx="5">
                  <c:v>100</c:v>
                </c:pt>
                <c:pt idx="6">
                  <c:v>1.3</c:v>
                </c:pt>
              </c:numCache>
            </c:numRef>
          </c:val>
          <c:extLst>
            <c:ext xmlns:c16="http://schemas.microsoft.com/office/drawing/2014/chart" uri="{C3380CC4-5D6E-409C-BE32-E72D297353CC}">
              <c16:uniqueId val="{00000002-B41F-477B-A7CE-9CFAF543C8DB}"/>
            </c:ext>
          </c:extLst>
        </c:ser>
        <c:ser>
          <c:idx val="3"/>
          <c:order val="3"/>
          <c:tx>
            <c:strRef>
              <c:f>Sheet3!$E$15</c:f>
              <c:strCache>
                <c:ptCount val="1"/>
                <c:pt idx="0">
                  <c:v>10ppm</c:v>
                </c:pt>
              </c:strCache>
            </c:strRef>
          </c:tx>
          <c:invertIfNegative val="0"/>
          <c:cat>
            <c:strRef>
              <c:f>Sheet3!$A$16:$A$22</c:f>
              <c:strCache>
                <c:ptCount val="7"/>
                <c:pt idx="0">
                  <c:v>S1</c:v>
                </c:pt>
                <c:pt idx="1">
                  <c:v>S2</c:v>
                </c:pt>
                <c:pt idx="2">
                  <c:v>S3</c:v>
                </c:pt>
                <c:pt idx="3">
                  <c:v>S4</c:v>
                </c:pt>
                <c:pt idx="4">
                  <c:v>S5</c:v>
                </c:pt>
                <c:pt idx="5">
                  <c:v>S6</c:v>
                </c:pt>
                <c:pt idx="6">
                  <c:v>S7</c:v>
                </c:pt>
              </c:strCache>
            </c:strRef>
          </c:cat>
          <c:val>
            <c:numRef>
              <c:f>Sheet3!$E$16:$E$22</c:f>
              <c:numCache>
                <c:formatCode>General</c:formatCode>
                <c:ptCount val="7"/>
                <c:pt idx="0">
                  <c:v>100</c:v>
                </c:pt>
                <c:pt idx="1">
                  <c:v>100</c:v>
                </c:pt>
                <c:pt idx="2">
                  <c:v>100</c:v>
                </c:pt>
                <c:pt idx="3">
                  <c:v>100</c:v>
                </c:pt>
                <c:pt idx="4">
                  <c:v>100</c:v>
                </c:pt>
                <c:pt idx="5">
                  <c:v>100</c:v>
                </c:pt>
                <c:pt idx="6">
                  <c:v>8</c:v>
                </c:pt>
              </c:numCache>
            </c:numRef>
          </c:val>
          <c:extLst>
            <c:ext xmlns:c16="http://schemas.microsoft.com/office/drawing/2014/chart" uri="{C3380CC4-5D6E-409C-BE32-E72D297353CC}">
              <c16:uniqueId val="{00000003-B41F-477B-A7CE-9CFAF543C8DB}"/>
            </c:ext>
          </c:extLst>
        </c:ser>
        <c:dLbls>
          <c:showLegendKey val="0"/>
          <c:showVal val="0"/>
          <c:showCatName val="0"/>
          <c:showSerName val="0"/>
          <c:showPercent val="0"/>
          <c:showBubbleSize val="0"/>
        </c:dLbls>
        <c:gapWidth val="150"/>
        <c:axId val="285025792"/>
        <c:axId val="285027712"/>
      </c:barChart>
      <c:catAx>
        <c:axId val="285025792"/>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overlay val="0"/>
        </c:title>
        <c:numFmt formatCode="General" sourceLinked="0"/>
        <c:majorTickMark val="out"/>
        <c:minorTickMark val="none"/>
        <c:tickLblPos val="nextTo"/>
        <c:crossAx val="285027712"/>
        <c:crosses val="autoZero"/>
        <c:auto val="1"/>
        <c:lblAlgn val="ctr"/>
        <c:lblOffset val="100"/>
        <c:noMultiLvlLbl val="0"/>
      </c:catAx>
      <c:valAx>
        <c:axId val="285027712"/>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layout>
            <c:manualLayout>
              <c:xMode val="edge"/>
              <c:yMode val="edge"/>
              <c:x val="3.0656174252873938E-2"/>
              <c:y val="0.31118545665662761"/>
            </c:manualLayout>
          </c:layout>
          <c:overlay val="0"/>
        </c:title>
        <c:numFmt formatCode="General" sourceLinked="1"/>
        <c:majorTickMark val="out"/>
        <c:minorTickMark val="none"/>
        <c:tickLblPos val="nextTo"/>
        <c:crossAx val="285025792"/>
        <c:crosses val="autoZero"/>
        <c:crossBetween val="between"/>
      </c:valAx>
    </c:plotArea>
    <c:legend>
      <c:legendPos val="r"/>
      <c:layout>
        <c:manualLayout>
          <c:xMode val="edge"/>
          <c:yMode val="edge"/>
          <c:x val="0.80625893885249311"/>
          <c:y val="2.4288500601924289E-2"/>
          <c:w val="0.19374106114750692"/>
          <c:h val="0.96129953432523818"/>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Lead</a:t>
            </a:r>
          </a:p>
        </c:rich>
      </c:tx>
      <c:overlay val="1"/>
    </c:title>
    <c:autoTitleDeleted val="0"/>
    <c:plotArea>
      <c:layout>
        <c:manualLayout>
          <c:layoutTarget val="inner"/>
          <c:xMode val="edge"/>
          <c:yMode val="edge"/>
          <c:x val="0.15571675190085776"/>
          <c:y val="0.10695610965296004"/>
          <c:w val="0.6410048743907012"/>
          <c:h val="0.50897508996428742"/>
        </c:manualLayout>
      </c:layout>
      <c:barChart>
        <c:barDir val="col"/>
        <c:grouping val="clustered"/>
        <c:varyColors val="0"/>
        <c:ser>
          <c:idx val="0"/>
          <c:order val="0"/>
          <c:tx>
            <c:strRef>
              <c:f>Sheet3!$B$25</c:f>
              <c:strCache>
                <c:ptCount val="1"/>
                <c:pt idx="0">
                  <c:v>100ppm</c:v>
                </c:pt>
              </c:strCache>
            </c:strRef>
          </c:tx>
          <c:invertIfNegative val="0"/>
          <c:cat>
            <c:strRef>
              <c:f>Sheet3!$A$26:$A$32</c:f>
              <c:strCache>
                <c:ptCount val="7"/>
                <c:pt idx="0">
                  <c:v>S1</c:v>
                </c:pt>
                <c:pt idx="1">
                  <c:v>S2</c:v>
                </c:pt>
                <c:pt idx="2">
                  <c:v>S3</c:v>
                </c:pt>
                <c:pt idx="3">
                  <c:v>S4</c:v>
                </c:pt>
                <c:pt idx="4">
                  <c:v>S5</c:v>
                </c:pt>
                <c:pt idx="5">
                  <c:v>S6</c:v>
                </c:pt>
                <c:pt idx="6">
                  <c:v>S7</c:v>
                </c:pt>
              </c:strCache>
            </c:strRef>
          </c:cat>
          <c:val>
            <c:numRef>
              <c:f>Sheet3!$B$26:$B$32</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3F99-4959-A7A7-C0DE3BDAC232}"/>
            </c:ext>
          </c:extLst>
        </c:ser>
        <c:ser>
          <c:idx val="1"/>
          <c:order val="1"/>
          <c:tx>
            <c:strRef>
              <c:f>Sheet3!$C$25</c:f>
              <c:strCache>
                <c:ptCount val="1"/>
                <c:pt idx="0">
                  <c:v>50ppm</c:v>
                </c:pt>
              </c:strCache>
            </c:strRef>
          </c:tx>
          <c:invertIfNegative val="0"/>
          <c:cat>
            <c:strRef>
              <c:f>Sheet3!$A$26:$A$32</c:f>
              <c:strCache>
                <c:ptCount val="7"/>
                <c:pt idx="0">
                  <c:v>S1</c:v>
                </c:pt>
                <c:pt idx="1">
                  <c:v>S2</c:v>
                </c:pt>
                <c:pt idx="2">
                  <c:v>S3</c:v>
                </c:pt>
                <c:pt idx="3">
                  <c:v>S4</c:v>
                </c:pt>
                <c:pt idx="4">
                  <c:v>S5</c:v>
                </c:pt>
                <c:pt idx="5">
                  <c:v>S6</c:v>
                </c:pt>
                <c:pt idx="6">
                  <c:v>S7</c:v>
                </c:pt>
              </c:strCache>
            </c:strRef>
          </c:cat>
          <c:val>
            <c:numRef>
              <c:f>Sheet3!$C$26:$C$32</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3F99-4959-A7A7-C0DE3BDAC232}"/>
            </c:ext>
          </c:extLst>
        </c:ser>
        <c:ser>
          <c:idx val="2"/>
          <c:order val="2"/>
          <c:tx>
            <c:strRef>
              <c:f>Sheet3!$D$25</c:f>
              <c:strCache>
                <c:ptCount val="1"/>
                <c:pt idx="0">
                  <c:v>20ppm</c:v>
                </c:pt>
              </c:strCache>
            </c:strRef>
          </c:tx>
          <c:invertIfNegative val="0"/>
          <c:cat>
            <c:strRef>
              <c:f>Sheet3!$A$26:$A$32</c:f>
              <c:strCache>
                <c:ptCount val="7"/>
                <c:pt idx="0">
                  <c:v>S1</c:v>
                </c:pt>
                <c:pt idx="1">
                  <c:v>S2</c:v>
                </c:pt>
                <c:pt idx="2">
                  <c:v>S3</c:v>
                </c:pt>
                <c:pt idx="3">
                  <c:v>S4</c:v>
                </c:pt>
                <c:pt idx="4">
                  <c:v>S5</c:v>
                </c:pt>
                <c:pt idx="5">
                  <c:v>S6</c:v>
                </c:pt>
                <c:pt idx="6">
                  <c:v>S7</c:v>
                </c:pt>
              </c:strCache>
            </c:strRef>
          </c:cat>
          <c:val>
            <c:numRef>
              <c:f>Sheet3!$D$26:$D$32</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2-3F99-4959-A7A7-C0DE3BDAC232}"/>
            </c:ext>
          </c:extLst>
        </c:ser>
        <c:ser>
          <c:idx val="3"/>
          <c:order val="3"/>
          <c:tx>
            <c:strRef>
              <c:f>Sheet3!$E$25</c:f>
              <c:strCache>
                <c:ptCount val="1"/>
                <c:pt idx="0">
                  <c:v>10ppm</c:v>
                </c:pt>
              </c:strCache>
            </c:strRef>
          </c:tx>
          <c:invertIfNegative val="0"/>
          <c:cat>
            <c:strRef>
              <c:f>Sheet3!$A$26:$A$32</c:f>
              <c:strCache>
                <c:ptCount val="7"/>
                <c:pt idx="0">
                  <c:v>S1</c:v>
                </c:pt>
                <c:pt idx="1">
                  <c:v>S2</c:v>
                </c:pt>
                <c:pt idx="2">
                  <c:v>S3</c:v>
                </c:pt>
                <c:pt idx="3">
                  <c:v>S4</c:v>
                </c:pt>
                <c:pt idx="4">
                  <c:v>S5</c:v>
                </c:pt>
                <c:pt idx="5">
                  <c:v>S6</c:v>
                </c:pt>
                <c:pt idx="6">
                  <c:v>S7</c:v>
                </c:pt>
              </c:strCache>
            </c:strRef>
          </c:cat>
          <c:val>
            <c:numRef>
              <c:f>Sheet3!$E$26:$E$32</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3-3F99-4959-A7A7-C0DE3BDAC232}"/>
            </c:ext>
          </c:extLst>
        </c:ser>
        <c:dLbls>
          <c:showLegendKey val="0"/>
          <c:showVal val="0"/>
          <c:showCatName val="0"/>
          <c:showSerName val="0"/>
          <c:showPercent val="0"/>
          <c:showBubbleSize val="0"/>
        </c:dLbls>
        <c:gapWidth val="150"/>
        <c:axId val="297046016"/>
        <c:axId val="297047936"/>
      </c:barChart>
      <c:catAx>
        <c:axId val="297046016"/>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overlay val="0"/>
        </c:title>
        <c:numFmt formatCode="General" sourceLinked="0"/>
        <c:majorTickMark val="out"/>
        <c:minorTickMark val="none"/>
        <c:tickLblPos val="nextTo"/>
        <c:crossAx val="297047936"/>
        <c:crosses val="autoZero"/>
        <c:auto val="1"/>
        <c:lblAlgn val="ctr"/>
        <c:lblOffset val="100"/>
        <c:noMultiLvlLbl val="0"/>
      </c:catAx>
      <c:valAx>
        <c:axId val="297047936"/>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297046016"/>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Copper</a:t>
            </a:r>
          </a:p>
        </c:rich>
      </c:tx>
      <c:overlay val="1"/>
    </c:title>
    <c:autoTitleDeleted val="0"/>
    <c:plotArea>
      <c:layout>
        <c:manualLayout>
          <c:layoutTarget val="inner"/>
          <c:xMode val="edge"/>
          <c:yMode val="edge"/>
          <c:x val="0.19310056773355197"/>
          <c:y val="0.19719463638473761"/>
          <c:w val="0.58809925281933073"/>
          <c:h val="0.45408028914418486"/>
        </c:manualLayout>
      </c:layout>
      <c:barChart>
        <c:barDir val="col"/>
        <c:grouping val="clustered"/>
        <c:varyColors val="0"/>
        <c:ser>
          <c:idx val="0"/>
          <c:order val="0"/>
          <c:tx>
            <c:strRef>
              <c:f>Sheet3!$B$35</c:f>
              <c:strCache>
                <c:ptCount val="1"/>
                <c:pt idx="0">
                  <c:v>100ppm</c:v>
                </c:pt>
              </c:strCache>
            </c:strRef>
          </c:tx>
          <c:invertIfNegative val="0"/>
          <c:cat>
            <c:strRef>
              <c:f>Sheet3!$A$36:$A$42</c:f>
              <c:strCache>
                <c:ptCount val="7"/>
                <c:pt idx="0">
                  <c:v>S1</c:v>
                </c:pt>
                <c:pt idx="1">
                  <c:v>S2</c:v>
                </c:pt>
                <c:pt idx="2">
                  <c:v>S3</c:v>
                </c:pt>
                <c:pt idx="3">
                  <c:v>S4</c:v>
                </c:pt>
                <c:pt idx="4">
                  <c:v>S5</c:v>
                </c:pt>
                <c:pt idx="5">
                  <c:v>S6</c:v>
                </c:pt>
                <c:pt idx="6">
                  <c:v>S7</c:v>
                </c:pt>
              </c:strCache>
            </c:strRef>
          </c:cat>
          <c:val>
            <c:numRef>
              <c:f>Sheet3!$B$36:$B$42</c:f>
              <c:numCache>
                <c:formatCode>General</c:formatCode>
                <c:ptCount val="7"/>
                <c:pt idx="0">
                  <c:v>97.65</c:v>
                </c:pt>
                <c:pt idx="1">
                  <c:v>97.08</c:v>
                </c:pt>
                <c:pt idx="2">
                  <c:v>97.19</c:v>
                </c:pt>
                <c:pt idx="3">
                  <c:v>97.76</c:v>
                </c:pt>
                <c:pt idx="4">
                  <c:v>97.48</c:v>
                </c:pt>
                <c:pt idx="5">
                  <c:v>97.19</c:v>
                </c:pt>
                <c:pt idx="6">
                  <c:v>97.55</c:v>
                </c:pt>
              </c:numCache>
            </c:numRef>
          </c:val>
          <c:extLst>
            <c:ext xmlns:c16="http://schemas.microsoft.com/office/drawing/2014/chart" uri="{C3380CC4-5D6E-409C-BE32-E72D297353CC}">
              <c16:uniqueId val="{00000000-5108-4232-839E-19B3E9A5089F}"/>
            </c:ext>
          </c:extLst>
        </c:ser>
        <c:ser>
          <c:idx val="1"/>
          <c:order val="1"/>
          <c:tx>
            <c:strRef>
              <c:f>Sheet3!$C$35</c:f>
              <c:strCache>
                <c:ptCount val="1"/>
                <c:pt idx="0">
                  <c:v>50ppm</c:v>
                </c:pt>
              </c:strCache>
            </c:strRef>
          </c:tx>
          <c:invertIfNegative val="0"/>
          <c:cat>
            <c:strRef>
              <c:f>Sheet3!$A$36:$A$42</c:f>
              <c:strCache>
                <c:ptCount val="7"/>
                <c:pt idx="0">
                  <c:v>S1</c:v>
                </c:pt>
                <c:pt idx="1">
                  <c:v>S2</c:v>
                </c:pt>
                <c:pt idx="2">
                  <c:v>S3</c:v>
                </c:pt>
                <c:pt idx="3">
                  <c:v>S4</c:v>
                </c:pt>
                <c:pt idx="4">
                  <c:v>S5</c:v>
                </c:pt>
                <c:pt idx="5">
                  <c:v>S6</c:v>
                </c:pt>
                <c:pt idx="6">
                  <c:v>S7</c:v>
                </c:pt>
              </c:strCache>
            </c:strRef>
          </c:cat>
          <c:val>
            <c:numRef>
              <c:f>Sheet3!$C$36:$C$42</c:f>
              <c:numCache>
                <c:formatCode>General</c:formatCode>
                <c:ptCount val="7"/>
                <c:pt idx="0">
                  <c:v>98.88</c:v>
                </c:pt>
                <c:pt idx="1">
                  <c:v>98.81</c:v>
                </c:pt>
                <c:pt idx="2">
                  <c:v>98.95</c:v>
                </c:pt>
                <c:pt idx="3">
                  <c:v>98.82</c:v>
                </c:pt>
                <c:pt idx="4">
                  <c:v>98.8</c:v>
                </c:pt>
                <c:pt idx="5">
                  <c:v>98.98</c:v>
                </c:pt>
                <c:pt idx="6">
                  <c:v>98.92</c:v>
                </c:pt>
              </c:numCache>
            </c:numRef>
          </c:val>
          <c:extLst>
            <c:ext xmlns:c16="http://schemas.microsoft.com/office/drawing/2014/chart" uri="{C3380CC4-5D6E-409C-BE32-E72D297353CC}">
              <c16:uniqueId val="{00000001-5108-4232-839E-19B3E9A5089F}"/>
            </c:ext>
          </c:extLst>
        </c:ser>
        <c:ser>
          <c:idx val="2"/>
          <c:order val="2"/>
          <c:tx>
            <c:strRef>
              <c:f>Sheet3!$D$35</c:f>
              <c:strCache>
                <c:ptCount val="1"/>
                <c:pt idx="0">
                  <c:v>20ppm</c:v>
                </c:pt>
              </c:strCache>
            </c:strRef>
          </c:tx>
          <c:invertIfNegative val="0"/>
          <c:cat>
            <c:strRef>
              <c:f>Sheet3!$A$36:$A$42</c:f>
              <c:strCache>
                <c:ptCount val="7"/>
                <c:pt idx="0">
                  <c:v>S1</c:v>
                </c:pt>
                <c:pt idx="1">
                  <c:v>S2</c:v>
                </c:pt>
                <c:pt idx="2">
                  <c:v>S3</c:v>
                </c:pt>
                <c:pt idx="3">
                  <c:v>S4</c:v>
                </c:pt>
                <c:pt idx="4">
                  <c:v>S5</c:v>
                </c:pt>
                <c:pt idx="5">
                  <c:v>S6</c:v>
                </c:pt>
                <c:pt idx="6">
                  <c:v>S7</c:v>
                </c:pt>
              </c:strCache>
            </c:strRef>
          </c:cat>
          <c:val>
            <c:numRef>
              <c:f>Sheet3!$D$36:$D$42</c:f>
              <c:numCache>
                <c:formatCode>General</c:formatCode>
                <c:ptCount val="7"/>
                <c:pt idx="0">
                  <c:v>99.39</c:v>
                </c:pt>
                <c:pt idx="1">
                  <c:v>99.12</c:v>
                </c:pt>
                <c:pt idx="2">
                  <c:v>99.21</c:v>
                </c:pt>
                <c:pt idx="3">
                  <c:v>99.32</c:v>
                </c:pt>
                <c:pt idx="4">
                  <c:v>99.25</c:v>
                </c:pt>
                <c:pt idx="5">
                  <c:v>99.3</c:v>
                </c:pt>
                <c:pt idx="6">
                  <c:v>99.28</c:v>
                </c:pt>
              </c:numCache>
            </c:numRef>
          </c:val>
          <c:extLst>
            <c:ext xmlns:c16="http://schemas.microsoft.com/office/drawing/2014/chart" uri="{C3380CC4-5D6E-409C-BE32-E72D297353CC}">
              <c16:uniqueId val="{00000002-5108-4232-839E-19B3E9A5089F}"/>
            </c:ext>
          </c:extLst>
        </c:ser>
        <c:ser>
          <c:idx val="3"/>
          <c:order val="3"/>
          <c:tx>
            <c:strRef>
              <c:f>Sheet3!$E$35</c:f>
              <c:strCache>
                <c:ptCount val="1"/>
                <c:pt idx="0">
                  <c:v>10ppm</c:v>
                </c:pt>
              </c:strCache>
            </c:strRef>
          </c:tx>
          <c:invertIfNegative val="0"/>
          <c:cat>
            <c:strRef>
              <c:f>Sheet3!$A$36:$A$42</c:f>
              <c:strCache>
                <c:ptCount val="7"/>
                <c:pt idx="0">
                  <c:v>S1</c:v>
                </c:pt>
                <c:pt idx="1">
                  <c:v>S2</c:v>
                </c:pt>
                <c:pt idx="2">
                  <c:v>S3</c:v>
                </c:pt>
                <c:pt idx="3">
                  <c:v>S4</c:v>
                </c:pt>
                <c:pt idx="4">
                  <c:v>S5</c:v>
                </c:pt>
                <c:pt idx="5">
                  <c:v>S6</c:v>
                </c:pt>
                <c:pt idx="6">
                  <c:v>S7</c:v>
                </c:pt>
              </c:strCache>
            </c:strRef>
          </c:cat>
          <c:val>
            <c:numRef>
              <c:f>Sheet3!$E$36:$E$42</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3-5108-4232-839E-19B3E9A5089F}"/>
            </c:ext>
          </c:extLst>
        </c:ser>
        <c:dLbls>
          <c:showLegendKey val="0"/>
          <c:showVal val="0"/>
          <c:showCatName val="0"/>
          <c:showSerName val="0"/>
          <c:showPercent val="0"/>
          <c:showBubbleSize val="0"/>
        </c:dLbls>
        <c:gapWidth val="150"/>
        <c:axId val="297253120"/>
        <c:axId val="297423232"/>
      </c:barChart>
      <c:catAx>
        <c:axId val="297253120"/>
        <c:scaling>
          <c:orientation val="minMax"/>
        </c:scaling>
        <c:delete val="0"/>
        <c:axPos val="b"/>
        <c:title>
          <c:tx>
            <c:rich>
              <a:bodyPr/>
              <a:lstStyle/>
              <a:p>
                <a:pPr>
                  <a:defRPr/>
                </a:pPr>
                <a:r>
                  <a:rPr lang="en-US"/>
                  <a:t>Adsorbents</a:t>
                </a:r>
              </a:p>
            </c:rich>
          </c:tx>
          <c:overlay val="0"/>
        </c:title>
        <c:numFmt formatCode="General" sourceLinked="0"/>
        <c:majorTickMark val="out"/>
        <c:minorTickMark val="none"/>
        <c:tickLblPos val="nextTo"/>
        <c:crossAx val="297423232"/>
        <c:crosses val="autoZero"/>
        <c:auto val="1"/>
        <c:lblAlgn val="ctr"/>
        <c:lblOffset val="100"/>
        <c:noMultiLvlLbl val="0"/>
      </c:catAx>
      <c:valAx>
        <c:axId val="297423232"/>
        <c:scaling>
          <c:orientation val="minMax"/>
        </c:scaling>
        <c:delete val="0"/>
        <c:axPos val="l"/>
        <c:majorGridlines/>
        <c:title>
          <c:tx>
            <c:rich>
              <a:bodyPr rot="-5400000" vert="horz"/>
              <a:lstStyle/>
              <a:p>
                <a:pPr>
                  <a:defRPr/>
                </a:pPr>
                <a:r>
                  <a:rPr lang="en-US"/>
                  <a:t>%removal</a:t>
                </a:r>
              </a:p>
            </c:rich>
          </c:tx>
          <c:overlay val="0"/>
        </c:title>
        <c:numFmt formatCode="General" sourceLinked="1"/>
        <c:majorTickMark val="out"/>
        <c:minorTickMark val="none"/>
        <c:tickLblPos val="nextTo"/>
        <c:crossAx val="297253120"/>
        <c:crosses val="autoZero"/>
        <c:crossBetween val="between"/>
      </c:valAx>
    </c:plotArea>
    <c:legend>
      <c:legendPos val="r"/>
      <c:layout>
        <c:manualLayout>
          <c:xMode val="edge"/>
          <c:yMode val="edge"/>
          <c:x val="0.75825162817319736"/>
          <c:y val="0.27161930845600823"/>
          <c:w val="0.22210200640440575"/>
          <c:h val="0.33115751835368407"/>
        </c:manualLayout>
      </c:layout>
      <c:overlay val="0"/>
      <c:txPr>
        <a:bodyPr/>
        <a:lstStyle/>
        <a:p>
          <a:pPr>
            <a:defRPr>
              <a:latin typeface="Bookman Old Style" panose="02050604050505020204" pitchFamily="18" charset="0"/>
            </a:defRPr>
          </a:pPr>
          <a:endParaRPr lang="en-US"/>
        </a:p>
      </c:txPr>
    </c:legend>
    <c:plotVisOnly val="1"/>
    <c:dispBlanksAs val="gap"/>
    <c:showDLblsOverMax val="0"/>
  </c:chart>
  <c:txPr>
    <a:bodyPr/>
    <a:lstStyle/>
    <a:p>
      <a:pPr>
        <a:defRPr>
          <a:latin typeface="Bookman Old Style" panose="02050604050505020204" pitchFamily="18"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Cadmium</a:t>
            </a:r>
          </a:p>
        </c:rich>
      </c:tx>
      <c:overlay val="1"/>
    </c:title>
    <c:autoTitleDeleted val="0"/>
    <c:plotArea>
      <c:layout>
        <c:manualLayout>
          <c:layoutTarget val="inner"/>
          <c:xMode val="edge"/>
          <c:yMode val="edge"/>
          <c:x val="0.13601585516096201"/>
          <c:y val="0.19297021380242435"/>
          <c:w val="0.6370684656153518"/>
          <c:h val="0.45634117679172487"/>
        </c:manualLayout>
      </c:layout>
      <c:barChart>
        <c:barDir val="col"/>
        <c:grouping val="clustered"/>
        <c:varyColors val="0"/>
        <c:ser>
          <c:idx val="0"/>
          <c:order val="0"/>
          <c:tx>
            <c:strRef>
              <c:f>Sheet3!$B$45</c:f>
              <c:strCache>
                <c:ptCount val="1"/>
                <c:pt idx="0">
                  <c:v>100ppm</c:v>
                </c:pt>
              </c:strCache>
            </c:strRef>
          </c:tx>
          <c:invertIfNegative val="0"/>
          <c:cat>
            <c:strRef>
              <c:f>Sheet3!$A$46:$A$52</c:f>
              <c:strCache>
                <c:ptCount val="7"/>
                <c:pt idx="0">
                  <c:v>S1</c:v>
                </c:pt>
                <c:pt idx="1">
                  <c:v>S2</c:v>
                </c:pt>
                <c:pt idx="2">
                  <c:v>S3</c:v>
                </c:pt>
                <c:pt idx="3">
                  <c:v>S4</c:v>
                </c:pt>
                <c:pt idx="4">
                  <c:v>S5</c:v>
                </c:pt>
                <c:pt idx="5">
                  <c:v>S6</c:v>
                </c:pt>
                <c:pt idx="6">
                  <c:v>S7</c:v>
                </c:pt>
              </c:strCache>
            </c:strRef>
          </c:cat>
          <c:val>
            <c:numRef>
              <c:f>Sheet3!$B$46:$B$52</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BD2B-44B3-8F53-B5BE800B8D04}"/>
            </c:ext>
          </c:extLst>
        </c:ser>
        <c:ser>
          <c:idx val="1"/>
          <c:order val="1"/>
          <c:tx>
            <c:strRef>
              <c:f>Sheet3!$C$45</c:f>
              <c:strCache>
                <c:ptCount val="1"/>
                <c:pt idx="0">
                  <c:v>50ppm</c:v>
                </c:pt>
              </c:strCache>
            </c:strRef>
          </c:tx>
          <c:invertIfNegative val="0"/>
          <c:cat>
            <c:strRef>
              <c:f>Sheet3!$A$46:$A$52</c:f>
              <c:strCache>
                <c:ptCount val="7"/>
                <c:pt idx="0">
                  <c:v>S1</c:v>
                </c:pt>
                <c:pt idx="1">
                  <c:v>S2</c:v>
                </c:pt>
                <c:pt idx="2">
                  <c:v>S3</c:v>
                </c:pt>
                <c:pt idx="3">
                  <c:v>S4</c:v>
                </c:pt>
                <c:pt idx="4">
                  <c:v>S5</c:v>
                </c:pt>
                <c:pt idx="5">
                  <c:v>S6</c:v>
                </c:pt>
                <c:pt idx="6">
                  <c:v>S7</c:v>
                </c:pt>
              </c:strCache>
            </c:strRef>
          </c:cat>
          <c:val>
            <c:numRef>
              <c:f>Sheet3!$C$46:$C$52</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BD2B-44B3-8F53-B5BE800B8D04}"/>
            </c:ext>
          </c:extLst>
        </c:ser>
        <c:ser>
          <c:idx val="2"/>
          <c:order val="2"/>
          <c:tx>
            <c:strRef>
              <c:f>Sheet3!$D$45</c:f>
              <c:strCache>
                <c:ptCount val="1"/>
                <c:pt idx="0">
                  <c:v>20ppm</c:v>
                </c:pt>
              </c:strCache>
            </c:strRef>
          </c:tx>
          <c:invertIfNegative val="0"/>
          <c:cat>
            <c:strRef>
              <c:f>Sheet3!$A$46:$A$52</c:f>
              <c:strCache>
                <c:ptCount val="7"/>
                <c:pt idx="0">
                  <c:v>S1</c:v>
                </c:pt>
                <c:pt idx="1">
                  <c:v>S2</c:v>
                </c:pt>
                <c:pt idx="2">
                  <c:v>S3</c:v>
                </c:pt>
                <c:pt idx="3">
                  <c:v>S4</c:v>
                </c:pt>
                <c:pt idx="4">
                  <c:v>S5</c:v>
                </c:pt>
                <c:pt idx="5">
                  <c:v>S6</c:v>
                </c:pt>
                <c:pt idx="6">
                  <c:v>S7</c:v>
                </c:pt>
              </c:strCache>
            </c:strRef>
          </c:cat>
          <c:val>
            <c:numRef>
              <c:f>Sheet3!$D$46:$D$52</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2-BD2B-44B3-8F53-B5BE800B8D04}"/>
            </c:ext>
          </c:extLst>
        </c:ser>
        <c:ser>
          <c:idx val="3"/>
          <c:order val="3"/>
          <c:tx>
            <c:strRef>
              <c:f>Sheet3!$E$45</c:f>
              <c:strCache>
                <c:ptCount val="1"/>
                <c:pt idx="0">
                  <c:v>10ppm</c:v>
                </c:pt>
              </c:strCache>
            </c:strRef>
          </c:tx>
          <c:invertIfNegative val="0"/>
          <c:cat>
            <c:strRef>
              <c:f>Sheet3!$A$46:$A$52</c:f>
              <c:strCache>
                <c:ptCount val="7"/>
                <c:pt idx="0">
                  <c:v>S1</c:v>
                </c:pt>
                <c:pt idx="1">
                  <c:v>S2</c:v>
                </c:pt>
                <c:pt idx="2">
                  <c:v>S3</c:v>
                </c:pt>
                <c:pt idx="3">
                  <c:v>S4</c:v>
                </c:pt>
                <c:pt idx="4">
                  <c:v>S5</c:v>
                </c:pt>
                <c:pt idx="5">
                  <c:v>S6</c:v>
                </c:pt>
                <c:pt idx="6">
                  <c:v>S7</c:v>
                </c:pt>
              </c:strCache>
            </c:strRef>
          </c:cat>
          <c:val>
            <c:numRef>
              <c:f>Sheet3!$E$46:$E$52</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3-BD2B-44B3-8F53-B5BE800B8D04}"/>
            </c:ext>
          </c:extLst>
        </c:ser>
        <c:dLbls>
          <c:showLegendKey val="0"/>
          <c:showVal val="0"/>
          <c:showCatName val="0"/>
          <c:showSerName val="0"/>
          <c:showPercent val="0"/>
          <c:showBubbleSize val="0"/>
        </c:dLbls>
        <c:gapWidth val="150"/>
        <c:axId val="56234752"/>
        <c:axId val="56236672"/>
      </c:barChart>
      <c:catAx>
        <c:axId val="56234752"/>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layout>
            <c:manualLayout>
              <c:xMode val="edge"/>
              <c:yMode val="edge"/>
              <c:x val="0.40548014142860239"/>
              <c:y val="0.83022210339254832"/>
            </c:manualLayout>
          </c:layout>
          <c:overlay val="0"/>
        </c:title>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56236672"/>
        <c:crosses val="autoZero"/>
        <c:auto val="1"/>
        <c:lblAlgn val="ctr"/>
        <c:lblOffset val="100"/>
        <c:noMultiLvlLbl val="0"/>
      </c:catAx>
      <c:valAx>
        <c:axId val="56236672"/>
        <c:scaling>
          <c:orientation val="minMax"/>
        </c:scaling>
        <c:delete val="0"/>
        <c:axPos val="l"/>
        <c:majorGridlines/>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56234752"/>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Nitrate</a:t>
            </a:r>
          </a:p>
        </c:rich>
      </c:tx>
      <c:overlay val="1"/>
    </c:title>
    <c:autoTitleDeleted val="0"/>
    <c:plotArea>
      <c:layout>
        <c:manualLayout>
          <c:layoutTarget val="inner"/>
          <c:xMode val="edge"/>
          <c:yMode val="edge"/>
          <c:x val="0.14359356152453767"/>
          <c:y val="0.18226839988196741"/>
          <c:w val="0.67166446679714165"/>
          <c:h val="0.46089492845652358"/>
        </c:manualLayout>
      </c:layout>
      <c:barChart>
        <c:barDir val="col"/>
        <c:grouping val="clustered"/>
        <c:varyColors val="0"/>
        <c:ser>
          <c:idx val="0"/>
          <c:order val="0"/>
          <c:tx>
            <c:strRef>
              <c:f>Sheet4!$B$4</c:f>
              <c:strCache>
                <c:ptCount val="1"/>
                <c:pt idx="0">
                  <c:v>298K</c:v>
                </c:pt>
              </c:strCache>
            </c:strRef>
          </c:tx>
          <c:invertIfNegative val="0"/>
          <c:cat>
            <c:strRef>
              <c:f>Sheet4!$A$5:$A$11</c:f>
              <c:strCache>
                <c:ptCount val="7"/>
                <c:pt idx="0">
                  <c:v>S1</c:v>
                </c:pt>
                <c:pt idx="1">
                  <c:v>S2</c:v>
                </c:pt>
                <c:pt idx="2">
                  <c:v>S3</c:v>
                </c:pt>
                <c:pt idx="3">
                  <c:v>S4</c:v>
                </c:pt>
                <c:pt idx="4">
                  <c:v>S5</c:v>
                </c:pt>
                <c:pt idx="5">
                  <c:v>S6</c:v>
                </c:pt>
                <c:pt idx="6">
                  <c:v>S7</c:v>
                </c:pt>
              </c:strCache>
            </c:strRef>
          </c:cat>
          <c:val>
            <c:numRef>
              <c:f>Sheet4!$B$5:$B$11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CE01-471B-8D03-E0972A470573}"/>
            </c:ext>
          </c:extLst>
        </c:ser>
        <c:ser>
          <c:idx val="1"/>
          <c:order val="1"/>
          <c:tx>
            <c:strRef>
              <c:f>Sheet4!$C$4</c:f>
              <c:strCache>
                <c:ptCount val="1"/>
                <c:pt idx="0">
                  <c:v>333K</c:v>
                </c:pt>
              </c:strCache>
            </c:strRef>
          </c:tx>
          <c:invertIfNegative val="0"/>
          <c:cat>
            <c:strRef>
              <c:f>Sheet4!$A$5:$A$11</c:f>
              <c:strCache>
                <c:ptCount val="7"/>
                <c:pt idx="0">
                  <c:v>S1</c:v>
                </c:pt>
                <c:pt idx="1">
                  <c:v>S2</c:v>
                </c:pt>
                <c:pt idx="2">
                  <c:v>S3</c:v>
                </c:pt>
                <c:pt idx="3">
                  <c:v>S4</c:v>
                </c:pt>
                <c:pt idx="4">
                  <c:v>S5</c:v>
                </c:pt>
                <c:pt idx="5">
                  <c:v>S6</c:v>
                </c:pt>
                <c:pt idx="6">
                  <c:v>S7</c:v>
                </c:pt>
              </c:strCache>
            </c:strRef>
          </c:cat>
          <c:val>
            <c:numRef>
              <c:f>Sheet4!$C$5:$C$11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CE01-471B-8D03-E0972A470573}"/>
            </c:ext>
          </c:extLst>
        </c:ser>
        <c:ser>
          <c:idx val="2"/>
          <c:order val="2"/>
          <c:tx>
            <c:strRef>
              <c:f>Sheet4!$D$4</c:f>
              <c:strCache>
                <c:ptCount val="1"/>
                <c:pt idx="0">
                  <c:v>353K</c:v>
                </c:pt>
              </c:strCache>
            </c:strRef>
          </c:tx>
          <c:invertIfNegative val="0"/>
          <c:cat>
            <c:strRef>
              <c:f>Sheet4!$A$5:$A$11</c:f>
              <c:strCache>
                <c:ptCount val="7"/>
                <c:pt idx="0">
                  <c:v>S1</c:v>
                </c:pt>
                <c:pt idx="1">
                  <c:v>S2</c:v>
                </c:pt>
                <c:pt idx="2">
                  <c:v>S3</c:v>
                </c:pt>
                <c:pt idx="3">
                  <c:v>S4</c:v>
                </c:pt>
                <c:pt idx="4">
                  <c:v>S5</c:v>
                </c:pt>
                <c:pt idx="5">
                  <c:v>S6</c:v>
                </c:pt>
                <c:pt idx="6">
                  <c:v>S7</c:v>
                </c:pt>
              </c:strCache>
            </c:strRef>
          </c:cat>
          <c:val>
            <c:numRef>
              <c:f>Sheet4!$D$5:$D$11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2-CE01-471B-8D03-E0972A470573}"/>
            </c:ext>
          </c:extLst>
        </c:ser>
        <c:dLbls>
          <c:showLegendKey val="0"/>
          <c:showVal val="0"/>
          <c:showCatName val="0"/>
          <c:showSerName val="0"/>
          <c:showPercent val="0"/>
          <c:showBubbleSize val="0"/>
        </c:dLbls>
        <c:gapWidth val="150"/>
        <c:axId val="56301440"/>
        <c:axId val="56324096"/>
      </c:barChart>
      <c:catAx>
        <c:axId val="56301440"/>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layout>
            <c:manualLayout>
              <c:xMode val="edge"/>
              <c:yMode val="edge"/>
              <c:x val="0.31477250314808913"/>
              <c:y val="0.8"/>
            </c:manualLayout>
          </c:layout>
          <c:overlay val="0"/>
        </c:title>
        <c:numFmt formatCode="General" sourceLinked="0"/>
        <c:majorTickMark val="out"/>
        <c:minorTickMark val="none"/>
        <c:tickLblPos val="nextTo"/>
        <c:crossAx val="56324096"/>
        <c:crosses val="autoZero"/>
        <c:auto val="1"/>
        <c:lblAlgn val="ctr"/>
        <c:lblOffset val="100"/>
        <c:noMultiLvlLbl val="0"/>
      </c:catAx>
      <c:valAx>
        <c:axId val="56324096"/>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56301440"/>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Phosphate</a:t>
            </a:r>
          </a:p>
        </c:rich>
      </c:tx>
      <c:overlay val="1"/>
    </c:title>
    <c:autoTitleDeleted val="0"/>
    <c:plotArea>
      <c:layout>
        <c:manualLayout>
          <c:layoutTarget val="inner"/>
          <c:xMode val="edge"/>
          <c:yMode val="edge"/>
          <c:x val="0.12030345937906638"/>
          <c:y val="0.15859976082871297"/>
          <c:w val="0.69989328257044792"/>
          <c:h val="0.51430215223097109"/>
        </c:manualLayout>
      </c:layout>
      <c:barChart>
        <c:barDir val="col"/>
        <c:grouping val="clustered"/>
        <c:varyColors val="0"/>
        <c:ser>
          <c:idx val="0"/>
          <c:order val="0"/>
          <c:tx>
            <c:strRef>
              <c:f>Sheet4!$B$14</c:f>
              <c:strCache>
                <c:ptCount val="1"/>
                <c:pt idx="0">
                  <c:v>298K</c:v>
                </c:pt>
              </c:strCache>
            </c:strRef>
          </c:tx>
          <c:invertIfNegative val="0"/>
          <c:cat>
            <c:strRef>
              <c:f>Sheet4!$A$15:$A$21</c:f>
              <c:strCache>
                <c:ptCount val="7"/>
                <c:pt idx="0">
                  <c:v>S1</c:v>
                </c:pt>
                <c:pt idx="1">
                  <c:v>S2</c:v>
                </c:pt>
                <c:pt idx="2">
                  <c:v>S3</c:v>
                </c:pt>
                <c:pt idx="3">
                  <c:v>S4</c:v>
                </c:pt>
                <c:pt idx="4">
                  <c:v>S5</c:v>
                </c:pt>
                <c:pt idx="5">
                  <c:v>S6</c:v>
                </c:pt>
                <c:pt idx="6">
                  <c:v>S7</c:v>
                </c:pt>
              </c:strCache>
            </c:strRef>
          </c:cat>
          <c:val>
            <c:numRef>
              <c:f>Sheet4!$B$15:$B$21</c:f>
              <c:numCache>
                <c:formatCode>General</c:formatCode>
                <c:ptCount val="7"/>
                <c:pt idx="0">
                  <c:v>100</c:v>
                </c:pt>
                <c:pt idx="1">
                  <c:v>100</c:v>
                </c:pt>
                <c:pt idx="2">
                  <c:v>100</c:v>
                </c:pt>
                <c:pt idx="3">
                  <c:v>100</c:v>
                </c:pt>
                <c:pt idx="4">
                  <c:v>100</c:v>
                </c:pt>
                <c:pt idx="5">
                  <c:v>100</c:v>
                </c:pt>
                <c:pt idx="6">
                  <c:v>8</c:v>
                </c:pt>
              </c:numCache>
            </c:numRef>
          </c:val>
          <c:extLst>
            <c:ext xmlns:c16="http://schemas.microsoft.com/office/drawing/2014/chart" uri="{C3380CC4-5D6E-409C-BE32-E72D297353CC}">
              <c16:uniqueId val="{00000000-728E-4627-9D50-3806056A6189}"/>
            </c:ext>
          </c:extLst>
        </c:ser>
        <c:ser>
          <c:idx val="1"/>
          <c:order val="1"/>
          <c:tx>
            <c:strRef>
              <c:f>Sheet4!$C$14</c:f>
              <c:strCache>
                <c:ptCount val="1"/>
                <c:pt idx="0">
                  <c:v>333K</c:v>
                </c:pt>
              </c:strCache>
            </c:strRef>
          </c:tx>
          <c:invertIfNegative val="0"/>
          <c:cat>
            <c:strRef>
              <c:f>Sheet4!$A$15:$A$21</c:f>
              <c:strCache>
                <c:ptCount val="7"/>
                <c:pt idx="0">
                  <c:v>S1</c:v>
                </c:pt>
                <c:pt idx="1">
                  <c:v>S2</c:v>
                </c:pt>
                <c:pt idx="2">
                  <c:v>S3</c:v>
                </c:pt>
                <c:pt idx="3">
                  <c:v>S4</c:v>
                </c:pt>
                <c:pt idx="4">
                  <c:v>S5</c:v>
                </c:pt>
                <c:pt idx="5">
                  <c:v>S6</c:v>
                </c:pt>
                <c:pt idx="6">
                  <c:v>S7</c:v>
                </c:pt>
              </c:strCache>
            </c:strRef>
          </c:cat>
          <c:val>
            <c:numRef>
              <c:f>Sheet4!$C$15:$C$21</c:f>
              <c:numCache>
                <c:formatCode>General</c:formatCode>
                <c:ptCount val="7"/>
                <c:pt idx="0">
                  <c:v>100</c:v>
                </c:pt>
                <c:pt idx="1">
                  <c:v>100</c:v>
                </c:pt>
                <c:pt idx="2">
                  <c:v>100</c:v>
                </c:pt>
                <c:pt idx="3">
                  <c:v>100</c:v>
                </c:pt>
                <c:pt idx="4">
                  <c:v>100</c:v>
                </c:pt>
                <c:pt idx="5">
                  <c:v>100</c:v>
                </c:pt>
                <c:pt idx="6">
                  <c:v>6.79</c:v>
                </c:pt>
              </c:numCache>
            </c:numRef>
          </c:val>
          <c:extLst>
            <c:ext xmlns:c16="http://schemas.microsoft.com/office/drawing/2014/chart" uri="{C3380CC4-5D6E-409C-BE32-E72D297353CC}">
              <c16:uniqueId val="{00000001-728E-4627-9D50-3806056A6189}"/>
            </c:ext>
          </c:extLst>
        </c:ser>
        <c:ser>
          <c:idx val="2"/>
          <c:order val="2"/>
          <c:tx>
            <c:strRef>
              <c:f>Sheet4!$D$14</c:f>
              <c:strCache>
                <c:ptCount val="1"/>
                <c:pt idx="0">
                  <c:v>353K</c:v>
                </c:pt>
              </c:strCache>
            </c:strRef>
          </c:tx>
          <c:invertIfNegative val="0"/>
          <c:cat>
            <c:strRef>
              <c:f>Sheet4!$A$15:$A$21</c:f>
              <c:strCache>
                <c:ptCount val="7"/>
                <c:pt idx="0">
                  <c:v>S1</c:v>
                </c:pt>
                <c:pt idx="1">
                  <c:v>S2</c:v>
                </c:pt>
                <c:pt idx="2">
                  <c:v>S3</c:v>
                </c:pt>
                <c:pt idx="3">
                  <c:v>S4</c:v>
                </c:pt>
                <c:pt idx="4">
                  <c:v>S5</c:v>
                </c:pt>
                <c:pt idx="5">
                  <c:v>S6</c:v>
                </c:pt>
                <c:pt idx="6">
                  <c:v>S7</c:v>
                </c:pt>
              </c:strCache>
            </c:strRef>
          </c:cat>
          <c:val>
            <c:numRef>
              <c:f>Sheet4!$D$15:$D$21</c:f>
              <c:numCache>
                <c:formatCode>General</c:formatCode>
                <c:ptCount val="7"/>
                <c:pt idx="0">
                  <c:v>100</c:v>
                </c:pt>
                <c:pt idx="1">
                  <c:v>100</c:v>
                </c:pt>
                <c:pt idx="2">
                  <c:v>100</c:v>
                </c:pt>
                <c:pt idx="3">
                  <c:v>100</c:v>
                </c:pt>
                <c:pt idx="4">
                  <c:v>100</c:v>
                </c:pt>
                <c:pt idx="5">
                  <c:v>100</c:v>
                </c:pt>
                <c:pt idx="6">
                  <c:v>7.66</c:v>
                </c:pt>
              </c:numCache>
            </c:numRef>
          </c:val>
          <c:extLst>
            <c:ext xmlns:c16="http://schemas.microsoft.com/office/drawing/2014/chart" uri="{C3380CC4-5D6E-409C-BE32-E72D297353CC}">
              <c16:uniqueId val="{00000002-728E-4627-9D50-3806056A6189}"/>
            </c:ext>
          </c:extLst>
        </c:ser>
        <c:dLbls>
          <c:showLegendKey val="0"/>
          <c:showVal val="0"/>
          <c:showCatName val="0"/>
          <c:showSerName val="0"/>
          <c:showPercent val="0"/>
          <c:showBubbleSize val="0"/>
        </c:dLbls>
        <c:gapWidth val="150"/>
        <c:axId val="171842560"/>
        <c:axId val="171844736"/>
      </c:barChart>
      <c:catAx>
        <c:axId val="171842560"/>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overlay val="0"/>
        </c:title>
        <c:numFmt formatCode="General" sourceLinked="0"/>
        <c:majorTickMark val="out"/>
        <c:minorTickMark val="none"/>
        <c:tickLblPos val="nextTo"/>
        <c:crossAx val="171844736"/>
        <c:crosses val="autoZero"/>
        <c:auto val="1"/>
        <c:lblAlgn val="ctr"/>
        <c:lblOffset val="100"/>
        <c:noMultiLvlLbl val="0"/>
      </c:catAx>
      <c:valAx>
        <c:axId val="171844736"/>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171842560"/>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Lead</a:t>
            </a:r>
          </a:p>
        </c:rich>
      </c:tx>
      <c:overlay val="1"/>
    </c:title>
    <c:autoTitleDeleted val="0"/>
    <c:plotArea>
      <c:layout>
        <c:manualLayout>
          <c:layoutTarget val="inner"/>
          <c:xMode val="edge"/>
          <c:yMode val="edge"/>
          <c:x val="0.18925260010947828"/>
          <c:y val="0.21221574304829591"/>
          <c:w val="0.66461605400929158"/>
          <c:h val="0.50406665075956414"/>
        </c:manualLayout>
      </c:layout>
      <c:barChart>
        <c:barDir val="col"/>
        <c:grouping val="clustered"/>
        <c:varyColors val="0"/>
        <c:ser>
          <c:idx val="0"/>
          <c:order val="0"/>
          <c:tx>
            <c:strRef>
              <c:f>Sheet4!$B$24</c:f>
              <c:strCache>
                <c:ptCount val="1"/>
                <c:pt idx="0">
                  <c:v>298K</c:v>
                </c:pt>
              </c:strCache>
            </c:strRef>
          </c:tx>
          <c:invertIfNegative val="0"/>
          <c:cat>
            <c:strRef>
              <c:f>Sheet4!$A$25:$A$31</c:f>
              <c:strCache>
                <c:ptCount val="7"/>
                <c:pt idx="0">
                  <c:v>S1</c:v>
                </c:pt>
                <c:pt idx="1">
                  <c:v>S2</c:v>
                </c:pt>
                <c:pt idx="2">
                  <c:v>S3</c:v>
                </c:pt>
                <c:pt idx="3">
                  <c:v>S4</c:v>
                </c:pt>
                <c:pt idx="4">
                  <c:v>S5</c:v>
                </c:pt>
                <c:pt idx="5">
                  <c:v>S6</c:v>
                </c:pt>
                <c:pt idx="6">
                  <c:v>S7</c:v>
                </c:pt>
              </c:strCache>
            </c:strRef>
          </c:cat>
          <c:val>
            <c:numRef>
              <c:f>Sheet4!$B$25:$B$31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D499-4CA7-A1BE-A12EB4156E0C}"/>
            </c:ext>
          </c:extLst>
        </c:ser>
        <c:ser>
          <c:idx val="1"/>
          <c:order val="1"/>
          <c:tx>
            <c:strRef>
              <c:f>Sheet4!$C$24</c:f>
              <c:strCache>
                <c:ptCount val="1"/>
                <c:pt idx="0">
                  <c:v>333K</c:v>
                </c:pt>
              </c:strCache>
            </c:strRef>
          </c:tx>
          <c:invertIfNegative val="0"/>
          <c:cat>
            <c:strRef>
              <c:f>Sheet4!$A$25:$A$31</c:f>
              <c:strCache>
                <c:ptCount val="7"/>
                <c:pt idx="0">
                  <c:v>S1</c:v>
                </c:pt>
                <c:pt idx="1">
                  <c:v>S2</c:v>
                </c:pt>
                <c:pt idx="2">
                  <c:v>S3</c:v>
                </c:pt>
                <c:pt idx="3">
                  <c:v>S4</c:v>
                </c:pt>
                <c:pt idx="4">
                  <c:v>S5</c:v>
                </c:pt>
                <c:pt idx="5">
                  <c:v>S6</c:v>
                </c:pt>
                <c:pt idx="6">
                  <c:v>S7</c:v>
                </c:pt>
              </c:strCache>
            </c:strRef>
          </c:cat>
          <c:val>
            <c:numRef>
              <c:f>Sheet4!$C$25:$C$31</c:f>
              <c:numCache>
                <c:formatCode>General</c:formatCode>
                <c:ptCount val="7"/>
                <c:pt idx="0">
                  <c:v>95.69</c:v>
                </c:pt>
                <c:pt idx="1">
                  <c:v>95.3</c:v>
                </c:pt>
                <c:pt idx="2">
                  <c:v>95.19</c:v>
                </c:pt>
                <c:pt idx="3">
                  <c:v>95.79</c:v>
                </c:pt>
                <c:pt idx="4">
                  <c:v>95.62</c:v>
                </c:pt>
                <c:pt idx="5">
                  <c:v>95.67</c:v>
                </c:pt>
                <c:pt idx="6">
                  <c:v>95.73</c:v>
                </c:pt>
              </c:numCache>
            </c:numRef>
          </c:val>
          <c:extLst>
            <c:ext xmlns:c16="http://schemas.microsoft.com/office/drawing/2014/chart" uri="{C3380CC4-5D6E-409C-BE32-E72D297353CC}">
              <c16:uniqueId val="{00000001-D499-4CA7-A1BE-A12EB4156E0C}"/>
            </c:ext>
          </c:extLst>
        </c:ser>
        <c:ser>
          <c:idx val="2"/>
          <c:order val="2"/>
          <c:tx>
            <c:strRef>
              <c:f>Sheet4!$D$24</c:f>
              <c:strCache>
                <c:ptCount val="1"/>
                <c:pt idx="0">
                  <c:v>353K</c:v>
                </c:pt>
              </c:strCache>
            </c:strRef>
          </c:tx>
          <c:invertIfNegative val="0"/>
          <c:cat>
            <c:strRef>
              <c:f>Sheet4!$A$25:$A$31</c:f>
              <c:strCache>
                <c:ptCount val="7"/>
                <c:pt idx="0">
                  <c:v>S1</c:v>
                </c:pt>
                <c:pt idx="1">
                  <c:v>S2</c:v>
                </c:pt>
                <c:pt idx="2">
                  <c:v>S3</c:v>
                </c:pt>
                <c:pt idx="3">
                  <c:v>S4</c:v>
                </c:pt>
                <c:pt idx="4">
                  <c:v>S5</c:v>
                </c:pt>
                <c:pt idx="5">
                  <c:v>S6</c:v>
                </c:pt>
                <c:pt idx="6">
                  <c:v>S7</c:v>
                </c:pt>
              </c:strCache>
            </c:strRef>
          </c:cat>
          <c:val>
            <c:numRef>
              <c:f>Sheet4!$D$25:$D$31</c:f>
              <c:numCache>
                <c:formatCode>General</c:formatCode>
                <c:ptCount val="7"/>
                <c:pt idx="0">
                  <c:v>95.69</c:v>
                </c:pt>
                <c:pt idx="1">
                  <c:v>95.44</c:v>
                </c:pt>
                <c:pt idx="2">
                  <c:v>94.42</c:v>
                </c:pt>
                <c:pt idx="3">
                  <c:v>94.3</c:v>
                </c:pt>
                <c:pt idx="4">
                  <c:v>95.12</c:v>
                </c:pt>
                <c:pt idx="5">
                  <c:v>94.73</c:v>
                </c:pt>
                <c:pt idx="6">
                  <c:v>95.08</c:v>
                </c:pt>
              </c:numCache>
            </c:numRef>
          </c:val>
          <c:extLst>
            <c:ext xmlns:c16="http://schemas.microsoft.com/office/drawing/2014/chart" uri="{C3380CC4-5D6E-409C-BE32-E72D297353CC}">
              <c16:uniqueId val="{00000002-D499-4CA7-A1BE-A12EB4156E0C}"/>
            </c:ext>
          </c:extLst>
        </c:ser>
        <c:dLbls>
          <c:showLegendKey val="0"/>
          <c:showVal val="0"/>
          <c:showCatName val="0"/>
          <c:showSerName val="0"/>
          <c:showPercent val="0"/>
          <c:showBubbleSize val="0"/>
        </c:dLbls>
        <c:gapWidth val="150"/>
        <c:axId val="223625600"/>
        <c:axId val="223627520"/>
      </c:barChart>
      <c:catAx>
        <c:axId val="223625600"/>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overlay val="0"/>
        </c:title>
        <c:numFmt formatCode="General" sourceLinked="0"/>
        <c:majorTickMark val="out"/>
        <c:minorTickMark val="none"/>
        <c:tickLblPos val="nextTo"/>
        <c:crossAx val="223627520"/>
        <c:crosses val="autoZero"/>
        <c:auto val="1"/>
        <c:lblAlgn val="ctr"/>
        <c:lblOffset val="100"/>
        <c:noMultiLvlLbl val="0"/>
      </c:catAx>
      <c:valAx>
        <c:axId val="223627520"/>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layout>
            <c:manualLayout>
              <c:xMode val="edge"/>
              <c:yMode val="edge"/>
              <c:x val="3.9674306213588771E-2"/>
              <c:y val="0.31114161138314539"/>
            </c:manualLayout>
          </c:layout>
          <c:overlay val="0"/>
        </c:title>
        <c:numFmt formatCode="General" sourceLinked="1"/>
        <c:majorTickMark val="out"/>
        <c:minorTickMark val="none"/>
        <c:tickLblPos val="nextTo"/>
        <c:crossAx val="223625600"/>
        <c:crosses val="autoZero"/>
        <c:crossBetween val="between"/>
      </c:valAx>
    </c:plotArea>
    <c:legend>
      <c:legendPos val="r"/>
      <c:layout>
        <c:manualLayout>
          <c:xMode val="edge"/>
          <c:yMode val="edge"/>
          <c:x val="0.84887868962903701"/>
          <c:y val="0.21296921218181061"/>
          <c:w val="0.14042612320518758"/>
          <c:h val="0.57406074240719906"/>
        </c:manualLayout>
      </c:layou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Copper</a:t>
            </a:r>
          </a:p>
        </c:rich>
      </c:tx>
      <c:overlay val="1"/>
    </c:title>
    <c:autoTitleDeleted val="0"/>
    <c:plotArea>
      <c:layout>
        <c:manualLayout>
          <c:layoutTarget val="inner"/>
          <c:xMode val="edge"/>
          <c:yMode val="edge"/>
          <c:x val="0.15392094463942585"/>
          <c:y val="0.17755078957671727"/>
          <c:w val="0.66769713831960387"/>
          <c:h val="0.41488131501810449"/>
        </c:manualLayout>
      </c:layout>
      <c:barChart>
        <c:barDir val="col"/>
        <c:grouping val="clustered"/>
        <c:varyColors val="0"/>
        <c:ser>
          <c:idx val="0"/>
          <c:order val="0"/>
          <c:tx>
            <c:strRef>
              <c:f>Sheet4!$B$34</c:f>
              <c:strCache>
                <c:ptCount val="1"/>
                <c:pt idx="0">
                  <c:v>298K</c:v>
                </c:pt>
              </c:strCache>
            </c:strRef>
          </c:tx>
          <c:invertIfNegative val="0"/>
          <c:cat>
            <c:strRef>
              <c:f>Sheet4!$A$35:$A$41</c:f>
              <c:strCache>
                <c:ptCount val="7"/>
                <c:pt idx="0">
                  <c:v>S1</c:v>
                </c:pt>
                <c:pt idx="1">
                  <c:v>S2</c:v>
                </c:pt>
                <c:pt idx="2">
                  <c:v>S3</c:v>
                </c:pt>
                <c:pt idx="3">
                  <c:v>S4</c:v>
                </c:pt>
                <c:pt idx="4">
                  <c:v>S5</c:v>
                </c:pt>
                <c:pt idx="5">
                  <c:v>S6</c:v>
                </c:pt>
                <c:pt idx="6">
                  <c:v>S7</c:v>
                </c:pt>
              </c:strCache>
            </c:strRef>
          </c:cat>
          <c:val>
            <c:numRef>
              <c:f>Sheet4!$B$35:$B$41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2B61-48B9-ADA6-A00C2A1C403E}"/>
            </c:ext>
          </c:extLst>
        </c:ser>
        <c:ser>
          <c:idx val="1"/>
          <c:order val="1"/>
          <c:tx>
            <c:strRef>
              <c:f>Sheet4!$C$34</c:f>
              <c:strCache>
                <c:ptCount val="1"/>
                <c:pt idx="0">
                  <c:v>333K</c:v>
                </c:pt>
              </c:strCache>
            </c:strRef>
          </c:tx>
          <c:invertIfNegative val="0"/>
          <c:cat>
            <c:strRef>
              <c:f>Sheet4!$A$35:$A$41</c:f>
              <c:strCache>
                <c:ptCount val="7"/>
                <c:pt idx="0">
                  <c:v>S1</c:v>
                </c:pt>
                <c:pt idx="1">
                  <c:v>S2</c:v>
                </c:pt>
                <c:pt idx="2">
                  <c:v>S3</c:v>
                </c:pt>
                <c:pt idx="3">
                  <c:v>S4</c:v>
                </c:pt>
                <c:pt idx="4">
                  <c:v>S5</c:v>
                </c:pt>
                <c:pt idx="5">
                  <c:v>S6</c:v>
                </c:pt>
                <c:pt idx="6">
                  <c:v>S7</c:v>
                </c:pt>
              </c:strCache>
            </c:strRef>
          </c:cat>
          <c:val>
            <c:numRef>
              <c:f>Sheet4!$C$35:$C$41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2B61-48B9-ADA6-A00C2A1C403E}"/>
            </c:ext>
          </c:extLst>
        </c:ser>
        <c:ser>
          <c:idx val="2"/>
          <c:order val="2"/>
          <c:tx>
            <c:strRef>
              <c:f>Sheet4!$D$34</c:f>
              <c:strCache>
                <c:ptCount val="1"/>
                <c:pt idx="0">
                  <c:v>353K</c:v>
                </c:pt>
              </c:strCache>
            </c:strRef>
          </c:tx>
          <c:invertIfNegative val="0"/>
          <c:cat>
            <c:strRef>
              <c:f>Sheet4!$A$35:$A$41</c:f>
              <c:strCache>
                <c:ptCount val="7"/>
                <c:pt idx="0">
                  <c:v>S1</c:v>
                </c:pt>
                <c:pt idx="1">
                  <c:v>S2</c:v>
                </c:pt>
                <c:pt idx="2">
                  <c:v>S3</c:v>
                </c:pt>
                <c:pt idx="3">
                  <c:v>S4</c:v>
                </c:pt>
                <c:pt idx="4">
                  <c:v>S5</c:v>
                </c:pt>
                <c:pt idx="5">
                  <c:v>S6</c:v>
                </c:pt>
                <c:pt idx="6">
                  <c:v>S7</c:v>
                </c:pt>
              </c:strCache>
            </c:strRef>
          </c:cat>
          <c:val>
            <c:numRef>
              <c:f>Sheet4!$D$35:$D$41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2-2B61-48B9-ADA6-A00C2A1C403E}"/>
            </c:ext>
          </c:extLst>
        </c:ser>
        <c:dLbls>
          <c:showLegendKey val="0"/>
          <c:showVal val="0"/>
          <c:showCatName val="0"/>
          <c:showSerName val="0"/>
          <c:showPercent val="0"/>
          <c:showBubbleSize val="0"/>
        </c:dLbls>
        <c:gapWidth val="150"/>
        <c:axId val="223638656"/>
        <c:axId val="223640576"/>
      </c:barChart>
      <c:catAx>
        <c:axId val="223638656"/>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layout>
            <c:manualLayout>
              <c:xMode val="edge"/>
              <c:yMode val="edge"/>
              <c:x val="0.35140492053877875"/>
              <c:y val="0.81135802469135798"/>
            </c:manualLayout>
          </c:layout>
          <c:overlay val="0"/>
        </c:title>
        <c:numFmt formatCode="General" sourceLinked="0"/>
        <c:majorTickMark val="out"/>
        <c:minorTickMark val="none"/>
        <c:tickLblPos val="nextTo"/>
        <c:crossAx val="223640576"/>
        <c:crosses val="autoZero"/>
        <c:auto val="1"/>
        <c:lblAlgn val="ctr"/>
        <c:lblOffset val="100"/>
        <c:noMultiLvlLbl val="0"/>
      </c:catAx>
      <c:valAx>
        <c:axId val="223640576"/>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22363865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a:pPr>
            <a:r>
              <a:rPr lang="en-US" sz="1400">
                <a:latin typeface="Times New Roman" pitchFamily="18" charset="0"/>
                <a:cs typeface="Times New Roman" pitchFamily="18" charset="0"/>
              </a:rPr>
              <a:t>Phosphate</a:t>
            </a:r>
          </a:p>
        </c:rich>
      </c:tx>
      <c:overlay val="1"/>
    </c:title>
    <c:autoTitleDeleted val="0"/>
    <c:plotArea>
      <c:layout>
        <c:manualLayout>
          <c:layoutTarget val="inner"/>
          <c:xMode val="edge"/>
          <c:yMode val="edge"/>
          <c:x val="0.15230367079878762"/>
          <c:y val="0.12366194225721784"/>
          <c:w val="0.68070497297817412"/>
          <c:h val="0.53237921259842524"/>
        </c:manualLayout>
      </c:layout>
      <c:barChart>
        <c:barDir val="col"/>
        <c:grouping val="clustered"/>
        <c:varyColors val="0"/>
        <c:ser>
          <c:idx val="0"/>
          <c:order val="0"/>
          <c:tx>
            <c:strRef>
              <c:f>Sheet1!$D$14</c:f>
              <c:strCache>
                <c:ptCount val="1"/>
                <c:pt idx="0">
                  <c:v>0.1g</c:v>
                </c:pt>
              </c:strCache>
            </c:strRef>
          </c:tx>
          <c:invertIfNegative val="0"/>
          <c:cat>
            <c:strRef>
              <c:f>Sheet1!$B$15:$C$21</c:f>
              <c:strCache>
                <c:ptCount val="7"/>
                <c:pt idx="0">
                  <c:v>S1</c:v>
                </c:pt>
                <c:pt idx="1">
                  <c:v>S2</c:v>
                </c:pt>
                <c:pt idx="2">
                  <c:v>S3</c:v>
                </c:pt>
                <c:pt idx="3">
                  <c:v>S4</c:v>
                </c:pt>
                <c:pt idx="4">
                  <c:v>S5</c:v>
                </c:pt>
                <c:pt idx="5">
                  <c:v>S6</c:v>
                </c:pt>
                <c:pt idx="6">
                  <c:v>S7</c:v>
                </c:pt>
              </c:strCache>
            </c:strRef>
          </c:cat>
          <c:val>
            <c:numRef>
              <c:f>Sheet1!$D$15:$D$21</c:f>
              <c:numCache>
                <c:formatCode>General</c:formatCode>
                <c:ptCount val="7"/>
                <c:pt idx="0">
                  <c:v>100</c:v>
                </c:pt>
                <c:pt idx="1">
                  <c:v>100</c:v>
                </c:pt>
                <c:pt idx="2">
                  <c:v>100</c:v>
                </c:pt>
                <c:pt idx="3">
                  <c:v>100</c:v>
                </c:pt>
                <c:pt idx="4">
                  <c:v>100</c:v>
                </c:pt>
                <c:pt idx="5">
                  <c:v>100</c:v>
                </c:pt>
                <c:pt idx="6">
                  <c:v>8</c:v>
                </c:pt>
              </c:numCache>
            </c:numRef>
          </c:val>
          <c:extLst>
            <c:ext xmlns:c16="http://schemas.microsoft.com/office/drawing/2014/chart" uri="{C3380CC4-5D6E-409C-BE32-E72D297353CC}">
              <c16:uniqueId val="{00000000-D6F0-489C-BEB9-AAA08E552AEA}"/>
            </c:ext>
          </c:extLst>
        </c:ser>
        <c:ser>
          <c:idx val="1"/>
          <c:order val="1"/>
          <c:tx>
            <c:strRef>
              <c:f>Sheet1!$E$14</c:f>
              <c:strCache>
                <c:ptCount val="1"/>
                <c:pt idx="0">
                  <c:v>0.075g</c:v>
                </c:pt>
              </c:strCache>
            </c:strRef>
          </c:tx>
          <c:invertIfNegative val="0"/>
          <c:cat>
            <c:strRef>
              <c:f>Sheet1!$B$15:$C$21</c:f>
              <c:strCache>
                <c:ptCount val="7"/>
                <c:pt idx="0">
                  <c:v>S1</c:v>
                </c:pt>
                <c:pt idx="1">
                  <c:v>S2</c:v>
                </c:pt>
                <c:pt idx="2">
                  <c:v>S3</c:v>
                </c:pt>
                <c:pt idx="3">
                  <c:v>S4</c:v>
                </c:pt>
                <c:pt idx="4">
                  <c:v>S5</c:v>
                </c:pt>
                <c:pt idx="5">
                  <c:v>S6</c:v>
                </c:pt>
                <c:pt idx="6">
                  <c:v>S7</c:v>
                </c:pt>
              </c:strCache>
            </c:strRef>
          </c:cat>
          <c:val>
            <c:numRef>
              <c:f>Sheet1!$E$15:$E$21</c:f>
              <c:numCache>
                <c:formatCode>General</c:formatCode>
                <c:ptCount val="7"/>
                <c:pt idx="0">
                  <c:v>88.35</c:v>
                </c:pt>
                <c:pt idx="1">
                  <c:v>88.71</c:v>
                </c:pt>
                <c:pt idx="2">
                  <c:v>88.26</c:v>
                </c:pt>
                <c:pt idx="3">
                  <c:v>89.71</c:v>
                </c:pt>
                <c:pt idx="4">
                  <c:v>88.04</c:v>
                </c:pt>
                <c:pt idx="5">
                  <c:v>87.36</c:v>
                </c:pt>
                <c:pt idx="6">
                  <c:v>0.85</c:v>
                </c:pt>
              </c:numCache>
            </c:numRef>
          </c:val>
          <c:extLst>
            <c:ext xmlns:c16="http://schemas.microsoft.com/office/drawing/2014/chart" uri="{C3380CC4-5D6E-409C-BE32-E72D297353CC}">
              <c16:uniqueId val="{00000001-D6F0-489C-BEB9-AAA08E552AEA}"/>
            </c:ext>
          </c:extLst>
        </c:ser>
        <c:ser>
          <c:idx val="2"/>
          <c:order val="2"/>
          <c:tx>
            <c:strRef>
              <c:f>Sheet1!$F$14</c:f>
              <c:strCache>
                <c:ptCount val="1"/>
                <c:pt idx="0">
                  <c:v>0.050g</c:v>
                </c:pt>
              </c:strCache>
            </c:strRef>
          </c:tx>
          <c:invertIfNegative val="0"/>
          <c:cat>
            <c:strRef>
              <c:f>Sheet1!$B$15:$C$21</c:f>
              <c:strCache>
                <c:ptCount val="7"/>
                <c:pt idx="0">
                  <c:v>S1</c:v>
                </c:pt>
                <c:pt idx="1">
                  <c:v>S2</c:v>
                </c:pt>
                <c:pt idx="2">
                  <c:v>S3</c:v>
                </c:pt>
                <c:pt idx="3">
                  <c:v>S4</c:v>
                </c:pt>
                <c:pt idx="4">
                  <c:v>S5</c:v>
                </c:pt>
                <c:pt idx="5">
                  <c:v>S6</c:v>
                </c:pt>
                <c:pt idx="6">
                  <c:v>S7</c:v>
                </c:pt>
              </c:strCache>
            </c:strRef>
          </c:cat>
          <c:val>
            <c:numRef>
              <c:f>Sheet1!$F$15:$F$21</c:f>
              <c:numCache>
                <c:formatCode>General</c:formatCode>
                <c:ptCount val="7"/>
                <c:pt idx="0">
                  <c:v>81.94</c:v>
                </c:pt>
                <c:pt idx="1">
                  <c:v>81.400000000000006</c:v>
                </c:pt>
                <c:pt idx="2">
                  <c:v>81.290000000000006</c:v>
                </c:pt>
                <c:pt idx="3">
                  <c:v>81.87</c:v>
                </c:pt>
                <c:pt idx="4">
                  <c:v>81.45</c:v>
                </c:pt>
                <c:pt idx="5">
                  <c:v>81.22</c:v>
                </c:pt>
                <c:pt idx="6">
                  <c:v>0.02</c:v>
                </c:pt>
              </c:numCache>
            </c:numRef>
          </c:val>
          <c:extLst>
            <c:ext xmlns:c16="http://schemas.microsoft.com/office/drawing/2014/chart" uri="{C3380CC4-5D6E-409C-BE32-E72D297353CC}">
              <c16:uniqueId val="{00000002-D6F0-489C-BEB9-AAA08E552AEA}"/>
            </c:ext>
          </c:extLst>
        </c:ser>
        <c:ser>
          <c:idx val="3"/>
          <c:order val="3"/>
          <c:tx>
            <c:strRef>
              <c:f>Sheet1!$G$14</c:f>
              <c:strCache>
                <c:ptCount val="1"/>
                <c:pt idx="0">
                  <c:v>0.020g</c:v>
                </c:pt>
              </c:strCache>
            </c:strRef>
          </c:tx>
          <c:invertIfNegative val="0"/>
          <c:cat>
            <c:strRef>
              <c:f>Sheet1!$B$15:$C$21</c:f>
              <c:strCache>
                <c:ptCount val="7"/>
                <c:pt idx="0">
                  <c:v>S1</c:v>
                </c:pt>
                <c:pt idx="1">
                  <c:v>S2</c:v>
                </c:pt>
                <c:pt idx="2">
                  <c:v>S3</c:v>
                </c:pt>
                <c:pt idx="3">
                  <c:v>S4</c:v>
                </c:pt>
                <c:pt idx="4">
                  <c:v>S5</c:v>
                </c:pt>
                <c:pt idx="5">
                  <c:v>S6</c:v>
                </c:pt>
                <c:pt idx="6">
                  <c:v>S7</c:v>
                </c:pt>
              </c:strCache>
            </c:strRef>
          </c:cat>
          <c:val>
            <c:numRef>
              <c:f>Sheet1!$G$15:$G$21</c:f>
              <c:numCache>
                <c:formatCode>General</c:formatCode>
                <c:ptCount val="7"/>
                <c:pt idx="0">
                  <c:v>66.39</c:v>
                </c:pt>
                <c:pt idx="1">
                  <c:v>66.599999999999994</c:v>
                </c:pt>
                <c:pt idx="2">
                  <c:v>66.67</c:v>
                </c:pt>
                <c:pt idx="3">
                  <c:v>66.09</c:v>
                </c:pt>
                <c:pt idx="4">
                  <c:v>66.42</c:v>
                </c:pt>
                <c:pt idx="5">
                  <c:v>66.650000000000006</c:v>
                </c:pt>
                <c:pt idx="6">
                  <c:v>1E-3</c:v>
                </c:pt>
              </c:numCache>
            </c:numRef>
          </c:val>
          <c:extLst>
            <c:ext xmlns:c16="http://schemas.microsoft.com/office/drawing/2014/chart" uri="{C3380CC4-5D6E-409C-BE32-E72D297353CC}">
              <c16:uniqueId val="{00000003-D6F0-489C-BEB9-AAA08E552AEA}"/>
            </c:ext>
          </c:extLst>
        </c:ser>
        <c:dLbls>
          <c:showLegendKey val="0"/>
          <c:showVal val="0"/>
          <c:showCatName val="0"/>
          <c:showSerName val="0"/>
          <c:showPercent val="0"/>
          <c:showBubbleSize val="0"/>
        </c:dLbls>
        <c:gapWidth val="150"/>
        <c:axId val="223280128"/>
        <c:axId val="238343296"/>
      </c:barChart>
      <c:catAx>
        <c:axId val="223280128"/>
        <c:scaling>
          <c:orientation val="minMax"/>
        </c:scaling>
        <c:delete val="0"/>
        <c:axPos val="b"/>
        <c:title>
          <c:tx>
            <c:rich>
              <a:bodyPr/>
              <a:lstStyle/>
              <a:p>
                <a:pPr>
                  <a:defRPr/>
                </a:pPr>
                <a:r>
                  <a:rPr lang="en-US" sz="1000" b="0">
                    <a:latin typeface="Times New Roman" pitchFamily="18" charset="0"/>
                    <a:cs typeface="Times New Roman" pitchFamily="18" charset="0"/>
                  </a:rPr>
                  <a:t>Adsorbents</a:t>
                </a:r>
              </a:p>
            </c:rich>
          </c:tx>
          <c:overlay val="0"/>
        </c:title>
        <c:numFmt formatCode="General" sourceLinked="0"/>
        <c:majorTickMark val="out"/>
        <c:minorTickMark val="none"/>
        <c:tickLblPos val="nextTo"/>
        <c:crossAx val="238343296"/>
        <c:crosses val="autoZero"/>
        <c:auto val="1"/>
        <c:lblAlgn val="ctr"/>
        <c:lblOffset val="100"/>
        <c:noMultiLvlLbl val="0"/>
      </c:catAx>
      <c:valAx>
        <c:axId val="238343296"/>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223280128"/>
        <c:crosses val="autoZero"/>
        <c:crossBetween val="between"/>
      </c:valAx>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Cadmium</a:t>
            </a:r>
          </a:p>
        </c:rich>
      </c:tx>
      <c:layout>
        <c:manualLayout>
          <c:xMode val="edge"/>
          <c:yMode val="edge"/>
          <c:x val="0.36423150892329992"/>
          <c:y val="4.7619077377251205E-2"/>
        </c:manualLayout>
      </c:layout>
      <c:overlay val="1"/>
    </c:title>
    <c:autoTitleDeleted val="0"/>
    <c:plotArea>
      <c:layout>
        <c:manualLayout>
          <c:layoutTarget val="inner"/>
          <c:xMode val="edge"/>
          <c:yMode val="edge"/>
          <c:x val="0.15734469716897859"/>
          <c:y val="0.18335344541522647"/>
          <c:w val="0.68301912991254765"/>
          <c:h val="0.49471565624175973"/>
        </c:manualLayout>
      </c:layout>
      <c:barChart>
        <c:barDir val="col"/>
        <c:grouping val="clustered"/>
        <c:varyColors val="0"/>
        <c:ser>
          <c:idx val="0"/>
          <c:order val="0"/>
          <c:tx>
            <c:strRef>
              <c:f>Sheet4!$B$44</c:f>
              <c:strCache>
                <c:ptCount val="1"/>
                <c:pt idx="0">
                  <c:v>298K</c:v>
                </c:pt>
              </c:strCache>
            </c:strRef>
          </c:tx>
          <c:invertIfNegative val="0"/>
          <c:cat>
            <c:strRef>
              <c:f>Sheet4!$A$45:$A$51</c:f>
              <c:strCache>
                <c:ptCount val="7"/>
                <c:pt idx="0">
                  <c:v>S1</c:v>
                </c:pt>
                <c:pt idx="1">
                  <c:v>S2</c:v>
                </c:pt>
                <c:pt idx="2">
                  <c:v>S3</c:v>
                </c:pt>
                <c:pt idx="3">
                  <c:v>S4</c:v>
                </c:pt>
                <c:pt idx="4">
                  <c:v>S5</c:v>
                </c:pt>
                <c:pt idx="5">
                  <c:v>S6</c:v>
                </c:pt>
                <c:pt idx="6">
                  <c:v>S7</c:v>
                </c:pt>
              </c:strCache>
            </c:strRef>
          </c:cat>
          <c:val>
            <c:numRef>
              <c:f>Sheet4!$B$45:$B$51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B238-45EF-8AAE-0259139C7FC2}"/>
            </c:ext>
          </c:extLst>
        </c:ser>
        <c:ser>
          <c:idx val="1"/>
          <c:order val="1"/>
          <c:tx>
            <c:strRef>
              <c:f>Sheet4!$C$44</c:f>
              <c:strCache>
                <c:ptCount val="1"/>
                <c:pt idx="0">
                  <c:v>333K</c:v>
                </c:pt>
              </c:strCache>
            </c:strRef>
          </c:tx>
          <c:invertIfNegative val="0"/>
          <c:cat>
            <c:strRef>
              <c:f>Sheet4!$A$45:$A$51</c:f>
              <c:strCache>
                <c:ptCount val="7"/>
                <c:pt idx="0">
                  <c:v>S1</c:v>
                </c:pt>
                <c:pt idx="1">
                  <c:v>S2</c:v>
                </c:pt>
                <c:pt idx="2">
                  <c:v>S3</c:v>
                </c:pt>
                <c:pt idx="3">
                  <c:v>S4</c:v>
                </c:pt>
                <c:pt idx="4">
                  <c:v>S5</c:v>
                </c:pt>
                <c:pt idx="5">
                  <c:v>S6</c:v>
                </c:pt>
                <c:pt idx="6">
                  <c:v>S7</c:v>
                </c:pt>
              </c:strCache>
            </c:strRef>
          </c:cat>
          <c:val>
            <c:numRef>
              <c:f>Sheet4!$C$45:$C$51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B238-45EF-8AAE-0259139C7FC2}"/>
            </c:ext>
          </c:extLst>
        </c:ser>
        <c:ser>
          <c:idx val="2"/>
          <c:order val="2"/>
          <c:tx>
            <c:strRef>
              <c:f>Sheet4!$D$44</c:f>
              <c:strCache>
                <c:ptCount val="1"/>
                <c:pt idx="0">
                  <c:v>353K</c:v>
                </c:pt>
              </c:strCache>
            </c:strRef>
          </c:tx>
          <c:invertIfNegative val="0"/>
          <c:cat>
            <c:strRef>
              <c:f>Sheet4!$A$45:$A$51</c:f>
              <c:strCache>
                <c:ptCount val="7"/>
                <c:pt idx="0">
                  <c:v>S1</c:v>
                </c:pt>
                <c:pt idx="1">
                  <c:v>S2</c:v>
                </c:pt>
                <c:pt idx="2">
                  <c:v>S3</c:v>
                </c:pt>
                <c:pt idx="3">
                  <c:v>S4</c:v>
                </c:pt>
                <c:pt idx="4">
                  <c:v>S5</c:v>
                </c:pt>
                <c:pt idx="5">
                  <c:v>S6</c:v>
                </c:pt>
                <c:pt idx="6">
                  <c:v>S7</c:v>
                </c:pt>
              </c:strCache>
            </c:strRef>
          </c:cat>
          <c:val>
            <c:numRef>
              <c:f>Sheet4!$D$45:$D$51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2-B238-45EF-8AAE-0259139C7FC2}"/>
            </c:ext>
          </c:extLst>
        </c:ser>
        <c:dLbls>
          <c:showLegendKey val="0"/>
          <c:showVal val="0"/>
          <c:showCatName val="0"/>
          <c:showSerName val="0"/>
          <c:showPercent val="0"/>
          <c:showBubbleSize val="0"/>
        </c:dLbls>
        <c:gapWidth val="150"/>
        <c:axId val="237238528"/>
        <c:axId val="238768512"/>
      </c:barChart>
      <c:catAx>
        <c:axId val="237238528"/>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overlay val="0"/>
        </c:title>
        <c:numFmt formatCode="General" sourceLinked="0"/>
        <c:majorTickMark val="out"/>
        <c:minorTickMark val="none"/>
        <c:tickLblPos val="nextTo"/>
        <c:crossAx val="238768512"/>
        <c:crosses val="autoZero"/>
        <c:auto val="1"/>
        <c:lblAlgn val="ctr"/>
        <c:lblOffset val="100"/>
        <c:noMultiLvlLbl val="0"/>
      </c:catAx>
      <c:valAx>
        <c:axId val="238768512"/>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237238528"/>
        <c:crosses val="autoZero"/>
        <c:crossBetween val="between"/>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atin typeface="Times New Roman" pitchFamily="18" charset="0"/>
                <a:cs typeface="Times New Roman" pitchFamily="18" charset="0"/>
              </a:rPr>
              <a:t>Nitrate</a:t>
            </a:r>
          </a:p>
        </c:rich>
      </c:tx>
      <c:overlay val="1"/>
    </c:title>
    <c:autoTitleDeleted val="0"/>
    <c:plotArea>
      <c:layout>
        <c:manualLayout>
          <c:layoutTarget val="inner"/>
          <c:xMode val="edge"/>
          <c:yMode val="edge"/>
          <c:x val="0.2032939359461686"/>
          <c:y val="0.15555383797884159"/>
          <c:w val="0.67540161826226908"/>
          <c:h val="0.51271597185321161"/>
        </c:manualLayout>
      </c:layout>
      <c:barChart>
        <c:barDir val="col"/>
        <c:grouping val="clustered"/>
        <c:varyColors val="0"/>
        <c:ser>
          <c:idx val="0"/>
          <c:order val="0"/>
          <c:tx>
            <c:strRef>
              <c:f>Sheet5!$B$4</c:f>
              <c:strCache>
                <c:ptCount val="1"/>
                <c:pt idx="0">
                  <c:v>3</c:v>
                </c:pt>
              </c:strCache>
            </c:strRef>
          </c:tx>
          <c:invertIfNegative val="0"/>
          <c:cat>
            <c:strRef>
              <c:f>Sheet5!$A$5:$A$11</c:f>
              <c:strCache>
                <c:ptCount val="7"/>
                <c:pt idx="0">
                  <c:v>S1</c:v>
                </c:pt>
                <c:pt idx="1">
                  <c:v>S2</c:v>
                </c:pt>
                <c:pt idx="2">
                  <c:v>S3</c:v>
                </c:pt>
                <c:pt idx="3">
                  <c:v>S4</c:v>
                </c:pt>
                <c:pt idx="4">
                  <c:v>S5</c:v>
                </c:pt>
                <c:pt idx="5">
                  <c:v>S6</c:v>
                </c:pt>
                <c:pt idx="6">
                  <c:v>S7</c:v>
                </c:pt>
              </c:strCache>
            </c:strRef>
          </c:cat>
          <c:val>
            <c:numRef>
              <c:f>Sheet5!$B$5:$B$11</c:f>
              <c:numCache>
                <c:formatCode>General</c:formatCode>
                <c:ptCount val="7"/>
                <c:pt idx="0">
                  <c:v>27.55</c:v>
                </c:pt>
                <c:pt idx="1">
                  <c:v>27.91</c:v>
                </c:pt>
                <c:pt idx="2">
                  <c:v>27.89</c:v>
                </c:pt>
                <c:pt idx="3">
                  <c:v>27.11</c:v>
                </c:pt>
                <c:pt idx="4">
                  <c:v>28.02</c:v>
                </c:pt>
                <c:pt idx="5">
                  <c:v>27.88</c:v>
                </c:pt>
                <c:pt idx="6">
                  <c:v>43.22</c:v>
                </c:pt>
              </c:numCache>
            </c:numRef>
          </c:val>
          <c:extLst>
            <c:ext xmlns:c16="http://schemas.microsoft.com/office/drawing/2014/chart" uri="{C3380CC4-5D6E-409C-BE32-E72D297353CC}">
              <c16:uniqueId val="{00000000-6BF6-4C29-81F7-A153E0BDC328}"/>
            </c:ext>
          </c:extLst>
        </c:ser>
        <c:ser>
          <c:idx val="1"/>
          <c:order val="1"/>
          <c:tx>
            <c:strRef>
              <c:f>Sheet5!$C$4</c:f>
              <c:strCache>
                <c:ptCount val="1"/>
                <c:pt idx="0">
                  <c:v>7</c:v>
                </c:pt>
              </c:strCache>
            </c:strRef>
          </c:tx>
          <c:invertIfNegative val="0"/>
          <c:cat>
            <c:strRef>
              <c:f>Sheet5!$A$5:$A$11</c:f>
              <c:strCache>
                <c:ptCount val="7"/>
                <c:pt idx="0">
                  <c:v>S1</c:v>
                </c:pt>
                <c:pt idx="1">
                  <c:v>S2</c:v>
                </c:pt>
                <c:pt idx="2">
                  <c:v>S3</c:v>
                </c:pt>
                <c:pt idx="3">
                  <c:v>S4</c:v>
                </c:pt>
                <c:pt idx="4">
                  <c:v>S5</c:v>
                </c:pt>
                <c:pt idx="5">
                  <c:v>S6</c:v>
                </c:pt>
                <c:pt idx="6">
                  <c:v>S7</c:v>
                </c:pt>
              </c:strCache>
            </c:strRef>
          </c:cat>
          <c:val>
            <c:numRef>
              <c:f>Sheet5!$C$5:$C$11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6BF6-4C29-81F7-A153E0BDC328}"/>
            </c:ext>
          </c:extLst>
        </c:ser>
        <c:ser>
          <c:idx val="2"/>
          <c:order val="2"/>
          <c:tx>
            <c:strRef>
              <c:f>Sheet5!$D$4</c:f>
              <c:strCache>
                <c:ptCount val="1"/>
                <c:pt idx="0">
                  <c:v>10</c:v>
                </c:pt>
              </c:strCache>
            </c:strRef>
          </c:tx>
          <c:invertIfNegative val="0"/>
          <c:cat>
            <c:strRef>
              <c:f>Sheet5!$A$5:$A$11</c:f>
              <c:strCache>
                <c:ptCount val="7"/>
                <c:pt idx="0">
                  <c:v>S1</c:v>
                </c:pt>
                <c:pt idx="1">
                  <c:v>S2</c:v>
                </c:pt>
                <c:pt idx="2">
                  <c:v>S3</c:v>
                </c:pt>
                <c:pt idx="3">
                  <c:v>S4</c:v>
                </c:pt>
                <c:pt idx="4">
                  <c:v>S5</c:v>
                </c:pt>
                <c:pt idx="5">
                  <c:v>S6</c:v>
                </c:pt>
                <c:pt idx="6">
                  <c:v>S7</c:v>
                </c:pt>
              </c:strCache>
            </c:strRef>
          </c:cat>
          <c:val>
            <c:numRef>
              <c:f>Sheet5!$D$5:$D$11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2-6BF6-4C29-81F7-A153E0BDC328}"/>
            </c:ext>
          </c:extLst>
        </c:ser>
        <c:dLbls>
          <c:showLegendKey val="0"/>
          <c:showVal val="0"/>
          <c:showCatName val="0"/>
          <c:showSerName val="0"/>
          <c:showPercent val="0"/>
          <c:showBubbleSize val="0"/>
        </c:dLbls>
        <c:gapWidth val="150"/>
        <c:axId val="237231488"/>
        <c:axId val="239994368"/>
      </c:barChart>
      <c:catAx>
        <c:axId val="237231488"/>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overlay val="0"/>
        </c:title>
        <c:numFmt formatCode="General" sourceLinked="0"/>
        <c:majorTickMark val="out"/>
        <c:minorTickMark val="none"/>
        <c:tickLblPos val="nextTo"/>
        <c:crossAx val="239994368"/>
        <c:crosses val="autoZero"/>
        <c:auto val="1"/>
        <c:lblAlgn val="ctr"/>
        <c:lblOffset val="100"/>
        <c:noMultiLvlLbl val="0"/>
      </c:catAx>
      <c:valAx>
        <c:axId val="239994368"/>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237231488"/>
        <c:crosses val="autoZero"/>
        <c:crossBetween val="between"/>
      </c:valAx>
    </c:plotArea>
    <c:legend>
      <c:legendPos val="r"/>
      <c:layout>
        <c:manualLayout>
          <c:xMode val="edge"/>
          <c:yMode val="edge"/>
          <c:x val="0.86802547770700622"/>
          <c:y val="0.23210498687664041"/>
          <c:w val="0.10539645920056172"/>
          <c:h val="0.53579002624671912"/>
        </c:manualLayout>
      </c:layout>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Phosphate</a:t>
            </a:r>
          </a:p>
        </c:rich>
      </c:tx>
      <c:overlay val="1"/>
    </c:title>
    <c:autoTitleDeleted val="0"/>
    <c:plotArea>
      <c:layout>
        <c:manualLayout>
          <c:layoutTarget val="inner"/>
          <c:xMode val="edge"/>
          <c:yMode val="edge"/>
          <c:x val="0.17474208581070225"/>
          <c:y val="0.17305247984164684"/>
          <c:w val="0.67279772055688059"/>
          <c:h val="0.56438847244774404"/>
        </c:manualLayout>
      </c:layout>
      <c:barChart>
        <c:barDir val="col"/>
        <c:grouping val="clustered"/>
        <c:varyColors val="0"/>
        <c:ser>
          <c:idx val="0"/>
          <c:order val="0"/>
          <c:tx>
            <c:strRef>
              <c:f>Sheet5!$B$14</c:f>
              <c:strCache>
                <c:ptCount val="1"/>
                <c:pt idx="0">
                  <c:v>3</c:v>
                </c:pt>
              </c:strCache>
            </c:strRef>
          </c:tx>
          <c:invertIfNegative val="0"/>
          <c:cat>
            <c:strRef>
              <c:f>Sheet5!$A$15:$A$21</c:f>
              <c:strCache>
                <c:ptCount val="7"/>
                <c:pt idx="0">
                  <c:v>S1</c:v>
                </c:pt>
                <c:pt idx="1">
                  <c:v>S2</c:v>
                </c:pt>
                <c:pt idx="2">
                  <c:v>S3</c:v>
                </c:pt>
                <c:pt idx="3">
                  <c:v>S4</c:v>
                </c:pt>
                <c:pt idx="4">
                  <c:v>S5</c:v>
                </c:pt>
                <c:pt idx="5">
                  <c:v>S6</c:v>
                </c:pt>
                <c:pt idx="6">
                  <c:v>S7</c:v>
                </c:pt>
              </c:strCache>
            </c:strRef>
          </c:cat>
          <c:val>
            <c:numRef>
              <c:f>Sheet5!$B$15:$B$21</c:f>
              <c:numCache>
                <c:formatCode>General</c:formatCode>
                <c:ptCount val="7"/>
                <c:pt idx="0">
                  <c:v>38.24</c:v>
                </c:pt>
                <c:pt idx="1">
                  <c:v>47.94</c:v>
                </c:pt>
                <c:pt idx="2">
                  <c:v>48.53</c:v>
                </c:pt>
                <c:pt idx="3">
                  <c:v>42.96</c:v>
                </c:pt>
                <c:pt idx="4">
                  <c:v>39.630000000000003</c:v>
                </c:pt>
                <c:pt idx="5">
                  <c:v>52.67</c:v>
                </c:pt>
                <c:pt idx="6">
                  <c:v>2.2999999999999998</c:v>
                </c:pt>
              </c:numCache>
            </c:numRef>
          </c:val>
          <c:extLst>
            <c:ext xmlns:c16="http://schemas.microsoft.com/office/drawing/2014/chart" uri="{C3380CC4-5D6E-409C-BE32-E72D297353CC}">
              <c16:uniqueId val="{00000000-1A6F-4F90-8803-E593FA70AD02}"/>
            </c:ext>
          </c:extLst>
        </c:ser>
        <c:ser>
          <c:idx val="1"/>
          <c:order val="1"/>
          <c:tx>
            <c:strRef>
              <c:f>Sheet5!$C$14</c:f>
              <c:strCache>
                <c:ptCount val="1"/>
                <c:pt idx="0">
                  <c:v>7</c:v>
                </c:pt>
              </c:strCache>
            </c:strRef>
          </c:tx>
          <c:invertIfNegative val="0"/>
          <c:cat>
            <c:strRef>
              <c:f>Sheet5!$A$15:$A$21</c:f>
              <c:strCache>
                <c:ptCount val="7"/>
                <c:pt idx="0">
                  <c:v>S1</c:v>
                </c:pt>
                <c:pt idx="1">
                  <c:v>S2</c:v>
                </c:pt>
                <c:pt idx="2">
                  <c:v>S3</c:v>
                </c:pt>
                <c:pt idx="3">
                  <c:v>S4</c:v>
                </c:pt>
                <c:pt idx="4">
                  <c:v>S5</c:v>
                </c:pt>
                <c:pt idx="5">
                  <c:v>S6</c:v>
                </c:pt>
                <c:pt idx="6">
                  <c:v>S7</c:v>
                </c:pt>
              </c:strCache>
            </c:strRef>
          </c:cat>
          <c:val>
            <c:numRef>
              <c:f>Sheet5!$C$15:$C$21</c:f>
              <c:numCache>
                <c:formatCode>General</c:formatCode>
                <c:ptCount val="7"/>
                <c:pt idx="0">
                  <c:v>100</c:v>
                </c:pt>
                <c:pt idx="1">
                  <c:v>100</c:v>
                </c:pt>
                <c:pt idx="2">
                  <c:v>100</c:v>
                </c:pt>
                <c:pt idx="3">
                  <c:v>100</c:v>
                </c:pt>
                <c:pt idx="4">
                  <c:v>100</c:v>
                </c:pt>
                <c:pt idx="5">
                  <c:v>100</c:v>
                </c:pt>
                <c:pt idx="6">
                  <c:v>8</c:v>
                </c:pt>
              </c:numCache>
            </c:numRef>
          </c:val>
          <c:extLst>
            <c:ext xmlns:c16="http://schemas.microsoft.com/office/drawing/2014/chart" uri="{C3380CC4-5D6E-409C-BE32-E72D297353CC}">
              <c16:uniqueId val="{00000001-1A6F-4F90-8803-E593FA70AD02}"/>
            </c:ext>
          </c:extLst>
        </c:ser>
        <c:ser>
          <c:idx val="2"/>
          <c:order val="2"/>
          <c:tx>
            <c:strRef>
              <c:f>Sheet5!$D$14</c:f>
              <c:strCache>
                <c:ptCount val="1"/>
                <c:pt idx="0">
                  <c:v>10</c:v>
                </c:pt>
              </c:strCache>
            </c:strRef>
          </c:tx>
          <c:invertIfNegative val="0"/>
          <c:cat>
            <c:strRef>
              <c:f>Sheet5!$A$15:$A$21</c:f>
              <c:strCache>
                <c:ptCount val="7"/>
                <c:pt idx="0">
                  <c:v>S1</c:v>
                </c:pt>
                <c:pt idx="1">
                  <c:v>S2</c:v>
                </c:pt>
                <c:pt idx="2">
                  <c:v>S3</c:v>
                </c:pt>
                <c:pt idx="3">
                  <c:v>S4</c:v>
                </c:pt>
                <c:pt idx="4">
                  <c:v>S5</c:v>
                </c:pt>
                <c:pt idx="5">
                  <c:v>S6</c:v>
                </c:pt>
                <c:pt idx="6">
                  <c:v>S7</c:v>
                </c:pt>
              </c:strCache>
            </c:strRef>
          </c:cat>
          <c:val>
            <c:numRef>
              <c:f>Sheet5!$D$15:$D$21</c:f>
              <c:numCache>
                <c:formatCode>General</c:formatCode>
                <c:ptCount val="7"/>
                <c:pt idx="0">
                  <c:v>100</c:v>
                </c:pt>
                <c:pt idx="1">
                  <c:v>100</c:v>
                </c:pt>
                <c:pt idx="2">
                  <c:v>100</c:v>
                </c:pt>
                <c:pt idx="3">
                  <c:v>100</c:v>
                </c:pt>
                <c:pt idx="4">
                  <c:v>100</c:v>
                </c:pt>
                <c:pt idx="5">
                  <c:v>100</c:v>
                </c:pt>
                <c:pt idx="6">
                  <c:v>95.76</c:v>
                </c:pt>
              </c:numCache>
            </c:numRef>
          </c:val>
          <c:extLst>
            <c:ext xmlns:c16="http://schemas.microsoft.com/office/drawing/2014/chart" uri="{C3380CC4-5D6E-409C-BE32-E72D297353CC}">
              <c16:uniqueId val="{00000002-1A6F-4F90-8803-E593FA70AD02}"/>
            </c:ext>
          </c:extLst>
        </c:ser>
        <c:dLbls>
          <c:showLegendKey val="0"/>
          <c:showVal val="0"/>
          <c:showCatName val="0"/>
          <c:showSerName val="0"/>
          <c:showPercent val="0"/>
          <c:showBubbleSize val="0"/>
        </c:dLbls>
        <c:gapWidth val="150"/>
        <c:axId val="240665344"/>
        <c:axId val="240667264"/>
      </c:barChart>
      <c:catAx>
        <c:axId val="240665344"/>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overlay val="0"/>
        </c:title>
        <c:numFmt formatCode="General" sourceLinked="0"/>
        <c:majorTickMark val="out"/>
        <c:minorTickMark val="none"/>
        <c:tickLblPos val="nextTo"/>
        <c:crossAx val="240667264"/>
        <c:crosses val="autoZero"/>
        <c:auto val="1"/>
        <c:lblAlgn val="ctr"/>
        <c:lblOffset val="100"/>
        <c:noMultiLvlLbl val="0"/>
      </c:catAx>
      <c:valAx>
        <c:axId val="240667264"/>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240665344"/>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Lead</a:t>
            </a:r>
          </a:p>
        </c:rich>
      </c:tx>
      <c:overlay val="1"/>
    </c:title>
    <c:autoTitleDeleted val="0"/>
    <c:plotArea>
      <c:layout>
        <c:manualLayout>
          <c:layoutTarget val="inner"/>
          <c:xMode val="edge"/>
          <c:yMode val="edge"/>
          <c:x val="0.18196227143847826"/>
          <c:y val="0.19122714013028749"/>
          <c:w val="0.67985428242874335"/>
          <c:h val="0.53000632805149661"/>
        </c:manualLayout>
      </c:layout>
      <c:barChart>
        <c:barDir val="col"/>
        <c:grouping val="clustered"/>
        <c:varyColors val="0"/>
        <c:ser>
          <c:idx val="0"/>
          <c:order val="0"/>
          <c:tx>
            <c:strRef>
              <c:f>Sheet5!$B$24</c:f>
              <c:strCache>
                <c:ptCount val="1"/>
                <c:pt idx="0">
                  <c:v>3</c:v>
                </c:pt>
              </c:strCache>
            </c:strRef>
          </c:tx>
          <c:invertIfNegative val="0"/>
          <c:cat>
            <c:strRef>
              <c:f>Sheet5!$A$25:$A$31</c:f>
              <c:strCache>
                <c:ptCount val="7"/>
                <c:pt idx="0">
                  <c:v>S1</c:v>
                </c:pt>
                <c:pt idx="1">
                  <c:v>S2</c:v>
                </c:pt>
                <c:pt idx="2">
                  <c:v>S3</c:v>
                </c:pt>
                <c:pt idx="3">
                  <c:v>S4</c:v>
                </c:pt>
                <c:pt idx="4">
                  <c:v>S5</c:v>
                </c:pt>
                <c:pt idx="5">
                  <c:v>S6</c:v>
                </c:pt>
                <c:pt idx="6">
                  <c:v>S7</c:v>
                </c:pt>
              </c:strCache>
            </c:strRef>
          </c:cat>
          <c:val>
            <c:numRef>
              <c:f>Sheet5!$B$25:$B$31</c:f>
              <c:numCache>
                <c:formatCode>General</c:formatCode>
                <c:ptCount val="7"/>
                <c:pt idx="0">
                  <c:v>94.37</c:v>
                </c:pt>
                <c:pt idx="1">
                  <c:v>95.72</c:v>
                </c:pt>
                <c:pt idx="2">
                  <c:v>94.51</c:v>
                </c:pt>
                <c:pt idx="3">
                  <c:v>95.61</c:v>
                </c:pt>
                <c:pt idx="4">
                  <c:v>95.19</c:v>
                </c:pt>
                <c:pt idx="5">
                  <c:v>95.44</c:v>
                </c:pt>
                <c:pt idx="6">
                  <c:v>94.37</c:v>
                </c:pt>
              </c:numCache>
            </c:numRef>
          </c:val>
          <c:extLst>
            <c:ext xmlns:c16="http://schemas.microsoft.com/office/drawing/2014/chart" uri="{C3380CC4-5D6E-409C-BE32-E72D297353CC}">
              <c16:uniqueId val="{00000000-0282-4901-B4D8-93EBE8F1D089}"/>
            </c:ext>
          </c:extLst>
        </c:ser>
        <c:ser>
          <c:idx val="1"/>
          <c:order val="1"/>
          <c:tx>
            <c:strRef>
              <c:f>Sheet5!$C$24</c:f>
              <c:strCache>
                <c:ptCount val="1"/>
                <c:pt idx="0">
                  <c:v>7</c:v>
                </c:pt>
              </c:strCache>
            </c:strRef>
          </c:tx>
          <c:invertIfNegative val="0"/>
          <c:cat>
            <c:strRef>
              <c:f>Sheet5!$A$25:$A$31</c:f>
              <c:strCache>
                <c:ptCount val="7"/>
                <c:pt idx="0">
                  <c:v>S1</c:v>
                </c:pt>
                <c:pt idx="1">
                  <c:v>S2</c:v>
                </c:pt>
                <c:pt idx="2">
                  <c:v>S3</c:v>
                </c:pt>
                <c:pt idx="3">
                  <c:v>S4</c:v>
                </c:pt>
                <c:pt idx="4">
                  <c:v>S5</c:v>
                </c:pt>
                <c:pt idx="5">
                  <c:v>S6</c:v>
                </c:pt>
                <c:pt idx="6">
                  <c:v>S7</c:v>
                </c:pt>
              </c:strCache>
            </c:strRef>
          </c:cat>
          <c:val>
            <c:numRef>
              <c:f>Sheet5!$C$25:$C$31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0282-4901-B4D8-93EBE8F1D089}"/>
            </c:ext>
          </c:extLst>
        </c:ser>
        <c:ser>
          <c:idx val="2"/>
          <c:order val="2"/>
          <c:tx>
            <c:strRef>
              <c:f>Sheet5!$D$24</c:f>
              <c:strCache>
                <c:ptCount val="1"/>
                <c:pt idx="0">
                  <c:v>10</c:v>
                </c:pt>
              </c:strCache>
            </c:strRef>
          </c:tx>
          <c:invertIfNegative val="0"/>
          <c:cat>
            <c:strRef>
              <c:f>Sheet5!$A$25:$A$31</c:f>
              <c:strCache>
                <c:ptCount val="7"/>
                <c:pt idx="0">
                  <c:v>S1</c:v>
                </c:pt>
                <c:pt idx="1">
                  <c:v>S2</c:v>
                </c:pt>
                <c:pt idx="2">
                  <c:v>S3</c:v>
                </c:pt>
                <c:pt idx="3">
                  <c:v>S4</c:v>
                </c:pt>
                <c:pt idx="4">
                  <c:v>S5</c:v>
                </c:pt>
                <c:pt idx="5">
                  <c:v>S6</c:v>
                </c:pt>
                <c:pt idx="6">
                  <c:v>S7</c:v>
                </c:pt>
              </c:strCache>
            </c:strRef>
          </c:cat>
          <c:val>
            <c:numRef>
              <c:f>Sheet5!$D$25:$D$31</c:f>
              <c:numCache>
                <c:formatCode>General</c:formatCode>
                <c:ptCount val="7"/>
                <c:pt idx="0">
                  <c:v>98.29</c:v>
                </c:pt>
                <c:pt idx="1">
                  <c:v>97.04</c:v>
                </c:pt>
                <c:pt idx="2">
                  <c:v>97.04</c:v>
                </c:pt>
                <c:pt idx="3">
                  <c:v>97.11</c:v>
                </c:pt>
                <c:pt idx="4">
                  <c:v>97.58</c:v>
                </c:pt>
                <c:pt idx="5">
                  <c:v>97.45</c:v>
                </c:pt>
                <c:pt idx="6">
                  <c:v>96.68</c:v>
                </c:pt>
              </c:numCache>
            </c:numRef>
          </c:val>
          <c:extLst>
            <c:ext xmlns:c16="http://schemas.microsoft.com/office/drawing/2014/chart" uri="{C3380CC4-5D6E-409C-BE32-E72D297353CC}">
              <c16:uniqueId val="{00000002-0282-4901-B4D8-93EBE8F1D089}"/>
            </c:ext>
          </c:extLst>
        </c:ser>
        <c:dLbls>
          <c:showLegendKey val="0"/>
          <c:showVal val="0"/>
          <c:showCatName val="0"/>
          <c:showSerName val="0"/>
          <c:showPercent val="0"/>
          <c:showBubbleSize val="0"/>
        </c:dLbls>
        <c:gapWidth val="150"/>
        <c:axId val="260511616"/>
        <c:axId val="260513792"/>
      </c:barChart>
      <c:catAx>
        <c:axId val="260511616"/>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overlay val="0"/>
        </c:title>
        <c:numFmt formatCode="General" sourceLinked="0"/>
        <c:majorTickMark val="out"/>
        <c:minorTickMark val="none"/>
        <c:tickLblPos val="nextTo"/>
        <c:crossAx val="260513792"/>
        <c:crosses val="autoZero"/>
        <c:auto val="1"/>
        <c:lblAlgn val="ctr"/>
        <c:lblOffset val="100"/>
        <c:noMultiLvlLbl val="0"/>
      </c:catAx>
      <c:valAx>
        <c:axId val="260513792"/>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260511616"/>
        <c:crosses val="autoZero"/>
        <c:crossBetween val="between"/>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Copper</a:t>
            </a:r>
          </a:p>
        </c:rich>
      </c:tx>
      <c:layout>
        <c:manualLayout>
          <c:xMode val="edge"/>
          <c:yMode val="edge"/>
          <c:x val="0.4218803418803419"/>
          <c:y val="4.0816348393780275E-2"/>
        </c:manualLayout>
      </c:layout>
      <c:overlay val="1"/>
    </c:title>
    <c:autoTitleDeleted val="0"/>
    <c:plotArea>
      <c:layout>
        <c:manualLayout>
          <c:layoutTarget val="inner"/>
          <c:xMode val="edge"/>
          <c:yMode val="edge"/>
          <c:x val="0.1762581192502452"/>
          <c:y val="0.20782221301284709"/>
          <c:w val="0.68118490239225149"/>
          <c:h val="0.52276047070569964"/>
        </c:manualLayout>
      </c:layout>
      <c:barChart>
        <c:barDir val="col"/>
        <c:grouping val="clustered"/>
        <c:varyColors val="0"/>
        <c:ser>
          <c:idx val="0"/>
          <c:order val="0"/>
          <c:tx>
            <c:strRef>
              <c:f>Sheet5!$B$34</c:f>
              <c:strCache>
                <c:ptCount val="1"/>
                <c:pt idx="0">
                  <c:v>3</c:v>
                </c:pt>
              </c:strCache>
            </c:strRef>
          </c:tx>
          <c:invertIfNegative val="0"/>
          <c:cat>
            <c:strRef>
              <c:f>Sheet5!$A$35:$A$41</c:f>
              <c:strCache>
                <c:ptCount val="7"/>
                <c:pt idx="0">
                  <c:v>S1</c:v>
                </c:pt>
                <c:pt idx="1">
                  <c:v>S2</c:v>
                </c:pt>
                <c:pt idx="2">
                  <c:v>S3</c:v>
                </c:pt>
                <c:pt idx="3">
                  <c:v>S4</c:v>
                </c:pt>
                <c:pt idx="4">
                  <c:v>S5</c:v>
                </c:pt>
                <c:pt idx="5">
                  <c:v>S6</c:v>
                </c:pt>
                <c:pt idx="6">
                  <c:v>S7</c:v>
                </c:pt>
              </c:strCache>
            </c:strRef>
          </c:cat>
          <c:val>
            <c:numRef>
              <c:f>Sheet5!$B$35:$B$41</c:f>
              <c:numCache>
                <c:formatCode>General</c:formatCode>
                <c:ptCount val="7"/>
                <c:pt idx="0">
                  <c:v>28.92</c:v>
                </c:pt>
                <c:pt idx="1">
                  <c:v>20.93</c:v>
                </c:pt>
                <c:pt idx="2">
                  <c:v>21.44</c:v>
                </c:pt>
                <c:pt idx="3">
                  <c:v>22.9</c:v>
                </c:pt>
                <c:pt idx="4">
                  <c:v>18.760000000000002</c:v>
                </c:pt>
                <c:pt idx="5">
                  <c:v>20.83</c:v>
                </c:pt>
                <c:pt idx="6">
                  <c:v>18.86</c:v>
                </c:pt>
              </c:numCache>
            </c:numRef>
          </c:val>
          <c:extLst>
            <c:ext xmlns:c16="http://schemas.microsoft.com/office/drawing/2014/chart" uri="{C3380CC4-5D6E-409C-BE32-E72D297353CC}">
              <c16:uniqueId val="{00000000-12BF-484E-A8FF-C02A0656E2CB}"/>
            </c:ext>
          </c:extLst>
        </c:ser>
        <c:ser>
          <c:idx val="1"/>
          <c:order val="1"/>
          <c:tx>
            <c:strRef>
              <c:f>Sheet5!$C$34</c:f>
              <c:strCache>
                <c:ptCount val="1"/>
                <c:pt idx="0">
                  <c:v>7</c:v>
                </c:pt>
              </c:strCache>
            </c:strRef>
          </c:tx>
          <c:invertIfNegative val="0"/>
          <c:cat>
            <c:strRef>
              <c:f>Sheet5!$A$35:$A$41</c:f>
              <c:strCache>
                <c:ptCount val="7"/>
                <c:pt idx="0">
                  <c:v>S1</c:v>
                </c:pt>
                <c:pt idx="1">
                  <c:v>S2</c:v>
                </c:pt>
                <c:pt idx="2">
                  <c:v>S3</c:v>
                </c:pt>
                <c:pt idx="3">
                  <c:v>S4</c:v>
                </c:pt>
                <c:pt idx="4">
                  <c:v>S5</c:v>
                </c:pt>
                <c:pt idx="5">
                  <c:v>S6</c:v>
                </c:pt>
                <c:pt idx="6">
                  <c:v>S7</c:v>
                </c:pt>
              </c:strCache>
            </c:strRef>
          </c:cat>
          <c:val>
            <c:numRef>
              <c:f>Sheet5!$C$35:$C$41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12BF-484E-A8FF-C02A0656E2CB}"/>
            </c:ext>
          </c:extLst>
        </c:ser>
        <c:ser>
          <c:idx val="2"/>
          <c:order val="2"/>
          <c:tx>
            <c:strRef>
              <c:f>Sheet5!$D$34</c:f>
              <c:strCache>
                <c:ptCount val="1"/>
                <c:pt idx="0">
                  <c:v>10</c:v>
                </c:pt>
              </c:strCache>
            </c:strRef>
          </c:tx>
          <c:invertIfNegative val="0"/>
          <c:cat>
            <c:strRef>
              <c:f>Sheet5!$A$35:$A$41</c:f>
              <c:strCache>
                <c:ptCount val="7"/>
                <c:pt idx="0">
                  <c:v>S1</c:v>
                </c:pt>
                <c:pt idx="1">
                  <c:v>S2</c:v>
                </c:pt>
                <c:pt idx="2">
                  <c:v>S3</c:v>
                </c:pt>
                <c:pt idx="3">
                  <c:v>S4</c:v>
                </c:pt>
                <c:pt idx="4">
                  <c:v>S5</c:v>
                </c:pt>
                <c:pt idx="5">
                  <c:v>S6</c:v>
                </c:pt>
                <c:pt idx="6">
                  <c:v>S7</c:v>
                </c:pt>
              </c:strCache>
            </c:strRef>
          </c:cat>
          <c:val>
            <c:numRef>
              <c:f>Sheet5!$D$35:$D$41</c:f>
              <c:numCache>
                <c:formatCode>General</c:formatCode>
                <c:ptCount val="7"/>
                <c:pt idx="0">
                  <c:v>100</c:v>
                </c:pt>
                <c:pt idx="1">
                  <c:v>100</c:v>
                </c:pt>
                <c:pt idx="2">
                  <c:v>100</c:v>
                </c:pt>
                <c:pt idx="3">
                  <c:v>100</c:v>
                </c:pt>
                <c:pt idx="4">
                  <c:v>100</c:v>
                </c:pt>
                <c:pt idx="5">
                  <c:v>99.11</c:v>
                </c:pt>
                <c:pt idx="6">
                  <c:v>99.45</c:v>
                </c:pt>
              </c:numCache>
            </c:numRef>
          </c:val>
          <c:extLst>
            <c:ext xmlns:c16="http://schemas.microsoft.com/office/drawing/2014/chart" uri="{C3380CC4-5D6E-409C-BE32-E72D297353CC}">
              <c16:uniqueId val="{00000002-12BF-484E-A8FF-C02A0656E2CB}"/>
            </c:ext>
          </c:extLst>
        </c:ser>
        <c:dLbls>
          <c:showLegendKey val="0"/>
          <c:showVal val="0"/>
          <c:showCatName val="0"/>
          <c:showSerName val="0"/>
          <c:showPercent val="0"/>
          <c:showBubbleSize val="0"/>
        </c:dLbls>
        <c:gapWidth val="150"/>
        <c:axId val="260713472"/>
        <c:axId val="260752512"/>
      </c:barChart>
      <c:catAx>
        <c:axId val="260713472"/>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overlay val="0"/>
        </c:title>
        <c:numFmt formatCode="General" sourceLinked="0"/>
        <c:majorTickMark val="out"/>
        <c:minorTickMark val="none"/>
        <c:tickLblPos val="nextTo"/>
        <c:crossAx val="260752512"/>
        <c:crosses val="autoZero"/>
        <c:auto val="1"/>
        <c:lblAlgn val="ctr"/>
        <c:lblOffset val="100"/>
        <c:noMultiLvlLbl val="0"/>
      </c:catAx>
      <c:valAx>
        <c:axId val="260752512"/>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260713472"/>
        <c:crosses val="autoZero"/>
        <c:crossBetween val="between"/>
      </c:valAx>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Cadmium</a:t>
            </a:r>
          </a:p>
        </c:rich>
      </c:tx>
      <c:overlay val="1"/>
    </c:title>
    <c:autoTitleDeleted val="0"/>
    <c:plotArea>
      <c:layout>
        <c:manualLayout>
          <c:layoutTarget val="inner"/>
          <c:xMode val="edge"/>
          <c:yMode val="edge"/>
          <c:x val="0.19674723586380971"/>
          <c:y val="0.22871550147140698"/>
          <c:w val="0.64495486844632222"/>
          <c:h val="0.45294392746361251"/>
        </c:manualLayout>
      </c:layout>
      <c:barChart>
        <c:barDir val="col"/>
        <c:grouping val="clustered"/>
        <c:varyColors val="0"/>
        <c:ser>
          <c:idx val="0"/>
          <c:order val="0"/>
          <c:tx>
            <c:strRef>
              <c:f>Sheet5!$B$44</c:f>
              <c:strCache>
                <c:ptCount val="1"/>
                <c:pt idx="0">
                  <c:v>3</c:v>
                </c:pt>
              </c:strCache>
            </c:strRef>
          </c:tx>
          <c:invertIfNegative val="0"/>
          <c:cat>
            <c:strRef>
              <c:f>Sheet5!$A$45:$A$51</c:f>
              <c:strCache>
                <c:ptCount val="7"/>
                <c:pt idx="0">
                  <c:v>S1</c:v>
                </c:pt>
                <c:pt idx="1">
                  <c:v>S2</c:v>
                </c:pt>
                <c:pt idx="2">
                  <c:v>S3</c:v>
                </c:pt>
                <c:pt idx="3">
                  <c:v>S4</c:v>
                </c:pt>
                <c:pt idx="4">
                  <c:v>S5</c:v>
                </c:pt>
                <c:pt idx="5">
                  <c:v>S6</c:v>
                </c:pt>
                <c:pt idx="6">
                  <c:v>S7</c:v>
                </c:pt>
              </c:strCache>
            </c:strRef>
          </c:cat>
          <c:val>
            <c:numRef>
              <c:f>Sheet5!$B$45:$B$51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D045-46FD-8EEB-E4DCF2183060}"/>
            </c:ext>
          </c:extLst>
        </c:ser>
        <c:ser>
          <c:idx val="1"/>
          <c:order val="1"/>
          <c:tx>
            <c:strRef>
              <c:f>Sheet5!$C$44</c:f>
              <c:strCache>
                <c:ptCount val="1"/>
                <c:pt idx="0">
                  <c:v>7</c:v>
                </c:pt>
              </c:strCache>
            </c:strRef>
          </c:tx>
          <c:invertIfNegative val="0"/>
          <c:cat>
            <c:strRef>
              <c:f>Sheet5!$A$45:$A$51</c:f>
              <c:strCache>
                <c:ptCount val="7"/>
                <c:pt idx="0">
                  <c:v>S1</c:v>
                </c:pt>
                <c:pt idx="1">
                  <c:v>S2</c:v>
                </c:pt>
                <c:pt idx="2">
                  <c:v>S3</c:v>
                </c:pt>
                <c:pt idx="3">
                  <c:v>S4</c:v>
                </c:pt>
                <c:pt idx="4">
                  <c:v>S5</c:v>
                </c:pt>
                <c:pt idx="5">
                  <c:v>S6</c:v>
                </c:pt>
                <c:pt idx="6">
                  <c:v>S7</c:v>
                </c:pt>
              </c:strCache>
            </c:strRef>
          </c:cat>
          <c:val>
            <c:numRef>
              <c:f>Sheet5!$C$45:$C$51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D045-46FD-8EEB-E4DCF2183060}"/>
            </c:ext>
          </c:extLst>
        </c:ser>
        <c:ser>
          <c:idx val="2"/>
          <c:order val="2"/>
          <c:tx>
            <c:strRef>
              <c:f>Sheet5!$D$44</c:f>
              <c:strCache>
                <c:ptCount val="1"/>
                <c:pt idx="0">
                  <c:v>10</c:v>
                </c:pt>
              </c:strCache>
            </c:strRef>
          </c:tx>
          <c:invertIfNegative val="0"/>
          <c:cat>
            <c:strRef>
              <c:f>Sheet5!$A$45:$A$51</c:f>
              <c:strCache>
                <c:ptCount val="7"/>
                <c:pt idx="0">
                  <c:v>S1</c:v>
                </c:pt>
                <c:pt idx="1">
                  <c:v>S2</c:v>
                </c:pt>
                <c:pt idx="2">
                  <c:v>S3</c:v>
                </c:pt>
                <c:pt idx="3">
                  <c:v>S4</c:v>
                </c:pt>
                <c:pt idx="4">
                  <c:v>S5</c:v>
                </c:pt>
                <c:pt idx="5">
                  <c:v>S6</c:v>
                </c:pt>
                <c:pt idx="6">
                  <c:v>S7</c:v>
                </c:pt>
              </c:strCache>
            </c:strRef>
          </c:cat>
          <c:val>
            <c:numRef>
              <c:f>Sheet5!$D$45:$D$51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2-D045-46FD-8EEB-E4DCF2183060}"/>
            </c:ext>
          </c:extLst>
        </c:ser>
        <c:dLbls>
          <c:showLegendKey val="0"/>
          <c:showVal val="0"/>
          <c:showCatName val="0"/>
          <c:showSerName val="0"/>
          <c:showPercent val="0"/>
          <c:showBubbleSize val="0"/>
        </c:dLbls>
        <c:gapWidth val="150"/>
        <c:axId val="261755264"/>
        <c:axId val="261757184"/>
      </c:barChart>
      <c:catAx>
        <c:axId val="261755264"/>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overlay val="0"/>
        </c:title>
        <c:numFmt formatCode="General" sourceLinked="0"/>
        <c:majorTickMark val="out"/>
        <c:minorTickMark val="none"/>
        <c:tickLblPos val="nextTo"/>
        <c:crossAx val="261757184"/>
        <c:crosses val="autoZero"/>
        <c:auto val="1"/>
        <c:lblAlgn val="ctr"/>
        <c:lblOffset val="100"/>
        <c:noMultiLvlLbl val="0"/>
      </c:catAx>
      <c:valAx>
        <c:axId val="261757184"/>
        <c:scaling>
          <c:orientation val="minMax"/>
        </c:scaling>
        <c:delete val="0"/>
        <c:axPos val="l"/>
        <c:title>
          <c:tx>
            <c:rich>
              <a:bodyPr rot="-5400000" vert="horz"/>
              <a:lstStyle/>
              <a:p>
                <a:pPr>
                  <a:defRPr/>
                </a:pPr>
                <a:r>
                  <a:rPr lang="en-US" sz="1050">
                    <a:latin typeface="Times New Roman" pitchFamily="18" charset="0"/>
                    <a:cs typeface="Times New Roman" pitchFamily="18" charset="0"/>
                  </a:rPr>
                  <a:t>%</a:t>
                </a:r>
                <a:r>
                  <a:rPr lang="en-US" sz="1050" b="0">
                    <a:latin typeface="Times New Roman" pitchFamily="18" charset="0"/>
                    <a:cs typeface="Times New Roman" pitchFamily="18" charset="0"/>
                  </a:rPr>
                  <a:t>removal</a:t>
                </a:r>
              </a:p>
            </c:rich>
          </c:tx>
          <c:layout>
            <c:manualLayout>
              <c:xMode val="edge"/>
              <c:yMode val="edge"/>
              <c:x val="7.8264758497316636E-2"/>
              <c:y val="0.40116783154914626"/>
            </c:manualLayout>
          </c:layout>
          <c:overlay val="0"/>
        </c:title>
        <c:numFmt formatCode="General" sourceLinked="1"/>
        <c:majorTickMark val="out"/>
        <c:minorTickMark val="none"/>
        <c:tickLblPos val="nextTo"/>
        <c:crossAx val="26175526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Lead</a:t>
            </a:r>
          </a:p>
        </c:rich>
      </c:tx>
      <c:overlay val="1"/>
    </c:title>
    <c:autoTitleDeleted val="0"/>
    <c:plotArea>
      <c:layout>
        <c:manualLayout>
          <c:layoutTarget val="inner"/>
          <c:xMode val="edge"/>
          <c:yMode val="edge"/>
          <c:x val="0.16635175248555104"/>
          <c:y val="0.2239902770774343"/>
          <c:w val="0.66244085062848346"/>
          <c:h val="0.45140642035130224"/>
        </c:manualLayout>
      </c:layout>
      <c:barChart>
        <c:barDir val="col"/>
        <c:grouping val="clustered"/>
        <c:varyColors val="0"/>
        <c:ser>
          <c:idx val="0"/>
          <c:order val="0"/>
          <c:tx>
            <c:strRef>
              <c:f>Sheet1!$D$24</c:f>
              <c:strCache>
                <c:ptCount val="1"/>
                <c:pt idx="0">
                  <c:v>0.50g</c:v>
                </c:pt>
              </c:strCache>
            </c:strRef>
          </c:tx>
          <c:invertIfNegative val="0"/>
          <c:cat>
            <c:strRef>
              <c:f>Sheet1!$C$25:$C$31</c:f>
              <c:strCache>
                <c:ptCount val="7"/>
                <c:pt idx="0">
                  <c:v>S1</c:v>
                </c:pt>
                <c:pt idx="1">
                  <c:v>S2</c:v>
                </c:pt>
                <c:pt idx="2">
                  <c:v>S3</c:v>
                </c:pt>
                <c:pt idx="3">
                  <c:v>S4</c:v>
                </c:pt>
                <c:pt idx="4">
                  <c:v>S5</c:v>
                </c:pt>
                <c:pt idx="5">
                  <c:v>S6</c:v>
                </c:pt>
                <c:pt idx="6">
                  <c:v>S7</c:v>
                </c:pt>
              </c:strCache>
            </c:strRef>
          </c:cat>
          <c:val>
            <c:numRef>
              <c:f>Sheet1!$D$25:$D$31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D3CE-4144-9690-1A6BC656842E}"/>
            </c:ext>
          </c:extLst>
        </c:ser>
        <c:ser>
          <c:idx val="1"/>
          <c:order val="1"/>
          <c:tx>
            <c:strRef>
              <c:f>Sheet1!$E$24</c:f>
              <c:strCache>
                <c:ptCount val="1"/>
                <c:pt idx="0">
                  <c:v>0.20g</c:v>
                </c:pt>
              </c:strCache>
            </c:strRef>
          </c:tx>
          <c:invertIfNegative val="0"/>
          <c:cat>
            <c:strRef>
              <c:f>Sheet1!$C$25:$C$31</c:f>
              <c:strCache>
                <c:ptCount val="7"/>
                <c:pt idx="0">
                  <c:v>S1</c:v>
                </c:pt>
                <c:pt idx="1">
                  <c:v>S2</c:v>
                </c:pt>
                <c:pt idx="2">
                  <c:v>S3</c:v>
                </c:pt>
                <c:pt idx="3">
                  <c:v>S4</c:v>
                </c:pt>
                <c:pt idx="4">
                  <c:v>S5</c:v>
                </c:pt>
                <c:pt idx="5">
                  <c:v>S6</c:v>
                </c:pt>
                <c:pt idx="6">
                  <c:v>S7</c:v>
                </c:pt>
              </c:strCache>
            </c:strRef>
          </c:cat>
          <c:val>
            <c:numRef>
              <c:f>Sheet1!$E$25:$E$31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D3CE-4144-9690-1A6BC656842E}"/>
            </c:ext>
          </c:extLst>
        </c:ser>
        <c:ser>
          <c:idx val="2"/>
          <c:order val="2"/>
          <c:tx>
            <c:strRef>
              <c:f>Sheet1!$F$24</c:f>
              <c:strCache>
                <c:ptCount val="1"/>
                <c:pt idx="0">
                  <c:v>0.10g</c:v>
                </c:pt>
              </c:strCache>
            </c:strRef>
          </c:tx>
          <c:invertIfNegative val="0"/>
          <c:cat>
            <c:strRef>
              <c:f>Sheet1!$C$25:$C$31</c:f>
              <c:strCache>
                <c:ptCount val="7"/>
                <c:pt idx="0">
                  <c:v>S1</c:v>
                </c:pt>
                <c:pt idx="1">
                  <c:v>S2</c:v>
                </c:pt>
                <c:pt idx="2">
                  <c:v>S3</c:v>
                </c:pt>
                <c:pt idx="3">
                  <c:v>S4</c:v>
                </c:pt>
                <c:pt idx="4">
                  <c:v>S5</c:v>
                </c:pt>
                <c:pt idx="5">
                  <c:v>S6</c:v>
                </c:pt>
                <c:pt idx="6">
                  <c:v>S7</c:v>
                </c:pt>
              </c:strCache>
            </c:strRef>
          </c:cat>
          <c:val>
            <c:numRef>
              <c:f>Sheet1!$F$25:$F$31</c:f>
              <c:numCache>
                <c:formatCode>General</c:formatCode>
                <c:ptCount val="7"/>
                <c:pt idx="0">
                  <c:v>99.92</c:v>
                </c:pt>
                <c:pt idx="1">
                  <c:v>99.11</c:v>
                </c:pt>
                <c:pt idx="2">
                  <c:v>99.004000000000005</c:v>
                </c:pt>
                <c:pt idx="3">
                  <c:v>99.82</c:v>
                </c:pt>
                <c:pt idx="4">
                  <c:v>99.84</c:v>
                </c:pt>
                <c:pt idx="5">
                  <c:v>99.64</c:v>
                </c:pt>
                <c:pt idx="6">
                  <c:v>99.54</c:v>
                </c:pt>
              </c:numCache>
            </c:numRef>
          </c:val>
          <c:extLst>
            <c:ext xmlns:c16="http://schemas.microsoft.com/office/drawing/2014/chart" uri="{C3380CC4-5D6E-409C-BE32-E72D297353CC}">
              <c16:uniqueId val="{00000002-D3CE-4144-9690-1A6BC656842E}"/>
            </c:ext>
          </c:extLst>
        </c:ser>
        <c:ser>
          <c:idx val="3"/>
          <c:order val="3"/>
          <c:tx>
            <c:strRef>
              <c:f>Sheet1!$G$24</c:f>
              <c:strCache>
                <c:ptCount val="1"/>
                <c:pt idx="0">
                  <c:v>0.050g</c:v>
                </c:pt>
              </c:strCache>
            </c:strRef>
          </c:tx>
          <c:invertIfNegative val="0"/>
          <c:cat>
            <c:strRef>
              <c:f>Sheet1!$C$25:$C$31</c:f>
              <c:strCache>
                <c:ptCount val="7"/>
                <c:pt idx="0">
                  <c:v>S1</c:v>
                </c:pt>
                <c:pt idx="1">
                  <c:v>S2</c:v>
                </c:pt>
                <c:pt idx="2">
                  <c:v>S3</c:v>
                </c:pt>
                <c:pt idx="3">
                  <c:v>S4</c:v>
                </c:pt>
                <c:pt idx="4">
                  <c:v>S5</c:v>
                </c:pt>
                <c:pt idx="5">
                  <c:v>S6</c:v>
                </c:pt>
                <c:pt idx="6">
                  <c:v>S7</c:v>
                </c:pt>
              </c:strCache>
            </c:strRef>
          </c:cat>
          <c:val>
            <c:numRef>
              <c:f>Sheet1!$G$25:$G$31</c:f>
              <c:numCache>
                <c:formatCode>General</c:formatCode>
                <c:ptCount val="7"/>
                <c:pt idx="0">
                  <c:v>95.83</c:v>
                </c:pt>
                <c:pt idx="1">
                  <c:v>95.72</c:v>
                </c:pt>
                <c:pt idx="2">
                  <c:v>95.25</c:v>
                </c:pt>
                <c:pt idx="3">
                  <c:v>95.54</c:v>
                </c:pt>
                <c:pt idx="4">
                  <c:v>95.82</c:v>
                </c:pt>
                <c:pt idx="5">
                  <c:v>95.03</c:v>
                </c:pt>
                <c:pt idx="6">
                  <c:v>97.57</c:v>
                </c:pt>
              </c:numCache>
            </c:numRef>
          </c:val>
          <c:extLst>
            <c:ext xmlns:c16="http://schemas.microsoft.com/office/drawing/2014/chart" uri="{C3380CC4-5D6E-409C-BE32-E72D297353CC}">
              <c16:uniqueId val="{00000003-D3CE-4144-9690-1A6BC656842E}"/>
            </c:ext>
          </c:extLst>
        </c:ser>
        <c:dLbls>
          <c:showLegendKey val="0"/>
          <c:showVal val="0"/>
          <c:showCatName val="0"/>
          <c:showSerName val="0"/>
          <c:showPercent val="0"/>
          <c:showBubbleSize val="0"/>
        </c:dLbls>
        <c:gapWidth val="150"/>
        <c:axId val="262104576"/>
        <c:axId val="262106496"/>
      </c:barChart>
      <c:catAx>
        <c:axId val="262104576"/>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overlay val="0"/>
        </c:title>
        <c:numFmt formatCode="General" sourceLinked="0"/>
        <c:majorTickMark val="out"/>
        <c:minorTickMark val="none"/>
        <c:tickLblPos val="nextTo"/>
        <c:crossAx val="262106496"/>
        <c:crosses val="autoZero"/>
        <c:auto val="1"/>
        <c:lblAlgn val="ctr"/>
        <c:lblOffset val="100"/>
        <c:noMultiLvlLbl val="0"/>
      </c:catAx>
      <c:valAx>
        <c:axId val="262106496"/>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26210457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Copper</a:t>
            </a:r>
          </a:p>
        </c:rich>
      </c:tx>
      <c:overlay val="1"/>
    </c:title>
    <c:autoTitleDeleted val="0"/>
    <c:plotArea>
      <c:layout>
        <c:manualLayout>
          <c:layoutTarget val="inner"/>
          <c:xMode val="edge"/>
          <c:yMode val="edge"/>
          <c:x val="0.14723428892808585"/>
          <c:y val="0.26210822911841902"/>
          <c:w val="0.68542384403469914"/>
          <c:h val="0.41166731207779361"/>
        </c:manualLayout>
      </c:layout>
      <c:barChart>
        <c:barDir val="col"/>
        <c:grouping val="clustered"/>
        <c:varyColors val="0"/>
        <c:ser>
          <c:idx val="0"/>
          <c:order val="0"/>
          <c:tx>
            <c:strRef>
              <c:f>Sheet1!$D$34</c:f>
              <c:strCache>
                <c:ptCount val="1"/>
                <c:pt idx="0">
                  <c:v>0.50g</c:v>
                </c:pt>
              </c:strCache>
            </c:strRef>
          </c:tx>
          <c:invertIfNegative val="0"/>
          <c:cat>
            <c:strRef>
              <c:f>Sheet1!$C$35:$C$41</c:f>
              <c:strCache>
                <c:ptCount val="7"/>
                <c:pt idx="0">
                  <c:v>S1</c:v>
                </c:pt>
                <c:pt idx="1">
                  <c:v>S2</c:v>
                </c:pt>
                <c:pt idx="2">
                  <c:v>S3</c:v>
                </c:pt>
                <c:pt idx="3">
                  <c:v>S4</c:v>
                </c:pt>
                <c:pt idx="4">
                  <c:v>S5</c:v>
                </c:pt>
                <c:pt idx="5">
                  <c:v>S6</c:v>
                </c:pt>
                <c:pt idx="6">
                  <c:v>S7</c:v>
                </c:pt>
              </c:strCache>
            </c:strRef>
          </c:cat>
          <c:val>
            <c:numRef>
              <c:f>Sheet1!$D$35:$D$41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75DA-4632-B228-F1DD12F07955}"/>
            </c:ext>
          </c:extLst>
        </c:ser>
        <c:ser>
          <c:idx val="1"/>
          <c:order val="1"/>
          <c:tx>
            <c:strRef>
              <c:f>Sheet1!$E$34</c:f>
              <c:strCache>
                <c:ptCount val="1"/>
                <c:pt idx="0">
                  <c:v>0.20g</c:v>
                </c:pt>
              </c:strCache>
            </c:strRef>
          </c:tx>
          <c:invertIfNegative val="0"/>
          <c:cat>
            <c:strRef>
              <c:f>Sheet1!$C$35:$C$41</c:f>
              <c:strCache>
                <c:ptCount val="7"/>
                <c:pt idx="0">
                  <c:v>S1</c:v>
                </c:pt>
                <c:pt idx="1">
                  <c:v>S2</c:v>
                </c:pt>
                <c:pt idx="2">
                  <c:v>S3</c:v>
                </c:pt>
                <c:pt idx="3">
                  <c:v>S4</c:v>
                </c:pt>
                <c:pt idx="4">
                  <c:v>S5</c:v>
                </c:pt>
                <c:pt idx="5">
                  <c:v>S6</c:v>
                </c:pt>
                <c:pt idx="6">
                  <c:v>S7</c:v>
                </c:pt>
              </c:strCache>
            </c:strRef>
          </c:cat>
          <c:val>
            <c:numRef>
              <c:f>Sheet1!$E$35:$E$41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75DA-4632-B228-F1DD12F07955}"/>
            </c:ext>
          </c:extLst>
        </c:ser>
        <c:ser>
          <c:idx val="2"/>
          <c:order val="2"/>
          <c:tx>
            <c:strRef>
              <c:f>Sheet1!$F$34</c:f>
              <c:strCache>
                <c:ptCount val="1"/>
                <c:pt idx="0">
                  <c:v>0.10g</c:v>
                </c:pt>
              </c:strCache>
            </c:strRef>
          </c:tx>
          <c:invertIfNegative val="0"/>
          <c:cat>
            <c:strRef>
              <c:f>Sheet1!$C$35:$C$41</c:f>
              <c:strCache>
                <c:ptCount val="7"/>
                <c:pt idx="0">
                  <c:v>S1</c:v>
                </c:pt>
                <c:pt idx="1">
                  <c:v>S2</c:v>
                </c:pt>
                <c:pt idx="2">
                  <c:v>S3</c:v>
                </c:pt>
                <c:pt idx="3">
                  <c:v>S4</c:v>
                </c:pt>
                <c:pt idx="4">
                  <c:v>S5</c:v>
                </c:pt>
                <c:pt idx="5">
                  <c:v>S6</c:v>
                </c:pt>
                <c:pt idx="6">
                  <c:v>S7</c:v>
                </c:pt>
              </c:strCache>
            </c:strRef>
          </c:cat>
          <c:val>
            <c:numRef>
              <c:f>Sheet1!$F$35:$F$41</c:f>
              <c:numCache>
                <c:formatCode>General</c:formatCode>
                <c:ptCount val="7"/>
                <c:pt idx="0">
                  <c:v>92.45</c:v>
                </c:pt>
                <c:pt idx="1">
                  <c:v>92.62</c:v>
                </c:pt>
                <c:pt idx="2">
                  <c:v>92.23</c:v>
                </c:pt>
                <c:pt idx="3">
                  <c:v>92.25</c:v>
                </c:pt>
                <c:pt idx="4">
                  <c:v>92.52</c:v>
                </c:pt>
                <c:pt idx="5">
                  <c:v>92.15</c:v>
                </c:pt>
                <c:pt idx="6">
                  <c:v>98.88</c:v>
                </c:pt>
              </c:numCache>
            </c:numRef>
          </c:val>
          <c:extLst>
            <c:ext xmlns:c16="http://schemas.microsoft.com/office/drawing/2014/chart" uri="{C3380CC4-5D6E-409C-BE32-E72D297353CC}">
              <c16:uniqueId val="{00000002-75DA-4632-B228-F1DD12F07955}"/>
            </c:ext>
          </c:extLst>
        </c:ser>
        <c:ser>
          <c:idx val="3"/>
          <c:order val="3"/>
          <c:tx>
            <c:strRef>
              <c:f>Sheet1!$G$34</c:f>
              <c:strCache>
                <c:ptCount val="1"/>
                <c:pt idx="0">
                  <c:v>0.050g</c:v>
                </c:pt>
              </c:strCache>
            </c:strRef>
          </c:tx>
          <c:invertIfNegative val="0"/>
          <c:cat>
            <c:strRef>
              <c:f>Sheet1!$C$35:$C$41</c:f>
              <c:strCache>
                <c:ptCount val="7"/>
                <c:pt idx="0">
                  <c:v>S1</c:v>
                </c:pt>
                <c:pt idx="1">
                  <c:v>S2</c:v>
                </c:pt>
                <c:pt idx="2">
                  <c:v>S3</c:v>
                </c:pt>
                <c:pt idx="3">
                  <c:v>S4</c:v>
                </c:pt>
                <c:pt idx="4">
                  <c:v>S5</c:v>
                </c:pt>
                <c:pt idx="5">
                  <c:v>S6</c:v>
                </c:pt>
                <c:pt idx="6">
                  <c:v>S7</c:v>
                </c:pt>
              </c:strCache>
            </c:strRef>
          </c:cat>
          <c:val>
            <c:numRef>
              <c:f>Sheet1!$G$35:$G$41</c:f>
              <c:numCache>
                <c:formatCode>General</c:formatCode>
                <c:ptCount val="7"/>
                <c:pt idx="0">
                  <c:v>89.11</c:v>
                </c:pt>
                <c:pt idx="1">
                  <c:v>89.2</c:v>
                </c:pt>
                <c:pt idx="2">
                  <c:v>89.4</c:v>
                </c:pt>
                <c:pt idx="3">
                  <c:v>89.36</c:v>
                </c:pt>
                <c:pt idx="4">
                  <c:v>89.58</c:v>
                </c:pt>
                <c:pt idx="5">
                  <c:v>89.92</c:v>
                </c:pt>
                <c:pt idx="6">
                  <c:v>97.44</c:v>
                </c:pt>
              </c:numCache>
            </c:numRef>
          </c:val>
          <c:extLst>
            <c:ext xmlns:c16="http://schemas.microsoft.com/office/drawing/2014/chart" uri="{C3380CC4-5D6E-409C-BE32-E72D297353CC}">
              <c16:uniqueId val="{00000003-75DA-4632-B228-F1DD12F07955}"/>
            </c:ext>
          </c:extLst>
        </c:ser>
        <c:dLbls>
          <c:showLegendKey val="0"/>
          <c:showVal val="0"/>
          <c:showCatName val="0"/>
          <c:showSerName val="0"/>
          <c:showPercent val="0"/>
          <c:showBubbleSize val="0"/>
        </c:dLbls>
        <c:gapWidth val="150"/>
        <c:axId val="275296256"/>
        <c:axId val="275298176"/>
      </c:barChart>
      <c:catAx>
        <c:axId val="275296256"/>
        <c:scaling>
          <c:orientation val="minMax"/>
        </c:scaling>
        <c:delete val="0"/>
        <c:axPos val="b"/>
        <c:title>
          <c:tx>
            <c:rich>
              <a:bodyPr/>
              <a:lstStyle/>
              <a:p>
                <a:pPr>
                  <a:defRPr/>
                </a:pPr>
                <a:r>
                  <a:rPr lang="en-US" sz="1050" b="0">
                    <a:latin typeface="Times New Roman" pitchFamily="18" charset="0"/>
                    <a:cs typeface="Times New Roman" pitchFamily="18" charset="0"/>
                  </a:rPr>
                  <a:t>Adsorbent</a:t>
                </a:r>
                <a:r>
                  <a:rPr lang="en-US" sz="1050">
                    <a:latin typeface="Times New Roman" pitchFamily="18" charset="0"/>
                    <a:cs typeface="Times New Roman" pitchFamily="18" charset="0"/>
                  </a:rPr>
                  <a:t>s</a:t>
                </a:r>
              </a:p>
            </c:rich>
          </c:tx>
          <c:layout>
            <c:manualLayout>
              <c:xMode val="edge"/>
              <c:yMode val="edge"/>
              <c:x val="0.45134281763299477"/>
              <c:y val="0.89542483660130723"/>
            </c:manualLayout>
          </c:layout>
          <c:overlay val="0"/>
        </c:title>
        <c:numFmt formatCode="General" sourceLinked="0"/>
        <c:majorTickMark val="out"/>
        <c:minorTickMark val="none"/>
        <c:tickLblPos val="nextTo"/>
        <c:crossAx val="275298176"/>
        <c:crosses val="autoZero"/>
        <c:auto val="1"/>
        <c:lblAlgn val="ctr"/>
        <c:lblOffset val="100"/>
        <c:noMultiLvlLbl val="0"/>
      </c:catAx>
      <c:valAx>
        <c:axId val="275298176"/>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27529625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Cadmium</a:t>
            </a:r>
          </a:p>
        </c:rich>
      </c:tx>
      <c:layout>
        <c:manualLayout>
          <c:xMode val="edge"/>
          <c:yMode val="edge"/>
          <c:x val="0.40227534432447437"/>
          <c:y val="3.9603960396039604E-2"/>
        </c:manualLayout>
      </c:layout>
      <c:overlay val="1"/>
    </c:title>
    <c:autoTitleDeleted val="0"/>
    <c:plotArea>
      <c:layout>
        <c:manualLayout>
          <c:layoutTarget val="inner"/>
          <c:xMode val="edge"/>
          <c:yMode val="edge"/>
          <c:x val="0.15165888695050844"/>
          <c:y val="0.23406715539867862"/>
          <c:w val="0.65452866217809735"/>
          <c:h val="0.47405501793191884"/>
        </c:manualLayout>
      </c:layout>
      <c:barChart>
        <c:barDir val="col"/>
        <c:grouping val="clustered"/>
        <c:varyColors val="0"/>
        <c:ser>
          <c:idx val="0"/>
          <c:order val="0"/>
          <c:tx>
            <c:strRef>
              <c:f>Sheet1!$D$44</c:f>
              <c:strCache>
                <c:ptCount val="1"/>
                <c:pt idx="0">
                  <c:v>0.50g</c:v>
                </c:pt>
              </c:strCache>
            </c:strRef>
          </c:tx>
          <c:invertIfNegative val="0"/>
          <c:cat>
            <c:strRef>
              <c:f>Sheet1!$C$45:$C$51</c:f>
              <c:strCache>
                <c:ptCount val="7"/>
                <c:pt idx="0">
                  <c:v>S1</c:v>
                </c:pt>
                <c:pt idx="1">
                  <c:v>S2</c:v>
                </c:pt>
                <c:pt idx="2">
                  <c:v>S3</c:v>
                </c:pt>
                <c:pt idx="3">
                  <c:v>S4</c:v>
                </c:pt>
                <c:pt idx="4">
                  <c:v>S5</c:v>
                </c:pt>
                <c:pt idx="5">
                  <c:v>S6</c:v>
                </c:pt>
                <c:pt idx="6">
                  <c:v>S7</c:v>
                </c:pt>
              </c:strCache>
            </c:strRef>
          </c:cat>
          <c:val>
            <c:numRef>
              <c:f>Sheet1!$D$45:$D$51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8D1D-4714-BF0F-20E8950D9987}"/>
            </c:ext>
          </c:extLst>
        </c:ser>
        <c:ser>
          <c:idx val="1"/>
          <c:order val="1"/>
          <c:tx>
            <c:strRef>
              <c:f>Sheet1!$E$44</c:f>
              <c:strCache>
                <c:ptCount val="1"/>
                <c:pt idx="0">
                  <c:v>0.20g</c:v>
                </c:pt>
              </c:strCache>
            </c:strRef>
          </c:tx>
          <c:invertIfNegative val="0"/>
          <c:cat>
            <c:strRef>
              <c:f>Sheet1!$C$45:$C$51</c:f>
              <c:strCache>
                <c:ptCount val="7"/>
                <c:pt idx="0">
                  <c:v>S1</c:v>
                </c:pt>
                <c:pt idx="1">
                  <c:v>S2</c:v>
                </c:pt>
                <c:pt idx="2">
                  <c:v>S3</c:v>
                </c:pt>
                <c:pt idx="3">
                  <c:v>S4</c:v>
                </c:pt>
                <c:pt idx="4">
                  <c:v>S5</c:v>
                </c:pt>
                <c:pt idx="5">
                  <c:v>S6</c:v>
                </c:pt>
                <c:pt idx="6">
                  <c:v>S7</c:v>
                </c:pt>
              </c:strCache>
            </c:strRef>
          </c:cat>
          <c:val>
            <c:numRef>
              <c:f>Sheet1!$E$45:$E$51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8D1D-4714-BF0F-20E8950D9987}"/>
            </c:ext>
          </c:extLst>
        </c:ser>
        <c:ser>
          <c:idx val="2"/>
          <c:order val="2"/>
          <c:tx>
            <c:strRef>
              <c:f>Sheet1!$F$44</c:f>
              <c:strCache>
                <c:ptCount val="1"/>
                <c:pt idx="0">
                  <c:v>0.10g</c:v>
                </c:pt>
              </c:strCache>
            </c:strRef>
          </c:tx>
          <c:invertIfNegative val="0"/>
          <c:cat>
            <c:strRef>
              <c:f>Sheet1!$C$45:$C$51</c:f>
              <c:strCache>
                <c:ptCount val="7"/>
                <c:pt idx="0">
                  <c:v>S1</c:v>
                </c:pt>
                <c:pt idx="1">
                  <c:v>S2</c:v>
                </c:pt>
                <c:pt idx="2">
                  <c:v>S3</c:v>
                </c:pt>
                <c:pt idx="3">
                  <c:v>S4</c:v>
                </c:pt>
                <c:pt idx="4">
                  <c:v>S5</c:v>
                </c:pt>
                <c:pt idx="5">
                  <c:v>S6</c:v>
                </c:pt>
                <c:pt idx="6">
                  <c:v>S7</c:v>
                </c:pt>
              </c:strCache>
            </c:strRef>
          </c:cat>
          <c:val>
            <c:numRef>
              <c:f>Sheet1!$F$45:$F$51</c:f>
              <c:numCache>
                <c:formatCode>General</c:formatCode>
                <c:ptCount val="7"/>
                <c:pt idx="0">
                  <c:v>99.41</c:v>
                </c:pt>
                <c:pt idx="1">
                  <c:v>99.4</c:v>
                </c:pt>
                <c:pt idx="2">
                  <c:v>99.54</c:v>
                </c:pt>
                <c:pt idx="3">
                  <c:v>99.41</c:v>
                </c:pt>
                <c:pt idx="4">
                  <c:v>99.37</c:v>
                </c:pt>
                <c:pt idx="5">
                  <c:v>99.5</c:v>
                </c:pt>
                <c:pt idx="6">
                  <c:v>99.48</c:v>
                </c:pt>
              </c:numCache>
            </c:numRef>
          </c:val>
          <c:extLst>
            <c:ext xmlns:c16="http://schemas.microsoft.com/office/drawing/2014/chart" uri="{C3380CC4-5D6E-409C-BE32-E72D297353CC}">
              <c16:uniqueId val="{00000002-8D1D-4714-BF0F-20E8950D9987}"/>
            </c:ext>
          </c:extLst>
        </c:ser>
        <c:ser>
          <c:idx val="3"/>
          <c:order val="3"/>
          <c:tx>
            <c:strRef>
              <c:f>Sheet1!$G$44</c:f>
              <c:strCache>
                <c:ptCount val="1"/>
                <c:pt idx="0">
                  <c:v>0.050g</c:v>
                </c:pt>
              </c:strCache>
            </c:strRef>
          </c:tx>
          <c:invertIfNegative val="0"/>
          <c:cat>
            <c:strRef>
              <c:f>Sheet1!$C$45:$C$51</c:f>
              <c:strCache>
                <c:ptCount val="7"/>
                <c:pt idx="0">
                  <c:v>S1</c:v>
                </c:pt>
                <c:pt idx="1">
                  <c:v>S2</c:v>
                </c:pt>
                <c:pt idx="2">
                  <c:v>S3</c:v>
                </c:pt>
                <c:pt idx="3">
                  <c:v>S4</c:v>
                </c:pt>
                <c:pt idx="4">
                  <c:v>S5</c:v>
                </c:pt>
                <c:pt idx="5">
                  <c:v>S6</c:v>
                </c:pt>
                <c:pt idx="6">
                  <c:v>S7</c:v>
                </c:pt>
              </c:strCache>
            </c:strRef>
          </c:cat>
          <c:val>
            <c:numRef>
              <c:f>Sheet1!$G$45:$G$51</c:f>
              <c:numCache>
                <c:formatCode>General</c:formatCode>
                <c:ptCount val="7"/>
                <c:pt idx="0">
                  <c:v>63.4</c:v>
                </c:pt>
                <c:pt idx="1">
                  <c:v>63.03</c:v>
                </c:pt>
                <c:pt idx="2">
                  <c:v>63.14</c:v>
                </c:pt>
                <c:pt idx="3">
                  <c:v>63.21</c:v>
                </c:pt>
                <c:pt idx="4">
                  <c:v>63.28</c:v>
                </c:pt>
                <c:pt idx="5">
                  <c:v>63.11</c:v>
                </c:pt>
                <c:pt idx="6">
                  <c:v>99.21</c:v>
                </c:pt>
              </c:numCache>
            </c:numRef>
          </c:val>
          <c:extLst>
            <c:ext xmlns:c16="http://schemas.microsoft.com/office/drawing/2014/chart" uri="{C3380CC4-5D6E-409C-BE32-E72D297353CC}">
              <c16:uniqueId val="{00000003-8D1D-4714-BF0F-20E8950D9987}"/>
            </c:ext>
          </c:extLst>
        </c:ser>
        <c:dLbls>
          <c:showLegendKey val="0"/>
          <c:showVal val="0"/>
          <c:showCatName val="0"/>
          <c:showSerName val="0"/>
          <c:showPercent val="0"/>
          <c:showBubbleSize val="0"/>
        </c:dLbls>
        <c:gapWidth val="150"/>
        <c:axId val="276142336"/>
        <c:axId val="276275584"/>
      </c:barChart>
      <c:catAx>
        <c:axId val="276142336"/>
        <c:scaling>
          <c:orientation val="minMax"/>
        </c:scaling>
        <c:delete val="0"/>
        <c:axPos val="b"/>
        <c:title>
          <c:tx>
            <c:rich>
              <a:bodyPr/>
              <a:lstStyle/>
              <a:p>
                <a:pPr>
                  <a:defRPr/>
                </a:pPr>
                <a:r>
                  <a:rPr lang="en-US" sz="1050" b="0" i="0">
                    <a:latin typeface="Times New Roman" pitchFamily="18" charset="0"/>
                    <a:cs typeface="Times New Roman" pitchFamily="18" charset="0"/>
                  </a:rPr>
                  <a:t>Adsorbents</a:t>
                </a:r>
                <a:endParaRPr lang="en-US" sz="1400" b="0" i="0">
                  <a:latin typeface="Times New Roman" pitchFamily="18" charset="0"/>
                  <a:cs typeface="Times New Roman" pitchFamily="18" charset="0"/>
                </a:endParaRPr>
              </a:p>
            </c:rich>
          </c:tx>
          <c:overlay val="0"/>
        </c:title>
        <c:numFmt formatCode="General" sourceLinked="0"/>
        <c:majorTickMark val="out"/>
        <c:minorTickMark val="none"/>
        <c:tickLblPos val="nextTo"/>
        <c:crossAx val="276275584"/>
        <c:crosses val="autoZero"/>
        <c:auto val="1"/>
        <c:lblAlgn val="ctr"/>
        <c:lblOffset val="100"/>
        <c:noMultiLvlLbl val="0"/>
      </c:catAx>
      <c:valAx>
        <c:axId val="276275584"/>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276142336"/>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Nitrate</a:t>
            </a:r>
          </a:p>
        </c:rich>
      </c:tx>
      <c:overlay val="1"/>
    </c:title>
    <c:autoTitleDeleted val="0"/>
    <c:plotArea>
      <c:layout>
        <c:manualLayout>
          <c:layoutTarget val="inner"/>
          <c:xMode val="edge"/>
          <c:yMode val="edge"/>
          <c:x val="0.15678688665279239"/>
          <c:y val="0.12970514324007371"/>
          <c:w val="0.62526035744169584"/>
          <c:h val="0.5849539286312615"/>
        </c:manualLayout>
      </c:layout>
      <c:barChart>
        <c:barDir val="col"/>
        <c:grouping val="clustered"/>
        <c:varyColors val="0"/>
        <c:ser>
          <c:idx val="0"/>
          <c:order val="0"/>
          <c:tx>
            <c:strRef>
              <c:f>Sheet2!$B$2</c:f>
              <c:strCache>
                <c:ptCount val="1"/>
                <c:pt idx="0">
                  <c:v>60min</c:v>
                </c:pt>
              </c:strCache>
            </c:strRef>
          </c:tx>
          <c:invertIfNegative val="0"/>
          <c:cat>
            <c:strRef>
              <c:f>Sheet2!$A$3:$A$9</c:f>
              <c:strCache>
                <c:ptCount val="7"/>
                <c:pt idx="0">
                  <c:v>S1</c:v>
                </c:pt>
                <c:pt idx="1">
                  <c:v>S2</c:v>
                </c:pt>
                <c:pt idx="2">
                  <c:v>S3</c:v>
                </c:pt>
                <c:pt idx="3">
                  <c:v>S4</c:v>
                </c:pt>
                <c:pt idx="4">
                  <c:v>S5</c:v>
                </c:pt>
                <c:pt idx="5">
                  <c:v>S6</c:v>
                </c:pt>
                <c:pt idx="6">
                  <c:v>S7</c:v>
                </c:pt>
              </c:strCache>
            </c:strRef>
          </c:cat>
          <c:val>
            <c:numRef>
              <c:f>Sheet2!$B$3:$B$9</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9719-4ECD-9FCA-61258E52F29E}"/>
            </c:ext>
          </c:extLst>
        </c:ser>
        <c:ser>
          <c:idx val="1"/>
          <c:order val="1"/>
          <c:tx>
            <c:strRef>
              <c:f>Sheet2!$C$2</c:f>
              <c:strCache>
                <c:ptCount val="1"/>
                <c:pt idx="0">
                  <c:v>40min</c:v>
                </c:pt>
              </c:strCache>
            </c:strRef>
          </c:tx>
          <c:invertIfNegative val="0"/>
          <c:cat>
            <c:strRef>
              <c:f>Sheet2!$A$3:$A$9</c:f>
              <c:strCache>
                <c:ptCount val="7"/>
                <c:pt idx="0">
                  <c:v>S1</c:v>
                </c:pt>
                <c:pt idx="1">
                  <c:v>S2</c:v>
                </c:pt>
                <c:pt idx="2">
                  <c:v>S3</c:v>
                </c:pt>
                <c:pt idx="3">
                  <c:v>S4</c:v>
                </c:pt>
                <c:pt idx="4">
                  <c:v>S5</c:v>
                </c:pt>
                <c:pt idx="5">
                  <c:v>S6</c:v>
                </c:pt>
                <c:pt idx="6">
                  <c:v>S7</c:v>
                </c:pt>
              </c:strCache>
            </c:strRef>
          </c:cat>
          <c:val>
            <c:numRef>
              <c:f>Sheet2!$C$3:$C$9</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9719-4ECD-9FCA-61258E52F29E}"/>
            </c:ext>
          </c:extLst>
        </c:ser>
        <c:ser>
          <c:idx val="2"/>
          <c:order val="2"/>
          <c:tx>
            <c:strRef>
              <c:f>Sheet2!$D$2</c:f>
              <c:strCache>
                <c:ptCount val="1"/>
                <c:pt idx="0">
                  <c:v>20min</c:v>
                </c:pt>
              </c:strCache>
            </c:strRef>
          </c:tx>
          <c:invertIfNegative val="0"/>
          <c:cat>
            <c:strRef>
              <c:f>Sheet2!$A$3:$A$9</c:f>
              <c:strCache>
                <c:ptCount val="7"/>
                <c:pt idx="0">
                  <c:v>S1</c:v>
                </c:pt>
                <c:pt idx="1">
                  <c:v>S2</c:v>
                </c:pt>
                <c:pt idx="2">
                  <c:v>S3</c:v>
                </c:pt>
                <c:pt idx="3">
                  <c:v>S4</c:v>
                </c:pt>
                <c:pt idx="4">
                  <c:v>S5</c:v>
                </c:pt>
                <c:pt idx="5">
                  <c:v>S6</c:v>
                </c:pt>
                <c:pt idx="6">
                  <c:v>S7</c:v>
                </c:pt>
              </c:strCache>
            </c:strRef>
          </c:cat>
          <c:val>
            <c:numRef>
              <c:f>Sheet2!$D$3:$D$9</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2-9719-4ECD-9FCA-61258E52F29E}"/>
            </c:ext>
          </c:extLst>
        </c:ser>
        <c:ser>
          <c:idx val="3"/>
          <c:order val="3"/>
          <c:tx>
            <c:strRef>
              <c:f>Sheet2!$E$2</c:f>
              <c:strCache>
                <c:ptCount val="1"/>
                <c:pt idx="0">
                  <c:v>10min</c:v>
                </c:pt>
              </c:strCache>
            </c:strRef>
          </c:tx>
          <c:invertIfNegative val="0"/>
          <c:cat>
            <c:strRef>
              <c:f>Sheet2!$A$3:$A$9</c:f>
              <c:strCache>
                <c:ptCount val="7"/>
                <c:pt idx="0">
                  <c:v>S1</c:v>
                </c:pt>
                <c:pt idx="1">
                  <c:v>S2</c:v>
                </c:pt>
                <c:pt idx="2">
                  <c:v>S3</c:v>
                </c:pt>
                <c:pt idx="3">
                  <c:v>S4</c:v>
                </c:pt>
                <c:pt idx="4">
                  <c:v>S5</c:v>
                </c:pt>
                <c:pt idx="5">
                  <c:v>S6</c:v>
                </c:pt>
                <c:pt idx="6">
                  <c:v>S7</c:v>
                </c:pt>
              </c:strCache>
            </c:strRef>
          </c:cat>
          <c:val>
            <c:numRef>
              <c:f>Sheet2!$E$3:$E$9</c:f>
              <c:numCache>
                <c:formatCode>General</c:formatCode>
                <c:ptCount val="7"/>
                <c:pt idx="0">
                  <c:v>99.88</c:v>
                </c:pt>
                <c:pt idx="1">
                  <c:v>99.72</c:v>
                </c:pt>
                <c:pt idx="2">
                  <c:v>99.79</c:v>
                </c:pt>
                <c:pt idx="3">
                  <c:v>99.72</c:v>
                </c:pt>
                <c:pt idx="4">
                  <c:v>99.87</c:v>
                </c:pt>
                <c:pt idx="5">
                  <c:v>99.78</c:v>
                </c:pt>
                <c:pt idx="6">
                  <c:v>98.98</c:v>
                </c:pt>
              </c:numCache>
            </c:numRef>
          </c:val>
          <c:extLst>
            <c:ext xmlns:c16="http://schemas.microsoft.com/office/drawing/2014/chart" uri="{C3380CC4-5D6E-409C-BE32-E72D297353CC}">
              <c16:uniqueId val="{00000003-9719-4ECD-9FCA-61258E52F29E}"/>
            </c:ext>
          </c:extLst>
        </c:ser>
        <c:ser>
          <c:idx val="4"/>
          <c:order val="4"/>
          <c:tx>
            <c:strRef>
              <c:f>Sheet2!$F$2</c:f>
              <c:strCache>
                <c:ptCount val="1"/>
                <c:pt idx="0">
                  <c:v>1min</c:v>
                </c:pt>
              </c:strCache>
            </c:strRef>
          </c:tx>
          <c:invertIfNegative val="0"/>
          <c:cat>
            <c:strRef>
              <c:f>Sheet2!$A$3:$A$9</c:f>
              <c:strCache>
                <c:ptCount val="7"/>
                <c:pt idx="0">
                  <c:v>S1</c:v>
                </c:pt>
                <c:pt idx="1">
                  <c:v>S2</c:v>
                </c:pt>
                <c:pt idx="2">
                  <c:v>S3</c:v>
                </c:pt>
                <c:pt idx="3">
                  <c:v>S4</c:v>
                </c:pt>
                <c:pt idx="4">
                  <c:v>S5</c:v>
                </c:pt>
                <c:pt idx="5">
                  <c:v>S6</c:v>
                </c:pt>
                <c:pt idx="6">
                  <c:v>S7</c:v>
                </c:pt>
              </c:strCache>
            </c:strRef>
          </c:cat>
          <c:val>
            <c:numRef>
              <c:f>Sheet2!$F$3:$F$9</c:f>
              <c:numCache>
                <c:formatCode>General</c:formatCode>
                <c:ptCount val="7"/>
                <c:pt idx="0">
                  <c:v>14.35</c:v>
                </c:pt>
                <c:pt idx="1">
                  <c:v>14.51</c:v>
                </c:pt>
                <c:pt idx="2">
                  <c:v>14.37</c:v>
                </c:pt>
                <c:pt idx="3">
                  <c:v>14.4</c:v>
                </c:pt>
                <c:pt idx="4">
                  <c:v>14.46</c:v>
                </c:pt>
                <c:pt idx="5">
                  <c:v>14.35</c:v>
                </c:pt>
                <c:pt idx="6">
                  <c:v>14.1</c:v>
                </c:pt>
              </c:numCache>
            </c:numRef>
          </c:val>
          <c:extLst>
            <c:ext xmlns:c16="http://schemas.microsoft.com/office/drawing/2014/chart" uri="{C3380CC4-5D6E-409C-BE32-E72D297353CC}">
              <c16:uniqueId val="{00000004-9719-4ECD-9FCA-61258E52F29E}"/>
            </c:ext>
          </c:extLst>
        </c:ser>
        <c:dLbls>
          <c:showLegendKey val="0"/>
          <c:showVal val="0"/>
          <c:showCatName val="0"/>
          <c:showSerName val="0"/>
          <c:showPercent val="0"/>
          <c:showBubbleSize val="0"/>
        </c:dLbls>
        <c:gapWidth val="150"/>
        <c:axId val="276518784"/>
        <c:axId val="276643840"/>
      </c:barChart>
      <c:catAx>
        <c:axId val="276518784"/>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overlay val="0"/>
        </c:title>
        <c:numFmt formatCode="General" sourceLinked="0"/>
        <c:majorTickMark val="out"/>
        <c:minorTickMark val="none"/>
        <c:tickLblPos val="nextTo"/>
        <c:crossAx val="276643840"/>
        <c:crosses val="autoZero"/>
        <c:auto val="1"/>
        <c:lblAlgn val="ctr"/>
        <c:lblOffset val="100"/>
        <c:noMultiLvlLbl val="0"/>
      </c:catAx>
      <c:valAx>
        <c:axId val="276643840"/>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276518784"/>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Phosphate</a:t>
            </a:r>
          </a:p>
        </c:rich>
      </c:tx>
      <c:overlay val="1"/>
    </c:title>
    <c:autoTitleDeleted val="0"/>
    <c:plotArea>
      <c:layout>
        <c:manualLayout>
          <c:layoutTarget val="inner"/>
          <c:xMode val="edge"/>
          <c:yMode val="edge"/>
          <c:x val="0.16022443019797675"/>
          <c:y val="0.1450344995535352"/>
          <c:w val="0.66700641950274364"/>
          <c:h val="0.59344210839624434"/>
        </c:manualLayout>
      </c:layout>
      <c:barChart>
        <c:barDir val="col"/>
        <c:grouping val="clustered"/>
        <c:varyColors val="0"/>
        <c:ser>
          <c:idx val="0"/>
          <c:order val="0"/>
          <c:tx>
            <c:strRef>
              <c:f>Sheet2!$B$14</c:f>
              <c:strCache>
                <c:ptCount val="1"/>
                <c:pt idx="0">
                  <c:v>60min</c:v>
                </c:pt>
              </c:strCache>
            </c:strRef>
          </c:tx>
          <c:invertIfNegative val="0"/>
          <c:cat>
            <c:strRef>
              <c:f>Sheet2!$A$15:$A$21</c:f>
              <c:strCache>
                <c:ptCount val="7"/>
                <c:pt idx="0">
                  <c:v>S1</c:v>
                </c:pt>
                <c:pt idx="1">
                  <c:v>S2</c:v>
                </c:pt>
                <c:pt idx="2">
                  <c:v>S3</c:v>
                </c:pt>
                <c:pt idx="3">
                  <c:v>S4</c:v>
                </c:pt>
                <c:pt idx="4">
                  <c:v>S5</c:v>
                </c:pt>
                <c:pt idx="5">
                  <c:v>S6</c:v>
                </c:pt>
                <c:pt idx="6">
                  <c:v>S7</c:v>
                </c:pt>
              </c:strCache>
            </c:strRef>
          </c:cat>
          <c:val>
            <c:numRef>
              <c:f>Sheet2!$B$15:$B$21</c:f>
              <c:numCache>
                <c:formatCode>General</c:formatCode>
                <c:ptCount val="7"/>
                <c:pt idx="0">
                  <c:v>100</c:v>
                </c:pt>
                <c:pt idx="1">
                  <c:v>100</c:v>
                </c:pt>
                <c:pt idx="2">
                  <c:v>100</c:v>
                </c:pt>
                <c:pt idx="3">
                  <c:v>100</c:v>
                </c:pt>
                <c:pt idx="4">
                  <c:v>100</c:v>
                </c:pt>
                <c:pt idx="5">
                  <c:v>100</c:v>
                </c:pt>
                <c:pt idx="6">
                  <c:v>1.59</c:v>
                </c:pt>
              </c:numCache>
            </c:numRef>
          </c:val>
          <c:extLst>
            <c:ext xmlns:c16="http://schemas.microsoft.com/office/drawing/2014/chart" uri="{C3380CC4-5D6E-409C-BE32-E72D297353CC}">
              <c16:uniqueId val="{00000000-9765-4978-9EA0-9101A93F2335}"/>
            </c:ext>
          </c:extLst>
        </c:ser>
        <c:ser>
          <c:idx val="1"/>
          <c:order val="1"/>
          <c:tx>
            <c:strRef>
              <c:f>Sheet2!$C$14</c:f>
              <c:strCache>
                <c:ptCount val="1"/>
                <c:pt idx="0">
                  <c:v>30min</c:v>
                </c:pt>
              </c:strCache>
            </c:strRef>
          </c:tx>
          <c:invertIfNegative val="0"/>
          <c:cat>
            <c:strRef>
              <c:f>Sheet2!$A$15:$A$21</c:f>
              <c:strCache>
                <c:ptCount val="7"/>
                <c:pt idx="0">
                  <c:v>S1</c:v>
                </c:pt>
                <c:pt idx="1">
                  <c:v>S2</c:v>
                </c:pt>
                <c:pt idx="2">
                  <c:v>S3</c:v>
                </c:pt>
                <c:pt idx="3">
                  <c:v>S4</c:v>
                </c:pt>
                <c:pt idx="4">
                  <c:v>S5</c:v>
                </c:pt>
                <c:pt idx="5">
                  <c:v>S6</c:v>
                </c:pt>
                <c:pt idx="6">
                  <c:v>S7</c:v>
                </c:pt>
              </c:strCache>
            </c:strRef>
          </c:cat>
          <c:val>
            <c:numRef>
              <c:f>Sheet2!$C$15:$C$21</c:f>
              <c:numCache>
                <c:formatCode>General</c:formatCode>
                <c:ptCount val="7"/>
                <c:pt idx="0">
                  <c:v>100</c:v>
                </c:pt>
                <c:pt idx="1">
                  <c:v>100</c:v>
                </c:pt>
                <c:pt idx="2">
                  <c:v>100</c:v>
                </c:pt>
                <c:pt idx="3">
                  <c:v>100</c:v>
                </c:pt>
                <c:pt idx="4">
                  <c:v>100</c:v>
                </c:pt>
                <c:pt idx="5">
                  <c:v>100</c:v>
                </c:pt>
                <c:pt idx="6">
                  <c:v>0.13</c:v>
                </c:pt>
              </c:numCache>
            </c:numRef>
          </c:val>
          <c:extLst>
            <c:ext xmlns:c16="http://schemas.microsoft.com/office/drawing/2014/chart" uri="{C3380CC4-5D6E-409C-BE32-E72D297353CC}">
              <c16:uniqueId val="{00000001-9765-4978-9EA0-9101A93F2335}"/>
            </c:ext>
          </c:extLst>
        </c:ser>
        <c:ser>
          <c:idx val="2"/>
          <c:order val="2"/>
          <c:tx>
            <c:strRef>
              <c:f>Sheet2!$D$14</c:f>
              <c:strCache>
                <c:ptCount val="1"/>
                <c:pt idx="0">
                  <c:v>20min</c:v>
                </c:pt>
              </c:strCache>
            </c:strRef>
          </c:tx>
          <c:invertIfNegative val="0"/>
          <c:cat>
            <c:strRef>
              <c:f>Sheet2!$A$15:$A$21</c:f>
              <c:strCache>
                <c:ptCount val="7"/>
                <c:pt idx="0">
                  <c:v>S1</c:v>
                </c:pt>
                <c:pt idx="1">
                  <c:v>S2</c:v>
                </c:pt>
                <c:pt idx="2">
                  <c:v>S3</c:v>
                </c:pt>
                <c:pt idx="3">
                  <c:v>S4</c:v>
                </c:pt>
                <c:pt idx="4">
                  <c:v>S5</c:v>
                </c:pt>
                <c:pt idx="5">
                  <c:v>S6</c:v>
                </c:pt>
                <c:pt idx="6">
                  <c:v>S7</c:v>
                </c:pt>
              </c:strCache>
            </c:strRef>
          </c:cat>
          <c:val>
            <c:numRef>
              <c:f>Sheet2!$D$15:$D$21</c:f>
              <c:numCache>
                <c:formatCode>General</c:formatCode>
                <c:ptCount val="7"/>
                <c:pt idx="0">
                  <c:v>100</c:v>
                </c:pt>
                <c:pt idx="1">
                  <c:v>100</c:v>
                </c:pt>
                <c:pt idx="2">
                  <c:v>100</c:v>
                </c:pt>
                <c:pt idx="3">
                  <c:v>100</c:v>
                </c:pt>
                <c:pt idx="4">
                  <c:v>100</c:v>
                </c:pt>
                <c:pt idx="5">
                  <c:v>100</c:v>
                </c:pt>
                <c:pt idx="6">
                  <c:v>8</c:v>
                </c:pt>
              </c:numCache>
            </c:numRef>
          </c:val>
          <c:extLst>
            <c:ext xmlns:c16="http://schemas.microsoft.com/office/drawing/2014/chart" uri="{C3380CC4-5D6E-409C-BE32-E72D297353CC}">
              <c16:uniqueId val="{00000002-9765-4978-9EA0-9101A93F2335}"/>
            </c:ext>
          </c:extLst>
        </c:ser>
        <c:ser>
          <c:idx val="3"/>
          <c:order val="3"/>
          <c:tx>
            <c:strRef>
              <c:f>Sheet2!$E$14</c:f>
              <c:strCache>
                <c:ptCount val="1"/>
                <c:pt idx="0">
                  <c:v>10min</c:v>
                </c:pt>
              </c:strCache>
            </c:strRef>
          </c:tx>
          <c:invertIfNegative val="0"/>
          <c:cat>
            <c:strRef>
              <c:f>Sheet2!$A$15:$A$21</c:f>
              <c:strCache>
                <c:ptCount val="7"/>
                <c:pt idx="0">
                  <c:v>S1</c:v>
                </c:pt>
                <c:pt idx="1">
                  <c:v>S2</c:v>
                </c:pt>
                <c:pt idx="2">
                  <c:v>S3</c:v>
                </c:pt>
                <c:pt idx="3">
                  <c:v>S4</c:v>
                </c:pt>
                <c:pt idx="4">
                  <c:v>S5</c:v>
                </c:pt>
                <c:pt idx="5">
                  <c:v>S6</c:v>
                </c:pt>
                <c:pt idx="6">
                  <c:v>S7</c:v>
                </c:pt>
              </c:strCache>
            </c:strRef>
          </c:cat>
          <c:val>
            <c:numRef>
              <c:f>Sheet2!$E$15:$E$21</c:f>
              <c:numCache>
                <c:formatCode>General</c:formatCode>
                <c:ptCount val="7"/>
                <c:pt idx="0">
                  <c:v>96.91</c:v>
                </c:pt>
                <c:pt idx="1">
                  <c:v>96.87</c:v>
                </c:pt>
                <c:pt idx="2">
                  <c:v>96.06</c:v>
                </c:pt>
                <c:pt idx="3">
                  <c:v>96.02</c:v>
                </c:pt>
                <c:pt idx="4">
                  <c:v>96.06</c:v>
                </c:pt>
                <c:pt idx="5">
                  <c:v>96.01</c:v>
                </c:pt>
                <c:pt idx="6">
                  <c:v>0</c:v>
                </c:pt>
              </c:numCache>
            </c:numRef>
          </c:val>
          <c:extLst>
            <c:ext xmlns:c16="http://schemas.microsoft.com/office/drawing/2014/chart" uri="{C3380CC4-5D6E-409C-BE32-E72D297353CC}">
              <c16:uniqueId val="{00000003-9765-4978-9EA0-9101A93F2335}"/>
            </c:ext>
          </c:extLst>
        </c:ser>
        <c:ser>
          <c:idx val="4"/>
          <c:order val="4"/>
          <c:tx>
            <c:strRef>
              <c:f>Sheet2!$F$14</c:f>
              <c:strCache>
                <c:ptCount val="1"/>
                <c:pt idx="0">
                  <c:v>1min</c:v>
                </c:pt>
              </c:strCache>
            </c:strRef>
          </c:tx>
          <c:invertIfNegative val="0"/>
          <c:cat>
            <c:strRef>
              <c:f>Sheet2!$A$15:$A$21</c:f>
              <c:strCache>
                <c:ptCount val="7"/>
                <c:pt idx="0">
                  <c:v>S1</c:v>
                </c:pt>
                <c:pt idx="1">
                  <c:v>S2</c:v>
                </c:pt>
                <c:pt idx="2">
                  <c:v>S3</c:v>
                </c:pt>
                <c:pt idx="3">
                  <c:v>S4</c:v>
                </c:pt>
                <c:pt idx="4">
                  <c:v>S5</c:v>
                </c:pt>
                <c:pt idx="5">
                  <c:v>S6</c:v>
                </c:pt>
                <c:pt idx="6">
                  <c:v>S7</c:v>
                </c:pt>
              </c:strCache>
            </c:strRef>
          </c:cat>
          <c:val>
            <c:numRef>
              <c:f>Sheet2!$F$15:$F$21</c:f>
              <c:numCache>
                <c:formatCode>General</c:formatCode>
                <c:ptCount val="7"/>
                <c:pt idx="0">
                  <c:v>16.55</c:v>
                </c:pt>
                <c:pt idx="1">
                  <c:v>16.48</c:v>
                </c:pt>
                <c:pt idx="2">
                  <c:v>16.420000000000002</c:v>
                </c:pt>
                <c:pt idx="3">
                  <c:v>16.41</c:v>
                </c:pt>
                <c:pt idx="4">
                  <c:v>16.43</c:v>
                </c:pt>
                <c:pt idx="5">
                  <c:v>16.43</c:v>
                </c:pt>
                <c:pt idx="6">
                  <c:v>0</c:v>
                </c:pt>
              </c:numCache>
            </c:numRef>
          </c:val>
          <c:extLst>
            <c:ext xmlns:c16="http://schemas.microsoft.com/office/drawing/2014/chart" uri="{C3380CC4-5D6E-409C-BE32-E72D297353CC}">
              <c16:uniqueId val="{00000004-9765-4978-9EA0-9101A93F2335}"/>
            </c:ext>
          </c:extLst>
        </c:ser>
        <c:dLbls>
          <c:showLegendKey val="0"/>
          <c:showVal val="0"/>
          <c:showCatName val="0"/>
          <c:showSerName val="0"/>
          <c:showPercent val="0"/>
          <c:showBubbleSize val="0"/>
        </c:dLbls>
        <c:gapWidth val="150"/>
        <c:axId val="277984768"/>
        <c:axId val="277986688"/>
      </c:barChart>
      <c:catAx>
        <c:axId val="277984768"/>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layout>
            <c:manualLayout>
              <c:xMode val="edge"/>
              <c:yMode val="edge"/>
              <c:x val="0.40239767407141686"/>
              <c:y val="0.87628865979381443"/>
            </c:manualLayout>
          </c:layout>
          <c:overlay val="0"/>
        </c:title>
        <c:numFmt formatCode="General" sourceLinked="0"/>
        <c:majorTickMark val="out"/>
        <c:minorTickMark val="none"/>
        <c:tickLblPos val="nextTo"/>
        <c:crossAx val="277986688"/>
        <c:crosses val="autoZero"/>
        <c:auto val="1"/>
        <c:lblAlgn val="ctr"/>
        <c:lblOffset val="100"/>
        <c:noMultiLvlLbl val="0"/>
      </c:catAx>
      <c:valAx>
        <c:axId val="277986688"/>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277984768"/>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Lead</a:t>
            </a:r>
          </a:p>
        </c:rich>
      </c:tx>
      <c:overlay val="1"/>
    </c:title>
    <c:autoTitleDeleted val="0"/>
    <c:plotArea>
      <c:layout>
        <c:manualLayout>
          <c:layoutTarget val="inner"/>
          <c:xMode val="edge"/>
          <c:yMode val="edge"/>
          <c:x val="0.15258700874407097"/>
          <c:y val="0.15124589895013121"/>
          <c:w val="0.66867375844004928"/>
          <c:h val="0.50933891076115489"/>
        </c:manualLayout>
      </c:layout>
      <c:barChart>
        <c:barDir val="col"/>
        <c:grouping val="clustered"/>
        <c:varyColors val="0"/>
        <c:ser>
          <c:idx val="0"/>
          <c:order val="0"/>
          <c:tx>
            <c:strRef>
              <c:f>Sheet2!$B$25:$B$26</c:f>
              <c:strCache>
                <c:ptCount val="2"/>
                <c:pt idx="1">
                  <c:v>60min</c:v>
                </c:pt>
              </c:strCache>
            </c:strRef>
          </c:tx>
          <c:invertIfNegative val="0"/>
          <c:cat>
            <c:strRef>
              <c:f>Sheet2!$A$27:$A$33</c:f>
              <c:strCache>
                <c:ptCount val="7"/>
                <c:pt idx="0">
                  <c:v>S1</c:v>
                </c:pt>
                <c:pt idx="1">
                  <c:v>S2</c:v>
                </c:pt>
                <c:pt idx="2">
                  <c:v>S3</c:v>
                </c:pt>
                <c:pt idx="3">
                  <c:v>S4</c:v>
                </c:pt>
                <c:pt idx="4">
                  <c:v>S5</c:v>
                </c:pt>
                <c:pt idx="5">
                  <c:v>S6</c:v>
                </c:pt>
                <c:pt idx="6">
                  <c:v>S7</c:v>
                </c:pt>
              </c:strCache>
            </c:strRef>
          </c:cat>
          <c:val>
            <c:numRef>
              <c:f>Sheet2!$B$27:$B$33</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FA12-44DC-9791-28EC55A6DFAE}"/>
            </c:ext>
          </c:extLst>
        </c:ser>
        <c:ser>
          <c:idx val="1"/>
          <c:order val="1"/>
          <c:tx>
            <c:strRef>
              <c:f>Sheet2!$C$25:$C$26</c:f>
              <c:strCache>
                <c:ptCount val="2"/>
                <c:pt idx="1">
                  <c:v>30min</c:v>
                </c:pt>
              </c:strCache>
            </c:strRef>
          </c:tx>
          <c:invertIfNegative val="0"/>
          <c:cat>
            <c:strRef>
              <c:f>Sheet2!$A$27:$A$33</c:f>
              <c:strCache>
                <c:ptCount val="7"/>
                <c:pt idx="0">
                  <c:v>S1</c:v>
                </c:pt>
                <c:pt idx="1">
                  <c:v>S2</c:v>
                </c:pt>
                <c:pt idx="2">
                  <c:v>S3</c:v>
                </c:pt>
                <c:pt idx="3">
                  <c:v>S4</c:v>
                </c:pt>
                <c:pt idx="4">
                  <c:v>S5</c:v>
                </c:pt>
                <c:pt idx="5">
                  <c:v>S6</c:v>
                </c:pt>
                <c:pt idx="6">
                  <c:v>S7</c:v>
                </c:pt>
              </c:strCache>
            </c:strRef>
          </c:cat>
          <c:val>
            <c:numRef>
              <c:f>Sheet2!$C$27:$C$33</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FA12-44DC-9791-28EC55A6DFAE}"/>
            </c:ext>
          </c:extLst>
        </c:ser>
        <c:ser>
          <c:idx val="2"/>
          <c:order val="2"/>
          <c:tx>
            <c:strRef>
              <c:f>Sheet2!$D$25:$D$26</c:f>
              <c:strCache>
                <c:ptCount val="2"/>
                <c:pt idx="1">
                  <c:v>20min</c:v>
                </c:pt>
              </c:strCache>
            </c:strRef>
          </c:tx>
          <c:invertIfNegative val="0"/>
          <c:cat>
            <c:strRef>
              <c:f>Sheet2!$A$27:$A$33</c:f>
              <c:strCache>
                <c:ptCount val="7"/>
                <c:pt idx="0">
                  <c:v>S1</c:v>
                </c:pt>
                <c:pt idx="1">
                  <c:v>S2</c:v>
                </c:pt>
                <c:pt idx="2">
                  <c:v>S3</c:v>
                </c:pt>
                <c:pt idx="3">
                  <c:v>S4</c:v>
                </c:pt>
                <c:pt idx="4">
                  <c:v>S5</c:v>
                </c:pt>
                <c:pt idx="5">
                  <c:v>S6</c:v>
                </c:pt>
                <c:pt idx="6">
                  <c:v>S7</c:v>
                </c:pt>
              </c:strCache>
            </c:strRef>
          </c:cat>
          <c:val>
            <c:numRef>
              <c:f>Sheet2!$D$27:$D$33</c:f>
              <c:numCache>
                <c:formatCode>General</c:formatCode>
                <c:ptCount val="7"/>
                <c:pt idx="0">
                  <c:v>97.4</c:v>
                </c:pt>
                <c:pt idx="1">
                  <c:v>97.58</c:v>
                </c:pt>
                <c:pt idx="2">
                  <c:v>97.09</c:v>
                </c:pt>
                <c:pt idx="3">
                  <c:v>97.29</c:v>
                </c:pt>
                <c:pt idx="4">
                  <c:v>97.57</c:v>
                </c:pt>
                <c:pt idx="5">
                  <c:v>97.22</c:v>
                </c:pt>
                <c:pt idx="6">
                  <c:v>98.11</c:v>
                </c:pt>
              </c:numCache>
            </c:numRef>
          </c:val>
          <c:extLst>
            <c:ext xmlns:c16="http://schemas.microsoft.com/office/drawing/2014/chart" uri="{C3380CC4-5D6E-409C-BE32-E72D297353CC}">
              <c16:uniqueId val="{00000002-FA12-44DC-9791-28EC55A6DFAE}"/>
            </c:ext>
          </c:extLst>
        </c:ser>
        <c:ser>
          <c:idx val="3"/>
          <c:order val="3"/>
          <c:tx>
            <c:strRef>
              <c:f>Sheet2!$E$25:$E$26</c:f>
              <c:strCache>
                <c:ptCount val="2"/>
                <c:pt idx="1">
                  <c:v>10min</c:v>
                </c:pt>
              </c:strCache>
            </c:strRef>
          </c:tx>
          <c:invertIfNegative val="0"/>
          <c:cat>
            <c:strRef>
              <c:f>Sheet2!$A$27:$A$33</c:f>
              <c:strCache>
                <c:ptCount val="7"/>
                <c:pt idx="0">
                  <c:v>S1</c:v>
                </c:pt>
                <c:pt idx="1">
                  <c:v>S2</c:v>
                </c:pt>
                <c:pt idx="2">
                  <c:v>S3</c:v>
                </c:pt>
                <c:pt idx="3">
                  <c:v>S4</c:v>
                </c:pt>
                <c:pt idx="4">
                  <c:v>S5</c:v>
                </c:pt>
                <c:pt idx="5">
                  <c:v>S6</c:v>
                </c:pt>
                <c:pt idx="6">
                  <c:v>S7</c:v>
                </c:pt>
              </c:strCache>
            </c:strRef>
          </c:cat>
          <c:val>
            <c:numRef>
              <c:f>Sheet2!$E$27:$E$33</c:f>
              <c:numCache>
                <c:formatCode>General</c:formatCode>
                <c:ptCount val="7"/>
                <c:pt idx="0">
                  <c:v>96.33</c:v>
                </c:pt>
                <c:pt idx="1">
                  <c:v>96.61</c:v>
                </c:pt>
                <c:pt idx="2">
                  <c:v>96.33</c:v>
                </c:pt>
                <c:pt idx="3">
                  <c:v>96.72</c:v>
                </c:pt>
                <c:pt idx="4">
                  <c:v>96.44</c:v>
                </c:pt>
                <c:pt idx="5">
                  <c:v>96.29</c:v>
                </c:pt>
                <c:pt idx="6">
                  <c:v>96.86</c:v>
                </c:pt>
              </c:numCache>
            </c:numRef>
          </c:val>
          <c:extLst>
            <c:ext xmlns:c16="http://schemas.microsoft.com/office/drawing/2014/chart" uri="{C3380CC4-5D6E-409C-BE32-E72D297353CC}">
              <c16:uniqueId val="{00000003-FA12-44DC-9791-28EC55A6DFAE}"/>
            </c:ext>
          </c:extLst>
        </c:ser>
        <c:ser>
          <c:idx val="4"/>
          <c:order val="4"/>
          <c:tx>
            <c:strRef>
              <c:f>Sheet2!$F$25:$F$26</c:f>
              <c:strCache>
                <c:ptCount val="2"/>
                <c:pt idx="1">
                  <c:v>1min</c:v>
                </c:pt>
              </c:strCache>
            </c:strRef>
          </c:tx>
          <c:invertIfNegative val="0"/>
          <c:cat>
            <c:strRef>
              <c:f>Sheet2!$A$27:$A$33</c:f>
              <c:strCache>
                <c:ptCount val="7"/>
                <c:pt idx="0">
                  <c:v>S1</c:v>
                </c:pt>
                <c:pt idx="1">
                  <c:v>S2</c:v>
                </c:pt>
                <c:pt idx="2">
                  <c:v>S3</c:v>
                </c:pt>
                <c:pt idx="3">
                  <c:v>S4</c:v>
                </c:pt>
                <c:pt idx="4">
                  <c:v>S5</c:v>
                </c:pt>
                <c:pt idx="5">
                  <c:v>S6</c:v>
                </c:pt>
                <c:pt idx="6">
                  <c:v>S7</c:v>
                </c:pt>
              </c:strCache>
            </c:strRef>
          </c:cat>
          <c:val>
            <c:numRef>
              <c:f>Sheet2!$F$27:$F$33</c:f>
              <c:numCache>
                <c:formatCode>General</c:formatCode>
                <c:ptCount val="7"/>
                <c:pt idx="0">
                  <c:v>21.01</c:v>
                </c:pt>
                <c:pt idx="1">
                  <c:v>21.06</c:v>
                </c:pt>
                <c:pt idx="2">
                  <c:v>21.01</c:v>
                </c:pt>
                <c:pt idx="3">
                  <c:v>21.09</c:v>
                </c:pt>
                <c:pt idx="4">
                  <c:v>21.02</c:v>
                </c:pt>
                <c:pt idx="5">
                  <c:v>21.03</c:v>
                </c:pt>
                <c:pt idx="6">
                  <c:v>21.03</c:v>
                </c:pt>
              </c:numCache>
            </c:numRef>
          </c:val>
          <c:extLst>
            <c:ext xmlns:c16="http://schemas.microsoft.com/office/drawing/2014/chart" uri="{C3380CC4-5D6E-409C-BE32-E72D297353CC}">
              <c16:uniqueId val="{00000004-FA12-44DC-9791-28EC55A6DFAE}"/>
            </c:ext>
          </c:extLst>
        </c:ser>
        <c:dLbls>
          <c:showLegendKey val="0"/>
          <c:showVal val="0"/>
          <c:showCatName val="0"/>
          <c:showSerName val="0"/>
          <c:showPercent val="0"/>
          <c:showBubbleSize val="0"/>
        </c:dLbls>
        <c:gapWidth val="150"/>
        <c:axId val="278307968"/>
        <c:axId val="278309888"/>
      </c:barChart>
      <c:catAx>
        <c:axId val="278307968"/>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overlay val="0"/>
        </c:title>
        <c:numFmt formatCode="General" sourceLinked="0"/>
        <c:majorTickMark val="out"/>
        <c:minorTickMark val="none"/>
        <c:tickLblPos val="nextTo"/>
        <c:crossAx val="278309888"/>
        <c:crosses val="autoZero"/>
        <c:auto val="1"/>
        <c:lblAlgn val="ctr"/>
        <c:lblOffset val="100"/>
        <c:noMultiLvlLbl val="0"/>
      </c:catAx>
      <c:valAx>
        <c:axId val="278309888"/>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layout>
            <c:manualLayout>
              <c:xMode val="edge"/>
              <c:yMode val="edge"/>
              <c:x val="7.0175457984654787E-3"/>
              <c:y val="0.27624589895013124"/>
            </c:manualLayout>
          </c:layout>
          <c:overlay val="0"/>
        </c:title>
        <c:numFmt formatCode="General" sourceLinked="1"/>
        <c:majorTickMark val="out"/>
        <c:minorTickMark val="none"/>
        <c:tickLblPos val="nextTo"/>
        <c:crossAx val="278307968"/>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Copper</a:t>
            </a:r>
          </a:p>
        </c:rich>
      </c:tx>
      <c:overlay val="1"/>
    </c:title>
    <c:autoTitleDeleted val="0"/>
    <c:plotArea>
      <c:layout>
        <c:manualLayout>
          <c:layoutTarget val="inner"/>
          <c:xMode val="edge"/>
          <c:yMode val="edge"/>
          <c:x val="0.16699724614960043"/>
          <c:y val="0.26209623459113124"/>
          <c:w val="0.66105143107111608"/>
          <c:h val="0.40560452893019022"/>
        </c:manualLayout>
      </c:layout>
      <c:barChart>
        <c:barDir val="col"/>
        <c:grouping val="clustered"/>
        <c:varyColors val="0"/>
        <c:ser>
          <c:idx val="0"/>
          <c:order val="0"/>
          <c:tx>
            <c:strRef>
              <c:f>Sheet2!$B$38:$B$39</c:f>
              <c:strCache>
                <c:ptCount val="2"/>
                <c:pt idx="1">
                  <c:v>60min</c:v>
                </c:pt>
              </c:strCache>
            </c:strRef>
          </c:tx>
          <c:invertIfNegative val="0"/>
          <c:cat>
            <c:strRef>
              <c:f>Sheet2!$A$40:$A$46</c:f>
              <c:strCache>
                <c:ptCount val="7"/>
                <c:pt idx="0">
                  <c:v>S1</c:v>
                </c:pt>
                <c:pt idx="1">
                  <c:v>S2</c:v>
                </c:pt>
                <c:pt idx="2">
                  <c:v>S3</c:v>
                </c:pt>
                <c:pt idx="3">
                  <c:v>S4</c:v>
                </c:pt>
                <c:pt idx="4">
                  <c:v>S5</c:v>
                </c:pt>
                <c:pt idx="5">
                  <c:v>S6</c:v>
                </c:pt>
                <c:pt idx="6">
                  <c:v>S7</c:v>
                </c:pt>
              </c:strCache>
            </c:strRef>
          </c:cat>
          <c:val>
            <c:numRef>
              <c:f>Sheet2!$B$40:$B$46</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6386-461D-98DA-5ED90EBCE260}"/>
            </c:ext>
          </c:extLst>
        </c:ser>
        <c:ser>
          <c:idx val="1"/>
          <c:order val="1"/>
          <c:tx>
            <c:strRef>
              <c:f>Sheet2!$C$38:$C$39</c:f>
              <c:strCache>
                <c:ptCount val="2"/>
                <c:pt idx="1">
                  <c:v>30min</c:v>
                </c:pt>
              </c:strCache>
            </c:strRef>
          </c:tx>
          <c:invertIfNegative val="0"/>
          <c:cat>
            <c:strRef>
              <c:f>Sheet2!$A$40:$A$46</c:f>
              <c:strCache>
                <c:ptCount val="7"/>
                <c:pt idx="0">
                  <c:v>S1</c:v>
                </c:pt>
                <c:pt idx="1">
                  <c:v>S2</c:v>
                </c:pt>
                <c:pt idx="2">
                  <c:v>S3</c:v>
                </c:pt>
                <c:pt idx="3">
                  <c:v>S4</c:v>
                </c:pt>
                <c:pt idx="4">
                  <c:v>S5</c:v>
                </c:pt>
                <c:pt idx="5">
                  <c:v>S6</c:v>
                </c:pt>
                <c:pt idx="6">
                  <c:v>S7</c:v>
                </c:pt>
              </c:strCache>
            </c:strRef>
          </c:cat>
          <c:val>
            <c:numRef>
              <c:f>Sheet2!$C$40:$C$46</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6386-461D-98DA-5ED90EBCE260}"/>
            </c:ext>
          </c:extLst>
        </c:ser>
        <c:ser>
          <c:idx val="2"/>
          <c:order val="2"/>
          <c:tx>
            <c:strRef>
              <c:f>Sheet2!$D$38:$D$39</c:f>
              <c:strCache>
                <c:ptCount val="2"/>
                <c:pt idx="1">
                  <c:v>20min</c:v>
                </c:pt>
              </c:strCache>
            </c:strRef>
          </c:tx>
          <c:invertIfNegative val="0"/>
          <c:cat>
            <c:strRef>
              <c:f>Sheet2!$A$40:$A$46</c:f>
              <c:strCache>
                <c:ptCount val="7"/>
                <c:pt idx="0">
                  <c:v>S1</c:v>
                </c:pt>
                <c:pt idx="1">
                  <c:v>S2</c:v>
                </c:pt>
                <c:pt idx="2">
                  <c:v>S3</c:v>
                </c:pt>
                <c:pt idx="3">
                  <c:v>S4</c:v>
                </c:pt>
                <c:pt idx="4">
                  <c:v>S5</c:v>
                </c:pt>
                <c:pt idx="5">
                  <c:v>S6</c:v>
                </c:pt>
                <c:pt idx="6">
                  <c:v>S7</c:v>
                </c:pt>
              </c:strCache>
            </c:strRef>
          </c:cat>
          <c:val>
            <c:numRef>
              <c:f>Sheet2!$D$40:$D$46</c:f>
              <c:numCache>
                <c:formatCode>General</c:formatCode>
                <c:ptCount val="7"/>
                <c:pt idx="0">
                  <c:v>96.16</c:v>
                </c:pt>
                <c:pt idx="1">
                  <c:v>95.59</c:v>
                </c:pt>
                <c:pt idx="2">
                  <c:v>94.59</c:v>
                </c:pt>
                <c:pt idx="3">
                  <c:v>94.32</c:v>
                </c:pt>
                <c:pt idx="4">
                  <c:v>96.21</c:v>
                </c:pt>
                <c:pt idx="5">
                  <c:v>94.01</c:v>
                </c:pt>
                <c:pt idx="6">
                  <c:v>94.06</c:v>
                </c:pt>
              </c:numCache>
            </c:numRef>
          </c:val>
          <c:extLst>
            <c:ext xmlns:c16="http://schemas.microsoft.com/office/drawing/2014/chart" uri="{C3380CC4-5D6E-409C-BE32-E72D297353CC}">
              <c16:uniqueId val="{00000002-6386-461D-98DA-5ED90EBCE260}"/>
            </c:ext>
          </c:extLst>
        </c:ser>
        <c:ser>
          <c:idx val="3"/>
          <c:order val="3"/>
          <c:tx>
            <c:strRef>
              <c:f>Sheet2!$E$38:$E$39</c:f>
              <c:strCache>
                <c:ptCount val="2"/>
                <c:pt idx="1">
                  <c:v>10min</c:v>
                </c:pt>
              </c:strCache>
            </c:strRef>
          </c:tx>
          <c:invertIfNegative val="0"/>
          <c:cat>
            <c:strRef>
              <c:f>Sheet2!$A$40:$A$46</c:f>
              <c:strCache>
                <c:ptCount val="7"/>
                <c:pt idx="0">
                  <c:v>S1</c:v>
                </c:pt>
                <c:pt idx="1">
                  <c:v>S2</c:v>
                </c:pt>
                <c:pt idx="2">
                  <c:v>S3</c:v>
                </c:pt>
                <c:pt idx="3">
                  <c:v>S4</c:v>
                </c:pt>
                <c:pt idx="4">
                  <c:v>S5</c:v>
                </c:pt>
                <c:pt idx="5">
                  <c:v>S6</c:v>
                </c:pt>
                <c:pt idx="6">
                  <c:v>S7</c:v>
                </c:pt>
              </c:strCache>
            </c:strRef>
          </c:cat>
          <c:val>
            <c:numRef>
              <c:f>Sheet2!$E$40:$E$46</c:f>
              <c:numCache>
                <c:formatCode>General</c:formatCode>
                <c:ptCount val="7"/>
                <c:pt idx="0">
                  <c:v>75.72</c:v>
                </c:pt>
                <c:pt idx="1">
                  <c:v>75.819999999999993</c:v>
                </c:pt>
                <c:pt idx="2">
                  <c:v>75.61</c:v>
                </c:pt>
                <c:pt idx="3">
                  <c:v>75.63</c:v>
                </c:pt>
                <c:pt idx="4">
                  <c:v>75.05</c:v>
                </c:pt>
                <c:pt idx="5">
                  <c:v>75.53</c:v>
                </c:pt>
                <c:pt idx="6">
                  <c:v>93.76</c:v>
                </c:pt>
              </c:numCache>
            </c:numRef>
          </c:val>
          <c:extLst>
            <c:ext xmlns:c16="http://schemas.microsoft.com/office/drawing/2014/chart" uri="{C3380CC4-5D6E-409C-BE32-E72D297353CC}">
              <c16:uniqueId val="{00000003-6386-461D-98DA-5ED90EBCE260}"/>
            </c:ext>
          </c:extLst>
        </c:ser>
        <c:ser>
          <c:idx val="4"/>
          <c:order val="4"/>
          <c:tx>
            <c:strRef>
              <c:f>Sheet2!$F$38:$F$39</c:f>
              <c:strCache>
                <c:ptCount val="2"/>
                <c:pt idx="1">
                  <c:v>1min</c:v>
                </c:pt>
              </c:strCache>
            </c:strRef>
          </c:tx>
          <c:invertIfNegative val="0"/>
          <c:cat>
            <c:strRef>
              <c:f>Sheet2!$A$40:$A$46</c:f>
              <c:strCache>
                <c:ptCount val="7"/>
                <c:pt idx="0">
                  <c:v>S1</c:v>
                </c:pt>
                <c:pt idx="1">
                  <c:v>S2</c:v>
                </c:pt>
                <c:pt idx="2">
                  <c:v>S3</c:v>
                </c:pt>
                <c:pt idx="3">
                  <c:v>S4</c:v>
                </c:pt>
                <c:pt idx="4">
                  <c:v>S5</c:v>
                </c:pt>
                <c:pt idx="5">
                  <c:v>S6</c:v>
                </c:pt>
                <c:pt idx="6">
                  <c:v>S7</c:v>
                </c:pt>
              </c:strCache>
            </c:strRef>
          </c:cat>
          <c:val>
            <c:numRef>
              <c:f>Sheet2!$F$40:$F$46</c:f>
              <c:numCache>
                <c:formatCode>General</c:formatCode>
                <c:ptCount val="7"/>
                <c:pt idx="0">
                  <c:v>20.329999999999998</c:v>
                </c:pt>
                <c:pt idx="1">
                  <c:v>20.440000000000001</c:v>
                </c:pt>
                <c:pt idx="2">
                  <c:v>20.41</c:v>
                </c:pt>
                <c:pt idx="3">
                  <c:v>20.38</c:v>
                </c:pt>
                <c:pt idx="4">
                  <c:v>20.39</c:v>
                </c:pt>
                <c:pt idx="5">
                  <c:v>20.89</c:v>
                </c:pt>
                <c:pt idx="6">
                  <c:v>29.43</c:v>
                </c:pt>
              </c:numCache>
            </c:numRef>
          </c:val>
          <c:extLst>
            <c:ext xmlns:c16="http://schemas.microsoft.com/office/drawing/2014/chart" uri="{C3380CC4-5D6E-409C-BE32-E72D297353CC}">
              <c16:uniqueId val="{00000004-6386-461D-98DA-5ED90EBCE260}"/>
            </c:ext>
          </c:extLst>
        </c:ser>
        <c:dLbls>
          <c:showLegendKey val="0"/>
          <c:showVal val="0"/>
          <c:showCatName val="0"/>
          <c:showSerName val="0"/>
          <c:showPercent val="0"/>
          <c:showBubbleSize val="0"/>
        </c:dLbls>
        <c:gapWidth val="150"/>
        <c:axId val="278704896"/>
        <c:axId val="278706816"/>
      </c:barChart>
      <c:catAx>
        <c:axId val="278704896"/>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overlay val="0"/>
        </c:title>
        <c:numFmt formatCode="General" sourceLinked="0"/>
        <c:majorTickMark val="out"/>
        <c:minorTickMark val="none"/>
        <c:tickLblPos val="nextTo"/>
        <c:crossAx val="278706816"/>
        <c:crosses val="autoZero"/>
        <c:auto val="1"/>
        <c:lblAlgn val="ctr"/>
        <c:lblOffset val="100"/>
        <c:noMultiLvlLbl val="0"/>
      </c:catAx>
      <c:valAx>
        <c:axId val="278706816"/>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27870489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WBl17</b:Tag>
    <b:SourceType>JournalArticle</b:SourceType>
    <b:Guid>{F5C0CC16-8F26-4996-9D67-F81DE22F6705}</b:Guid>
    <b:Author>
      <b:Author>
        <b:NameList>
          <b:Person>
            <b:Last>Bleam</b:Last>
            <b:First>W.</b:First>
          </b:Person>
        </b:NameList>
      </b:Author>
    </b:Author>
    <b:Title>Surface Chemistry and Adsorption</b:Title>
    <b:JournalName>Soil and Environmental Chemistry (Second Edition)</b:JournalName>
    <b:Year>2017</b:Year>
    <b:Pages>385-443</b:Pages>
    <b:RefOrder>8</b:RefOrder>
  </b:Source>
  <b:Source>
    <b:Tag>RAN17</b:Tag>
    <b:SourceType>BookSection</b:SourceType>
    <b:Guid>{687D6E4E-16D5-408D-AC2F-20B2A73C6FE6}</b:Guid>
    <b:Title>Mechanism of Adsorption on Nano materials</b:Title>
    <b:Year>2017</b:Year>
    <b:Pages>90-111</b:Pages>
    <b:Author>
      <b:Author>
        <b:NameList>
          <b:Person>
            <b:Last>Bushra</b:Last>
            <b:First>Rani</b:First>
          </b:Person>
        </b:NameList>
      </b:Author>
      <b:BookAuthor>
        <b:NameList>
          <b:Person>
            <b:Last>Rani Bushra</b:Last>
            <b:First>Anees</b:First>
            <b:Middle>Ahmeda And Mohammad Shahadat</b:Middle>
          </b:Person>
        </b:NameList>
      </b:BookAuthor>
    </b:Author>
    <b:BookTitle>Detection Science Serie No9</b:BookTitle>
    <b:Publisher>The royal society of Chemistry</b:Publisher>
    <b:RefOrder>9</b:RefOrder>
  </b:Source>
  <b:Source>
    <b:Tag>Mos20</b:Tag>
    <b:SourceType>JournalArticle</b:SourceType>
    <b:Guid>{874317DD-2D92-4DA7-A4BB-77A020F5FC08}</b:Guid>
    <b:Author>
      <b:Author>
        <b:NameList>
          <b:Person>
            <b:Last>Selim</b:Last>
            <b:First>Mostafa</b:First>
            <b:Middle>Mohamed</b:Middle>
          </b:Person>
        </b:NameList>
      </b:Author>
    </b:Author>
    <b:Title>Introduction to the Integrated Nutrient Management Strategies and Their Contribution to Yield and Soil Properties</b:Title>
    <b:JournalName>International Journal of Agronomy</b:JournalName>
    <b:Year>2020</b:Year>
    <b:Pages>1-14</b:Pages>
    <b:RefOrder>2</b:RefOrder>
  </b:Source>
  <b:Source>
    <b:Tag>Nat00</b:Tag>
    <b:SourceType>Book</b:SourceType>
    <b:Guid>{E67DBB91-1B50-46EF-B8BC-2E37EE199065}</b:Guid>
    <b:Title>Copper in Drinking Water</b:Title>
    <b:Year>2000</b:Year>
    <b:Author>
      <b:Author>
        <b:NameList>
          <b:Person>
            <b:Last>Water</b:Last>
            <b:First>National</b:First>
            <b:Middle>Research Council (US) Committee on Copper in Drinking</b:Middle>
          </b:Person>
        </b:NameList>
      </b:Author>
    </b:Author>
    <b:City>Washington (DC)</b:City>
    <b:Publisher>National Academies Press (US)</b:Publisher>
    <b:RefOrder>4</b:RefOrder>
  </b:Source>
</b:Sources>
</file>

<file path=customXml/itemProps1.xml><?xml version="1.0" encoding="utf-8"?>
<ds:datastoreItem xmlns:ds="http://schemas.openxmlformats.org/officeDocument/2006/customXml" ds:itemID="{A8D88B07-E760-4862-A515-F3057E08E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15</Pages>
  <Words>4014</Words>
  <Characters>22880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26841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Makani</dc:creator>
  <cp:lastModifiedBy>SDI 1084</cp:lastModifiedBy>
  <cp:revision>13</cp:revision>
  <dcterms:created xsi:type="dcterms:W3CDTF">2025-09-16T15:49:00Z</dcterms:created>
  <dcterms:modified xsi:type="dcterms:W3CDTF">2025-12-04T13:30:00Z</dcterms:modified>
</cp:coreProperties>
</file>