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A1990" w14:textId="06CBE0E2" w:rsidR="003D025E" w:rsidRPr="003D025E" w:rsidRDefault="003D025E" w:rsidP="003D025E">
      <w:pPr>
        <w:rPr>
          <w:rFonts w:ascii="Times New Roman" w:hAnsi="Times New Roman" w:cs="Times New Roman"/>
          <w:b/>
          <w:sz w:val="28"/>
          <w:szCs w:val="28"/>
          <w:u w:val="single"/>
          <w:lang w:val="en-US"/>
        </w:rPr>
      </w:pPr>
      <w:r w:rsidRPr="003D025E">
        <w:rPr>
          <w:rFonts w:ascii="Times New Roman" w:hAnsi="Times New Roman" w:cs="Times New Roman"/>
          <w:b/>
          <w:sz w:val="28"/>
          <w:szCs w:val="28"/>
          <w:u w:val="single"/>
          <w:lang w:val="en-US"/>
        </w:rPr>
        <w:t>Original Research Article</w:t>
      </w:r>
    </w:p>
    <w:p w14:paraId="1CFAF4F0" w14:textId="77777777" w:rsidR="003D025E" w:rsidRDefault="003D025E" w:rsidP="00D27CB9">
      <w:pPr>
        <w:jc w:val="center"/>
        <w:rPr>
          <w:rFonts w:ascii="Times New Roman" w:hAnsi="Times New Roman" w:cs="Times New Roman"/>
          <w:b/>
          <w:sz w:val="28"/>
          <w:szCs w:val="28"/>
          <w:lang w:val="en-US"/>
        </w:rPr>
      </w:pPr>
    </w:p>
    <w:p w14:paraId="23203ADC" w14:textId="1F9E74FE" w:rsidR="00D27CB9" w:rsidRDefault="00D27CB9" w:rsidP="00D27CB9">
      <w:pPr>
        <w:jc w:val="center"/>
        <w:rPr>
          <w:rFonts w:ascii="Times New Roman" w:hAnsi="Times New Roman" w:cs="Times New Roman"/>
          <w:b/>
          <w:sz w:val="28"/>
          <w:szCs w:val="28"/>
          <w:lang w:val="en-US"/>
        </w:rPr>
      </w:pPr>
      <w:r w:rsidRPr="00F6635B">
        <w:rPr>
          <w:rFonts w:ascii="Times New Roman" w:hAnsi="Times New Roman" w:cs="Times New Roman"/>
          <w:b/>
          <w:sz w:val="28"/>
          <w:szCs w:val="28"/>
          <w:lang w:val="en-US"/>
        </w:rPr>
        <w:t>Perception Scale: Assessing Farmers' Perception about the Impact of Agrochemicals on Health</w:t>
      </w:r>
    </w:p>
    <w:p w14:paraId="7BA9BCA3" w14:textId="28F8DD75" w:rsidR="00D27CB9" w:rsidRDefault="00D27CB9" w:rsidP="00373CC9">
      <w:pPr>
        <w:jc w:val="center"/>
        <w:rPr>
          <w:rFonts w:ascii="Times New Roman" w:eastAsia="Times New Roman" w:hAnsi="Times New Roman" w:cs="Times New Roman"/>
          <w:sz w:val="20"/>
          <w:szCs w:val="20"/>
          <w:lang w:val="en-US" w:eastAsia="en-IN"/>
        </w:rPr>
      </w:pPr>
    </w:p>
    <w:p w14:paraId="6E54874D" w14:textId="77777777" w:rsidR="00256414" w:rsidRDefault="00256414" w:rsidP="00373CC9">
      <w:pPr>
        <w:jc w:val="center"/>
        <w:rPr>
          <w:rFonts w:ascii="Times New Roman" w:hAnsi="Times New Roman" w:cs="Times New Roman"/>
          <w:b/>
          <w:sz w:val="24"/>
        </w:rPr>
      </w:pPr>
    </w:p>
    <w:p w14:paraId="39B6BDC4" w14:textId="77777777" w:rsidR="002F6F1E" w:rsidRPr="008C66EA" w:rsidRDefault="00373CC9" w:rsidP="00373CC9">
      <w:pPr>
        <w:jc w:val="center"/>
        <w:rPr>
          <w:rFonts w:ascii="Times New Roman" w:hAnsi="Times New Roman" w:cs="Times New Roman"/>
          <w:b/>
          <w:sz w:val="24"/>
        </w:rPr>
      </w:pPr>
      <w:r w:rsidRPr="008C66EA">
        <w:rPr>
          <w:rFonts w:ascii="Times New Roman" w:hAnsi="Times New Roman" w:cs="Times New Roman"/>
          <w:b/>
          <w:sz w:val="24"/>
        </w:rPr>
        <w:t>Abstract</w:t>
      </w:r>
    </w:p>
    <w:p w14:paraId="329AC81E" w14:textId="77777777" w:rsidR="00D27CB9" w:rsidRDefault="00D27CB9" w:rsidP="00D27CB9">
      <w:pPr>
        <w:spacing w:line="360" w:lineRule="auto"/>
        <w:jc w:val="both"/>
        <w:rPr>
          <w:rFonts w:ascii="Times New Roman" w:hAnsi="Times New Roman" w:cs="Times New Roman"/>
          <w:sz w:val="24"/>
          <w:szCs w:val="24"/>
        </w:rPr>
      </w:pPr>
      <w:r>
        <w:rPr>
          <w:rFonts w:ascii="Times New Roman" w:hAnsi="Times New Roman" w:cs="Times New Roman"/>
          <w:b/>
          <w:sz w:val="24"/>
          <w:szCs w:val="24"/>
        </w:rPr>
        <w:t>Aim</w:t>
      </w:r>
      <w:r w:rsidRPr="00A318CE">
        <w:rPr>
          <w:rFonts w:ascii="Times New Roman" w:hAnsi="Times New Roman" w:cs="Times New Roman"/>
          <w:b/>
          <w:sz w:val="24"/>
          <w:szCs w:val="24"/>
        </w:rPr>
        <w:t>:</w:t>
      </w:r>
      <w:r w:rsidRPr="00A318CE">
        <w:rPr>
          <w:rFonts w:ascii="Times New Roman" w:hAnsi="Times New Roman" w:cs="Times New Roman"/>
          <w:sz w:val="24"/>
          <w:szCs w:val="24"/>
        </w:rPr>
        <w:t xml:space="preserve"> </w:t>
      </w:r>
      <w:r w:rsidRPr="00E25788">
        <w:rPr>
          <w:rFonts w:ascii="Times New Roman" w:hAnsi="Times New Roman" w:cs="Times New Roman"/>
          <w:sz w:val="24"/>
          <w:szCs w:val="24"/>
        </w:rPr>
        <w:t>In recent time</w:t>
      </w:r>
      <w:r>
        <w:rPr>
          <w:rFonts w:ascii="Times New Roman" w:hAnsi="Times New Roman" w:cs="Times New Roman"/>
          <w:sz w:val="24"/>
          <w:szCs w:val="24"/>
        </w:rPr>
        <w:t>s,</w:t>
      </w:r>
      <w:r w:rsidRPr="00E25788">
        <w:rPr>
          <w:rFonts w:ascii="Times New Roman" w:hAnsi="Times New Roman" w:cs="Times New Roman"/>
          <w:sz w:val="24"/>
          <w:szCs w:val="24"/>
        </w:rPr>
        <w:t xml:space="preserve"> agriculture need</w:t>
      </w:r>
      <w:r>
        <w:rPr>
          <w:rFonts w:ascii="Times New Roman" w:hAnsi="Times New Roman" w:cs="Times New Roman"/>
          <w:sz w:val="24"/>
          <w:szCs w:val="24"/>
        </w:rPr>
        <w:t>s</w:t>
      </w:r>
      <w:r w:rsidRPr="00E25788">
        <w:rPr>
          <w:rFonts w:ascii="Times New Roman" w:hAnsi="Times New Roman" w:cs="Times New Roman"/>
          <w:sz w:val="24"/>
          <w:szCs w:val="24"/>
        </w:rPr>
        <w:t xml:space="preserve"> increases </w:t>
      </w:r>
      <w:r>
        <w:rPr>
          <w:rFonts w:ascii="Times New Roman" w:hAnsi="Times New Roman" w:cs="Times New Roman"/>
          <w:sz w:val="24"/>
          <w:szCs w:val="24"/>
        </w:rPr>
        <w:t>in</w:t>
      </w:r>
      <w:r w:rsidRPr="00E25788">
        <w:rPr>
          <w:rFonts w:ascii="Times New Roman" w:hAnsi="Times New Roman" w:cs="Times New Roman"/>
          <w:sz w:val="24"/>
          <w:szCs w:val="24"/>
        </w:rPr>
        <w:t xml:space="preserve"> production</w:t>
      </w:r>
      <w:r>
        <w:rPr>
          <w:rFonts w:ascii="Times New Roman" w:hAnsi="Times New Roman" w:cs="Times New Roman"/>
          <w:sz w:val="24"/>
          <w:szCs w:val="24"/>
        </w:rPr>
        <w:t>,</w:t>
      </w:r>
      <w:r w:rsidRPr="00E25788">
        <w:rPr>
          <w:rFonts w:ascii="Times New Roman" w:hAnsi="Times New Roman" w:cs="Times New Roman"/>
          <w:sz w:val="24"/>
          <w:szCs w:val="24"/>
        </w:rPr>
        <w:t xml:space="preserve"> </w:t>
      </w:r>
      <w:r>
        <w:rPr>
          <w:rFonts w:ascii="Times New Roman" w:hAnsi="Times New Roman" w:cs="Times New Roman"/>
          <w:sz w:val="24"/>
          <w:szCs w:val="24"/>
        </w:rPr>
        <w:t>which</w:t>
      </w:r>
      <w:r w:rsidRPr="00E25788">
        <w:rPr>
          <w:rFonts w:ascii="Times New Roman" w:hAnsi="Times New Roman" w:cs="Times New Roman"/>
          <w:sz w:val="24"/>
          <w:szCs w:val="24"/>
        </w:rPr>
        <w:t xml:space="preserve"> aggravates </w:t>
      </w:r>
      <w:r>
        <w:rPr>
          <w:rFonts w:ascii="Times New Roman" w:hAnsi="Times New Roman" w:cs="Times New Roman"/>
          <w:sz w:val="24"/>
          <w:szCs w:val="24"/>
        </w:rPr>
        <w:t xml:space="preserve">the </w:t>
      </w:r>
      <w:r w:rsidRPr="00E25788">
        <w:rPr>
          <w:rFonts w:ascii="Times New Roman" w:hAnsi="Times New Roman" w:cs="Times New Roman"/>
          <w:sz w:val="24"/>
          <w:szCs w:val="24"/>
        </w:rPr>
        <w:t>use of agrochemical products</w:t>
      </w:r>
      <w:r>
        <w:rPr>
          <w:rFonts w:ascii="Times New Roman" w:hAnsi="Times New Roman" w:cs="Times New Roman"/>
          <w:sz w:val="24"/>
          <w:szCs w:val="24"/>
        </w:rPr>
        <w:t>,</w:t>
      </w:r>
      <w:r w:rsidRPr="00E25788">
        <w:rPr>
          <w:rFonts w:ascii="Times New Roman" w:hAnsi="Times New Roman" w:cs="Times New Roman"/>
          <w:sz w:val="24"/>
          <w:szCs w:val="24"/>
        </w:rPr>
        <w:t xml:space="preserve"> exacerbat</w:t>
      </w:r>
      <w:r>
        <w:rPr>
          <w:rFonts w:ascii="Times New Roman" w:hAnsi="Times New Roman" w:cs="Times New Roman"/>
          <w:sz w:val="24"/>
          <w:szCs w:val="24"/>
        </w:rPr>
        <w:t>ing</w:t>
      </w:r>
      <w:r w:rsidRPr="00E2578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E25788">
        <w:rPr>
          <w:rFonts w:ascii="Times New Roman" w:hAnsi="Times New Roman" w:cs="Times New Roman"/>
          <w:sz w:val="24"/>
          <w:szCs w:val="24"/>
        </w:rPr>
        <w:t xml:space="preserve">effect on </w:t>
      </w:r>
      <w:r>
        <w:rPr>
          <w:rFonts w:ascii="Times New Roman" w:hAnsi="Times New Roman" w:cs="Times New Roman"/>
          <w:sz w:val="24"/>
          <w:szCs w:val="24"/>
        </w:rPr>
        <w:t xml:space="preserve">the </w:t>
      </w:r>
      <w:r w:rsidRPr="00E25788">
        <w:rPr>
          <w:rFonts w:ascii="Times New Roman" w:hAnsi="Times New Roman" w:cs="Times New Roman"/>
          <w:sz w:val="24"/>
          <w:szCs w:val="24"/>
        </w:rPr>
        <w:t>enviro</w:t>
      </w:r>
      <w:r>
        <w:rPr>
          <w:rFonts w:ascii="Times New Roman" w:hAnsi="Times New Roman" w:cs="Times New Roman"/>
          <w:sz w:val="24"/>
          <w:szCs w:val="24"/>
        </w:rPr>
        <w:t>nment</w:t>
      </w:r>
      <w:r w:rsidRPr="00E25788">
        <w:rPr>
          <w:rFonts w:ascii="Times New Roman" w:hAnsi="Times New Roman" w:cs="Times New Roman"/>
          <w:sz w:val="24"/>
          <w:szCs w:val="24"/>
        </w:rPr>
        <w:t xml:space="preserve"> and human </w:t>
      </w:r>
      <w:r>
        <w:rPr>
          <w:rFonts w:ascii="Times New Roman" w:hAnsi="Times New Roman" w:cs="Times New Roman"/>
          <w:sz w:val="24"/>
          <w:szCs w:val="24"/>
        </w:rPr>
        <w:t>health</w:t>
      </w:r>
      <w:r w:rsidRPr="00E25788">
        <w:rPr>
          <w:rFonts w:ascii="Times New Roman" w:hAnsi="Times New Roman" w:cs="Times New Roman"/>
          <w:sz w:val="24"/>
          <w:szCs w:val="24"/>
        </w:rPr>
        <w:t>.</w:t>
      </w:r>
      <w:r>
        <w:rPr>
          <w:rFonts w:ascii="Times New Roman" w:hAnsi="Times New Roman" w:cs="Times New Roman"/>
          <w:sz w:val="24"/>
          <w:szCs w:val="24"/>
        </w:rPr>
        <w:t xml:space="preserve"> </w:t>
      </w:r>
      <w:r w:rsidRPr="00E25788">
        <w:rPr>
          <w:rFonts w:ascii="Times New Roman" w:hAnsi="Times New Roman" w:cs="Times New Roman"/>
          <w:sz w:val="24"/>
          <w:szCs w:val="24"/>
        </w:rPr>
        <w:t>Though different initiative</w:t>
      </w:r>
      <w:r>
        <w:rPr>
          <w:rFonts w:ascii="Times New Roman" w:hAnsi="Times New Roman" w:cs="Times New Roman"/>
          <w:sz w:val="24"/>
          <w:szCs w:val="24"/>
        </w:rPr>
        <w:t>s</w:t>
      </w:r>
      <w:r w:rsidRPr="00E25788">
        <w:rPr>
          <w:rFonts w:ascii="Times New Roman" w:hAnsi="Times New Roman" w:cs="Times New Roman"/>
          <w:sz w:val="24"/>
          <w:szCs w:val="24"/>
        </w:rPr>
        <w:t xml:space="preserve"> </w:t>
      </w:r>
      <w:r>
        <w:rPr>
          <w:rFonts w:ascii="Times New Roman" w:hAnsi="Times New Roman" w:cs="Times New Roman"/>
          <w:sz w:val="24"/>
          <w:szCs w:val="24"/>
        </w:rPr>
        <w:t>exist</w:t>
      </w:r>
      <w:r w:rsidRPr="00E25788">
        <w:rPr>
          <w:rFonts w:ascii="Times New Roman" w:hAnsi="Times New Roman" w:cs="Times New Roman"/>
          <w:sz w:val="24"/>
          <w:szCs w:val="24"/>
        </w:rPr>
        <w:t xml:space="preserve"> farmers</w:t>
      </w:r>
      <w:r>
        <w:rPr>
          <w:rFonts w:ascii="Times New Roman" w:hAnsi="Times New Roman" w:cs="Times New Roman"/>
          <w:sz w:val="24"/>
          <w:szCs w:val="24"/>
        </w:rPr>
        <w:t xml:space="preserve"> are often</w:t>
      </w:r>
      <w:r w:rsidRPr="00E25788">
        <w:rPr>
          <w:rFonts w:ascii="Times New Roman" w:hAnsi="Times New Roman" w:cs="Times New Roman"/>
          <w:sz w:val="24"/>
          <w:szCs w:val="24"/>
        </w:rPr>
        <w:t xml:space="preserve"> overlooking th</w:t>
      </w:r>
      <w:r>
        <w:rPr>
          <w:rFonts w:ascii="Times New Roman" w:hAnsi="Times New Roman" w:cs="Times New Roman"/>
          <w:sz w:val="24"/>
          <w:szCs w:val="24"/>
        </w:rPr>
        <w:t>ese</w:t>
      </w:r>
      <w:r w:rsidRPr="00E25788">
        <w:rPr>
          <w:rFonts w:ascii="Times New Roman" w:hAnsi="Times New Roman" w:cs="Times New Roman"/>
          <w:sz w:val="24"/>
          <w:szCs w:val="24"/>
        </w:rPr>
        <w:t xml:space="preserve"> safety norms because awareness, knowledge, education and intention </w:t>
      </w:r>
      <w:r>
        <w:rPr>
          <w:rFonts w:ascii="Times New Roman" w:hAnsi="Times New Roman" w:cs="Times New Roman"/>
          <w:sz w:val="24"/>
          <w:szCs w:val="24"/>
        </w:rPr>
        <w:t>are limited</w:t>
      </w:r>
      <w:r w:rsidRPr="00E25788">
        <w:rPr>
          <w:rFonts w:ascii="Times New Roman" w:hAnsi="Times New Roman" w:cs="Times New Roman"/>
          <w:sz w:val="24"/>
          <w:szCs w:val="24"/>
        </w:rPr>
        <w:t xml:space="preserve">. Therefore, this study </w:t>
      </w:r>
      <w:r>
        <w:rPr>
          <w:rFonts w:ascii="Times New Roman" w:hAnsi="Times New Roman" w:cs="Times New Roman"/>
          <w:sz w:val="24"/>
          <w:szCs w:val="24"/>
        </w:rPr>
        <w:t>standardise</w:t>
      </w:r>
      <w:r w:rsidRPr="00E25788">
        <w:rPr>
          <w:rFonts w:ascii="Times New Roman" w:hAnsi="Times New Roman" w:cs="Times New Roman"/>
          <w:sz w:val="24"/>
          <w:szCs w:val="24"/>
        </w:rPr>
        <w:t xml:space="preserve"> a tool</w:t>
      </w:r>
      <w:r>
        <w:rPr>
          <w:rFonts w:ascii="Times New Roman" w:hAnsi="Times New Roman" w:cs="Times New Roman"/>
          <w:sz w:val="24"/>
          <w:szCs w:val="24"/>
        </w:rPr>
        <w:t xml:space="preserve"> to depict </w:t>
      </w:r>
      <w:r w:rsidRPr="00E25788">
        <w:rPr>
          <w:rFonts w:ascii="Times New Roman" w:hAnsi="Times New Roman" w:cs="Times New Roman"/>
          <w:sz w:val="24"/>
          <w:szCs w:val="24"/>
        </w:rPr>
        <w:t>farmers</w:t>
      </w:r>
      <w:r>
        <w:rPr>
          <w:rFonts w:ascii="Times New Roman" w:hAnsi="Times New Roman" w:cs="Times New Roman"/>
          <w:sz w:val="24"/>
          <w:szCs w:val="24"/>
        </w:rPr>
        <w:t>'</w:t>
      </w:r>
      <w:r w:rsidRPr="00E25788">
        <w:rPr>
          <w:rFonts w:ascii="Times New Roman" w:hAnsi="Times New Roman" w:cs="Times New Roman"/>
          <w:sz w:val="24"/>
          <w:szCs w:val="24"/>
        </w:rPr>
        <w:t xml:space="preserve"> perception on health issue</w:t>
      </w:r>
      <w:r>
        <w:rPr>
          <w:rFonts w:ascii="Times New Roman" w:hAnsi="Times New Roman" w:cs="Times New Roman"/>
          <w:sz w:val="24"/>
          <w:szCs w:val="24"/>
        </w:rPr>
        <w:t>s</w:t>
      </w:r>
      <w:r w:rsidRPr="00E25788">
        <w:rPr>
          <w:rFonts w:ascii="Times New Roman" w:hAnsi="Times New Roman" w:cs="Times New Roman"/>
          <w:sz w:val="24"/>
          <w:szCs w:val="24"/>
        </w:rPr>
        <w:t xml:space="preserve"> related to agrochemical impact.</w:t>
      </w:r>
    </w:p>
    <w:p w14:paraId="76FBFE69" w14:textId="77777777" w:rsidR="00D27CB9" w:rsidRDefault="00D27CB9" w:rsidP="00D27CB9">
      <w:pPr>
        <w:spacing w:line="360" w:lineRule="auto"/>
        <w:jc w:val="both"/>
        <w:rPr>
          <w:rFonts w:ascii="Times New Roman" w:hAnsi="Times New Roman" w:cs="Times New Roman"/>
          <w:sz w:val="24"/>
          <w:szCs w:val="24"/>
        </w:rPr>
      </w:pPr>
      <w:r w:rsidRPr="00A318CE">
        <w:rPr>
          <w:rFonts w:ascii="Times New Roman" w:hAnsi="Times New Roman" w:cs="Times New Roman"/>
          <w:b/>
          <w:sz w:val="24"/>
          <w:szCs w:val="24"/>
        </w:rPr>
        <w:t xml:space="preserve">Methods: </w:t>
      </w:r>
      <w:r>
        <w:rPr>
          <w:rFonts w:ascii="Times New Roman" w:hAnsi="Times New Roman" w:cs="Times New Roman"/>
          <w:sz w:val="24"/>
          <w:szCs w:val="24"/>
        </w:rPr>
        <w:t>Research design involved</w:t>
      </w:r>
      <w:r w:rsidRPr="00E25788">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E25788">
        <w:rPr>
          <w:rFonts w:ascii="Times New Roman" w:hAnsi="Times New Roman" w:cs="Times New Roman"/>
          <w:sz w:val="24"/>
          <w:szCs w:val="24"/>
        </w:rPr>
        <w:t>multi</w:t>
      </w:r>
      <w:r>
        <w:rPr>
          <w:rFonts w:ascii="Times New Roman" w:hAnsi="Times New Roman" w:cs="Times New Roman"/>
          <w:sz w:val="24"/>
          <w:szCs w:val="24"/>
        </w:rPr>
        <w:t>-step process, initiate with construction of items</w:t>
      </w:r>
      <w:r w:rsidRPr="00E25788">
        <w:rPr>
          <w:rFonts w:ascii="Times New Roman" w:hAnsi="Times New Roman" w:cs="Times New Roman"/>
          <w:sz w:val="24"/>
          <w:szCs w:val="24"/>
        </w:rPr>
        <w:t xml:space="preserve">. </w:t>
      </w:r>
      <w:r>
        <w:rPr>
          <w:rFonts w:ascii="Times New Roman" w:hAnsi="Times New Roman" w:cs="Times New Roman"/>
          <w:sz w:val="24"/>
          <w:szCs w:val="24"/>
        </w:rPr>
        <w:t>After</w:t>
      </w:r>
      <w:r w:rsidRPr="00E25788">
        <w:rPr>
          <w:rFonts w:ascii="Times New Roman" w:hAnsi="Times New Roman" w:cs="Times New Roman"/>
          <w:sz w:val="24"/>
          <w:szCs w:val="24"/>
        </w:rPr>
        <w:t xml:space="preserve"> content validity</w:t>
      </w:r>
      <w:r>
        <w:rPr>
          <w:rFonts w:ascii="Times New Roman" w:hAnsi="Times New Roman" w:cs="Times New Roman"/>
          <w:sz w:val="24"/>
          <w:szCs w:val="24"/>
        </w:rPr>
        <w:t xml:space="preserve"> test and </w:t>
      </w:r>
      <w:r w:rsidRPr="00E25788">
        <w:rPr>
          <w:rFonts w:ascii="Times New Roman" w:hAnsi="Times New Roman" w:cs="Times New Roman"/>
          <w:sz w:val="24"/>
          <w:szCs w:val="24"/>
        </w:rPr>
        <w:t>item refinements were</w:t>
      </w:r>
      <w:r>
        <w:rPr>
          <w:rFonts w:ascii="Times New Roman" w:hAnsi="Times New Roman" w:cs="Times New Roman"/>
          <w:sz w:val="24"/>
          <w:szCs w:val="24"/>
        </w:rPr>
        <w:t xml:space="preserve"> done through</w:t>
      </w:r>
      <w:r w:rsidRPr="00E25788">
        <w:rPr>
          <w:rFonts w:ascii="Times New Roman" w:hAnsi="Times New Roman" w:cs="Times New Roman"/>
          <w:sz w:val="24"/>
          <w:szCs w:val="24"/>
        </w:rPr>
        <w:t xml:space="preserve"> </w:t>
      </w:r>
      <w:r>
        <w:rPr>
          <w:rFonts w:ascii="Times New Roman" w:hAnsi="Times New Roman" w:cs="Times New Roman"/>
          <w:sz w:val="24"/>
          <w:szCs w:val="24"/>
        </w:rPr>
        <w:t>judges rating</w:t>
      </w:r>
      <w:r w:rsidRPr="00E25788">
        <w:rPr>
          <w:rFonts w:ascii="Times New Roman" w:hAnsi="Times New Roman" w:cs="Times New Roman"/>
          <w:sz w:val="24"/>
          <w:szCs w:val="24"/>
        </w:rPr>
        <w:t>.</w:t>
      </w:r>
      <w:r>
        <w:rPr>
          <w:rFonts w:ascii="Times New Roman" w:hAnsi="Times New Roman" w:cs="Times New Roman"/>
          <w:sz w:val="24"/>
          <w:szCs w:val="24"/>
        </w:rPr>
        <w:t xml:space="preserve"> Refined items were</w:t>
      </w:r>
      <w:r w:rsidRPr="00E25788">
        <w:rPr>
          <w:rFonts w:ascii="Times New Roman" w:hAnsi="Times New Roman" w:cs="Times New Roman"/>
          <w:sz w:val="24"/>
          <w:szCs w:val="24"/>
        </w:rPr>
        <w:t xml:space="preserve"> administer</w:t>
      </w:r>
      <w:r>
        <w:rPr>
          <w:rFonts w:ascii="Times New Roman" w:hAnsi="Times New Roman" w:cs="Times New Roman"/>
          <w:sz w:val="24"/>
          <w:szCs w:val="24"/>
        </w:rPr>
        <w:t>ed among 190</w:t>
      </w:r>
      <w:r w:rsidRPr="00E25788">
        <w:rPr>
          <w:rFonts w:ascii="Times New Roman" w:hAnsi="Times New Roman" w:cs="Times New Roman"/>
          <w:sz w:val="24"/>
          <w:szCs w:val="24"/>
        </w:rPr>
        <w:t xml:space="preserve"> farmers in three different agroclimatic zone</w:t>
      </w:r>
      <w:r>
        <w:rPr>
          <w:rFonts w:ascii="Times New Roman" w:hAnsi="Times New Roman" w:cs="Times New Roman"/>
          <w:sz w:val="24"/>
          <w:szCs w:val="24"/>
        </w:rPr>
        <w:t>s</w:t>
      </w:r>
      <w:r w:rsidRPr="00E25788">
        <w:rPr>
          <w:rFonts w:ascii="Times New Roman" w:hAnsi="Times New Roman" w:cs="Times New Roman"/>
          <w:sz w:val="24"/>
          <w:szCs w:val="24"/>
        </w:rPr>
        <w:t xml:space="preserve">. </w:t>
      </w:r>
      <w:r>
        <w:rPr>
          <w:rFonts w:ascii="Times New Roman" w:hAnsi="Times New Roman" w:cs="Times New Roman"/>
          <w:sz w:val="24"/>
          <w:szCs w:val="24"/>
        </w:rPr>
        <w:t xml:space="preserve">The response of  randomly selected participants were used for </w:t>
      </w:r>
      <w:r w:rsidRPr="00E25788">
        <w:rPr>
          <w:rFonts w:ascii="Times New Roman" w:hAnsi="Times New Roman" w:cs="Times New Roman"/>
          <w:sz w:val="24"/>
          <w:szCs w:val="24"/>
        </w:rPr>
        <w:t xml:space="preserve">reliability and validity </w:t>
      </w:r>
      <w:r>
        <w:rPr>
          <w:rFonts w:ascii="Times New Roman" w:hAnsi="Times New Roman" w:cs="Times New Roman"/>
          <w:sz w:val="24"/>
          <w:szCs w:val="24"/>
        </w:rPr>
        <w:t>tests</w:t>
      </w:r>
      <w:r w:rsidRPr="00E25788">
        <w:rPr>
          <w:rFonts w:ascii="Times New Roman" w:hAnsi="Times New Roman" w:cs="Times New Roman"/>
          <w:sz w:val="24"/>
          <w:szCs w:val="24"/>
        </w:rPr>
        <w:t xml:space="preserve"> with the help of </w:t>
      </w:r>
      <w:r>
        <w:rPr>
          <w:rFonts w:ascii="Times New Roman" w:hAnsi="Times New Roman" w:cs="Times New Roman"/>
          <w:sz w:val="24"/>
          <w:szCs w:val="24"/>
        </w:rPr>
        <w:t>exploratory fact</w:t>
      </w:r>
      <w:r w:rsidRPr="00E25788">
        <w:rPr>
          <w:rFonts w:ascii="Times New Roman" w:hAnsi="Times New Roman" w:cs="Times New Roman"/>
          <w:sz w:val="24"/>
          <w:szCs w:val="24"/>
        </w:rPr>
        <w:t xml:space="preserve">or analysis, </w:t>
      </w:r>
      <w:r>
        <w:rPr>
          <w:rFonts w:ascii="Times New Roman" w:hAnsi="Times New Roman" w:cs="Times New Roman"/>
          <w:sz w:val="24"/>
          <w:szCs w:val="24"/>
        </w:rPr>
        <w:t>Cronbach's alpha</w:t>
      </w:r>
      <w:r w:rsidRPr="00E25788">
        <w:rPr>
          <w:rFonts w:ascii="Times New Roman" w:hAnsi="Times New Roman" w:cs="Times New Roman"/>
          <w:sz w:val="24"/>
          <w:szCs w:val="24"/>
        </w:rPr>
        <w:t>, split</w:t>
      </w:r>
      <w:r>
        <w:rPr>
          <w:rFonts w:ascii="Times New Roman" w:hAnsi="Times New Roman" w:cs="Times New Roman"/>
          <w:sz w:val="24"/>
          <w:szCs w:val="24"/>
        </w:rPr>
        <w:t>-</w:t>
      </w:r>
      <w:r w:rsidRPr="00E25788">
        <w:rPr>
          <w:rFonts w:ascii="Times New Roman" w:hAnsi="Times New Roman" w:cs="Times New Roman"/>
          <w:sz w:val="24"/>
          <w:szCs w:val="24"/>
        </w:rPr>
        <w:t>half and correlation analysis.</w:t>
      </w:r>
    </w:p>
    <w:p w14:paraId="3C5C0857" w14:textId="77777777" w:rsidR="00D27CB9" w:rsidRDefault="00D27CB9" w:rsidP="00D27CB9">
      <w:pPr>
        <w:spacing w:line="360" w:lineRule="auto"/>
        <w:jc w:val="both"/>
        <w:rPr>
          <w:rFonts w:ascii="Times New Roman" w:hAnsi="Times New Roman" w:cs="Times New Roman"/>
          <w:sz w:val="24"/>
          <w:szCs w:val="24"/>
        </w:rPr>
      </w:pPr>
      <w:r w:rsidRPr="00A318CE">
        <w:rPr>
          <w:rFonts w:ascii="Times New Roman" w:hAnsi="Times New Roman" w:cs="Times New Roman"/>
          <w:b/>
          <w:sz w:val="24"/>
          <w:szCs w:val="24"/>
        </w:rPr>
        <w:t>Result:</w:t>
      </w:r>
      <w:r w:rsidRPr="00A318CE">
        <w:rPr>
          <w:rFonts w:ascii="Times New Roman" w:hAnsi="Times New Roman" w:cs="Times New Roman"/>
          <w:sz w:val="24"/>
          <w:szCs w:val="24"/>
        </w:rPr>
        <w:t xml:space="preserve">  </w:t>
      </w:r>
      <w:r w:rsidRPr="00E25788">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Pr="00E25788">
        <w:rPr>
          <w:rFonts w:ascii="Times New Roman" w:hAnsi="Times New Roman" w:cs="Times New Roman"/>
          <w:sz w:val="24"/>
          <w:szCs w:val="24"/>
        </w:rPr>
        <w:t>content validity stage</w:t>
      </w:r>
      <w:r>
        <w:rPr>
          <w:rFonts w:ascii="Times New Roman" w:hAnsi="Times New Roman" w:cs="Times New Roman"/>
          <w:sz w:val="24"/>
          <w:szCs w:val="24"/>
        </w:rPr>
        <w:t>,</w:t>
      </w:r>
      <w:r w:rsidRPr="00E25788">
        <w:rPr>
          <w:rFonts w:ascii="Times New Roman" w:hAnsi="Times New Roman" w:cs="Times New Roman"/>
          <w:sz w:val="24"/>
          <w:szCs w:val="24"/>
        </w:rPr>
        <w:t xml:space="preserve"> out of 80 items</w:t>
      </w:r>
      <w:r>
        <w:rPr>
          <w:rFonts w:ascii="Times New Roman" w:hAnsi="Times New Roman" w:cs="Times New Roman"/>
          <w:sz w:val="24"/>
          <w:szCs w:val="24"/>
        </w:rPr>
        <w:t>,</w:t>
      </w:r>
      <w:r w:rsidRPr="00E25788">
        <w:rPr>
          <w:rFonts w:ascii="Times New Roman" w:hAnsi="Times New Roman" w:cs="Times New Roman"/>
          <w:sz w:val="24"/>
          <w:szCs w:val="24"/>
        </w:rPr>
        <w:t xml:space="preserve"> only 24 items </w:t>
      </w:r>
      <w:r>
        <w:rPr>
          <w:rFonts w:ascii="Times New Roman" w:hAnsi="Times New Roman" w:cs="Times New Roman"/>
          <w:sz w:val="24"/>
          <w:szCs w:val="24"/>
        </w:rPr>
        <w:t xml:space="preserve">were secured </w:t>
      </w:r>
      <w:r w:rsidRPr="00E25788">
        <w:rPr>
          <w:rFonts w:ascii="Times New Roman" w:hAnsi="Times New Roman" w:cs="Times New Roman"/>
          <w:sz w:val="24"/>
          <w:szCs w:val="24"/>
        </w:rPr>
        <w:t>85% relevancy score.</w:t>
      </w:r>
      <w:r>
        <w:rPr>
          <w:rFonts w:ascii="Times New Roman" w:hAnsi="Times New Roman" w:cs="Times New Roman"/>
          <w:sz w:val="24"/>
          <w:szCs w:val="24"/>
        </w:rPr>
        <w:t xml:space="preserve"> </w:t>
      </w:r>
      <w:r w:rsidRPr="00E25788">
        <w:rPr>
          <w:rFonts w:ascii="Times New Roman" w:hAnsi="Times New Roman" w:cs="Times New Roman"/>
          <w:sz w:val="24"/>
          <w:szCs w:val="24"/>
        </w:rPr>
        <w:t>Exploratory fac</w:t>
      </w:r>
      <w:r>
        <w:rPr>
          <w:rFonts w:ascii="Times New Roman" w:hAnsi="Times New Roman" w:cs="Times New Roman"/>
          <w:sz w:val="24"/>
          <w:szCs w:val="24"/>
        </w:rPr>
        <w:t>t</w:t>
      </w:r>
      <w:r w:rsidRPr="00E25788">
        <w:rPr>
          <w:rFonts w:ascii="Times New Roman" w:hAnsi="Times New Roman" w:cs="Times New Roman"/>
          <w:sz w:val="24"/>
          <w:szCs w:val="24"/>
        </w:rPr>
        <w:t xml:space="preserve">or analysis </w:t>
      </w:r>
      <w:r>
        <w:rPr>
          <w:rFonts w:ascii="Times New Roman" w:hAnsi="Times New Roman" w:cs="Times New Roman"/>
          <w:sz w:val="24"/>
          <w:szCs w:val="24"/>
        </w:rPr>
        <w:t>determined a s</w:t>
      </w:r>
      <w:r w:rsidRPr="00E25788">
        <w:rPr>
          <w:rFonts w:ascii="Times New Roman" w:hAnsi="Times New Roman" w:cs="Times New Roman"/>
          <w:sz w:val="24"/>
          <w:szCs w:val="24"/>
        </w:rPr>
        <w:t xml:space="preserve">atisfactory KMO value </w:t>
      </w:r>
      <w:r>
        <w:rPr>
          <w:rFonts w:ascii="Times New Roman" w:hAnsi="Times New Roman" w:cs="Times New Roman"/>
          <w:sz w:val="24"/>
          <w:szCs w:val="24"/>
        </w:rPr>
        <w:t xml:space="preserve">of </w:t>
      </w:r>
      <w:r w:rsidRPr="00E25788">
        <w:rPr>
          <w:rFonts w:ascii="Times New Roman" w:hAnsi="Times New Roman" w:cs="Times New Roman"/>
          <w:sz w:val="24"/>
          <w:szCs w:val="24"/>
        </w:rPr>
        <w:t>.870. Among 24 items,</w:t>
      </w:r>
      <w:r>
        <w:rPr>
          <w:rFonts w:ascii="Times New Roman" w:hAnsi="Times New Roman" w:cs="Times New Roman"/>
          <w:sz w:val="24"/>
          <w:szCs w:val="24"/>
        </w:rPr>
        <w:t xml:space="preserve"> the </w:t>
      </w:r>
      <w:r w:rsidRPr="00E25788">
        <w:rPr>
          <w:rFonts w:ascii="Times New Roman" w:hAnsi="Times New Roman" w:cs="Times New Roman"/>
          <w:sz w:val="24"/>
          <w:szCs w:val="24"/>
        </w:rPr>
        <w:t>Rotated component matrix load</w:t>
      </w:r>
      <w:r>
        <w:rPr>
          <w:rFonts w:ascii="Times New Roman" w:hAnsi="Times New Roman" w:cs="Times New Roman"/>
          <w:sz w:val="24"/>
          <w:szCs w:val="24"/>
        </w:rPr>
        <w:t>ed</w:t>
      </w:r>
      <w:r w:rsidRPr="00E25788">
        <w:rPr>
          <w:rFonts w:ascii="Times New Roman" w:hAnsi="Times New Roman" w:cs="Times New Roman"/>
          <w:sz w:val="24"/>
          <w:szCs w:val="24"/>
        </w:rPr>
        <w:t xml:space="preserve"> </w:t>
      </w:r>
      <w:r>
        <w:rPr>
          <w:rFonts w:ascii="Times New Roman" w:hAnsi="Times New Roman" w:cs="Times New Roman"/>
          <w:sz w:val="24"/>
          <w:szCs w:val="24"/>
        </w:rPr>
        <w:t>in 6</w:t>
      </w:r>
      <w:r w:rsidRPr="00E25788">
        <w:rPr>
          <w:rFonts w:ascii="Times New Roman" w:hAnsi="Times New Roman" w:cs="Times New Roman"/>
          <w:sz w:val="24"/>
          <w:szCs w:val="24"/>
        </w:rPr>
        <w:t xml:space="preserve"> component</w:t>
      </w:r>
      <w:r>
        <w:rPr>
          <w:rFonts w:ascii="Times New Roman" w:hAnsi="Times New Roman" w:cs="Times New Roman"/>
          <w:sz w:val="24"/>
          <w:szCs w:val="24"/>
        </w:rPr>
        <w:t>s</w:t>
      </w:r>
      <w:r w:rsidRPr="00E25788">
        <w:rPr>
          <w:rFonts w:ascii="Times New Roman" w:hAnsi="Times New Roman" w:cs="Times New Roman"/>
          <w:sz w:val="24"/>
          <w:szCs w:val="24"/>
        </w:rPr>
        <w:t xml:space="preserve"> and 16 items on </w:t>
      </w:r>
      <w:r>
        <w:rPr>
          <w:rFonts w:ascii="Times New Roman" w:hAnsi="Times New Roman" w:cs="Times New Roman"/>
          <w:sz w:val="24"/>
          <w:szCs w:val="24"/>
        </w:rPr>
        <w:t xml:space="preserve">a </w:t>
      </w:r>
      <w:r w:rsidRPr="00E25788">
        <w:rPr>
          <w:rFonts w:ascii="Times New Roman" w:hAnsi="Times New Roman" w:cs="Times New Roman"/>
          <w:sz w:val="24"/>
          <w:szCs w:val="24"/>
        </w:rPr>
        <w:t>0.50 threshold. Re</w:t>
      </w:r>
      <w:r>
        <w:rPr>
          <w:rFonts w:ascii="Times New Roman" w:hAnsi="Times New Roman" w:cs="Times New Roman"/>
          <w:sz w:val="24"/>
          <w:szCs w:val="24"/>
        </w:rPr>
        <w:t>liab</w:t>
      </w:r>
      <w:r w:rsidRPr="00E25788">
        <w:rPr>
          <w:rFonts w:ascii="Times New Roman" w:hAnsi="Times New Roman" w:cs="Times New Roman"/>
          <w:sz w:val="24"/>
          <w:szCs w:val="24"/>
        </w:rPr>
        <w:t>ility test indicate</w:t>
      </w:r>
      <w:r>
        <w:rPr>
          <w:rFonts w:ascii="Times New Roman" w:hAnsi="Times New Roman" w:cs="Times New Roman"/>
          <w:sz w:val="24"/>
          <w:szCs w:val="24"/>
        </w:rPr>
        <w:t>d</w:t>
      </w:r>
      <w:r w:rsidRPr="00E25788">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E25788">
        <w:rPr>
          <w:rFonts w:ascii="Times New Roman" w:hAnsi="Times New Roman" w:cs="Times New Roman"/>
          <w:sz w:val="24"/>
          <w:szCs w:val="24"/>
        </w:rPr>
        <w:t>satis</w:t>
      </w:r>
      <w:r>
        <w:rPr>
          <w:rFonts w:ascii="Times New Roman" w:hAnsi="Times New Roman" w:cs="Times New Roman"/>
          <w:sz w:val="24"/>
          <w:szCs w:val="24"/>
        </w:rPr>
        <w:t>factory Cronbach's alpha</w:t>
      </w:r>
      <w:r w:rsidRPr="00E25788">
        <w:rPr>
          <w:rFonts w:ascii="Times New Roman" w:hAnsi="Times New Roman" w:cs="Times New Roman"/>
          <w:sz w:val="24"/>
          <w:szCs w:val="24"/>
        </w:rPr>
        <w:t xml:space="preserve"> value </w:t>
      </w:r>
      <w:r>
        <w:rPr>
          <w:rFonts w:ascii="Times New Roman" w:hAnsi="Times New Roman" w:cs="Times New Roman"/>
          <w:sz w:val="24"/>
          <w:szCs w:val="24"/>
        </w:rPr>
        <w:t xml:space="preserve">of </w:t>
      </w:r>
      <w:r w:rsidRPr="00E25788">
        <w:rPr>
          <w:rFonts w:ascii="Times New Roman" w:hAnsi="Times New Roman" w:cs="Times New Roman"/>
          <w:sz w:val="24"/>
          <w:szCs w:val="24"/>
        </w:rPr>
        <w:t>.875</w:t>
      </w:r>
      <w:r>
        <w:rPr>
          <w:rFonts w:ascii="Times New Roman" w:hAnsi="Times New Roman" w:cs="Times New Roman"/>
          <w:sz w:val="24"/>
          <w:szCs w:val="24"/>
        </w:rPr>
        <w:t xml:space="preserve"> and</w:t>
      </w:r>
      <w:r w:rsidRPr="00E25788">
        <w:rPr>
          <w:rFonts w:ascii="Times New Roman" w:hAnsi="Times New Roman" w:cs="Times New Roman"/>
          <w:sz w:val="24"/>
          <w:szCs w:val="24"/>
        </w:rPr>
        <w:t xml:space="preserve"> split half coefficient </w:t>
      </w:r>
      <w:r>
        <w:rPr>
          <w:rFonts w:ascii="Times New Roman" w:hAnsi="Times New Roman" w:cs="Times New Roman"/>
          <w:sz w:val="24"/>
          <w:szCs w:val="24"/>
        </w:rPr>
        <w:t xml:space="preserve">of </w:t>
      </w:r>
      <w:r w:rsidRPr="00E25788">
        <w:rPr>
          <w:rFonts w:ascii="Times New Roman" w:hAnsi="Times New Roman" w:cs="Times New Roman"/>
          <w:sz w:val="24"/>
          <w:szCs w:val="24"/>
        </w:rPr>
        <w:t>.822.</w:t>
      </w:r>
      <w:r>
        <w:rPr>
          <w:rFonts w:ascii="Times New Roman" w:hAnsi="Times New Roman" w:cs="Times New Roman"/>
          <w:sz w:val="24"/>
          <w:szCs w:val="24"/>
        </w:rPr>
        <w:t>A</w:t>
      </w:r>
      <w:r w:rsidRPr="00E25788">
        <w:rPr>
          <w:rFonts w:ascii="Times New Roman" w:hAnsi="Times New Roman" w:cs="Times New Roman"/>
          <w:sz w:val="24"/>
          <w:szCs w:val="24"/>
        </w:rPr>
        <w:t>fter correlation an</w:t>
      </w:r>
      <w:r>
        <w:rPr>
          <w:rFonts w:ascii="Times New Roman" w:hAnsi="Times New Roman" w:cs="Times New Roman"/>
          <w:sz w:val="24"/>
          <w:szCs w:val="24"/>
        </w:rPr>
        <w:t>alysis</w:t>
      </w:r>
      <w:r w:rsidRPr="00E25788">
        <w:rPr>
          <w:rFonts w:ascii="Times New Roman" w:hAnsi="Times New Roman" w:cs="Times New Roman"/>
          <w:sz w:val="24"/>
          <w:szCs w:val="24"/>
        </w:rPr>
        <w:t xml:space="preserve"> results</w:t>
      </w:r>
      <w:r>
        <w:rPr>
          <w:rFonts w:ascii="Times New Roman" w:hAnsi="Times New Roman" w:cs="Times New Roman"/>
          <w:sz w:val="24"/>
          <w:szCs w:val="24"/>
        </w:rPr>
        <w:t xml:space="preserve"> suggested for</w:t>
      </w:r>
      <w:r w:rsidRPr="00E25788">
        <w:rPr>
          <w:rFonts w:ascii="Times New Roman" w:hAnsi="Times New Roman" w:cs="Times New Roman"/>
          <w:sz w:val="24"/>
          <w:szCs w:val="24"/>
        </w:rPr>
        <w:t xml:space="preserve"> retention of 16 items for </w:t>
      </w:r>
      <w:r>
        <w:rPr>
          <w:rFonts w:ascii="Times New Roman" w:hAnsi="Times New Roman" w:cs="Times New Roman"/>
          <w:sz w:val="24"/>
          <w:szCs w:val="24"/>
        </w:rPr>
        <w:t xml:space="preserve">the </w:t>
      </w:r>
      <w:r w:rsidRPr="00E25788">
        <w:rPr>
          <w:rFonts w:ascii="Times New Roman" w:hAnsi="Times New Roman" w:cs="Times New Roman"/>
          <w:sz w:val="24"/>
          <w:szCs w:val="24"/>
        </w:rPr>
        <w:t>final scale.</w:t>
      </w:r>
    </w:p>
    <w:p w14:paraId="31B8D7BC" w14:textId="77777777" w:rsidR="00D27CB9" w:rsidRDefault="00D27CB9" w:rsidP="00D27CB9">
      <w:pPr>
        <w:spacing w:line="360" w:lineRule="auto"/>
        <w:jc w:val="both"/>
        <w:rPr>
          <w:rFonts w:ascii="Times New Roman" w:hAnsi="Times New Roman" w:cs="Times New Roman"/>
          <w:sz w:val="24"/>
          <w:szCs w:val="24"/>
        </w:rPr>
      </w:pPr>
      <w:r w:rsidRPr="00A318CE">
        <w:rPr>
          <w:rFonts w:ascii="Times New Roman" w:hAnsi="Times New Roman" w:cs="Times New Roman"/>
          <w:b/>
          <w:sz w:val="24"/>
          <w:szCs w:val="24"/>
        </w:rPr>
        <w:t>Conclusion:</w:t>
      </w:r>
      <w:r w:rsidRPr="00A318CE">
        <w:rPr>
          <w:rFonts w:ascii="Times New Roman" w:hAnsi="Times New Roman" w:cs="Times New Roman"/>
          <w:sz w:val="24"/>
          <w:szCs w:val="24"/>
        </w:rPr>
        <w:t xml:space="preserve"> </w:t>
      </w:r>
      <w:r>
        <w:rPr>
          <w:rFonts w:ascii="Times New Roman" w:hAnsi="Times New Roman" w:cs="Times New Roman"/>
          <w:sz w:val="24"/>
          <w:szCs w:val="24"/>
        </w:rPr>
        <w:t>The scale</w:t>
      </w:r>
      <w:r w:rsidRPr="00E25788">
        <w:rPr>
          <w:rFonts w:ascii="Times New Roman" w:hAnsi="Times New Roman" w:cs="Times New Roman"/>
          <w:sz w:val="24"/>
          <w:szCs w:val="24"/>
        </w:rPr>
        <w:t xml:space="preserve"> confirm</w:t>
      </w:r>
      <w:r>
        <w:rPr>
          <w:rFonts w:ascii="Times New Roman" w:hAnsi="Times New Roman" w:cs="Times New Roman"/>
          <w:sz w:val="24"/>
          <w:szCs w:val="24"/>
        </w:rPr>
        <w:t xml:space="preserve">s </w:t>
      </w:r>
      <w:r w:rsidRPr="00E25788">
        <w:rPr>
          <w:rFonts w:ascii="Times New Roman" w:hAnsi="Times New Roman" w:cs="Times New Roman"/>
          <w:sz w:val="24"/>
          <w:szCs w:val="24"/>
        </w:rPr>
        <w:t>items are reliable,</w:t>
      </w:r>
      <w:r>
        <w:rPr>
          <w:rFonts w:ascii="Times New Roman" w:hAnsi="Times New Roman" w:cs="Times New Roman"/>
          <w:sz w:val="24"/>
          <w:szCs w:val="24"/>
        </w:rPr>
        <w:t xml:space="preserve"> </w:t>
      </w:r>
      <w:r w:rsidRPr="00E25788">
        <w:rPr>
          <w:rFonts w:ascii="Times New Roman" w:hAnsi="Times New Roman" w:cs="Times New Roman"/>
          <w:sz w:val="24"/>
          <w:szCs w:val="24"/>
        </w:rPr>
        <w:t xml:space="preserve">valid and effective to assess </w:t>
      </w:r>
      <w:r>
        <w:rPr>
          <w:rFonts w:ascii="Times New Roman" w:hAnsi="Times New Roman" w:cs="Times New Roman"/>
          <w:sz w:val="24"/>
          <w:szCs w:val="24"/>
        </w:rPr>
        <w:t>the</w:t>
      </w:r>
      <w:r w:rsidRPr="00E25788">
        <w:rPr>
          <w:rFonts w:ascii="Times New Roman" w:hAnsi="Times New Roman" w:cs="Times New Roman"/>
          <w:sz w:val="24"/>
          <w:szCs w:val="24"/>
        </w:rPr>
        <w:t xml:space="preserve"> perception level of the farmers related to agrochemical usage on human health</w:t>
      </w:r>
      <w:r>
        <w:rPr>
          <w:rFonts w:ascii="Times New Roman" w:hAnsi="Times New Roman" w:cs="Times New Roman"/>
          <w:sz w:val="24"/>
          <w:szCs w:val="24"/>
        </w:rPr>
        <w:t>.</w:t>
      </w:r>
      <w:r w:rsidRPr="00E25788">
        <w:rPr>
          <w:rFonts w:ascii="Times New Roman" w:hAnsi="Times New Roman" w:cs="Times New Roman"/>
          <w:sz w:val="24"/>
          <w:szCs w:val="24"/>
        </w:rPr>
        <w:t xml:space="preserve"> </w:t>
      </w:r>
      <w:r w:rsidRPr="00A318CE">
        <w:rPr>
          <w:rFonts w:ascii="Times New Roman" w:hAnsi="Times New Roman" w:cs="Times New Roman"/>
          <w:sz w:val="24"/>
          <w:szCs w:val="24"/>
        </w:rPr>
        <w:t>These insights</w:t>
      </w:r>
      <w:r>
        <w:rPr>
          <w:rFonts w:ascii="Times New Roman" w:hAnsi="Times New Roman" w:cs="Times New Roman"/>
          <w:sz w:val="24"/>
          <w:szCs w:val="24"/>
        </w:rPr>
        <w:t xml:space="preserve"> will help to </w:t>
      </w:r>
      <w:r w:rsidRPr="00A318CE">
        <w:rPr>
          <w:rFonts w:ascii="Times New Roman" w:hAnsi="Times New Roman" w:cs="Times New Roman"/>
          <w:sz w:val="24"/>
          <w:szCs w:val="24"/>
        </w:rPr>
        <w:t>refine policies with precision to target aims related to sustainable agriculture and can work as a convenient research tool for researchers.</w:t>
      </w:r>
    </w:p>
    <w:p w14:paraId="1B3910E1" w14:textId="77777777" w:rsidR="004503E8" w:rsidRPr="00D27CB9" w:rsidRDefault="004503E8" w:rsidP="00D27CB9">
      <w:pPr>
        <w:spacing w:line="360" w:lineRule="auto"/>
        <w:jc w:val="both"/>
        <w:rPr>
          <w:rFonts w:ascii="Times New Roman" w:hAnsi="Times New Roman" w:cs="Times New Roman"/>
          <w:sz w:val="24"/>
          <w:szCs w:val="24"/>
        </w:rPr>
      </w:pPr>
      <w:r w:rsidRPr="002E2EEE">
        <w:rPr>
          <w:rFonts w:ascii="Times New Roman" w:hAnsi="Times New Roman" w:cs="Times New Roman"/>
          <w:b/>
          <w:sz w:val="24"/>
          <w:szCs w:val="24"/>
        </w:rPr>
        <w:t>Keywords:</w:t>
      </w:r>
      <w:r>
        <w:rPr>
          <w:rFonts w:ascii="Times New Roman" w:hAnsi="Times New Roman" w:cs="Times New Roman"/>
          <w:sz w:val="24"/>
          <w:szCs w:val="24"/>
        </w:rPr>
        <w:t xml:space="preserve"> Agro-chemical, Farmers’ perception, Human Health, Perception scale, Factor analysis</w:t>
      </w:r>
    </w:p>
    <w:p w14:paraId="77494973" w14:textId="77777777" w:rsidR="002F6F1E" w:rsidRDefault="002F6F1E" w:rsidP="002F6F1E">
      <w:pPr>
        <w:rPr>
          <w:rFonts w:ascii="Times New Roman" w:hAnsi="Times New Roman" w:cs="Times New Roman"/>
          <w:sz w:val="24"/>
          <w:szCs w:val="24"/>
        </w:rPr>
      </w:pPr>
      <w:r w:rsidRPr="00F2618D">
        <w:rPr>
          <w:rFonts w:ascii="Times New Roman" w:hAnsi="Times New Roman" w:cs="Times New Roman"/>
          <w:sz w:val="24"/>
          <w:szCs w:val="24"/>
        </w:rPr>
        <w:t>INTRODUCTION</w:t>
      </w:r>
    </w:p>
    <w:p w14:paraId="5193A614" w14:textId="77777777" w:rsidR="00243568" w:rsidRPr="00431DB6" w:rsidRDefault="00687C49" w:rsidP="00243568">
      <w:pPr>
        <w:jc w:val="both"/>
        <w:rPr>
          <w:rFonts w:ascii="Times New Roman" w:hAnsi="Times New Roman" w:cs="Times New Roman"/>
          <w:i/>
          <w:sz w:val="24"/>
          <w:szCs w:val="24"/>
        </w:rPr>
      </w:pPr>
      <w:r w:rsidRPr="005B7689">
        <w:rPr>
          <w:rFonts w:ascii="Times New Roman" w:hAnsi="Times New Roman" w:cs="Times New Roman"/>
          <w:sz w:val="24"/>
          <w:szCs w:val="24"/>
        </w:rPr>
        <w:lastRenderedPageBreak/>
        <w:t>Agroch</w:t>
      </w:r>
      <w:r w:rsidR="003456AA" w:rsidRPr="005B7689">
        <w:rPr>
          <w:rFonts w:ascii="Times New Roman" w:hAnsi="Times New Roman" w:cs="Times New Roman"/>
          <w:sz w:val="24"/>
          <w:szCs w:val="24"/>
        </w:rPr>
        <w:t>emic</w:t>
      </w:r>
      <w:r w:rsidRPr="005B7689">
        <w:rPr>
          <w:rFonts w:ascii="Times New Roman" w:hAnsi="Times New Roman" w:cs="Times New Roman"/>
          <w:sz w:val="24"/>
          <w:szCs w:val="24"/>
        </w:rPr>
        <w:t xml:space="preserve">al is </w:t>
      </w:r>
      <w:r w:rsidR="003456AA" w:rsidRPr="005B7689">
        <w:rPr>
          <w:rFonts w:ascii="Times New Roman" w:hAnsi="Times New Roman" w:cs="Times New Roman"/>
          <w:sz w:val="24"/>
          <w:szCs w:val="24"/>
        </w:rPr>
        <w:t>an</w:t>
      </w:r>
      <w:r w:rsidRPr="005B7689">
        <w:rPr>
          <w:rFonts w:ascii="Times New Roman" w:hAnsi="Times New Roman" w:cs="Times New Roman"/>
          <w:sz w:val="24"/>
          <w:szCs w:val="24"/>
        </w:rPr>
        <w:t xml:space="preserve"> important key</w:t>
      </w:r>
      <w:r w:rsidR="003456AA" w:rsidRPr="005B7689">
        <w:rPr>
          <w:rFonts w:ascii="Times New Roman" w:hAnsi="Times New Roman" w:cs="Times New Roman"/>
          <w:sz w:val="24"/>
          <w:szCs w:val="24"/>
        </w:rPr>
        <w:t xml:space="preserve"> to agriculture </w:t>
      </w:r>
      <w:r w:rsidRPr="005B7689">
        <w:rPr>
          <w:rFonts w:ascii="Times New Roman" w:hAnsi="Times New Roman" w:cs="Times New Roman"/>
          <w:sz w:val="24"/>
          <w:szCs w:val="24"/>
        </w:rPr>
        <w:t>in recent</w:t>
      </w:r>
      <w:r w:rsidR="003456AA" w:rsidRPr="005B7689">
        <w:rPr>
          <w:rFonts w:ascii="Times New Roman" w:hAnsi="Times New Roman" w:cs="Times New Roman"/>
          <w:sz w:val="24"/>
          <w:szCs w:val="24"/>
        </w:rPr>
        <w:t xml:space="preserve"> times</w:t>
      </w:r>
      <w:r w:rsidR="00850875">
        <w:rPr>
          <w:rFonts w:ascii="Times New Roman" w:hAnsi="Times New Roman" w:cs="Times New Roman"/>
          <w:sz w:val="24"/>
          <w:szCs w:val="24"/>
        </w:rPr>
        <w:t xml:space="preserve"> for</w:t>
      </w:r>
      <w:r w:rsidR="00E3165C" w:rsidRPr="005B7689">
        <w:rPr>
          <w:rFonts w:ascii="Times New Roman" w:hAnsi="Times New Roman" w:cs="Times New Roman"/>
          <w:sz w:val="24"/>
          <w:szCs w:val="24"/>
        </w:rPr>
        <w:t xml:space="preserve"> e</w:t>
      </w:r>
      <w:r w:rsidR="005F0FCE" w:rsidRPr="005B7689">
        <w:rPr>
          <w:rFonts w:ascii="Times New Roman" w:hAnsi="Times New Roman" w:cs="Times New Roman"/>
          <w:sz w:val="24"/>
          <w:szCs w:val="24"/>
        </w:rPr>
        <w:t>nhanc</w:t>
      </w:r>
      <w:r w:rsidR="00850875">
        <w:rPr>
          <w:rFonts w:ascii="Times New Roman" w:hAnsi="Times New Roman" w:cs="Times New Roman"/>
          <w:sz w:val="24"/>
          <w:szCs w:val="24"/>
        </w:rPr>
        <w:t>ing</w:t>
      </w:r>
      <w:r w:rsidR="005F0FCE" w:rsidRPr="005B7689">
        <w:rPr>
          <w:rFonts w:ascii="Times New Roman" w:hAnsi="Times New Roman" w:cs="Times New Roman"/>
          <w:sz w:val="24"/>
          <w:szCs w:val="24"/>
        </w:rPr>
        <w:t xml:space="preserve"> production</w:t>
      </w:r>
      <w:r w:rsidR="003456AA" w:rsidRPr="005B7689">
        <w:rPr>
          <w:rFonts w:ascii="Times New Roman" w:hAnsi="Times New Roman" w:cs="Times New Roman"/>
          <w:sz w:val="24"/>
          <w:szCs w:val="24"/>
        </w:rPr>
        <w:t xml:space="preserve">, </w:t>
      </w:r>
      <w:r w:rsidR="005F0FCE" w:rsidRPr="005B7689">
        <w:rPr>
          <w:rFonts w:ascii="Times New Roman" w:hAnsi="Times New Roman" w:cs="Times New Roman"/>
          <w:sz w:val="24"/>
          <w:szCs w:val="24"/>
        </w:rPr>
        <w:t xml:space="preserve">but </w:t>
      </w:r>
      <w:r w:rsidR="003456AA" w:rsidRPr="005B7689">
        <w:rPr>
          <w:rFonts w:ascii="Times New Roman" w:hAnsi="Times New Roman" w:cs="Times New Roman"/>
          <w:sz w:val="24"/>
          <w:szCs w:val="24"/>
        </w:rPr>
        <w:t>their</w:t>
      </w:r>
      <w:r w:rsidR="005F0FCE" w:rsidRPr="005B7689">
        <w:rPr>
          <w:rFonts w:ascii="Times New Roman" w:hAnsi="Times New Roman" w:cs="Times New Roman"/>
          <w:sz w:val="24"/>
          <w:szCs w:val="24"/>
        </w:rPr>
        <w:t xml:space="preserve"> u</w:t>
      </w:r>
      <w:r w:rsidR="004379A5" w:rsidRPr="005B7689">
        <w:rPr>
          <w:rFonts w:ascii="Times New Roman" w:hAnsi="Times New Roman" w:cs="Times New Roman"/>
          <w:sz w:val="24"/>
          <w:szCs w:val="24"/>
        </w:rPr>
        <w:t>navoidable impact on health is a serious threat to mankind</w:t>
      </w:r>
      <w:r w:rsidR="005F0FCE" w:rsidRPr="005B7689">
        <w:rPr>
          <w:rFonts w:ascii="Times New Roman" w:hAnsi="Times New Roman" w:cs="Times New Roman"/>
          <w:sz w:val="24"/>
          <w:szCs w:val="24"/>
        </w:rPr>
        <w:t xml:space="preserve">. </w:t>
      </w:r>
      <w:r w:rsidR="004379A5" w:rsidRPr="005B7689">
        <w:rPr>
          <w:rFonts w:ascii="Times New Roman" w:hAnsi="Times New Roman" w:cs="Times New Roman"/>
          <w:sz w:val="24"/>
          <w:szCs w:val="24"/>
        </w:rPr>
        <w:t>Through different expos</w:t>
      </w:r>
      <w:r w:rsidR="007916FB">
        <w:rPr>
          <w:rFonts w:ascii="Times New Roman" w:hAnsi="Times New Roman" w:cs="Times New Roman"/>
          <w:sz w:val="24"/>
          <w:szCs w:val="24"/>
        </w:rPr>
        <w:t>ure</w:t>
      </w:r>
      <w:r w:rsidR="004379A5" w:rsidRPr="005B7689">
        <w:rPr>
          <w:rFonts w:ascii="Times New Roman" w:hAnsi="Times New Roman" w:cs="Times New Roman"/>
          <w:sz w:val="24"/>
          <w:szCs w:val="24"/>
        </w:rPr>
        <w:t xml:space="preserve"> route</w:t>
      </w:r>
      <w:r w:rsidR="007916FB">
        <w:rPr>
          <w:rFonts w:ascii="Times New Roman" w:hAnsi="Times New Roman" w:cs="Times New Roman"/>
          <w:sz w:val="24"/>
          <w:szCs w:val="24"/>
        </w:rPr>
        <w:t>s</w:t>
      </w:r>
      <w:r w:rsidR="004379A5" w:rsidRPr="005B7689">
        <w:rPr>
          <w:rFonts w:ascii="Times New Roman" w:hAnsi="Times New Roman" w:cs="Times New Roman"/>
          <w:sz w:val="24"/>
          <w:szCs w:val="24"/>
        </w:rPr>
        <w:t xml:space="preserve"> such as occupational, residenti</w:t>
      </w:r>
      <w:r w:rsidR="007916FB">
        <w:rPr>
          <w:rFonts w:ascii="Times New Roman" w:hAnsi="Times New Roman" w:cs="Times New Roman"/>
          <w:sz w:val="24"/>
          <w:szCs w:val="24"/>
        </w:rPr>
        <w:t>al</w:t>
      </w:r>
      <w:r w:rsidR="004379A5" w:rsidRPr="005B7689">
        <w:rPr>
          <w:rFonts w:ascii="Times New Roman" w:hAnsi="Times New Roman" w:cs="Times New Roman"/>
          <w:sz w:val="24"/>
          <w:szCs w:val="24"/>
        </w:rPr>
        <w:t>, parental</w:t>
      </w:r>
      <w:r w:rsidR="007916FB">
        <w:rPr>
          <w:rFonts w:ascii="Times New Roman" w:hAnsi="Times New Roman" w:cs="Times New Roman"/>
          <w:sz w:val="24"/>
          <w:szCs w:val="24"/>
        </w:rPr>
        <w:t>,</w:t>
      </w:r>
      <w:r w:rsidR="00346E5A">
        <w:rPr>
          <w:rFonts w:ascii="Times New Roman" w:hAnsi="Times New Roman" w:cs="Times New Roman"/>
          <w:sz w:val="24"/>
          <w:szCs w:val="24"/>
        </w:rPr>
        <w:t xml:space="preserve"> </w:t>
      </w:r>
      <w:r w:rsidR="007916FB">
        <w:rPr>
          <w:rFonts w:ascii="Times New Roman" w:hAnsi="Times New Roman" w:cs="Times New Roman"/>
          <w:sz w:val="24"/>
          <w:szCs w:val="24"/>
        </w:rPr>
        <w:t>a</w:t>
      </w:r>
      <w:r w:rsidR="004379A5" w:rsidRPr="005B7689">
        <w:rPr>
          <w:rFonts w:ascii="Times New Roman" w:hAnsi="Times New Roman" w:cs="Times New Roman"/>
          <w:sz w:val="24"/>
          <w:szCs w:val="24"/>
        </w:rPr>
        <w:t>nd enviro</w:t>
      </w:r>
      <w:r w:rsidR="007916FB">
        <w:rPr>
          <w:rFonts w:ascii="Times New Roman" w:hAnsi="Times New Roman" w:cs="Times New Roman"/>
          <w:sz w:val="24"/>
          <w:szCs w:val="24"/>
        </w:rPr>
        <w:t>nme</w:t>
      </w:r>
      <w:r w:rsidR="004379A5" w:rsidRPr="005B7689">
        <w:rPr>
          <w:rFonts w:ascii="Times New Roman" w:hAnsi="Times New Roman" w:cs="Times New Roman"/>
          <w:sz w:val="24"/>
          <w:szCs w:val="24"/>
        </w:rPr>
        <w:t>ntal</w:t>
      </w:r>
      <w:r w:rsidR="007916FB">
        <w:rPr>
          <w:rFonts w:ascii="Times New Roman" w:hAnsi="Times New Roman" w:cs="Times New Roman"/>
          <w:sz w:val="24"/>
          <w:szCs w:val="24"/>
        </w:rPr>
        <w:t>,</w:t>
      </w:r>
      <w:r w:rsidR="004379A5" w:rsidRPr="005B7689">
        <w:rPr>
          <w:rFonts w:ascii="Times New Roman" w:hAnsi="Times New Roman" w:cs="Times New Roman"/>
          <w:sz w:val="24"/>
          <w:szCs w:val="24"/>
        </w:rPr>
        <w:t xml:space="preserve"> it can </w:t>
      </w:r>
      <w:r w:rsidR="00431DB6">
        <w:rPr>
          <w:rFonts w:ascii="Times New Roman" w:hAnsi="Times New Roman" w:cs="Times New Roman"/>
          <w:sz w:val="24"/>
          <w:szCs w:val="24"/>
        </w:rPr>
        <w:t>a</w:t>
      </w:r>
      <w:r w:rsidR="00431DB6" w:rsidRPr="005B7689">
        <w:rPr>
          <w:rFonts w:ascii="Times New Roman" w:hAnsi="Times New Roman" w:cs="Times New Roman"/>
          <w:sz w:val="24"/>
          <w:szCs w:val="24"/>
        </w:rPr>
        <w:t>ffect</w:t>
      </w:r>
      <w:r w:rsidR="004379A5" w:rsidRPr="005B7689">
        <w:rPr>
          <w:rFonts w:ascii="Times New Roman" w:hAnsi="Times New Roman" w:cs="Times New Roman"/>
          <w:sz w:val="24"/>
          <w:szCs w:val="24"/>
        </w:rPr>
        <w:t xml:space="preserve"> on reproduct</w:t>
      </w:r>
      <w:r w:rsidR="005B7689" w:rsidRPr="005B7689">
        <w:rPr>
          <w:rFonts w:ascii="Times New Roman" w:hAnsi="Times New Roman" w:cs="Times New Roman"/>
          <w:sz w:val="24"/>
          <w:szCs w:val="24"/>
        </w:rPr>
        <w:t xml:space="preserve">ive system </w:t>
      </w:r>
      <w:r w:rsidR="00DB1F05">
        <w:rPr>
          <w:rFonts w:ascii="Times New Roman" w:hAnsi="Times New Roman" w:cs="Times New Roman"/>
          <w:sz w:val="24"/>
          <w:szCs w:val="24"/>
        </w:rPr>
        <w:t>and</w:t>
      </w:r>
      <w:r w:rsidR="005B7689" w:rsidRPr="005B7689">
        <w:rPr>
          <w:rFonts w:ascii="Times New Roman" w:hAnsi="Times New Roman" w:cs="Times New Roman"/>
          <w:sz w:val="24"/>
          <w:szCs w:val="24"/>
        </w:rPr>
        <w:t>,</w:t>
      </w:r>
      <w:r w:rsidR="007916FB">
        <w:rPr>
          <w:rFonts w:ascii="Times New Roman" w:hAnsi="Times New Roman" w:cs="Times New Roman"/>
          <w:sz w:val="24"/>
          <w:szCs w:val="24"/>
        </w:rPr>
        <w:t xml:space="preserve"> respirato</w:t>
      </w:r>
      <w:r w:rsidR="005B7689" w:rsidRPr="005B7689">
        <w:rPr>
          <w:rFonts w:ascii="Times New Roman" w:hAnsi="Times New Roman" w:cs="Times New Roman"/>
          <w:sz w:val="24"/>
          <w:szCs w:val="24"/>
        </w:rPr>
        <w:t>ry system.</w:t>
      </w:r>
      <w:r w:rsidR="00346E5A">
        <w:rPr>
          <w:rFonts w:ascii="Times New Roman" w:hAnsi="Times New Roman" w:cs="Times New Roman"/>
          <w:sz w:val="24"/>
          <w:szCs w:val="24"/>
        </w:rPr>
        <w:t xml:space="preserve"> </w:t>
      </w:r>
      <w:r w:rsidR="005B7689" w:rsidRPr="005B7689">
        <w:rPr>
          <w:rFonts w:ascii="Times New Roman" w:hAnsi="Times New Roman" w:cs="Times New Roman"/>
          <w:sz w:val="24"/>
          <w:szCs w:val="24"/>
        </w:rPr>
        <w:t>Agrochemical expos</w:t>
      </w:r>
      <w:r w:rsidR="00DB1F05">
        <w:rPr>
          <w:rFonts w:ascii="Times New Roman" w:hAnsi="Times New Roman" w:cs="Times New Roman"/>
          <w:sz w:val="24"/>
          <w:szCs w:val="24"/>
        </w:rPr>
        <w:t>ure</w:t>
      </w:r>
      <w:r w:rsidR="005B7689" w:rsidRPr="005B7689">
        <w:rPr>
          <w:rFonts w:ascii="Times New Roman" w:hAnsi="Times New Roman" w:cs="Times New Roman"/>
          <w:sz w:val="24"/>
          <w:szCs w:val="24"/>
        </w:rPr>
        <w:t xml:space="preserve"> and </w:t>
      </w:r>
      <w:r w:rsidR="007916FB">
        <w:rPr>
          <w:rFonts w:ascii="Times New Roman" w:hAnsi="Times New Roman" w:cs="Times New Roman"/>
          <w:sz w:val="24"/>
          <w:szCs w:val="24"/>
        </w:rPr>
        <w:t>its</w:t>
      </w:r>
      <w:r w:rsidR="005B7689" w:rsidRPr="005B7689">
        <w:rPr>
          <w:rFonts w:ascii="Times New Roman" w:hAnsi="Times New Roman" w:cs="Times New Roman"/>
          <w:sz w:val="24"/>
          <w:szCs w:val="24"/>
        </w:rPr>
        <w:t xml:space="preserve"> toxic effect</w:t>
      </w:r>
      <w:r w:rsidR="00DB1F05">
        <w:rPr>
          <w:rFonts w:ascii="Times New Roman" w:hAnsi="Times New Roman" w:cs="Times New Roman"/>
          <w:sz w:val="24"/>
          <w:szCs w:val="24"/>
        </w:rPr>
        <w:t>s</w:t>
      </w:r>
      <w:r w:rsidR="005B7689" w:rsidRPr="005B7689">
        <w:rPr>
          <w:rFonts w:ascii="Times New Roman" w:hAnsi="Times New Roman" w:cs="Times New Roman"/>
          <w:sz w:val="24"/>
          <w:szCs w:val="24"/>
        </w:rPr>
        <w:t xml:space="preserve"> increase the risk of different diseases such as </w:t>
      </w:r>
      <w:r w:rsidR="00DB1F05">
        <w:rPr>
          <w:rFonts w:ascii="Times New Roman" w:hAnsi="Times New Roman" w:cs="Times New Roman"/>
          <w:sz w:val="24"/>
          <w:szCs w:val="24"/>
        </w:rPr>
        <w:t>“</w:t>
      </w:r>
      <w:r w:rsidR="005B7689" w:rsidRPr="00DB1F05">
        <w:rPr>
          <w:rFonts w:ascii="Times New Roman" w:hAnsi="Times New Roman" w:cs="Times New Roman"/>
          <w:i/>
          <w:sz w:val="24"/>
          <w:szCs w:val="24"/>
        </w:rPr>
        <w:t>cancers,</w:t>
      </w:r>
      <w:r w:rsidR="00346E5A">
        <w:rPr>
          <w:rFonts w:ascii="Times New Roman" w:hAnsi="Times New Roman" w:cs="Times New Roman"/>
          <w:i/>
          <w:sz w:val="24"/>
          <w:szCs w:val="24"/>
        </w:rPr>
        <w:t xml:space="preserve"> </w:t>
      </w:r>
      <w:r w:rsidR="005B7689" w:rsidRPr="005B7689">
        <w:rPr>
          <w:rFonts w:ascii="Times New Roman" w:hAnsi="Times New Roman" w:cs="Times New Roman"/>
          <w:i/>
          <w:sz w:val="24"/>
          <w:szCs w:val="24"/>
        </w:rPr>
        <w:t>Alzheimer</w:t>
      </w:r>
      <w:r w:rsidR="007916FB">
        <w:rPr>
          <w:rFonts w:ascii="Times New Roman" w:hAnsi="Times New Roman" w:cs="Times New Roman"/>
          <w:i/>
          <w:sz w:val="24"/>
          <w:szCs w:val="24"/>
        </w:rPr>
        <w:t>'s</w:t>
      </w:r>
      <w:r w:rsidR="005B7689" w:rsidRPr="005B7689">
        <w:rPr>
          <w:rFonts w:ascii="Times New Roman" w:hAnsi="Times New Roman" w:cs="Times New Roman"/>
          <w:i/>
          <w:sz w:val="24"/>
          <w:szCs w:val="24"/>
        </w:rPr>
        <w:t>,</w:t>
      </w:r>
      <w:r w:rsidR="00DB1F05">
        <w:rPr>
          <w:rFonts w:ascii="Times New Roman" w:hAnsi="Times New Roman" w:cs="Times New Roman"/>
          <w:i/>
          <w:sz w:val="24"/>
          <w:szCs w:val="24"/>
        </w:rPr>
        <w:t xml:space="preserve"> Parkinson's</w:t>
      </w:r>
      <w:r w:rsidR="005B7689" w:rsidRPr="005B7689">
        <w:rPr>
          <w:rFonts w:ascii="Times New Roman" w:hAnsi="Times New Roman" w:cs="Times New Roman"/>
          <w:i/>
          <w:sz w:val="24"/>
          <w:szCs w:val="24"/>
        </w:rPr>
        <w:t>, amyotrophic lateral</w:t>
      </w:r>
      <w:r w:rsidR="00346E5A">
        <w:rPr>
          <w:rFonts w:ascii="Times New Roman" w:hAnsi="Times New Roman" w:cs="Times New Roman"/>
          <w:i/>
          <w:sz w:val="24"/>
          <w:szCs w:val="24"/>
        </w:rPr>
        <w:t xml:space="preserve"> </w:t>
      </w:r>
      <w:r w:rsidR="005B7689" w:rsidRPr="005B7689">
        <w:rPr>
          <w:rFonts w:ascii="Times New Roman" w:hAnsi="Times New Roman" w:cs="Times New Roman"/>
          <w:i/>
          <w:sz w:val="24"/>
          <w:szCs w:val="24"/>
        </w:rPr>
        <w:t>sclerosis, asthma, bronchitis, infertility, birth defects, attention deficit hyperactivity</w:t>
      </w:r>
      <w:r w:rsidR="00346E5A">
        <w:rPr>
          <w:rFonts w:ascii="Times New Roman" w:hAnsi="Times New Roman" w:cs="Times New Roman"/>
          <w:i/>
          <w:sz w:val="24"/>
          <w:szCs w:val="24"/>
        </w:rPr>
        <w:t xml:space="preserve"> </w:t>
      </w:r>
      <w:r w:rsidR="005B7689" w:rsidRPr="005B7689">
        <w:rPr>
          <w:rFonts w:ascii="Times New Roman" w:hAnsi="Times New Roman" w:cs="Times New Roman"/>
          <w:i/>
          <w:sz w:val="24"/>
          <w:szCs w:val="24"/>
        </w:rPr>
        <w:t>disorder, autism, diabetes, and obesity</w:t>
      </w:r>
      <w:r w:rsidR="00DB1F05">
        <w:t>“</w:t>
      </w:r>
      <w:r w:rsidR="007916FB" w:rsidRPr="007916FB">
        <w:rPr>
          <w:rFonts w:ascii="Times New Roman" w:hAnsi="Times New Roman" w:cs="Times New Roman"/>
          <w:sz w:val="24"/>
          <w:szCs w:val="24"/>
        </w:rPr>
        <w:t>(</w:t>
      </w:r>
      <w:proofErr w:type="spellStart"/>
      <w:r w:rsidR="007916FB" w:rsidRPr="007916FB">
        <w:rPr>
          <w:rFonts w:ascii="Times New Roman" w:hAnsi="Times New Roman" w:cs="Times New Roman"/>
          <w:sz w:val="24"/>
          <w:szCs w:val="24"/>
        </w:rPr>
        <w:t>Mostafalou</w:t>
      </w:r>
      <w:proofErr w:type="spellEnd"/>
      <w:r w:rsidR="004C4404">
        <w:rPr>
          <w:rFonts w:ascii="Times New Roman" w:hAnsi="Times New Roman" w:cs="Times New Roman"/>
          <w:sz w:val="24"/>
          <w:szCs w:val="24"/>
        </w:rPr>
        <w:t xml:space="preserve"> </w:t>
      </w:r>
      <w:r w:rsidR="007916FB" w:rsidRPr="007916FB">
        <w:rPr>
          <w:rFonts w:ascii="Times New Roman" w:hAnsi="Times New Roman" w:cs="Times New Roman"/>
          <w:sz w:val="24"/>
          <w:szCs w:val="24"/>
        </w:rPr>
        <w:t>&amp;</w:t>
      </w:r>
      <w:r w:rsidR="004C4404">
        <w:rPr>
          <w:rFonts w:ascii="Times New Roman" w:hAnsi="Times New Roman" w:cs="Times New Roman"/>
          <w:sz w:val="24"/>
          <w:szCs w:val="24"/>
        </w:rPr>
        <w:t xml:space="preserve"> </w:t>
      </w:r>
      <w:proofErr w:type="spellStart"/>
      <w:r w:rsidR="007916FB" w:rsidRPr="007916FB">
        <w:rPr>
          <w:rFonts w:ascii="Times New Roman" w:hAnsi="Times New Roman" w:cs="Times New Roman"/>
          <w:sz w:val="24"/>
          <w:szCs w:val="24"/>
        </w:rPr>
        <w:t>Abdollahi</w:t>
      </w:r>
      <w:proofErr w:type="spellEnd"/>
      <w:r w:rsidR="00DB1F05">
        <w:rPr>
          <w:rFonts w:ascii="Times New Roman" w:hAnsi="Times New Roman" w:cs="Times New Roman"/>
          <w:sz w:val="24"/>
          <w:szCs w:val="24"/>
        </w:rPr>
        <w:t>,</w:t>
      </w:r>
      <w:r w:rsidR="007916FB" w:rsidRPr="007916FB">
        <w:rPr>
          <w:rFonts w:ascii="Times New Roman" w:hAnsi="Times New Roman" w:cs="Times New Roman"/>
          <w:sz w:val="24"/>
          <w:szCs w:val="24"/>
        </w:rPr>
        <w:t xml:space="preserve"> 2017)</w:t>
      </w:r>
      <w:r w:rsidR="007916FB">
        <w:rPr>
          <w:rFonts w:ascii="Times New Roman" w:hAnsi="Times New Roman" w:cs="Times New Roman"/>
          <w:sz w:val="24"/>
          <w:szCs w:val="24"/>
        </w:rPr>
        <w:t>.</w:t>
      </w:r>
      <w:r w:rsidR="00346E5A">
        <w:rPr>
          <w:rFonts w:ascii="Times New Roman" w:hAnsi="Times New Roman" w:cs="Times New Roman"/>
          <w:sz w:val="24"/>
          <w:szCs w:val="24"/>
        </w:rPr>
        <w:t xml:space="preserve"> </w:t>
      </w:r>
      <w:r w:rsidR="005F0FCE">
        <w:rPr>
          <w:rFonts w:ascii="Times New Roman" w:hAnsi="Times New Roman" w:cs="Times New Roman"/>
          <w:sz w:val="24"/>
          <w:szCs w:val="24"/>
        </w:rPr>
        <w:t>Many researcher</w:t>
      </w:r>
      <w:r w:rsidR="0027164F">
        <w:rPr>
          <w:rFonts w:ascii="Times New Roman" w:hAnsi="Times New Roman" w:cs="Times New Roman"/>
          <w:sz w:val="24"/>
          <w:szCs w:val="24"/>
        </w:rPr>
        <w:t xml:space="preserve">s in </w:t>
      </w:r>
      <w:r w:rsidR="003456AA">
        <w:rPr>
          <w:rFonts w:ascii="Times New Roman" w:hAnsi="Times New Roman" w:cs="Times New Roman"/>
          <w:sz w:val="24"/>
          <w:szCs w:val="24"/>
        </w:rPr>
        <w:t>the contemporary</w:t>
      </w:r>
      <w:r w:rsidR="0027164F">
        <w:rPr>
          <w:rFonts w:ascii="Times New Roman" w:hAnsi="Times New Roman" w:cs="Times New Roman"/>
          <w:sz w:val="24"/>
          <w:szCs w:val="24"/>
        </w:rPr>
        <w:t xml:space="preserve"> era find that expos</w:t>
      </w:r>
      <w:r w:rsidR="003456AA">
        <w:rPr>
          <w:rFonts w:ascii="Times New Roman" w:hAnsi="Times New Roman" w:cs="Times New Roman"/>
          <w:sz w:val="24"/>
          <w:szCs w:val="24"/>
        </w:rPr>
        <w:t>ure</w:t>
      </w:r>
      <w:r w:rsidR="0027164F">
        <w:rPr>
          <w:rFonts w:ascii="Times New Roman" w:hAnsi="Times New Roman" w:cs="Times New Roman"/>
          <w:sz w:val="24"/>
          <w:szCs w:val="24"/>
        </w:rPr>
        <w:t xml:space="preserve"> to ag</w:t>
      </w:r>
      <w:r w:rsidR="00CC49D4">
        <w:rPr>
          <w:rFonts w:ascii="Times New Roman" w:hAnsi="Times New Roman" w:cs="Times New Roman"/>
          <w:sz w:val="24"/>
          <w:szCs w:val="24"/>
        </w:rPr>
        <w:t>rochemical</w:t>
      </w:r>
      <w:r w:rsidR="003456AA">
        <w:rPr>
          <w:rFonts w:ascii="Times New Roman" w:hAnsi="Times New Roman" w:cs="Times New Roman"/>
          <w:sz w:val="24"/>
          <w:szCs w:val="24"/>
        </w:rPr>
        <w:t>s</w:t>
      </w:r>
      <w:r w:rsidR="00CC49D4">
        <w:rPr>
          <w:rFonts w:ascii="Times New Roman" w:hAnsi="Times New Roman" w:cs="Times New Roman"/>
          <w:sz w:val="24"/>
          <w:szCs w:val="24"/>
        </w:rPr>
        <w:t xml:space="preserve"> increase</w:t>
      </w:r>
      <w:r w:rsidR="003456AA">
        <w:rPr>
          <w:rFonts w:ascii="Times New Roman" w:hAnsi="Times New Roman" w:cs="Times New Roman"/>
          <w:sz w:val="24"/>
          <w:szCs w:val="24"/>
        </w:rPr>
        <w:t>s</w:t>
      </w:r>
      <w:r w:rsidR="00346E5A">
        <w:rPr>
          <w:rFonts w:ascii="Times New Roman" w:hAnsi="Times New Roman" w:cs="Times New Roman"/>
          <w:sz w:val="24"/>
          <w:szCs w:val="24"/>
        </w:rPr>
        <w:t xml:space="preserve"> </w:t>
      </w:r>
      <w:r w:rsidR="00CC49D4">
        <w:rPr>
          <w:rFonts w:ascii="Times New Roman" w:hAnsi="Times New Roman" w:cs="Times New Roman"/>
          <w:sz w:val="24"/>
          <w:szCs w:val="24"/>
        </w:rPr>
        <w:t>health</w:t>
      </w:r>
      <w:r w:rsidR="003456AA">
        <w:rPr>
          <w:rFonts w:ascii="Times New Roman" w:hAnsi="Times New Roman" w:cs="Times New Roman"/>
          <w:sz w:val="24"/>
          <w:szCs w:val="24"/>
        </w:rPr>
        <w:t xml:space="preserve"> risk </w:t>
      </w:r>
      <w:r w:rsidR="00CC49D4">
        <w:rPr>
          <w:rFonts w:ascii="Times New Roman" w:hAnsi="Times New Roman" w:cs="Times New Roman"/>
          <w:sz w:val="24"/>
          <w:szCs w:val="24"/>
        </w:rPr>
        <w:t>(C</w:t>
      </w:r>
      <w:r w:rsidR="00DB647B">
        <w:rPr>
          <w:rFonts w:ascii="Times New Roman" w:hAnsi="Times New Roman" w:cs="Times New Roman"/>
          <w:sz w:val="24"/>
          <w:szCs w:val="24"/>
        </w:rPr>
        <w:t>hitra et al</w:t>
      </w:r>
      <w:r w:rsidR="004C4404">
        <w:rPr>
          <w:rFonts w:ascii="Times New Roman" w:hAnsi="Times New Roman" w:cs="Times New Roman"/>
          <w:sz w:val="24"/>
          <w:szCs w:val="24"/>
        </w:rPr>
        <w:t>.</w:t>
      </w:r>
      <w:r w:rsidR="003456AA">
        <w:rPr>
          <w:rFonts w:ascii="Times New Roman" w:hAnsi="Times New Roman" w:cs="Times New Roman"/>
          <w:sz w:val="24"/>
          <w:szCs w:val="24"/>
        </w:rPr>
        <w:t>,</w:t>
      </w:r>
      <w:r w:rsidR="00DB647B">
        <w:rPr>
          <w:rFonts w:ascii="Times New Roman" w:hAnsi="Times New Roman" w:cs="Times New Roman"/>
          <w:sz w:val="24"/>
          <w:szCs w:val="24"/>
        </w:rPr>
        <w:t xml:space="preserve"> 2019;</w:t>
      </w:r>
      <w:r w:rsidR="00CC49D4">
        <w:rPr>
          <w:rFonts w:ascii="Times New Roman" w:hAnsi="Times New Roman" w:cs="Times New Roman"/>
          <w:sz w:val="24"/>
          <w:szCs w:val="24"/>
        </w:rPr>
        <w:t xml:space="preserve"> M</w:t>
      </w:r>
      <w:r w:rsidR="00BB6235">
        <w:rPr>
          <w:rFonts w:ascii="Times New Roman" w:hAnsi="Times New Roman" w:cs="Times New Roman"/>
          <w:sz w:val="24"/>
          <w:szCs w:val="24"/>
        </w:rPr>
        <w:t>ancini et al</w:t>
      </w:r>
      <w:r w:rsidR="004C4404">
        <w:rPr>
          <w:rFonts w:ascii="Times New Roman" w:hAnsi="Times New Roman" w:cs="Times New Roman"/>
          <w:sz w:val="24"/>
          <w:szCs w:val="24"/>
        </w:rPr>
        <w:t>.</w:t>
      </w:r>
      <w:r w:rsidR="003456AA">
        <w:rPr>
          <w:rFonts w:ascii="Times New Roman" w:hAnsi="Times New Roman" w:cs="Times New Roman"/>
          <w:sz w:val="24"/>
          <w:szCs w:val="24"/>
        </w:rPr>
        <w:t>,</w:t>
      </w:r>
      <w:r w:rsidR="00BB6235">
        <w:rPr>
          <w:rFonts w:ascii="Times New Roman" w:hAnsi="Times New Roman" w:cs="Times New Roman"/>
          <w:sz w:val="24"/>
          <w:szCs w:val="24"/>
        </w:rPr>
        <w:t xml:space="preserve"> 2005</w:t>
      </w:r>
      <w:r w:rsidR="00DB647B">
        <w:rPr>
          <w:rFonts w:ascii="Times New Roman" w:hAnsi="Times New Roman" w:cs="Times New Roman"/>
          <w:sz w:val="24"/>
          <w:szCs w:val="24"/>
        </w:rPr>
        <w:t>;</w:t>
      </w:r>
      <w:r w:rsidR="00597913">
        <w:rPr>
          <w:rFonts w:ascii="Times New Roman" w:hAnsi="Times New Roman" w:cs="Times New Roman"/>
          <w:sz w:val="24"/>
          <w:szCs w:val="24"/>
        </w:rPr>
        <w:t xml:space="preserve"> Ye et al</w:t>
      </w:r>
      <w:r w:rsidR="004C4404">
        <w:rPr>
          <w:rFonts w:ascii="Times New Roman" w:hAnsi="Times New Roman" w:cs="Times New Roman"/>
          <w:sz w:val="24"/>
          <w:szCs w:val="24"/>
        </w:rPr>
        <w:t>.</w:t>
      </w:r>
      <w:r w:rsidR="003456AA">
        <w:rPr>
          <w:rFonts w:ascii="Times New Roman" w:hAnsi="Times New Roman" w:cs="Times New Roman"/>
          <w:sz w:val="24"/>
          <w:szCs w:val="24"/>
        </w:rPr>
        <w:t>,</w:t>
      </w:r>
      <w:r w:rsidR="00597913">
        <w:rPr>
          <w:rFonts w:ascii="Times New Roman" w:hAnsi="Times New Roman" w:cs="Times New Roman"/>
          <w:sz w:val="24"/>
          <w:szCs w:val="24"/>
        </w:rPr>
        <w:t xml:space="preserve"> 2013</w:t>
      </w:r>
      <w:r w:rsidR="00BB6235">
        <w:rPr>
          <w:rFonts w:ascii="Times New Roman" w:hAnsi="Times New Roman" w:cs="Times New Roman"/>
          <w:sz w:val="24"/>
          <w:szCs w:val="24"/>
        </w:rPr>
        <w:t>)</w:t>
      </w:r>
      <w:r w:rsidR="00243568">
        <w:rPr>
          <w:rFonts w:ascii="Times New Roman" w:hAnsi="Times New Roman" w:cs="Times New Roman"/>
          <w:sz w:val="24"/>
          <w:szCs w:val="24"/>
        </w:rPr>
        <w:t>.</w:t>
      </w:r>
    </w:p>
    <w:p w14:paraId="28573D49" w14:textId="77777777" w:rsidR="0027164F" w:rsidRDefault="00431DB6" w:rsidP="002D0B90">
      <w:pPr>
        <w:jc w:val="both"/>
        <w:rPr>
          <w:rFonts w:ascii="Times New Roman" w:hAnsi="Times New Roman" w:cs="Times New Roman"/>
          <w:sz w:val="24"/>
          <w:szCs w:val="24"/>
        </w:rPr>
      </w:pPr>
      <w:r>
        <w:rPr>
          <w:rFonts w:ascii="Times New Roman" w:hAnsi="Times New Roman" w:cs="Times New Roman"/>
          <w:sz w:val="24"/>
          <w:szCs w:val="24"/>
        </w:rPr>
        <w:t>According to t</w:t>
      </w:r>
      <w:r w:rsidR="007A2D47">
        <w:rPr>
          <w:rFonts w:ascii="Times New Roman" w:hAnsi="Times New Roman" w:cs="Times New Roman"/>
          <w:sz w:val="24"/>
          <w:szCs w:val="24"/>
        </w:rPr>
        <w:t>he WHO</w:t>
      </w:r>
      <w:r w:rsidR="00B6251E">
        <w:rPr>
          <w:rFonts w:ascii="Times New Roman" w:hAnsi="Times New Roman" w:cs="Times New Roman"/>
          <w:sz w:val="24"/>
          <w:szCs w:val="24"/>
        </w:rPr>
        <w:t xml:space="preserve"> (</w:t>
      </w:r>
      <w:r w:rsidR="00B6251E" w:rsidRPr="00B6251E">
        <w:rPr>
          <w:rFonts w:ascii="Times New Roman" w:hAnsi="Times New Roman" w:cs="Times New Roman"/>
          <w:sz w:val="24"/>
          <w:szCs w:val="24"/>
        </w:rPr>
        <w:t>World Health Organi</w:t>
      </w:r>
      <w:r w:rsidR="00346E5A">
        <w:rPr>
          <w:rFonts w:ascii="Times New Roman" w:hAnsi="Times New Roman" w:cs="Times New Roman"/>
          <w:sz w:val="24"/>
          <w:szCs w:val="24"/>
        </w:rPr>
        <w:t>s</w:t>
      </w:r>
      <w:r w:rsidR="00B6251E" w:rsidRPr="00B6251E">
        <w:rPr>
          <w:rFonts w:ascii="Times New Roman" w:hAnsi="Times New Roman" w:cs="Times New Roman"/>
          <w:sz w:val="24"/>
          <w:szCs w:val="24"/>
        </w:rPr>
        <w:t>ation</w:t>
      </w:r>
      <w:r w:rsidR="00B6251E">
        <w:t>)</w:t>
      </w:r>
      <w:r w:rsidR="007A2D47">
        <w:rPr>
          <w:rFonts w:ascii="Times New Roman" w:hAnsi="Times New Roman" w:cs="Times New Roman"/>
          <w:sz w:val="24"/>
          <w:szCs w:val="24"/>
        </w:rPr>
        <w:t>, agricultural workers face</w:t>
      </w:r>
      <w:r>
        <w:rPr>
          <w:rFonts w:ascii="Times New Roman" w:hAnsi="Times New Roman" w:cs="Times New Roman"/>
          <w:sz w:val="24"/>
          <w:szCs w:val="24"/>
        </w:rPr>
        <w:t xml:space="preserve"> major health risks due to agrochemical exposure. Therefore, they recommend some guidelines to mitigate health risk, like wearing protective </w:t>
      </w:r>
      <w:proofErr w:type="spellStart"/>
      <w:r>
        <w:rPr>
          <w:rFonts w:ascii="Times New Roman" w:hAnsi="Times New Roman" w:cs="Times New Roman"/>
          <w:sz w:val="24"/>
          <w:szCs w:val="24"/>
        </w:rPr>
        <w:t>equipment</w:t>
      </w:r>
      <w:r w:rsidR="0026089E">
        <w:rPr>
          <w:rFonts w:ascii="Times New Roman" w:hAnsi="Times New Roman" w:cs="Times New Roman"/>
          <w:sz w:val="24"/>
          <w:szCs w:val="24"/>
        </w:rPr>
        <w:t>s</w:t>
      </w:r>
      <w:proofErr w:type="spellEnd"/>
      <w:r>
        <w:rPr>
          <w:rFonts w:ascii="Times New Roman" w:hAnsi="Times New Roman" w:cs="Times New Roman"/>
          <w:sz w:val="24"/>
          <w:szCs w:val="24"/>
        </w:rPr>
        <w:t xml:space="preserve">, reading and following instructions before using agrochemicals. But, there </w:t>
      </w:r>
      <w:r w:rsidR="00243568">
        <w:rPr>
          <w:rFonts w:ascii="Times New Roman" w:hAnsi="Times New Roman" w:cs="Times New Roman"/>
          <w:sz w:val="24"/>
          <w:szCs w:val="24"/>
        </w:rPr>
        <w:t xml:space="preserve">is </w:t>
      </w:r>
      <w:r w:rsidR="003456AA">
        <w:rPr>
          <w:rFonts w:ascii="Times New Roman" w:hAnsi="Times New Roman" w:cs="Times New Roman"/>
          <w:sz w:val="24"/>
          <w:szCs w:val="24"/>
        </w:rPr>
        <w:t xml:space="preserve">a </w:t>
      </w:r>
      <w:r w:rsidR="00243568">
        <w:rPr>
          <w:rFonts w:ascii="Times New Roman" w:hAnsi="Times New Roman" w:cs="Times New Roman"/>
          <w:sz w:val="24"/>
          <w:szCs w:val="24"/>
        </w:rPr>
        <w:t xml:space="preserve">major </w:t>
      </w:r>
      <w:r w:rsidR="003456AA">
        <w:rPr>
          <w:rFonts w:ascii="Times New Roman" w:hAnsi="Times New Roman" w:cs="Times New Roman"/>
          <w:sz w:val="24"/>
          <w:szCs w:val="24"/>
        </w:rPr>
        <w:t>gap</w:t>
      </w:r>
      <w:r w:rsidR="00243568">
        <w:rPr>
          <w:rFonts w:ascii="Times New Roman" w:hAnsi="Times New Roman" w:cs="Times New Roman"/>
          <w:sz w:val="24"/>
          <w:szCs w:val="24"/>
        </w:rPr>
        <w:t xml:space="preserve"> between </w:t>
      </w:r>
      <w:r w:rsidR="005F0FCE">
        <w:rPr>
          <w:rFonts w:ascii="Times New Roman" w:hAnsi="Times New Roman" w:cs="Times New Roman"/>
          <w:sz w:val="24"/>
          <w:szCs w:val="24"/>
        </w:rPr>
        <w:t>f</w:t>
      </w:r>
      <w:r w:rsidR="003456AA">
        <w:rPr>
          <w:rFonts w:ascii="Times New Roman" w:hAnsi="Times New Roman" w:cs="Times New Roman"/>
          <w:sz w:val="24"/>
          <w:szCs w:val="24"/>
        </w:rPr>
        <w:t>a</w:t>
      </w:r>
      <w:r w:rsidR="005F0FCE">
        <w:rPr>
          <w:rFonts w:ascii="Times New Roman" w:hAnsi="Times New Roman" w:cs="Times New Roman"/>
          <w:sz w:val="24"/>
          <w:szCs w:val="24"/>
        </w:rPr>
        <w:t>rmers</w:t>
      </w:r>
      <w:r w:rsidR="003456AA">
        <w:rPr>
          <w:rFonts w:ascii="Times New Roman" w:hAnsi="Times New Roman" w:cs="Times New Roman"/>
          <w:sz w:val="24"/>
          <w:szCs w:val="24"/>
        </w:rPr>
        <w:t>'</w:t>
      </w:r>
      <w:r w:rsidR="005F0FCE">
        <w:rPr>
          <w:rFonts w:ascii="Times New Roman" w:hAnsi="Times New Roman" w:cs="Times New Roman"/>
          <w:sz w:val="24"/>
          <w:szCs w:val="24"/>
        </w:rPr>
        <w:t xml:space="preserve"> kno</w:t>
      </w:r>
      <w:r w:rsidR="00243568">
        <w:rPr>
          <w:rFonts w:ascii="Times New Roman" w:hAnsi="Times New Roman" w:cs="Times New Roman"/>
          <w:sz w:val="24"/>
          <w:szCs w:val="24"/>
        </w:rPr>
        <w:t>wle</w:t>
      </w:r>
      <w:r w:rsidR="005F0FCE">
        <w:rPr>
          <w:rFonts w:ascii="Times New Roman" w:hAnsi="Times New Roman" w:cs="Times New Roman"/>
          <w:sz w:val="24"/>
          <w:szCs w:val="24"/>
        </w:rPr>
        <w:t>dge and practi</w:t>
      </w:r>
      <w:r w:rsidR="00243568">
        <w:rPr>
          <w:rFonts w:ascii="Times New Roman" w:hAnsi="Times New Roman" w:cs="Times New Roman"/>
          <w:sz w:val="24"/>
          <w:szCs w:val="24"/>
        </w:rPr>
        <w:t>ce</w:t>
      </w:r>
      <w:r w:rsidR="002D0B90">
        <w:rPr>
          <w:rFonts w:ascii="Times New Roman" w:hAnsi="Times New Roman" w:cs="Times New Roman"/>
          <w:sz w:val="24"/>
          <w:szCs w:val="24"/>
        </w:rPr>
        <w:t xml:space="preserve"> regarding agrochemical effect</w:t>
      </w:r>
      <w:r w:rsidR="003456AA">
        <w:rPr>
          <w:rFonts w:ascii="Times New Roman" w:hAnsi="Times New Roman" w:cs="Times New Roman"/>
          <w:sz w:val="24"/>
          <w:szCs w:val="24"/>
        </w:rPr>
        <w:t>s</w:t>
      </w:r>
      <w:r w:rsidR="002D0B90">
        <w:rPr>
          <w:rFonts w:ascii="Times New Roman" w:hAnsi="Times New Roman" w:cs="Times New Roman"/>
          <w:sz w:val="24"/>
          <w:szCs w:val="24"/>
        </w:rPr>
        <w:t xml:space="preserve"> on he</w:t>
      </w:r>
      <w:r w:rsidR="003456AA">
        <w:rPr>
          <w:rFonts w:ascii="Times New Roman" w:hAnsi="Times New Roman" w:cs="Times New Roman"/>
          <w:sz w:val="24"/>
          <w:szCs w:val="24"/>
        </w:rPr>
        <w:t>a</w:t>
      </w:r>
      <w:r w:rsidR="002D0B90">
        <w:rPr>
          <w:rFonts w:ascii="Times New Roman" w:hAnsi="Times New Roman" w:cs="Times New Roman"/>
          <w:sz w:val="24"/>
          <w:szCs w:val="24"/>
        </w:rPr>
        <w:t>lth and safer pesticide application</w:t>
      </w:r>
      <w:r w:rsidR="009524E4">
        <w:rPr>
          <w:rFonts w:ascii="Times New Roman" w:hAnsi="Times New Roman" w:cs="Times New Roman"/>
          <w:sz w:val="24"/>
          <w:szCs w:val="24"/>
        </w:rPr>
        <w:t xml:space="preserve"> </w:t>
      </w:r>
      <w:r w:rsidR="002D0B90" w:rsidRPr="002D0B90">
        <w:rPr>
          <w:rFonts w:ascii="Times New Roman" w:hAnsi="Times New Roman" w:cs="Times New Roman"/>
          <w:sz w:val="24"/>
          <w:szCs w:val="24"/>
        </w:rPr>
        <w:t>(</w:t>
      </w:r>
      <w:r w:rsidR="00DB647B">
        <w:rPr>
          <w:rFonts w:ascii="Times New Roman" w:hAnsi="Times New Roman" w:cs="Times New Roman"/>
          <w:bCs/>
          <w:sz w:val="24"/>
          <w:szCs w:val="24"/>
        </w:rPr>
        <w:t>Devi e</w:t>
      </w:r>
      <w:r w:rsidR="00765096">
        <w:rPr>
          <w:rFonts w:ascii="Times New Roman" w:hAnsi="Times New Roman" w:cs="Times New Roman"/>
          <w:bCs/>
          <w:sz w:val="24"/>
          <w:szCs w:val="24"/>
        </w:rPr>
        <w:t>t al.</w:t>
      </w:r>
      <w:r w:rsidR="004C4404">
        <w:rPr>
          <w:rFonts w:ascii="Times New Roman" w:hAnsi="Times New Roman" w:cs="Times New Roman"/>
          <w:bCs/>
          <w:sz w:val="24"/>
          <w:szCs w:val="24"/>
        </w:rPr>
        <w:t>,</w:t>
      </w:r>
      <w:r w:rsidR="00765096">
        <w:rPr>
          <w:rFonts w:ascii="Times New Roman" w:hAnsi="Times New Roman" w:cs="Times New Roman"/>
          <w:bCs/>
          <w:sz w:val="24"/>
          <w:szCs w:val="24"/>
        </w:rPr>
        <w:t xml:space="preserve"> 2009; Mohanty et al.</w:t>
      </w:r>
      <w:r w:rsidR="004C4404">
        <w:rPr>
          <w:rFonts w:ascii="Times New Roman" w:hAnsi="Times New Roman" w:cs="Times New Roman"/>
          <w:bCs/>
          <w:sz w:val="24"/>
          <w:szCs w:val="24"/>
        </w:rPr>
        <w:t>,</w:t>
      </w:r>
      <w:r w:rsidR="00765096">
        <w:rPr>
          <w:rFonts w:ascii="Times New Roman" w:hAnsi="Times New Roman" w:cs="Times New Roman"/>
          <w:bCs/>
          <w:sz w:val="24"/>
          <w:szCs w:val="24"/>
        </w:rPr>
        <w:t xml:space="preserve"> 2013</w:t>
      </w:r>
      <w:r w:rsidR="002D0B90" w:rsidRPr="002D0B90">
        <w:rPr>
          <w:rFonts w:ascii="Times New Roman" w:hAnsi="Times New Roman" w:cs="Times New Roman"/>
          <w:sz w:val="24"/>
          <w:szCs w:val="24"/>
        </w:rPr>
        <w:t>).</w:t>
      </w:r>
      <w:r w:rsidR="002D0B90">
        <w:rPr>
          <w:rFonts w:ascii="Times New Roman" w:hAnsi="Times New Roman" w:cs="Times New Roman"/>
          <w:sz w:val="24"/>
          <w:szCs w:val="24"/>
        </w:rPr>
        <w:t>Education among farmers close</w:t>
      </w:r>
      <w:r w:rsidR="003456AA">
        <w:rPr>
          <w:rFonts w:ascii="Times New Roman" w:hAnsi="Times New Roman" w:cs="Times New Roman"/>
          <w:sz w:val="24"/>
          <w:szCs w:val="24"/>
        </w:rPr>
        <w:t>s</w:t>
      </w:r>
      <w:r w:rsidR="002D0B90">
        <w:rPr>
          <w:rFonts w:ascii="Times New Roman" w:hAnsi="Times New Roman" w:cs="Times New Roman"/>
          <w:sz w:val="24"/>
          <w:szCs w:val="24"/>
        </w:rPr>
        <w:t xml:space="preserve"> this gap, reduces unsafe agrochemicals</w:t>
      </w:r>
      <w:r w:rsidR="00DB647B">
        <w:rPr>
          <w:rFonts w:ascii="Times New Roman" w:hAnsi="Times New Roman" w:cs="Times New Roman"/>
          <w:sz w:val="24"/>
          <w:szCs w:val="24"/>
        </w:rPr>
        <w:t xml:space="preserve"> application (Jallow et al</w:t>
      </w:r>
      <w:r w:rsidR="003456AA">
        <w:rPr>
          <w:rFonts w:ascii="Times New Roman" w:hAnsi="Times New Roman" w:cs="Times New Roman"/>
          <w:sz w:val="24"/>
          <w:szCs w:val="24"/>
        </w:rPr>
        <w:t>,</w:t>
      </w:r>
      <w:r w:rsidR="00DB647B">
        <w:rPr>
          <w:rFonts w:ascii="Times New Roman" w:hAnsi="Times New Roman" w:cs="Times New Roman"/>
          <w:sz w:val="24"/>
          <w:szCs w:val="24"/>
        </w:rPr>
        <w:t xml:space="preserve"> 2017;</w:t>
      </w:r>
      <w:r w:rsidR="00346E5A">
        <w:rPr>
          <w:rFonts w:ascii="Times New Roman" w:hAnsi="Times New Roman" w:cs="Times New Roman"/>
          <w:sz w:val="24"/>
          <w:szCs w:val="24"/>
        </w:rPr>
        <w:t xml:space="preserve"> </w:t>
      </w:r>
      <w:r w:rsidR="002D0B90">
        <w:rPr>
          <w:rFonts w:ascii="Times New Roman" w:hAnsi="Times New Roman" w:cs="Times New Roman"/>
          <w:sz w:val="24"/>
          <w:szCs w:val="24"/>
        </w:rPr>
        <w:t>Shetty et al.</w:t>
      </w:r>
      <w:r>
        <w:rPr>
          <w:rFonts w:ascii="Times New Roman" w:hAnsi="Times New Roman" w:cs="Times New Roman"/>
          <w:sz w:val="24"/>
          <w:szCs w:val="24"/>
        </w:rPr>
        <w:t>,</w:t>
      </w:r>
      <w:r w:rsidR="00765096">
        <w:rPr>
          <w:rFonts w:ascii="Times New Roman" w:hAnsi="Times New Roman" w:cs="Times New Roman"/>
          <w:sz w:val="24"/>
          <w:szCs w:val="24"/>
        </w:rPr>
        <w:t xml:space="preserve"> 2010</w:t>
      </w:r>
      <w:r w:rsidR="002D0B90">
        <w:rPr>
          <w:rFonts w:ascii="Times New Roman" w:hAnsi="Times New Roman" w:cs="Times New Roman"/>
          <w:sz w:val="24"/>
          <w:szCs w:val="24"/>
        </w:rPr>
        <w:t>).</w:t>
      </w:r>
      <w:r w:rsidR="009524E4">
        <w:rPr>
          <w:rFonts w:ascii="Times New Roman" w:hAnsi="Times New Roman" w:cs="Times New Roman"/>
          <w:sz w:val="24"/>
          <w:szCs w:val="24"/>
        </w:rPr>
        <w:t xml:space="preserve"> </w:t>
      </w:r>
      <w:r w:rsidR="008F7A4E">
        <w:rPr>
          <w:rFonts w:ascii="Times New Roman" w:hAnsi="Times New Roman" w:cs="Times New Roman"/>
          <w:sz w:val="24"/>
          <w:szCs w:val="24"/>
        </w:rPr>
        <w:t>Also</w:t>
      </w:r>
      <w:r w:rsidR="003456AA">
        <w:rPr>
          <w:rFonts w:ascii="Times New Roman" w:hAnsi="Times New Roman" w:cs="Times New Roman"/>
          <w:sz w:val="24"/>
          <w:szCs w:val="24"/>
        </w:rPr>
        <w:t>,</w:t>
      </w:r>
      <w:r w:rsidR="008F7A4E">
        <w:rPr>
          <w:rFonts w:ascii="Times New Roman" w:hAnsi="Times New Roman" w:cs="Times New Roman"/>
          <w:sz w:val="24"/>
          <w:szCs w:val="24"/>
        </w:rPr>
        <w:t xml:space="preserve"> t</w:t>
      </w:r>
      <w:r w:rsidR="0027164F" w:rsidRPr="002D0B90">
        <w:rPr>
          <w:rFonts w:ascii="Times New Roman" w:hAnsi="Times New Roman" w:cs="Times New Roman"/>
          <w:sz w:val="24"/>
          <w:szCs w:val="24"/>
        </w:rPr>
        <w:t>ra</w:t>
      </w:r>
      <w:r w:rsidR="003456AA">
        <w:rPr>
          <w:rFonts w:ascii="Times New Roman" w:hAnsi="Times New Roman" w:cs="Times New Roman"/>
          <w:sz w:val="24"/>
          <w:szCs w:val="24"/>
        </w:rPr>
        <w:t>i</w:t>
      </w:r>
      <w:r w:rsidR="0027164F" w:rsidRPr="002D0B90">
        <w:rPr>
          <w:rFonts w:ascii="Times New Roman" w:hAnsi="Times New Roman" w:cs="Times New Roman"/>
          <w:sz w:val="24"/>
          <w:szCs w:val="24"/>
        </w:rPr>
        <w:t>ning leads to safer use of pesticide</w:t>
      </w:r>
      <w:r w:rsidR="003456AA">
        <w:rPr>
          <w:rFonts w:ascii="Times New Roman" w:hAnsi="Times New Roman" w:cs="Times New Roman"/>
          <w:sz w:val="24"/>
          <w:szCs w:val="24"/>
        </w:rPr>
        <w:t>s</w:t>
      </w:r>
      <w:r w:rsidR="00346E5A">
        <w:rPr>
          <w:rFonts w:ascii="Times New Roman" w:hAnsi="Times New Roman" w:cs="Times New Roman"/>
          <w:sz w:val="24"/>
          <w:szCs w:val="24"/>
        </w:rPr>
        <w:t xml:space="preserve"> </w:t>
      </w:r>
      <w:r w:rsidR="00346E5A">
        <w:rPr>
          <w:rFonts w:ascii="URWPalladioL-Bold" w:hAnsi="URWPalladioL-Bold" w:cs="URWPalladioL-Bold"/>
          <w:b/>
          <w:bCs/>
          <w:color w:val="000000"/>
          <w:sz w:val="20"/>
          <w:szCs w:val="20"/>
        </w:rPr>
        <w:t>(</w:t>
      </w:r>
      <w:r w:rsidR="0027164F" w:rsidRPr="002D0B90">
        <w:rPr>
          <w:rFonts w:ascii="Times New Roman" w:hAnsi="Times New Roman" w:cs="Times New Roman"/>
          <w:bCs/>
          <w:sz w:val="24"/>
          <w:szCs w:val="24"/>
        </w:rPr>
        <w:t>Damalas</w:t>
      </w:r>
      <w:r w:rsidR="00346E5A">
        <w:rPr>
          <w:rFonts w:ascii="Times New Roman" w:hAnsi="Times New Roman" w:cs="Times New Roman"/>
          <w:bCs/>
          <w:sz w:val="24"/>
          <w:szCs w:val="24"/>
        </w:rPr>
        <w:t xml:space="preserve"> and </w:t>
      </w:r>
      <w:r w:rsidR="0027164F" w:rsidRPr="002D0B90">
        <w:rPr>
          <w:rFonts w:ascii="Times New Roman" w:hAnsi="Times New Roman" w:cs="Times New Roman"/>
          <w:bCs/>
          <w:sz w:val="24"/>
          <w:szCs w:val="24"/>
        </w:rPr>
        <w:t>Koutroubas</w:t>
      </w:r>
      <w:r w:rsidR="0027164F" w:rsidRPr="002D0B90">
        <w:rPr>
          <w:rFonts w:ascii="Times New Roman" w:hAnsi="Times New Roman" w:cs="Times New Roman"/>
          <w:sz w:val="24"/>
          <w:szCs w:val="24"/>
        </w:rPr>
        <w:t>,2017</w:t>
      </w:r>
      <w:r w:rsidR="00BB6235" w:rsidRPr="002D0B90">
        <w:rPr>
          <w:rFonts w:ascii="Times New Roman" w:hAnsi="Times New Roman" w:cs="Times New Roman"/>
          <w:sz w:val="24"/>
          <w:szCs w:val="24"/>
        </w:rPr>
        <w:t>)</w:t>
      </w:r>
      <w:r w:rsidR="002D0B90">
        <w:rPr>
          <w:rFonts w:ascii="Times New Roman" w:hAnsi="Times New Roman" w:cs="Times New Roman"/>
          <w:sz w:val="24"/>
          <w:szCs w:val="24"/>
        </w:rPr>
        <w:t>.</w:t>
      </w:r>
      <w:r w:rsidR="00346E5A">
        <w:rPr>
          <w:rFonts w:ascii="Times New Roman" w:hAnsi="Times New Roman" w:cs="Times New Roman"/>
          <w:sz w:val="24"/>
          <w:szCs w:val="24"/>
        </w:rPr>
        <w:t xml:space="preserve"> </w:t>
      </w:r>
      <w:r w:rsidR="00DB647B">
        <w:rPr>
          <w:rFonts w:ascii="Times New Roman" w:hAnsi="Times New Roman" w:cs="Times New Roman"/>
          <w:sz w:val="24"/>
          <w:szCs w:val="24"/>
        </w:rPr>
        <w:t>Like IPM tra</w:t>
      </w:r>
      <w:r w:rsidR="003456AA">
        <w:rPr>
          <w:rFonts w:ascii="Times New Roman" w:hAnsi="Times New Roman" w:cs="Times New Roman"/>
          <w:sz w:val="24"/>
          <w:szCs w:val="24"/>
        </w:rPr>
        <w:t>i</w:t>
      </w:r>
      <w:r w:rsidR="00DB647B">
        <w:rPr>
          <w:rFonts w:ascii="Times New Roman" w:hAnsi="Times New Roman" w:cs="Times New Roman"/>
          <w:sz w:val="24"/>
          <w:szCs w:val="24"/>
        </w:rPr>
        <w:t>ning decrease</w:t>
      </w:r>
      <w:r w:rsidR="003456AA">
        <w:rPr>
          <w:rFonts w:ascii="Times New Roman" w:hAnsi="Times New Roman" w:cs="Times New Roman"/>
          <w:sz w:val="24"/>
          <w:szCs w:val="24"/>
        </w:rPr>
        <w:t>s</w:t>
      </w:r>
      <w:r w:rsidR="00DB647B">
        <w:rPr>
          <w:rFonts w:ascii="Times New Roman" w:hAnsi="Times New Roman" w:cs="Times New Roman"/>
          <w:sz w:val="24"/>
          <w:szCs w:val="24"/>
        </w:rPr>
        <w:t xml:space="preserve"> overuse of </w:t>
      </w:r>
      <w:r>
        <w:rPr>
          <w:rFonts w:ascii="Times New Roman" w:hAnsi="Times New Roman" w:cs="Times New Roman"/>
          <w:sz w:val="24"/>
          <w:szCs w:val="24"/>
        </w:rPr>
        <w:t>pesticides (</w:t>
      </w:r>
      <w:r w:rsidR="00DB647B">
        <w:rPr>
          <w:rFonts w:ascii="Times New Roman" w:hAnsi="Times New Roman" w:cs="Times New Roman"/>
          <w:sz w:val="24"/>
          <w:szCs w:val="24"/>
        </w:rPr>
        <w:t>Khan et al. 2014).</w:t>
      </w:r>
    </w:p>
    <w:p w14:paraId="35D6E233" w14:textId="77777777" w:rsidR="00DB647B" w:rsidRDefault="00DB647B" w:rsidP="002D0B90">
      <w:pPr>
        <w:jc w:val="both"/>
        <w:rPr>
          <w:rFonts w:ascii="Times New Roman" w:hAnsi="Times New Roman" w:cs="Times New Roman"/>
          <w:sz w:val="24"/>
          <w:szCs w:val="24"/>
        </w:rPr>
      </w:pPr>
      <w:r>
        <w:rPr>
          <w:rFonts w:ascii="Times New Roman" w:hAnsi="Times New Roman" w:cs="Times New Roman"/>
          <w:sz w:val="24"/>
          <w:szCs w:val="24"/>
        </w:rPr>
        <w:t>Farmers with little Knowledge about pesticide risk i</w:t>
      </w:r>
      <w:r w:rsidR="003456AA">
        <w:rPr>
          <w:rFonts w:ascii="Times New Roman" w:hAnsi="Times New Roman" w:cs="Times New Roman"/>
          <w:sz w:val="24"/>
          <w:szCs w:val="24"/>
        </w:rPr>
        <w:t>ncrease</w:t>
      </w:r>
      <w:r>
        <w:rPr>
          <w:rFonts w:ascii="Times New Roman" w:hAnsi="Times New Roman" w:cs="Times New Roman"/>
          <w:sz w:val="24"/>
          <w:szCs w:val="24"/>
        </w:rPr>
        <w:t xml:space="preserve"> chances of chronic effects (</w:t>
      </w:r>
      <w:proofErr w:type="spellStart"/>
      <w:r>
        <w:rPr>
          <w:rFonts w:ascii="Times New Roman" w:hAnsi="Times New Roman" w:cs="Times New Roman"/>
          <w:sz w:val="24"/>
          <w:szCs w:val="24"/>
        </w:rPr>
        <w:t>Doglas</w:t>
      </w:r>
      <w:proofErr w:type="spellEnd"/>
      <w:r w:rsidR="0026089E">
        <w:rPr>
          <w:rFonts w:ascii="Times New Roman" w:hAnsi="Times New Roman" w:cs="Times New Roman"/>
          <w:sz w:val="24"/>
          <w:szCs w:val="24"/>
        </w:rPr>
        <w:t xml:space="preserve"> </w:t>
      </w:r>
      <w:r>
        <w:rPr>
          <w:rFonts w:ascii="Times New Roman" w:hAnsi="Times New Roman" w:cs="Times New Roman"/>
          <w:sz w:val="24"/>
          <w:szCs w:val="24"/>
        </w:rPr>
        <w:t>et al.2011)</w:t>
      </w:r>
      <w:r w:rsidR="00AF6F40">
        <w:rPr>
          <w:rFonts w:ascii="Times New Roman" w:hAnsi="Times New Roman" w:cs="Times New Roman"/>
          <w:sz w:val="24"/>
          <w:szCs w:val="24"/>
        </w:rPr>
        <w:t>. Ap</w:t>
      </w:r>
      <w:r w:rsidR="003456AA">
        <w:rPr>
          <w:rFonts w:ascii="Times New Roman" w:hAnsi="Times New Roman" w:cs="Times New Roman"/>
          <w:sz w:val="24"/>
          <w:szCs w:val="24"/>
        </w:rPr>
        <w:t>a</w:t>
      </w:r>
      <w:r w:rsidR="00AF6F40">
        <w:rPr>
          <w:rFonts w:ascii="Times New Roman" w:hAnsi="Times New Roman" w:cs="Times New Roman"/>
          <w:sz w:val="24"/>
          <w:szCs w:val="24"/>
        </w:rPr>
        <w:t>rt from that</w:t>
      </w:r>
      <w:r w:rsidR="003456AA">
        <w:rPr>
          <w:rFonts w:ascii="Times New Roman" w:hAnsi="Times New Roman" w:cs="Times New Roman"/>
          <w:sz w:val="24"/>
          <w:szCs w:val="24"/>
        </w:rPr>
        <w:t>,</w:t>
      </w:r>
      <w:r w:rsidR="00AF6F40">
        <w:rPr>
          <w:rFonts w:ascii="Times New Roman" w:hAnsi="Times New Roman" w:cs="Times New Roman"/>
          <w:sz w:val="24"/>
          <w:szCs w:val="24"/>
        </w:rPr>
        <w:t xml:space="preserve"> indiscriminate use of low</w:t>
      </w:r>
      <w:r w:rsidR="003456AA">
        <w:rPr>
          <w:rFonts w:ascii="Times New Roman" w:hAnsi="Times New Roman" w:cs="Times New Roman"/>
          <w:sz w:val="24"/>
          <w:szCs w:val="24"/>
        </w:rPr>
        <w:t>-</w:t>
      </w:r>
      <w:r w:rsidR="00AF6F40">
        <w:rPr>
          <w:rFonts w:ascii="Times New Roman" w:hAnsi="Times New Roman" w:cs="Times New Roman"/>
          <w:sz w:val="24"/>
          <w:szCs w:val="24"/>
        </w:rPr>
        <w:t>quality pesticide</w:t>
      </w:r>
      <w:r w:rsidR="003456AA">
        <w:rPr>
          <w:rFonts w:ascii="Times New Roman" w:hAnsi="Times New Roman" w:cs="Times New Roman"/>
          <w:sz w:val="24"/>
          <w:szCs w:val="24"/>
        </w:rPr>
        <w:t>s</w:t>
      </w:r>
      <w:r w:rsidR="00AF6F40">
        <w:rPr>
          <w:rFonts w:ascii="Times New Roman" w:hAnsi="Times New Roman" w:cs="Times New Roman"/>
          <w:sz w:val="24"/>
          <w:szCs w:val="24"/>
        </w:rPr>
        <w:t xml:space="preserve"> increase</w:t>
      </w:r>
      <w:r w:rsidR="003456AA">
        <w:rPr>
          <w:rFonts w:ascii="Times New Roman" w:hAnsi="Times New Roman" w:cs="Times New Roman"/>
          <w:sz w:val="24"/>
          <w:szCs w:val="24"/>
        </w:rPr>
        <w:t>s</w:t>
      </w:r>
      <w:r w:rsidR="00AF6F40">
        <w:rPr>
          <w:rFonts w:ascii="Times New Roman" w:hAnsi="Times New Roman" w:cs="Times New Roman"/>
          <w:sz w:val="24"/>
          <w:szCs w:val="24"/>
        </w:rPr>
        <w:t xml:space="preserve"> the chances of health risk as well as environmental risk (Bhandari</w:t>
      </w:r>
      <w:r w:rsidR="0068082B">
        <w:rPr>
          <w:rFonts w:ascii="Times New Roman" w:hAnsi="Times New Roman" w:cs="Times New Roman"/>
          <w:sz w:val="24"/>
          <w:szCs w:val="24"/>
        </w:rPr>
        <w:t>, 2018</w:t>
      </w:r>
      <w:r w:rsidR="00AF6F40">
        <w:rPr>
          <w:rFonts w:ascii="Times New Roman" w:hAnsi="Times New Roman" w:cs="Times New Roman"/>
          <w:sz w:val="24"/>
          <w:szCs w:val="24"/>
        </w:rPr>
        <w:t>).</w:t>
      </w:r>
      <w:r w:rsidR="00600E25">
        <w:rPr>
          <w:rFonts w:ascii="Times New Roman" w:hAnsi="Times New Roman" w:cs="Times New Roman"/>
          <w:sz w:val="24"/>
          <w:szCs w:val="24"/>
        </w:rPr>
        <w:t xml:space="preserve"> </w:t>
      </w:r>
      <w:r w:rsidR="00AF6F40">
        <w:rPr>
          <w:rFonts w:ascii="Times New Roman" w:hAnsi="Times New Roman" w:cs="Times New Roman"/>
          <w:sz w:val="24"/>
          <w:szCs w:val="24"/>
        </w:rPr>
        <w:t>Misuse and expos</w:t>
      </w:r>
      <w:r w:rsidR="003456AA">
        <w:rPr>
          <w:rFonts w:ascii="Times New Roman" w:hAnsi="Times New Roman" w:cs="Times New Roman"/>
          <w:sz w:val="24"/>
          <w:szCs w:val="24"/>
        </w:rPr>
        <w:t>ure</w:t>
      </w:r>
      <w:r w:rsidR="00AF6F40">
        <w:rPr>
          <w:rFonts w:ascii="Times New Roman" w:hAnsi="Times New Roman" w:cs="Times New Roman"/>
          <w:sz w:val="24"/>
          <w:szCs w:val="24"/>
        </w:rPr>
        <w:t xml:space="preserve"> of agrochemicals also escalate farmers</w:t>
      </w:r>
      <w:r w:rsidR="003456AA">
        <w:rPr>
          <w:rFonts w:ascii="Times New Roman" w:hAnsi="Times New Roman" w:cs="Times New Roman"/>
          <w:sz w:val="24"/>
          <w:szCs w:val="24"/>
        </w:rPr>
        <w:t>'</w:t>
      </w:r>
      <w:r w:rsidR="00AF6F40">
        <w:rPr>
          <w:rFonts w:ascii="Times New Roman" w:hAnsi="Times New Roman" w:cs="Times New Roman"/>
          <w:sz w:val="24"/>
          <w:szCs w:val="24"/>
        </w:rPr>
        <w:t xml:space="preserve"> health hazard</w:t>
      </w:r>
      <w:r w:rsidR="003456AA">
        <w:rPr>
          <w:rFonts w:ascii="Times New Roman" w:hAnsi="Times New Roman" w:cs="Times New Roman"/>
          <w:sz w:val="24"/>
          <w:szCs w:val="24"/>
        </w:rPr>
        <w:t>s</w:t>
      </w:r>
      <w:r w:rsidR="00AF6F40">
        <w:rPr>
          <w:rFonts w:ascii="Times New Roman" w:hAnsi="Times New Roman" w:cs="Times New Roman"/>
          <w:sz w:val="24"/>
          <w:szCs w:val="24"/>
        </w:rPr>
        <w:t xml:space="preserve"> (</w:t>
      </w:r>
      <w:proofErr w:type="spellStart"/>
      <w:r w:rsidR="00AF6F40">
        <w:rPr>
          <w:rFonts w:ascii="Times New Roman" w:hAnsi="Times New Roman" w:cs="Times New Roman"/>
          <w:sz w:val="24"/>
          <w:szCs w:val="24"/>
        </w:rPr>
        <w:t>Apech</w:t>
      </w:r>
      <w:proofErr w:type="spellEnd"/>
      <w:r w:rsidR="0068082B">
        <w:rPr>
          <w:rFonts w:ascii="Times New Roman" w:hAnsi="Times New Roman" w:cs="Times New Roman"/>
          <w:sz w:val="24"/>
          <w:szCs w:val="24"/>
        </w:rPr>
        <w:t>, 2018</w:t>
      </w:r>
      <w:r w:rsidR="00195006">
        <w:rPr>
          <w:rFonts w:ascii="Times New Roman" w:hAnsi="Times New Roman" w:cs="Times New Roman"/>
          <w:sz w:val="24"/>
          <w:szCs w:val="24"/>
        </w:rPr>
        <w:t>)</w:t>
      </w:r>
      <w:r w:rsidR="00877ACE">
        <w:rPr>
          <w:rFonts w:ascii="Times New Roman" w:hAnsi="Times New Roman" w:cs="Times New Roman"/>
          <w:sz w:val="24"/>
          <w:szCs w:val="24"/>
        </w:rPr>
        <w:t>.</w:t>
      </w:r>
    </w:p>
    <w:p w14:paraId="0FB09FB6" w14:textId="77777777" w:rsidR="00F2618D" w:rsidRPr="00850875" w:rsidRDefault="00431DB6" w:rsidP="00850875">
      <w:pPr>
        <w:jc w:val="both"/>
        <w:rPr>
          <w:rFonts w:ascii="Times New Roman" w:hAnsi="Times New Roman" w:cs="Times New Roman"/>
          <w:sz w:val="24"/>
          <w:szCs w:val="24"/>
        </w:rPr>
      </w:pPr>
      <w:r>
        <w:rPr>
          <w:rFonts w:ascii="Times New Roman" w:hAnsi="Times New Roman" w:cs="Times New Roman"/>
          <w:sz w:val="24"/>
          <w:szCs w:val="24"/>
        </w:rPr>
        <w:t xml:space="preserve">Agrochemical exposure via different media (soil, air, water) increases the possibilities of different health risks. Chances of contamination and toxic effects can be reduced by following some precautions. However, some studies </w:t>
      </w:r>
      <w:r w:rsidR="0026089E">
        <w:rPr>
          <w:rFonts w:ascii="Times New Roman" w:hAnsi="Times New Roman" w:cs="Times New Roman"/>
          <w:sz w:val="24"/>
          <w:szCs w:val="24"/>
        </w:rPr>
        <w:t>indicate that</w:t>
      </w:r>
      <w:r>
        <w:rPr>
          <w:rFonts w:ascii="Times New Roman" w:hAnsi="Times New Roman" w:cs="Times New Roman"/>
          <w:sz w:val="24"/>
          <w:szCs w:val="24"/>
        </w:rPr>
        <w:t xml:space="preserve"> the gap between farmers’ knowledge and practice is responsible for thi</w:t>
      </w:r>
      <w:r w:rsidR="00AC7195">
        <w:rPr>
          <w:rFonts w:ascii="Times New Roman" w:hAnsi="Times New Roman" w:cs="Times New Roman"/>
          <w:sz w:val="24"/>
          <w:szCs w:val="24"/>
        </w:rPr>
        <w:t>s issue. The reason behind that,</w:t>
      </w:r>
      <w:r>
        <w:rPr>
          <w:rFonts w:ascii="Times New Roman" w:hAnsi="Times New Roman" w:cs="Times New Roman"/>
          <w:sz w:val="24"/>
          <w:szCs w:val="24"/>
        </w:rPr>
        <w:t xml:space="preserve"> farmers are unaware, low-education, and they are unwilling. Therefore, this study tries to develop and standardise </w:t>
      </w:r>
      <w:r w:rsidR="00600E25">
        <w:rPr>
          <w:rFonts w:ascii="Times New Roman" w:hAnsi="Times New Roman" w:cs="Times New Roman"/>
          <w:sz w:val="24"/>
          <w:szCs w:val="24"/>
        </w:rPr>
        <w:t>a tool on farmers' perception viewing</w:t>
      </w:r>
      <w:r>
        <w:rPr>
          <w:rFonts w:ascii="Times New Roman" w:hAnsi="Times New Roman" w:cs="Times New Roman"/>
          <w:sz w:val="24"/>
          <w:szCs w:val="24"/>
        </w:rPr>
        <w:t xml:space="preserve"> agrochemical use on human heal</w:t>
      </w:r>
      <w:r w:rsidR="00850875">
        <w:rPr>
          <w:rFonts w:ascii="Times New Roman" w:hAnsi="Times New Roman" w:cs="Times New Roman"/>
          <w:sz w:val="24"/>
          <w:szCs w:val="24"/>
        </w:rPr>
        <w:t>th.</w:t>
      </w:r>
    </w:p>
    <w:p w14:paraId="05EBD326" w14:textId="77777777" w:rsidR="00F2618D" w:rsidRDefault="00F2618D" w:rsidP="002F6F1E"/>
    <w:p w14:paraId="43101DF7" w14:textId="77777777" w:rsidR="00ED7ECA" w:rsidRPr="006B7223" w:rsidRDefault="003A30FC" w:rsidP="00ED7ECA">
      <w:pPr>
        <w:rPr>
          <w:rFonts w:ascii="Times New Roman" w:hAnsi="Times New Roman" w:cs="Times New Roman"/>
          <w:sz w:val="24"/>
          <w:szCs w:val="24"/>
        </w:rPr>
      </w:pPr>
      <w:r>
        <w:rPr>
          <w:rFonts w:ascii="Times New Roman" w:hAnsi="Times New Roman" w:cs="Times New Roman"/>
          <w:sz w:val="24"/>
          <w:szCs w:val="24"/>
        </w:rPr>
        <w:t>2.</w:t>
      </w:r>
      <w:r w:rsidRPr="006B7223">
        <w:rPr>
          <w:rFonts w:ascii="Times New Roman" w:hAnsi="Times New Roman" w:cs="Times New Roman"/>
          <w:sz w:val="24"/>
          <w:szCs w:val="24"/>
        </w:rPr>
        <w:t xml:space="preserve"> METHODOLOGY</w:t>
      </w:r>
    </w:p>
    <w:p w14:paraId="5C5A594E" w14:textId="77777777" w:rsidR="00871F80" w:rsidRDefault="001B4CBF" w:rsidP="001D3A86">
      <w:pPr>
        <w:jc w:val="both"/>
        <w:rPr>
          <w:rFonts w:ascii="Times New Roman" w:hAnsi="Times New Roman" w:cs="Times New Roman"/>
          <w:b/>
          <w:sz w:val="24"/>
          <w:szCs w:val="24"/>
        </w:rPr>
      </w:pPr>
      <w:r>
        <w:rPr>
          <w:rFonts w:ascii="Times New Roman" w:hAnsi="Times New Roman" w:cs="Times New Roman"/>
          <w:b/>
          <w:sz w:val="24"/>
          <w:szCs w:val="24"/>
        </w:rPr>
        <w:t>2.1</w:t>
      </w:r>
      <w:r w:rsidR="00B3139E">
        <w:rPr>
          <w:rFonts w:ascii="Times New Roman" w:hAnsi="Times New Roman" w:cs="Times New Roman"/>
          <w:b/>
          <w:sz w:val="24"/>
          <w:szCs w:val="24"/>
        </w:rPr>
        <w:t xml:space="preserve"> </w:t>
      </w:r>
      <w:r w:rsidR="00871F80">
        <w:rPr>
          <w:rFonts w:ascii="Times New Roman" w:hAnsi="Times New Roman" w:cs="Times New Roman"/>
          <w:b/>
          <w:sz w:val="24"/>
          <w:szCs w:val="24"/>
        </w:rPr>
        <w:t>Item generation</w:t>
      </w:r>
    </w:p>
    <w:p w14:paraId="1120F79B" w14:textId="77777777" w:rsidR="00871F80" w:rsidRDefault="006C771E" w:rsidP="001D3A86">
      <w:pPr>
        <w:jc w:val="both"/>
        <w:rPr>
          <w:rFonts w:ascii="Times New Roman" w:hAnsi="Times New Roman" w:cs="Times New Roman"/>
          <w:sz w:val="24"/>
          <w:szCs w:val="24"/>
        </w:rPr>
      </w:pPr>
      <w:r w:rsidRPr="006B7223">
        <w:rPr>
          <w:rFonts w:ascii="Times New Roman" w:hAnsi="Times New Roman" w:cs="Times New Roman"/>
          <w:sz w:val="24"/>
          <w:szCs w:val="24"/>
        </w:rPr>
        <w:t>To measure perception considering health</w:t>
      </w:r>
      <w:r w:rsidR="00BB035F" w:rsidRPr="006B7223">
        <w:rPr>
          <w:rFonts w:ascii="Times New Roman" w:hAnsi="Times New Roman" w:cs="Times New Roman"/>
          <w:sz w:val="24"/>
          <w:szCs w:val="24"/>
        </w:rPr>
        <w:t>-</w:t>
      </w:r>
      <w:r w:rsidRPr="006B7223">
        <w:rPr>
          <w:rFonts w:ascii="Times New Roman" w:hAnsi="Times New Roman" w:cs="Times New Roman"/>
          <w:sz w:val="24"/>
          <w:szCs w:val="24"/>
        </w:rPr>
        <w:t>related effects of agrochemical use, a scale was develop</w:t>
      </w:r>
      <w:r w:rsidR="00BB035F" w:rsidRPr="006B7223">
        <w:rPr>
          <w:rFonts w:ascii="Times New Roman" w:hAnsi="Times New Roman" w:cs="Times New Roman"/>
          <w:sz w:val="24"/>
          <w:szCs w:val="24"/>
        </w:rPr>
        <w:t>ed</w:t>
      </w:r>
      <w:r w:rsidRPr="006B7223">
        <w:rPr>
          <w:rFonts w:ascii="Times New Roman" w:hAnsi="Times New Roman" w:cs="Times New Roman"/>
          <w:sz w:val="24"/>
          <w:szCs w:val="24"/>
        </w:rPr>
        <w:t xml:space="preserve"> carefully through </w:t>
      </w:r>
      <w:r w:rsidR="00BB035F" w:rsidRPr="006B7223">
        <w:rPr>
          <w:rFonts w:ascii="Times New Roman" w:hAnsi="Times New Roman" w:cs="Times New Roman"/>
          <w:sz w:val="24"/>
          <w:szCs w:val="24"/>
        </w:rPr>
        <w:t xml:space="preserve">a </w:t>
      </w:r>
      <w:r w:rsidRPr="006B7223">
        <w:rPr>
          <w:rFonts w:ascii="Times New Roman" w:hAnsi="Times New Roman" w:cs="Times New Roman"/>
          <w:sz w:val="24"/>
          <w:szCs w:val="24"/>
        </w:rPr>
        <w:t>structured and multistep approach. This scale development start</w:t>
      </w:r>
      <w:r w:rsidR="0026089E">
        <w:rPr>
          <w:rFonts w:ascii="Times New Roman" w:hAnsi="Times New Roman" w:cs="Times New Roman"/>
          <w:sz w:val="24"/>
          <w:szCs w:val="24"/>
        </w:rPr>
        <w:t>ed</w:t>
      </w:r>
      <w:r w:rsidRPr="006B7223">
        <w:rPr>
          <w:rFonts w:ascii="Times New Roman" w:hAnsi="Times New Roman" w:cs="Times New Roman"/>
          <w:sz w:val="24"/>
          <w:szCs w:val="24"/>
        </w:rPr>
        <w:t xml:space="preserve"> with generati</w:t>
      </w:r>
      <w:r w:rsidR="00BB035F" w:rsidRPr="006B7223">
        <w:rPr>
          <w:rFonts w:ascii="Times New Roman" w:hAnsi="Times New Roman" w:cs="Times New Roman"/>
          <w:sz w:val="24"/>
          <w:szCs w:val="24"/>
        </w:rPr>
        <w:t>ng</w:t>
      </w:r>
      <w:r w:rsidRPr="006B7223">
        <w:rPr>
          <w:rFonts w:ascii="Times New Roman" w:hAnsi="Times New Roman" w:cs="Times New Roman"/>
          <w:sz w:val="24"/>
          <w:szCs w:val="24"/>
        </w:rPr>
        <w:t xml:space="preserve"> some initial items</w:t>
      </w:r>
      <w:r w:rsidR="00BB035F" w:rsidRPr="006B7223">
        <w:rPr>
          <w:rFonts w:ascii="Times New Roman" w:hAnsi="Times New Roman" w:cs="Times New Roman"/>
          <w:sz w:val="24"/>
          <w:szCs w:val="24"/>
        </w:rPr>
        <w:t xml:space="preserve"> based </w:t>
      </w:r>
      <w:r w:rsidRPr="006B7223">
        <w:rPr>
          <w:rFonts w:ascii="Times New Roman" w:hAnsi="Times New Roman" w:cs="Times New Roman"/>
          <w:sz w:val="24"/>
          <w:szCs w:val="24"/>
        </w:rPr>
        <w:t>on existing literature, field observation and researchers</w:t>
      </w:r>
      <w:r w:rsidR="00BB035F" w:rsidRPr="006B7223">
        <w:rPr>
          <w:rFonts w:ascii="Times New Roman" w:hAnsi="Times New Roman" w:cs="Times New Roman"/>
          <w:sz w:val="24"/>
          <w:szCs w:val="24"/>
        </w:rPr>
        <w:t>'</w:t>
      </w:r>
      <w:r w:rsidRPr="006B7223">
        <w:rPr>
          <w:rFonts w:ascii="Times New Roman" w:hAnsi="Times New Roman" w:cs="Times New Roman"/>
          <w:sz w:val="24"/>
          <w:szCs w:val="24"/>
        </w:rPr>
        <w:t xml:space="preserve"> experiences.</w:t>
      </w:r>
    </w:p>
    <w:p w14:paraId="38C7A8DC" w14:textId="77777777" w:rsidR="00871F80" w:rsidRPr="00871F80" w:rsidRDefault="003A30FC" w:rsidP="006C771E">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00871F80" w:rsidRPr="00871F80">
        <w:rPr>
          <w:rFonts w:ascii="Times New Roman" w:hAnsi="Times New Roman" w:cs="Times New Roman"/>
          <w:b/>
          <w:sz w:val="24"/>
          <w:szCs w:val="24"/>
        </w:rPr>
        <w:t>Scaling Techniques</w:t>
      </w:r>
    </w:p>
    <w:p w14:paraId="5EA5D88F" w14:textId="77777777" w:rsidR="006C771E" w:rsidRPr="00871F80" w:rsidRDefault="006C771E" w:rsidP="006C771E">
      <w:pPr>
        <w:jc w:val="both"/>
        <w:rPr>
          <w:rFonts w:ascii="Times New Roman" w:hAnsi="Times New Roman" w:cs="Times New Roman"/>
          <w:sz w:val="24"/>
          <w:szCs w:val="24"/>
        </w:rPr>
      </w:pPr>
      <w:r w:rsidRPr="006B7223">
        <w:rPr>
          <w:rFonts w:ascii="Times New Roman" w:hAnsi="Times New Roman" w:cs="Times New Roman"/>
          <w:sz w:val="24"/>
          <w:szCs w:val="24"/>
        </w:rPr>
        <w:t xml:space="preserve">At </w:t>
      </w:r>
      <w:r w:rsidR="00BB035F" w:rsidRPr="006B7223">
        <w:rPr>
          <w:rFonts w:ascii="Times New Roman" w:hAnsi="Times New Roman" w:cs="Times New Roman"/>
          <w:sz w:val="24"/>
          <w:szCs w:val="24"/>
        </w:rPr>
        <w:t xml:space="preserve">the </w:t>
      </w:r>
      <w:r w:rsidRPr="006B7223">
        <w:rPr>
          <w:rFonts w:ascii="Times New Roman" w:hAnsi="Times New Roman" w:cs="Times New Roman"/>
          <w:sz w:val="24"/>
          <w:szCs w:val="24"/>
        </w:rPr>
        <w:t xml:space="preserve">preliminary stage total </w:t>
      </w:r>
      <w:r w:rsidR="00BB035F" w:rsidRPr="006B7223">
        <w:rPr>
          <w:rFonts w:ascii="Times New Roman" w:hAnsi="Times New Roman" w:cs="Times New Roman"/>
          <w:sz w:val="24"/>
          <w:szCs w:val="24"/>
        </w:rPr>
        <w:t xml:space="preserve">of </w:t>
      </w:r>
      <w:r w:rsidRPr="006B7223">
        <w:rPr>
          <w:rFonts w:ascii="Times New Roman" w:hAnsi="Times New Roman" w:cs="Times New Roman"/>
          <w:sz w:val="24"/>
          <w:szCs w:val="24"/>
        </w:rPr>
        <w:t xml:space="preserve">80 items </w:t>
      </w:r>
      <w:r w:rsidR="009524E4">
        <w:rPr>
          <w:rFonts w:ascii="Times New Roman" w:hAnsi="Times New Roman" w:cs="Times New Roman"/>
          <w:sz w:val="24"/>
          <w:szCs w:val="24"/>
        </w:rPr>
        <w:t>were</w:t>
      </w:r>
      <w:r w:rsidRPr="006B7223">
        <w:rPr>
          <w:rFonts w:ascii="Times New Roman" w:hAnsi="Times New Roman" w:cs="Times New Roman"/>
          <w:sz w:val="24"/>
          <w:szCs w:val="24"/>
        </w:rPr>
        <w:t xml:space="preserve"> prepared that </w:t>
      </w:r>
      <w:r w:rsidR="00FB2117" w:rsidRPr="006B7223">
        <w:rPr>
          <w:rFonts w:ascii="Times New Roman" w:hAnsi="Times New Roman" w:cs="Times New Roman"/>
          <w:sz w:val="24"/>
          <w:szCs w:val="24"/>
        </w:rPr>
        <w:t>can</w:t>
      </w:r>
      <w:r w:rsidRPr="006B7223">
        <w:rPr>
          <w:rFonts w:ascii="Times New Roman" w:hAnsi="Times New Roman" w:cs="Times New Roman"/>
          <w:sz w:val="24"/>
          <w:szCs w:val="24"/>
        </w:rPr>
        <w:t xml:space="preserve"> capture health</w:t>
      </w:r>
      <w:r w:rsidR="00BB035F" w:rsidRPr="006B7223">
        <w:rPr>
          <w:rFonts w:ascii="Times New Roman" w:hAnsi="Times New Roman" w:cs="Times New Roman"/>
          <w:sz w:val="24"/>
          <w:szCs w:val="24"/>
        </w:rPr>
        <w:t>-</w:t>
      </w:r>
      <w:r w:rsidRPr="006B7223">
        <w:rPr>
          <w:rFonts w:ascii="Times New Roman" w:hAnsi="Times New Roman" w:cs="Times New Roman"/>
          <w:sz w:val="24"/>
          <w:szCs w:val="24"/>
        </w:rPr>
        <w:t>related issue</w:t>
      </w:r>
      <w:r w:rsidR="00BB035F" w:rsidRPr="006B7223">
        <w:rPr>
          <w:rFonts w:ascii="Times New Roman" w:hAnsi="Times New Roman" w:cs="Times New Roman"/>
          <w:sz w:val="24"/>
          <w:szCs w:val="24"/>
        </w:rPr>
        <w:t>s</w:t>
      </w:r>
      <w:r w:rsidRPr="006B7223">
        <w:rPr>
          <w:rFonts w:ascii="Times New Roman" w:hAnsi="Times New Roman" w:cs="Times New Roman"/>
          <w:sz w:val="24"/>
          <w:szCs w:val="24"/>
        </w:rPr>
        <w:t xml:space="preserve"> related </w:t>
      </w:r>
      <w:r w:rsidR="00BB035F" w:rsidRPr="006B7223">
        <w:rPr>
          <w:rFonts w:ascii="Times New Roman" w:hAnsi="Times New Roman" w:cs="Times New Roman"/>
          <w:sz w:val="24"/>
          <w:szCs w:val="24"/>
        </w:rPr>
        <w:t>to</w:t>
      </w:r>
      <w:r w:rsidRPr="006B7223">
        <w:rPr>
          <w:rFonts w:ascii="Times New Roman" w:hAnsi="Times New Roman" w:cs="Times New Roman"/>
          <w:sz w:val="24"/>
          <w:szCs w:val="24"/>
        </w:rPr>
        <w:t xml:space="preserve"> agrochemical </w:t>
      </w:r>
      <w:r w:rsidR="003A30FC" w:rsidRPr="006B7223">
        <w:rPr>
          <w:rFonts w:ascii="Times New Roman" w:hAnsi="Times New Roman" w:cs="Times New Roman"/>
          <w:sz w:val="24"/>
          <w:szCs w:val="24"/>
        </w:rPr>
        <w:t>application. Perception</w:t>
      </w:r>
      <w:r w:rsidRPr="006B7223">
        <w:rPr>
          <w:rFonts w:ascii="Times New Roman" w:hAnsi="Times New Roman" w:cs="Times New Roman"/>
          <w:sz w:val="24"/>
          <w:szCs w:val="24"/>
        </w:rPr>
        <w:t>-ba</w:t>
      </w:r>
      <w:r w:rsidR="00AC7195">
        <w:rPr>
          <w:rFonts w:ascii="Times New Roman" w:hAnsi="Times New Roman" w:cs="Times New Roman"/>
          <w:sz w:val="24"/>
          <w:szCs w:val="24"/>
        </w:rPr>
        <w:t>sed studies often prefer Likert</w:t>
      </w:r>
      <w:r w:rsidRPr="006B7223">
        <w:rPr>
          <w:rFonts w:ascii="Times New Roman" w:hAnsi="Times New Roman" w:cs="Times New Roman"/>
          <w:sz w:val="24"/>
          <w:szCs w:val="24"/>
        </w:rPr>
        <w:t xml:space="preserve"> scales to portray attitudinal difference</w:t>
      </w:r>
      <w:r w:rsidR="0036060D" w:rsidRPr="006B7223">
        <w:rPr>
          <w:rFonts w:ascii="Times New Roman" w:hAnsi="Times New Roman" w:cs="Times New Roman"/>
          <w:sz w:val="24"/>
          <w:szCs w:val="24"/>
        </w:rPr>
        <w:t>s</w:t>
      </w:r>
      <w:r w:rsidRPr="006B7223">
        <w:rPr>
          <w:rFonts w:ascii="Times New Roman" w:hAnsi="Times New Roman" w:cs="Times New Roman"/>
          <w:sz w:val="24"/>
          <w:szCs w:val="24"/>
        </w:rPr>
        <w:t xml:space="preserve"> (Allen &amp; Seaman, 2007).</w:t>
      </w:r>
      <w:r w:rsidR="00600E25">
        <w:rPr>
          <w:rFonts w:ascii="Times New Roman" w:hAnsi="Times New Roman" w:cs="Times New Roman"/>
          <w:sz w:val="24"/>
          <w:szCs w:val="24"/>
        </w:rPr>
        <w:t xml:space="preserve"> </w:t>
      </w:r>
      <w:r w:rsidR="0026089E">
        <w:rPr>
          <w:rFonts w:ascii="Times New Roman" w:hAnsi="Times New Roman" w:cs="Times New Roman"/>
          <w:sz w:val="24"/>
          <w:szCs w:val="24"/>
        </w:rPr>
        <w:t>Following that</w:t>
      </w:r>
      <w:r w:rsidRPr="006B7223">
        <w:rPr>
          <w:rFonts w:ascii="Times New Roman" w:hAnsi="Times New Roman" w:cs="Times New Roman"/>
          <w:sz w:val="24"/>
          <w:szCs w:val="24"/>
        </w:rPr>
        <w:t xml:space="preserve"> approach five-point </w:t>
      </w:r>
      <w:r w:rsidRPr="006B7223">
        <w:rPr>
          <w:rFonts w:ascii="Times New Roman" w:hAnsi="Times New Roman" w:cs="Times New Roman"/>
          <w:sz w:val="24"/>
          <w:szCs w:val="24"/>
        </w:rPr>
        <w:lastRenderedPageBreak/>
        <w:t xml:space="preserve">Likert scale was </w:t>
      </w:r>
      <w:r w:rsidR="0036060D" w:rsidRPr="006B7223">
        <w:rPr>
          <w:rFonts w:ascii="Times New Roman" w:hAnsi="Times New Roman" w:cs="Times New Roman"/>
          <w:sz w:val="24"/>
          <w:szCs w:val="24"/>
        </w:rPr>
        <w:t>used</w:t>
      </w:r>
      <w:r w:rsidRPr="006B7223">
        <w:rPr>
          <w:rFonts w:ascii="Times New Roman" w:hAnsi="Times New Roman" w:cs="Times New Roman"/>
          <w:sz w:val="24"/>
          <w:szCs w:val="24"/>
        </w:rPr>
        <w:t xml:space="preserve"> in this study, </w:t>
      </w:r>
      <w:r w:rsidR="0036060D" w:rsidRPr="006B7223">
        <w:rPr>
          <w:rFonts w:ascii="Times New Roman" w:hAnsi="Times New Roman" w:cs="Times New Roman"/>
          <w:sz w:val="24"/>
          <w:szCs w:val="24"/>
        </w:rPr>
        <w:t>which</w:t>
      </w:r>
      <w:r w:rsidRPr="006B7223">
        <w:rPr>
          <w:rFonts w:ascii="Times New Roman" w:hAnsi="Times New Roman" w:cs="Times New Roman"/>
          <w:sz w:val="24"/>
          <w:szCs w:val="24"/>
        </w:rPr>
        <w:t xml:space="preserve"> allow</w:t>
      </w:r>
      <w:r w:rsidR="0026089E">
        <w:rPr>
          <w:rFonts w:ascii="Times New Roman" w:hAnsi="Times New Roman" w:cs="Times New Roman"/>
          <w:sz w:val="24"/>
          <w:szCs w:val="24"/>
        </w:rPr>
        <w:t>ed</w:t>
      </w:r>
      <w:r w:rsidRPr="006B7223">
        <w:rPr>
          <w:rFonts w:ascii="Times New Roman" w:hAnsi="Times New Roman" w:cs="Times New Roman"/>
          <w:sz w:val="24"/>
          <w:szCs w:val="24"/>
        </w:rPr>
        <w:t xml:space="preserve"> respondents to </w:t>
      </w:r>
      <w:r w:rsidR="0026089E">
        <w:rPr>
          <w:rFonts w:ascii="Times New Roman" w:hAnsi="Times New Roman" w:cs="Times New Roman"/>
          <w:sz w:val="24"/>
          <w:szCs w:val="24"/>
        </w:rPr>
        <w:t xml:space="preserve">option for </w:t>
      </w:r>
      <w:r w:rsidRPr="006B7223">
        <w:rPr>
          <w:rFonts w:ascii="Times New Roman" w:hAnsi="Times New Roman" w:cs="Times New Roman"/>
          <w:sz w:val="24"/>
          <w:szCs w:val="24"/>
        </w:rPr>
        <w:t>different degree</w:t>
      </w:r>
      <w:r w:rsidR="0036060D" w:rsidRPr="006B7223">
        <w:rPr>
          <w:rFonts w:ascii="Times New Roman" w:hAnsi="Times New Roman" w:cs="Times New Roman"/>
          <w:sz w:val="24"/>
          <w:szCs w:val="24"/>
        </w:rPr>
        <w:t>s</w:t>
      </w:r>
      <w:r w:rsidRPr="006B7223">
        <w:rPr>
          <w:rFonts w:ascii="Times New Roman" w:hAnsi="Times New Roman" w:cs="Times New Roman"/>
          <w:sz w:val="24"/>
          <w:szCs w:val="24"/>
        </w:rPr>
        <w:t xml:space="preserve"> of acceptance for each item. These similar method</w:t>
      </w:r>
      <w:r w:rsidR="0026089E">
        <w:rPr>
          <w:rFonts w:ascii="Times New Roman" w:hAnsi="Times New Roman" w:cs="Times New Roman"/>
          <w:sz w:val="24"/>
          <w:szCs w:val="24"/>
        </w:rPr>
        <w:t>s have been taken by Jin et al.</w:t>
      </w:r>
      <w:r w:rsidRPr="006B7223">
        <w:rPr>
          <w:rFonts w:ascii="Times New Roman" w:hAnsi="Times New Roman" w:cs="Times New Roman"/>
          <w:sz w:val="24"/>
          <w:szCs w:val="24"/>
        </w:rPr>
        <w:t xml:space="preserve"> </w:t>
      </w:r>
      <w:r w:rsidR="0026089E">
        <w:rPr>
          <w:rFonts w:ascii="Times New Roman" w:hAnsi="Times New Roman" w:cs="Times New Roman"/>
          <w:sz w:val="24"/>
          <w:szCs w:val="24"/>
        </w:rPr>
        <w:t>(</w:t>
      </w:r>
      <w:r w:rsidRPr="006B7223">
        <w:rPr>
          <w:rFonts w:ascii="Times New Roman" w:hAnsi="Times New Roman" w:cs="Times New Roman"/>
          <w:sz w:val="24"/>
          <w:szCs w:val="24"/>
        </w:rPr>
        <w:t>2007</w:t>
      </w:r>
      <w:r w:rsidR="0026089E">
        <w:rPr>
          <w:rFonts w:ascii="Times New Roman" w:hAnsi="Times New Roman" w:cs="Times New Roman"/>
          <w:sz w:val="24"/>
          <w:szCs w:val="24"/>
        </w:rPr>
        <w:t>)</w:t>
      </w:r>
      <w:r w:rsidR="0036060D" w:rsidRPr="006B7223">
        <w:rPr>
          <w:rFonts w:ascii="Times New Roman" w:hAnsi="Times New Roman" w:cs="Times New Roman"/>
          <w:sz w:val="24"/>
          <w:szCs w:val="24"/>
        </w:rPr>
        <w:t>,</w:t>
      </w:r>
      <w:r w:rsidRPr="006B7223">
        <w:rPr>
          <w:rFonts w:ascii="Times New Roman" w:hAnsi="Times New Roman" w:cs="Times New Roman"/>
          <w:sz w:val="24"/>
          <w:szCs w:val="24"/>
        </w:rPr>
        <w:t xml:space="preserve"> to study risk perception related </w:t>
      </w:r>
      <w:r w:rsidR="0036060D" w:rsidRPr="006B7223">
        <w:rPr>
          <w:rFonts w:ascii="Times New Roman" w:hAnsi="Times New Roman" w:cs="Times New Roman"/>
          <w:sz w:val="24"/>
          <w:szCs w:val="24"/>
        </w:rPr>
        <w:t xml:space="preserve">to </w:t>
      </w:r>
      <w:r w:rsidRPr="006B7223">
        <w:rPr>
          <w:rFonts w:ascii="Times New Roman" w:hAnsi="Times New Roman" w:cs="Times New Roman"/>
          <w:sz w:val="24"/>
          <w:szCs w:val="24"/>
        </w:rPr>
        <w:t>agrochemical use</w:t>
      </w:r>
      <w:r w:rsidR="0036060D" w:rsidRPr="006B7223">
        <w:rPr>
          <w:rFonts w:ascii="Times New Roman" w:hAnsi="Times New Roman" w:cs="Times New Roman"/>
          <w:sz w:val="24"/>
          <w:szCs w:val="24"/>
        </w:rPr>
        <w:t>,</w:t>
      </w:r>
      <w:r w:rsidR="0026089E">
        <w:rPr>
          <w:rFonts w:ascii="Times New Roman" w:hAnsi="Times New Roman" w:cs="Times New Roman"/>
          <w:sz w:val="24"/>
          <w:szCs w:val="24"/>
        </w:rPr>
        <w:t xml:space="preserve"> and Boora et al. (</w:t>
      </w:r>
      <w:r w:rsidRPr="006B7223">
        <w:rPr>
          <w:rFonts w:ascii="Times New Roman" w:hAnsi="Times New Roman" w:cs="Times New Roman"/>
          <w:sz w:val="24"/>
          <w:szCs w:val="24"/>
        </w:rPr>
        <w:t>2024</w:t>
      </w:r>
      <w:r w:rsidR="0026089E">
        <w:rPr>
          <w:rFonts w:ascii="Times New Roman" w:hAnsi="Times New Roman" w:cs="Times New Roman"/>
          <w:sz w:val="24"/>
          <w:szCs w:val="24"/>
        </w:rPr>
        <w:t>)</w:t>
      </w:r>
      <w:r w:rsidR="00600E25">
        <w:rPr>
          <w:rFonts w:ascii="Times New Roman" w:hAnsi="Times New Roman" w:cs="Times New Roman"/>
          <w:sz w:val="24"/>
          <w:szCs w:val="24"/>
        </w:rPr>
        <w:t>,</w:t>
      </w:r>
      <w:r w:rsidRPr="006B7223">
        <w:rPr>
          <w:rFonts w:ascii="Times New Roman" w:hAnsi="Times New Roman" w:cs="Times New Roman"/>
          <w:sz w:val="24"/>
          <w:szCs w:val="24"/>
        </w:rPr>
        <w:t xml:space="preserve"> in his study to find farmers</w:t>
      </w:r>
      <w:r w:rsidR="0036060D" w:rsidRPr="006B7223">
        <w:rPr>
          <w:rFonts w:ascii="Times New Roman" w:hAnsi="Times New Roman" w:cs="Times New Roman"/>
          <w:sz w:val="24"/>
          <w:szCs w:val="24"/>
        </w:rPr>
        <w:t>'</w:t>
      </w:r>
      <w:r w:rsidRPr="006B7223">
        <w:rPr>
          <w:rFonts w:ascii="Times New Roman" w:hAnsi="Times New Roman" w:cs="Times New Roman"/>
          <w:sz w:val="24"/>
          <w:szCs w:val="24"/>
        </w:rPr>
        <w:t xml:space="preserve"> attitude</w:t>
      </w:r>
      <w:r w:rsidR="0036060D" w:rsidRPr="006B7223">
        <w:rPr>
          <w:rFonts w:ascii="Times New Roman" w:hAnsi="Times New Roman" w:cs="Times New Roman"/>
          <w:sz w:val="24"/>
          <w:szCs w:val="24"/>
        </w:rPr>
        <w:t>s</w:t>
      </w:r>
      <w:r w:rsidR="00AC7195">
        <w:rPr>
          <w:rFonts w:ascii="Times New Roman" w:hAnsi="Times New Roman" w:cs="Times New Roman"/>
          <w:sz w:val="24"/>
          <w:szCs w:val="24"/>
        </w:rPr>
        <w:t xml:space="preserve"> regarding dri</w:t>
      </w:r>
      <w:r w:rsidRPr="006B7223">
        <w:rPr>
          <w:rFonts w:ascii="Times New Roman" w:hAnsi="Times New Roman" w:cs="Times New Roman"/>
          <w:sz w:val="24"/>
          <w:szCs w:val="24"/>
        </w:rPr>
        <w:t>p irrigation.</w:t>
      </w:r>
    </w:p>
    <w:p w14:paraId="1B71E195" w14:textId="77777777" w:rsidR="006C771E" w:rsidRPr="00871F80" w:rsidRDefault="003A30FC" w:rsidP="006C771E">
      <w:pPr>
        <w:rPr>
          <w:rFonts w:ascii="Times New Roman" w:hAnsi="Times New Roman" w:cs="Times New Roman"/>
          <w:b/>
          <w:sz w:val="24"/>
          <w:szCs w:val="24"/>
        </w:rPr>
      </w:pPr>
      <w:r>
        <w:rPr>
          <w:rFonts w:ascii="Times New Roman" w:hAnsi="Times New Roman" w:cs="Times New Roman"/>
          <w:b/>
          <w:sz w:val="24"/>
          <w:szCs w:val="24"/>
        </w:rPr>
        <w:t xml:space="preserve">2.3 </w:t>
      </w:r>
      <w:r w:rsidR="00871F80" w:rsidRPr="00871F80">
        <w:rPr>
          <w:rFonts w:ascii="Times New Roman" w:hAnsi="Times New Roman" w:cs="Times New Roman"/>
          <w:b/>
          <w:sz w:val="24"/>
          <w:szCs w:val="24"/>
        </w:rPr>
        <w:t>Content Validity and Relevancy</w:t>
      </w:r>
    </w:p>
    <w:p w14:paraId="7AE7DFBA" w14:textId="77777777" w:rsidR="00E00C3C" w:rsidRDefault="00BB035F" w:rsidP="006C771E">
      <w:pPr>
        <w:jc w:val="both"/>
        <w:rPr>
          <w:rFonts w:ascii="Times New Roman" w:hAnsi="Times New Roman" w:cs="Times New Roman"/>
          <w:sz w:val="24"/>
          <w:szCs w:val="24"/>
        </w:rPr>
      </w:pPr>
      <w:r w:rsidRPr="006B7223">
        <w:rPr>
          <w:rFonts w:ascii="Times New Roman" w:hAnsi="Times New Roman" w:cs="Times New Roman"/>
          <w:sz w:val="24"/>
          <w:szCs w:val="24"/>
        </w:rPr>
        <w:t>Th</w:t>
      </w:r>
      <w:r w:rsidR="00FB2117" w:rsidRPr="006B7223">
        <w:rPr>
          <w:rFonts w:ascii="Times New Roman" w:hAnsi="Times New Roman" w:cs="Times New Roman"/>
          <w:sz w:val="24"/>
          <w:szCs w:val="24"/>
        </w:rPr>
        <w:t>ese</w:t>
      </w:r>
      <w:r w:rsidRPr="006B7223">
        <w:rPr>
          <w:rFonts w:ascii="Times New Roman" w:hAnsi="Times New Roman" w:cs="Times New Roman"/>
          <w:sz w:val="24"/>
          <w:szCs w:val="24"/>
        </w:rPr>
        <w:t xml:space="preserve"> items w</w:t>
      </w:r>
      <w:r w:rsidR="00FB2117" w:rsidRPr="006B7223">
        <w:rPr>
          <w:rFonts w:ascii="Times New Roman" w:hAnsi="Times New Roman" w:cs="Times New Roman"/>
          <w:sz w:val="24"/>
          <w:szCs w:val="24"/>
        </w:rPr>
        <w:t>ere</w:t>
      </w:r>
      <w:r w:rsidR="006C771E" w:rsidRPr="006B7223">
        <w:rPr>
          <w:rFonts w:ascii="Times New Roman" w:hAnsi="Times New Roman" w:cs="Times New Roman"/>
          <w:sz w:val="24"/>
          <w:szCs w:val="24"/>
        </w:rPr>
        <w:t xml:space="preserve"> sen</w:t>
      </w:r>
      <w:r w:rsidR="0036060D" w:rsidRPr="006B7223">
        <w:rPr>
          <w:rFonts w:ascii="Times New Roman" w:hAnsi="Times New Roman" w:cs="Times New Roman"/>
          <w:sz w:val="24"/>
          <w:szCs w:val="24"/>
        </w:rPr>
        <w:t>t</w:t>
      </w:r>
      <w:r w:rsidR="00871F80">
        <w:rPr>
          <w:rFonts w:ascii="Times New Roman" w:hAnsi="Times New Roman" w:cs="Times New Roman"/>
          <w:sz w:val="24"/>
          <w:szCs w:val="24"/>
        </w:rPr>
        <w:t xml:space="preserve"> </w:t>
      </w:r>
      <w:r w:rsidR="0036060D" w:rsidRPr="006B7223">
        <w:rPr>
          <w:rFonts w:ascii="Times New Roman" w:hAnsi="Times New Roman" w:cs="Times New Roman"/>
          <w:sz w:val="24"/>
          <w:szCs w:val="24"/>
        </w:rPr>
        <w:t xml:space="preserve">to </w:t>
      </w:r>
      <w:r w:rsidR="006C771E" w:rsidRPr="006B7223">
        <w:rPr>
          <w:rFonts w:ascii="Times New Roman" w:hAnsi="Times New Roman" w:cs="Times New Roman"/>
          <w:sz w:val="24"/>
          <w:szCs w:val="24"/>
        </w:rPr>
        <w:t>70 experts across different agricultural and academic institute</w:t>
      </w:r>
      <w:r w:rsidR="0036060D" w:rsidRPr="006B7223">
        <w:rPr>
          <w:rFonts w:ascii="Times New Roman" w:hAnsi="Times New Roman" w:cs="Times New Roman"/>
          <w:sz w:val="24"/>
          <w:szCs w:val="24"/>
        </w:rPr>
        <w:t>s</w:t>
      </w:r>
      <w:r w:rsidR="00FB2117" w:rsidRPr="006B7223">
        <w:rPr>
          <w:rFonts w:ascii="Times New Roman" w:hAnsi="Times New Roman" w:cs="Times New Roman"/>
          <w:sz w:val="24"/>
          <w:szCs w:val="24"/>
        </w:rPr>
        <w:t xml:space="preserve"> across</w:t>
      </w:r>
      <w:r w:rsidR="006C771E" w:rsidRPr="006B7223">
        <w:rPr>
          <w:rFonts w:ascii="Times New Roman" w:hAnsi="Times New Roman" w:cs="Times New Roman"/>
          <w:sz w:val="24"/>
          <w:szCs w:val="24"/>
        </w:rPr>
        <w:t xml:space="preserve"> India </w:t>
      </w:r>
      <w:r w:rsidR="004E728B" w:rsidRPr="006B7223">
        <w:rPr>
          <w:rFonts w:ascii="Times New Roman" w:hAnsi="Times New Roman" w:cs="Times New Roman"/>
          <w:sz w:val="24"/>
          <w:szCs w:val="24"/>
        </w:rPr>
        <w:t xml:space="preserve">for </w:t>
      </w:r>
      <w:r w:rsidR="00FB2117" w:rsidRPr="006B7223">
        <w:rPr>
          <w:rFonts w:ascii="Times New Roman" w:hAnsi="Times New Roman" w:cs="Times New Roman"/>
          <w:sz w:val="24"/>
          <w:szCs w:val="24"/>
        </w:rPr>
        <w:t xml:space="preserve">a </w:t>
      </w:r>
      <w:r w:rsidR="000666DD" w:rsidRPr="006B7223">
        <w:rPr>
          <w:rFonts w:ascii="Times New Roman" w:hAnsi="Times New Roman" w:cs="Times New Roman"/>
          <w:sz w:val="24"/>
          <w:szCs w:val="24"/>
        </w:rPr>
        <w:t>judge’s</w:t>
      </w:r>
      <w:r w:rsidR="004E728B" w:rsidRPr="006B7223">
        <w:rPr>
          <w:rFonts w:ascii="Times New Roman" w:hAnsi="Times New Roman" w:cs="Times New Roman"/>
          <w:sz w:val="24"/>
          <w:szCs w:val="24"/>
        </w:rPr>
        <w:t xml:space="preserve"> opinion and content validity</w:t>
      </w:r>
      <w:r w:rsidR="00ED7ECA" w:rsidRPr="006B7223">
        <w:rPr>
          <w:rFonts w:ascii="Times New Roman" w:hAnsi="Times New Roman" w:cs="Times New Roman"/>
          <w:sz w:val="24"/>
          <w:szCs w:val="24"/>
        </w:rPr>
        <w:t>. Among</w:t>
      </w:r>
      <w:r w:rsidR="006C771E" w:rsidRPr="006B7223">
        <w:rPr>
          <w:rFonts w:ascii="Times New Roman" w:hAnsi="Times New Roman" w:cs="Times New Roman"/>
          <w:sz w:val="24"/>
          <w:szCs w:val="24"/>
        </w:rPr>
        <w:t xml:space="preserve"> them</w:t>
      </w:r>
      <w:r w:rsidR="0036060D" w:rsidRPr="006B7223">
        <w:rPr>
          <w:rFonts w:ascii="Times New Roman" w:hAnsi="Times New Roman" w:cs="Times New Roman"/>
          <w:sz w:val="24"/>
          <w:szCs w:val="24"/>
        </w:rPr>
        <w:t>,</w:t>
      </w:r>
      <w:r w:rsidR="006C771E" w:rsidRPr="006B7223">
        <w:rPr>
          <w:rFonts w:ascii="Times New Roman" w:hAnsi="Times New Roman" w:cs="Times New Roman"/>
          <w:sz w:val="24"/>
          <w:szCs w:val="24"/>
        </w:rPr>
        <w:t xml:space="preserve"> 30</w:t>
      </w:r>
      <w:r w:rsidR="00600E25">
        <w:rPr>
          <w:rFonts w:ascii="Times New Roman" w:hAnsi="Times New Roman" w:cs="Times New Roman"/>
          <w:sz w:val="24"/>
          <w:szCs w:val="24"/>
        </w:rPr>
        <w:t xml:space="preserve"> </w:t>
      </w:r>
      <w:r w:rsidR="006C771E" w:rsidRPr="006B7223">
        <w:rPr>
          <w:rFonts w:ascii="Times New Roman" w:hAnsi="Times New Roman" w:cs="Times New Roman"/>
          <w:sz w:val="24"/>
          <w:szCs w:val="24"/>
        </w:rPr>
        <w:t>experts responded with evaluation</w:t>
      </w:r>
      <w:r w:rsidR="0036060D" w:rsidRPr="006B7223">
        <w:rPr>
          <w:rFonts w:ascii="Times New Roman" w:hAnsi="Times New Roman" w:cs="Times New Roman"/>
          <w:sz w:val="24"/>
          <w:szCs w:val="24"/>
        </w:rPr>
        <w:t>s</w:t>
      </w:r>
      <w:r w:rsidR="006C771E" w:rsidRPr="006B7223">
        <w:rPr>
          <w:rFonts w:ascii="Times New Roman" w:hAnsi="Times New Roman" w:cs="Times New Roman"/>
          <w:sz w:val="24"/>
          <w:szCs w:val="24"/>
        </w:rPr>
        <w:t xml:space="preserve"> and </w:t>
      </w:r>
      <w:r w:rsidR="003A30FC" w:rsidRPr="006B7223">
        <w:rPr>
          <w:rFonts w:ascii="Times New Roman" w:hAnsi="Times New Roman" w:cs="Times New Roman"/>
          <w:sz w:val="24"/>
          <w:szCs w:val="24"/>
        </w:rPr>
        <w:t>suggestions. Based</w:t>
      </w:r>
      <w:r w:rsidR="006C771E" w:rsidRPr="006B7223">
        <w:rPr>
          <w:rFonts w:ascii="Times New Roman" w:hAnsi="Times New Roman" w:cs="Times New Roman"/>
          <w:sz w:val="24"/>
          <w:szCs w:val="24"/>
        </w:rPr>
        <w:t xml:space="preserve"> on </w:t>
      </w:r>
      <w:r w:rsidR="0026089E">
        <w:rPr>
          <w:rFonts w:ascii="Times New Roman" w:hAnsi="Times New Roman" w:cs="Times New Roman"/>
          <w:sz w:val="24"/>
          <w:szCs w:val="24"/>
        </w:rPr>
        <w:t>those responses,</w:t>
      </w:r>
      <w:r w:rsidR="006C771E" w:rsidRPr="006B7223">
        <w:rPr>
          <w:rFonts w:ascii="Times New Roman" w:hAnsi="Times New Roman" w:cs="Times New Roman"/>
          <w:sz w:val="24"/>
          <w:szCs w:val="24"/>
        </w:rPr>
        <w:t xml:space="preserve"> that secured less than 80% </w:t>
      </w:r>
      <w:r w:rsidR="00C6765D" w:rsidRPr="006B7223">
        <w:rPr>
          <w:rFonts w:ascii="Times New Roman" w:hAnsi="Times New Roman" w:cs="Times New Roman"/>
          <w:sz w:val="24"/>
          <w:szCs w:val="24"/>
        </w:rPr>
        <w:t>relevanc</w:t>
      </w:r>
      <w:r w:rsidRPr="006B7223">
        <w:rPr>
          <w:rFonts w:ascii="Times New Roman" w:hAnsi="Times New Roman" w:cs="Times New Roman"/>
          <w:sz w:val="24"/>
          <w:szCs w:val="24"/>
        </w:rPr>
        <w:t>e</w:t>
      </w:r>
      <w:r w:rsidR="009E3E91">
        <w:rPr>
          <w:rFonts w:ascii="Times New Roman" w:hAnsi="Times New Roman" w:cs="Times New Roman"/>
          <w:sz w:val="24"/>
          <w:szCs w:val="24"/>
        </w:rPr>
        <w:t xml:space="preserve"> </w:t>
      </w:r>
      <w:r w:rsidR="009E3E91" w:rsidRPr="006B7223">
        <w:rPr>
          <w:rFonts w:ascii="Times New Roman" w:hAnsi="Times New Roman" w:cs="Times New Roman"/>
          <w:sz w:val="24"/>
          <w:szCs w:val="24"/>
        </w:rPr>
        <w:t>was</w:t>
      </w:r>
      <w:r w:rsidR="0026089E">
        <w:rPr>
          <w:rFonts w:ascii="Times New Roman" w:hAnsi="Times New Roman" w:cs="Times New Roman"/>
          <w:sz w:val="24"/>
          <w:szCs w:val="24"/>
        </w:rPr>
        <w:t xml:space="preserve"> excluded. In that</w:t>
      </w:r>
      <w:r w:rsidR="006C771E" w:rsidRPr="006B7223">
        <w:rPr>
          <w:rFonts w:ascii="Times New Roman" w:hAnsi="Times New Roman" w:cs="Times New Roman"/>
          <w:sz w:val="24"/>
          <w:szCs w:val="24"/>
        </w:rPr>
        <w:t xml:space="preserve"> stage</w:t>
      </w:r>
      <w:r w:rsidR="0036060D" w:rsidRPr="006B7223">
        <w:rPr>
          <w:rFonts w:ascii="Times New Roman" w:hAnsi="Times New Roman" w:cs="Times New Roman"/>
          <w:sz w:val="24"/>
          <w:szCs w:val="24"/>
        </w:rPr>
        <w:t>,</w:t>
      </w:r>
      <w:r w:rsidR="006C771E" w:rsidRPr="006B7223">
        <w:rPr>
          <w:rFonts w:ascii="Times New Roman" w:hAnsi="Times New Roman" w:cs="Times New Roman"/>
          <w:sz w:val="24"/>
          <w:szCs w:val="24"/>
        </w:rPr>
        <w:t xml:space="preserve"> 24 items </w:t>
      </w:r>
      <w:r w:rsidR="0026089E">
        <w:rPr>
          <w:rFonts w:ascii="Times New Roman" w:hAnsi="Times New Roman" w:cs="Times New Roman"/>
          <w:sz w:val="24"/>
          <w:szCs w:val="24"/>
        </w:rPr>
        <w:t xml:space="preserve">were </w:t>
      </w:r>
      <w:r w:rsidR="006C771E" w:rsidRPr="006B7223">
        <w:rPr>
          <w:rFonts w:ascii="Times New Roman" w:hAnsi="Times New Roman" w:cs="Times New Roman"/>
          <w:sz w:val="24"/>
          <w:szCs w:val="24"/>
        </w:rPr>
        <w:t xml:space="preserve">retained that met </w:t>
      </w:r>
      <w:r w:rsidR="0036060D" w:rsidRPr="006B7223">
        <w:rPr>
          <w:rFonts w:ascii="Times New Roman" w:hAnsi="Times New Roman" w:cs="Times New Roman"/>
          <w:sz w:val="24"/>
          <w:szCs w:val="24"/>
        </w:rPr>
        <w:t xml:space="preserve">the </w:t>
      </w:r>
      <w:r w:rsidR="006C771E" w:rsidRPr="006B7223">
        <w:rPr>
          <w:rFonts w:ascii="Times New Roman" w:hAnsi="Times New Roman" w:cs="Times New Roman"/>
          <w:sz w:val="24"/>
          <w:szCs w:val="24"/>
        </w:rPr>
        <w:t xml:space="preserve">necessary content validity criteria. </w:t>
      </w:r>
    </w:p>
    <w:p w14:paraId="2C7ED12A" w14:textId="77777777" w:rsidR="00E00C3C" w:rsidRPr="00E00C3C" w:rsidRDefault="00E00C3C" w:rsidP="006C771E">
      <w:pPr>
        <w:jc w:val="both"/>
        <w:rPr>
          <w:rFonts w:ascii="Times New Roman" w:hAnsi="Times New Roman" w:cs="Times New Roman"/>
          <w:b/>
          <w:sz w:val="24"/>
          <w:szCs w:val="24"/>
        </w:rPr>
      </w:pPr>
      <w:r>
        <w:rPr>
          <w:rFonts w:ascii="Times New Roman" w:hAnsi="Times New Roman" w:cs="Times New Roman"/>
          <w:sz w:val="24"/>
          <w:szCs w:val="24"/>
        </w:rPr>
        <w:t xml:space="preserve"> </w:t>
      </w:r>
      <w:r w:rsidR="003A30FC">
        <w:rPr>
          <w:rFonts w:ascii="Times New Roman" w:hAnsi="Times New Roman" w:cs="Times New Roman"/>
          <w:sz w:val="24"/>
          <w:szCs w:val="24"/>
        </w:rPr>
        <w:t xml:space="preserve">2.4 </w:t>
      </w:r>
      <w:r w:rsidRPr="00E00C3C">
        <w:rPr>
          <w:rFonts w:ascii="Times New Roman" w:hAnsi="Times New Roman" w:cs="Times New Roman"/>
          <w:b/>
          <w:sz w:val="24"/>
          <w:szCs w:val="24"/>
        </w:rPr>
        <w:t>Reliability Testing</w:t>
      </w:r>
      <w:r>
        <w:rPr>
          <w:rFonts w:ascii="Times New Roman" w:hAnsi="Times New Roman" w:cs="Times New Roman"/>
          <w:b/>
          <w:sz w:val="24"/>
          <w:szCs w:val="24"/>
        </w:rPr>
        <w:t xml:space="preserve"> </w:t>
      </w:r>
    </w:p>
    <w:p w14:paraId="182B15FF" w14:textId="77777777" w:rsidR="00F518F1" w:rsidRDefault="006C771E" w:rsidP="006C771E">
      <w:pPr>
        <w:jc w:val="both"/>
        <w:rPr>
          <w:rFonts w:ascii="Times New Roman" w:hAnsi="Times New Roman" w:cs="Times New Roman"/>
          <w:sz w:val="24"/>
          <w:szCs w:val="24"/>
        </w:rPr>
      </w:pPr>
      <w:r w:rsidRPr="006B7223">
        <w:rPr>
          <w:rFonts w:ascii="Times New Roman" w:hAnsi="Times New Roman" w:cs="Times New Roman"/>
          <w:sz w:val="24"/>
          <w:szCs w:val="24"/>
        </w:rPr>
        <w:t>After that</w:t>
      </w:r>
      <w:r w:rsidR="0026089E">
        <w:rPr>
          <w:rFonts w:ascii="Times New Roman" w:hAnsi="Times New Roman" w:cs="Times New Roman"/>
          <w:sz w:val="24"/>
          <w:szCs w:val="24"/>
        </w:rPr>
        <w:t xml:space="preserve"> content validity test</w:t>
      </w:r>
      <w:r w:rsidR="000666DD" w:rsidRPr="006B7223">
        <w:rPr>
          <w:rFonts w:ascii="Times New Roman" w:hAnsi="Times New Roman" w:cs="Times New Roman"/>
          <w:sz w:val="24"/>
          <w:szCs w:val="24"/>
        </w:rPr>
        <w:t xml:space="preserve">, </w:t>
      </w:r>
      <w:r w:rsidR="009524E4">
        <w:rPr>
          <w:rFonts w:ascii="Times New Roman" w:hAnsi="Times New Roman" w:cs="Times New Roman"/>
          <w:sz w:val="24"/>
          <w:szCs w:val="24"/>
        </w:rPr>
        <w:t>reduced</w:t>
      </w:r>
      <w:r w:rsidRPr="006B7223">
        <w:rPr>
          <w:rFonts w:ascii="Times New Roman" w:hAnsi="Times New Roman" w:cs="Times New Roman"/>
          <w:sz w:val="24"/>
          <w:szCs w:val="24"/>
        </w:rPr>
        <w:t xml:space="preserve"> items </w:t>
      </w:r>
      <w:r w:rsidR="007C2197" w:rsidRPr="006B7223">
        <w:rPr>
          <w:rFonts w:ascii="Times New Roman" w:hAnsi="Times New Roman" w:cs="Times New Roman"/>
          <w:sz w:val="24"/>
          <w:szCs w:val="24"/>
        </w:rPr>
        <w:t>were</w:t>
      </w:r>
      <w:r w:rsidRPr="006B7223">
        <w:rPr>
          <w:rFonts w:ascii="Times New Roman" w:hAnsi="Times New Roman" w:cs="Times New Roman"/>
          <w:sz w:val="24"/>
          <w:szCs w:val="24"/>
        </w:rPr>
        <w:t xml:space="preserve"> tested through </w:t>
      </w:r>
      <w:r w:rsidR="0036060D" w:rsidRPr="006B7223">
        <w:rPr>
          <w:rFonts w:ascii="Times New Roman" w:hAnsi="Times New Roman" w:cs="Times New Roman"/>
          <w:sz w:val="24"/>
          <w:szCs w:val="24"/>
        </w:rPr>
        <w:t xml:space="preserve">a </w:t>
      </w:r>
      <w:r w:rsidRPr="006B7223">
        <w:rPr>
          <w:rFonts w:ascii="Times New Roman" w:hAnsi="Times New Roman" w:cs="Times New Roman"/>
          <w:sz w:val="24"/>
          <w:szCs w:val="24"/>
        </w:rPr>
        <w:t xml:space="preserve">field survey among 190 farmers </w:t>
      </w:r>
      <w:r w:rsidR="00871F80" w:rsidRPr="006B7223">
        <w:rPr>
          <w:rFonts w:ascii="Times New Roman" w:hAnsi="Times New Roman" w:cs="Times New Roman"/>
          <w:sz w:val="24"/>
          <w:szCs w:val="24"/>
        </w:rPr>
        <w:t>representing three</w:t>
      </w:r>
      <w:r w:rsidR="002828FF" w:rsidRPr="006B7223">
        <w:rPr>
          <w:rFonts w:ascii="Times New Roman" w:hAnsi="Times New Roman" w:cs="Times New Roman"/>
          <w:sz w:val="24"/>
          <w:szCs w:val="24"/>
        </w:rPr>
        <w:t xml:space="preserve"> districts of </w:t>
      </w:r>
      <w:r w:rsidRPr="006B7223">
        <w:rPr>
          <w:rFonts w:ascii="Times New Roman" w:hAnsi="Times New Roman" w:cs="Times New Roman"/>
          <w:sz w:val="24"/>
          <w:szCs w:val="24"/>
        </w:rPr>
        <w:t>three diverse agro</w:t>
      </w:r>
      <w:r w:rsidR="0036060D" w:rsidRPr="006B7223">
        <w:rPr>
          <w:rFonts w:ascii="Times New Roman" w:hAnsi="Times New Roman" w:cs="Times New Roman"/>
          <w:sz w:val="24"/>
          <w:szCs w:val="24"/>
        </w:rPr>
        <w:t>-</w:t>
      </w:r>
      <w:r w:rsidR="009524E4">
        <w:rPr>
          <w:rFonts w:ascii="Times New Roman" w:hAnsi="Times New Roman" w:cs="Times New Roman"/>
          <w:sz w:val="24"/>
          <w:szCs w:val="24"/>
        </w:rPr>
        <w:t>climatic</w:t>
      </w:r>
      <w:r w:rsidRPr="006B7223">
        <w:rPr>
          <w:rFonts w:ascii="Times New Roman" w:hAnsi="Times New Roman" w:cs="Times New Roman"/>
          <w:sz w:val="24"/>
          <w:szCs w:val="24"/>
        </w:rPr>
        <w:t xml:space="preserve"> zone</w:t>
      </w:r>
      <w:r w:rsidR="0036060D" w:rsidRPr="006B7223">
        <w:rPr>
          <w:rFonts w:ascii="Times New Roman" w:hAnsi="Times New Roman" w:cs="Times New Roman"/>
          <w:sz w:val="24"/>
          <w:szCs w:val="24"/>
        </w:rPr>
        <w:t>s</w:t>
      </w:r>
      <w:r w:rsidR="009524E4">
        <w:rPr>
          <w:rFonts w:ascii="Times New Roman" w:hAnsi="Times New Roman" w:cs="Times New Roman"/>
          <w:sz w:val="24"/>
          <w:szCs w:val="24"/>
        </w:rPr>
        <w:t xml:space="preserve"> in West Bengal,</w:t>
      </w:r>
      <w:r w:rsidR="00E00C3C">
        <w:rPr>
          <w:rFonts w:ascii="Times New Roman" w:hAnsi="Times New Roman" w:cs="Times New Roman"/>
          <w:sz w:val="24"/>
          <w:szCs w:val="24"/>
        </w:rPr>
        <w:t xml:space="preserve"> </w:t>
      </w:r>
      <w:r w:rsidR="009524E4">
        <w:rPr>
          <w:rFonts w:ascii="Times New Roman" w:hAnsi="Times New Roman" w:cs="Times New Roman"/>
          <w:sz w:val="24"/>
          <w:szCs w:val="24"/>
        </w:rPr>
        <w:t>India</w:t>
      </w:r>
      <w:r w:rsidRPr="006B7223">
        <w:rPr>
          <w:rFonts w:ascii="Times New Roman" w:hAnsi="Times New Roman" w:cs="Times New Roman"/>
          <w:sz w:val="24"/>
          <w:szCs w:val="24"/>
        </w:rPr>
        <w:t>.</w:t>
      </w:r>
      <w:r w:rsidR="00E00C3C">
        <w:rPr>
          <w:rFonts w:ascii="Times New Roman" w:hAnsi="Times New Roman" w:cs="Times New Roman"/>
          <w:sz w:val="24"/>
          <w:szCs w:val="24"/>
        </w:rPr>
        <w:t xml:space="preserve"> </w:t>
      </w:r>
      <w:r w:rsidR="005B423A">
        <w:rPr>
          <w:rFonts w:ascii="Times New Roman" w:hAnsi="Times New Roman" w:cs="Times New Roman"/>
          <w:sz w:val="24"/>
          <w:szCs w:val="24"/>
        </w:rPr>
        <w:t xml:space="preserve">Three districts were selected based on the, </w:t>
      </w:r>
      <w:r w:rsidR="00F518F1">
        <w:rPr>
          <w:rFonts w:ascii="Times New Roman" w:hAnsi="Times New Roman" w:cs="Times New Roman"/>
          <w:sz w:val="24"/>
          <w:szCs w:val="24"/>
        </w:rPr>
        <w:t xml:space="preserve">zones </w:t>
      </w:r>
      <w:r w:rsidR="00F518F1" w:rsidRPr="00F518F1">
        <w:rPr>
          <w:rFonts w:ascii="Times New Roman" w:hAnsi="Times New Roman" w:cs="Times New Roman"/>
          <w:sz w:val="24"/>
          <w:szCs w:val="24"/>
        </w:rPr>
        <w:t>outlined by IMD (India Meteorologi</w:t>
      </w:r>
      <w:r w:rsidR="00F518F1">
        <w:rPr>
          <w:rFonts w:ascii="Times New Roman" w:hAnsi="Times New Roman" w:cs="Times New Roman"/>
          <w:sz w:val="24"/>
          <w:szCs w:val="24"/>
        </w:rPr>
        <w:t>cal Department), Govt. of India</w:t>
      </w:r>
      <w:r w:rsidR="005B423A">
        <w:rPr>
          <w:rFonts w:ascii="Times New Roman" w:hAnsi="Times New Roman" w:cs="Times New Roman"/>
          <w:sz w:val="24"/>
          <w:szCs w:val="24"/>
        </w:rPr>
        <w:t>.</w:t>
      </w:r>
      <w:r w:rsidR="00F518F1">
        <w:rPr>
          <w:rFonts w:ascii="Times New Roman" w:hAnsi="Times New Roman" w:cs="Times New Roman"/>
          <w:sz w:val="24"/>
          <w:szCs w:val="24"/>
        </w:rPr>
        <w:t xml:space="preserve"> </w:t>
      </w:r>
      <w:proofErr w:type="spellStart"/>
      <w:r w:rsidR="00F518F1" w:rsidRPr="006B7223">
        <w:rPr>
          <w:rFonts w:ascii="Times New Roman" w:hAnsi="Times New Roman" w:cs="Times New Roman"/>
          <w:sz w:val="24"/>
          <w:szCs w:val="24"/>
        </w:rPr>
        <w:t>Jh</w:t>
      </w:r>
      <w:r w:rsidR="00600E25">
        <w:rPr>
          <w:rFonts w:ascii="Times New Roman" w:hAnsi="Times New Roman" w:cs="Times New Roman"/>
          <w:sz w:val="24"/>
          <w:szCs w:val="24"/>
        </w:rPr>
        <w:t>ar</w:t>
      </w:r>
      <w:r w:rsidR="00F518F1" w:rsidRPr="006B7223">
        <w:rPr>
          <w:rFonts w:ascii="Times New Roman" w:hAnsi="Times New Roman" w:cs="Times New Roman"/>
          <w:sz w:val="24"/>
          <w:szCs w:val="24"/>
        </w:rPr>
        <w:t>gram</w:t>
      </w:r>
      <w:proofErr w:type="spellEnd"/>
      <w:r w:rsidRPr="006B7223">
        <w:rPr>
          <w:rFonts w:ascii="Times New Roman" w:hAnsi="Times New Roman" w:cs="Times New Roman"/>
          <w:sz w:val="24"/>
          <w:szCs w:val="24"/>
        </w:rPr>
        <w:t xml:space="preserve"> from</w:t>
      </w:r>
      <w:r w:rsidR="00871F80">
        <w:rPr>
          <w:rFonts w:ascii="Times New Roman" w:hAnsi="Times New Roman" w:cs="Times New Roman"/>
          <w:sz w:val="24"/>
          <w:szCs w:val="24"/>
        </w:rPr>
        <w:t xml:space="preserve"> </w:t>
      </w:r>
      <w:r w:rsidR="00BB035F" w:rsidRPr="006B7223">
        <w:rPr>
          <w:rFonts w:ascii="Times New Roman" w:hAnsi="Times New Roman" w:cs="Times New Roman"/>
          <w:sz w:val="24"/>
          <w:szCs w:val="24"/>
        </w:rPr>
        <w:t xml:space="preserve">the </w:t>
      </w:r>
      <w:r w:rsidR="00DD57C9">
        <w:rPr>
          <w:rFonts w:ascii="Times New Roman" w:hAnsi="Times New Roman" w:cs="Times New Roman"/>
          <w:sz w:val="24"/>
          <w:szCs w:val="24"/>
        </w:rPr>
        <w:t xml:space="preserve">undulating Red and Laterite </w:t>
      </w:r>
      <w:r w:rsidR="005B423A">
        <w:rPr>
          <w:rFonts w:ascii="Times New Roman" w:hAnsi="Times New Roman" w:cs="Times New Roman"/>
          <w:sz w:val="24"/>
          <w:szCs w:val="24"/>
        </w:rPr>
        <w:t>zone</w:t>
      </w:r>
      <w:r w:rsidRPr="006B7223">
        <w:rPr>
          <w:rFonts w:ascii="Times New Roman" w:hAnsi="Times New Roman" w:cs="Times New Roman"/>
          <w:sz w:val="24"/>
          <w:szCs w:val="24"/>
        </w:rPr>
        <w:t>, North 24 Parganas</w:t>
      </w:r>
      <w:r w:rsidR="00871F80">
        <w:rPr>
          <w:rFonts w:ascii="Times New Roman" w:hAnsi="Times New Roman" w:cs="Times New Roman"/>
          <w:sz w:val="24"/>
          <w:szCs w:val="24"/>
        </w:rPr>
        <w:t xml:space="preserve"> </w:t>
      </w:r>
      <w:r w:rsidR="00BB035F" w:rsidRPr="006B7223">
        <w:rPr>
          <w:rFonts w:ascii="Times New Roman" w:hAnsi="Times New Roman" w:cs="Times New Roman"/>
          <w:sz w:val="24"/>
          <w:szCs w:val="24"/>
        </w:rPr>
        <w:t>f</w:t>
      </w:r>
      <w:r w:rsidRPr="006B7223">
        <w:rPr>
          <w:rFonts w:ascii="Times New Roman" w:hAnsi="Times New Roman" w:cs="Times New Roman"/>
          <w:sz w:val="24"/>
          <w:szCs w:val="24"/>
        </w:rPr>
        <w:t>rom</w:t>
      </w:r>
      <w:r w:rsidR="00871F80">
        <w:rPr>
          <w:rFonts w:ascii="Times New Roman" w:hAnsi="Times New Roman" w:cs="Times New Roman"/>
          <w:sz w:val="24"/>
          <w:szCs w:val="24"/>
        </w:rPr>
        <w:t xml:space="preserve"> </w:t>
      </w:r>
      <w:r w:rsidR="00BB035F" w:rsidRPr="006B7223">
        <w:rPr>
          <w:rFonts w:ascii="Times New Roman" w:hAnsi="Times New Roman" w:cs="Times New Roman"/>
          <w:sz w:val="24"/>
          <w:szCs w:val="24"/>
        </w:rPr>
        <w:t xml:space="preserve">the </w:t>
      </w:r>
      <w:r w:rsidR="00DD57C9">
        <w:rPr>
          <w:rFonts w:ascii="Times New Roman" w:hAnsi="Times New Roman" w:cs="Times New Roman"/>
          <w:sz w:val="24"/>
          <w:szCs w:val="24"/>
        </w:rPr>
        <w:t>Gangetic Alluvial</w:t>
      </w:r>
      <w:r w:rsidR="002828FF" w:rsidRPr="006B7223">
        <w:rPr>
          <w:rFonts w:ascii="Times New Roman" w:hAnsi="Times New Roman" w:cs="Times New Roman"/>
          <w:sz w:val="24"/>
          <w:szCs w:val="24"/>
        </w:rPr>
        <w:t xml:space="preserve"> </w:t>
      </w:r>
      <w:r w:rsidR="00DD57C9" w:rsidRPr="006B7223">
        <w:rPr>
          <w:rFonts w:ascii="Times New Roman" w:hAnsi="Times New Roman" w:cs="Times New Roman"/>
          <w:sz w:val="24"/>
          <w:szCs w:val="24"/>
        </w:rPr>
        <w:t>zone, South</w:t>
      </w:r>
      <w:r w:rsidRPr="006B7223">
        <w:rPr>
          <w:rFonts w:ascii="Times New Roman" w:hAnsi="Times New Roman" w:cs="Times New Roman"/>
          <w:sz w:val="24"/>
          <w:szCs w:val="24"/>
        </w:rPr>
        <w:t xml:space="preserve"> 24 Parganas</w:t>
      </w:r>
      <w:r w:rsidR="00BB035F" w:rsidRPr="006B7223">
        <w:rPr>
          <w:rFonts w:ascii="Times New Roman" w:hAnsi="Times New Roman" w:cs="Times New Roman"/>
          <w:sz w:val="24"/>
          <w:szCs w:val="24"/>
        </w:rPr>
        <w:t>,</w:t>
      </w:r>
      <w:r w:rsidRPr="006B7223">
        <w:rPr>
          <w:rFonts w:ascii="Times New Roman" w:hAnsi="Times New Roman" w:cs="Times New Roman"/>
          <w:sz w:val="24"/>
          <w:szCs w:val="24"/>
        </w:rPr>
        <w:t xml:space="preserve"> from </w:t>
      </w:r>
      <w:r w:rsidR="00BB035F" w:rsidRPr="006B7223">
        <w:rPr>
          <w:rFonts w:ascii="Times New Roman" w:hAnsi="Times New Roman" w:cs="Times New Roman"/>
          <w:sz w:val="24"/>
          <w:szCs w:val="24"/>
        </w:rPr>
        <w:t xml:space="preserve">the </w:t>
      </w:r>
      <w:r w:rsidR="002828FF" w:rsidRPr="006B7223">
        <w:rPr>
          <w:rFonts w:ascii="Times New Roman" w:hAnsi="Times New Roman" w:cs="Times New Roman"/>
          <w:sz w:val="24"/>
          <w:szCs w:val="24"/>
        </w:rPr>
        <w:t xml:space="preserve">coastal saline zone were selected for the study. </w:t>
      </w:r>
      <w:r w:rsidRPr="006B7223">
        <w:rPr>
          <w:rFonts w:ascii="Times New Roman" w:hAnsi="Times New Roman" w:cs="Times New Roman"/>
          <w:sz w:val="24"/>
          <w:szCs w:val="24"/>
        </w:rPr>
        <w:t xml:space="preserve"> Among </w:t>
      </w:r>
      <w:r w:rsidR="002828FF" w:rsidRPr="006B7223">
        <w:rPr>
          <w:rFonts w:ascii="Times New Roman" w:hAnsi="Times New Roman" w:cs="Times New Roman"/>
          <w:sz w:val="24"/>
          <w:szCs w:val="24"/>
        </w:rPr>
        <w:t>190</w:t>
      </w:r>
      <w:r w:rsidRPr="006B7223">
        <w:rPr>
          <w:rFonts w:ascii="Times New Roman" w:hAnsi="Times New Roman" w:cs="Times New Roman"/>
          <w:sz w:val="24"/>
          <w:szCs w:val="24"/>
        </w:rPr>
        <w:t xml:space="preserve"> respondents</w:t>
      </w:r>
      <w:r w:rsidR="0036060D" w:rsidRPr="006B7223">
        <w:rPr>
          <w:rFonts w:ascii="Times New Roman" w:hAnsi="Times New Roman" w:cs="Times New Roman"/>
          <w:sz w:val="24"/>
          <w:szCs w:val="24"/>
        </w:rPr>
        <w:t>,</w:t>
      </w:r>
      <w:r w:rsidRPr="006B7223">
        <w:rPr>
          <w:rFonts w:ascii="Times New Roman" w:hAnsi="Times New Roman" w:cs="Times New Roman"/>
          <w:sz w:val="24"/>
          <w:szCs w:val="24"/>
        </w:rPr>
        <w:t xml:space="preserve"> 50 w</w:t>
      </w:r>
      <w:r w:rsidR="0036060D" w:rsidRPr="006B7223">
        <w:rPr>
          <w:rFonts w:ascii="Times New Roman" w:hAnsi="Times New Roman" w:cs="Times New Roman"/>
          <w:sz w:val="24"/>
          <w:szCs w:val="24"/>
        </w:rPr>
        <w:t>e</w:t>
      </w:r>
      <w:r w:rsidRPr="006B7223">
        <w:rPr>
          <w:rFonts w:ascii="Times New Roman" w:hAnsi="Times New Roman" w:cs="Times New Roman"/>
          <w:sz w:val="24"/>
          <w:szCs w:val="24"/>
        </w:rPr>
        <w:t xml:space="preserve">re </w:t>
      </w:r>
      <w:r w:rsidR="000666DD" w:rsidRPr="006B7223">
        <w:rPr>
          <w:rFonts w:ascii="Times New Roman" w:hAnsi="Times New Roman" w:cs="Times New Roman"/>
          <w:sz w:val="24"/>
          <w:szCs w:val="24"/>
        </w:rPr>
        <w:t>fertili</w:t>
      </w:r>
      <w:r w:rsidR="00BB035F" w:rsidRPr="006B7223">
        <w:rPr>
          <w:rFonts w:ascii="Times New Roman" w:hAnsi="Times New Roman" w:cs="Times New Roman"/>
          <w:sz w:val="24"/>
          <w:szCs w:val="24"/>
        </w:rPr>
        <w:t>s</w:t>
      </w:r>
      <w:r w:rsidR="000666DD" w:rsidRPr="006B7223">
        <w:rPr>
          <w:rFonts w:ascii="Times New Roman" w:hAnsi="Times New Roman" w:cs="Times New Roman"/>
          <w:sz w:val="24"/>
          <w:szCs w:val="24"/>
        </w:rPr>
        <w:t xml:space="preserve">er </w:t>
      </w:r>
      <w:r w:rsidR="00F518F1" w:rsidRPr="006B7223">
        <w:rPr>
          <w:rFonts w:ascii="Times New Roman" w:hAnsi="Times New Roman" w:cs="Times New Roman"/>
          <w:sz w:val="24"/>
          <w:szCs w:val="24"/>
        </w:rPr>
        <w:t>sellers.</w:t>
      </w:r>
      <w:r w:rsidR="00F518F1">
        <w:rPr>
          <w:rFonts w:ascii="Times New Roman" w:hAnsi="Times New Roman" w:cs="Times New Roman"/>
          <w:sz w:val="24"/>
          <w:szCs w:val="24"/>
        </w:rPr>
        <w:t xml:space="preserve"> Respondents </w:t>
      </w:r>
      <w:r w:rsidR="00600E25">
        <w:rPr>
          <w:rFonts w:ascii="Times New Roman" w:hAnsi="Times New Roman" w:cs="Times New Roman"/>
          <w:sz w:val="24"/>
          <w:szCs w:val="24"/>
        </w:rPr>
        <w:t xml:space="preserve">were </w:t>
      </w:r>
      <w:r w:rsidR="00F518F1">
        <w:rPr>
          <w:rFonts w:ascii="Times New Roman" w:hAnsi="Times New Roman" w:cs="Times New Roman"/>
          <w:sz w:val="24"/>
          <w:szCs w:val="24"/>
        </w:rPr>
        <w:t xml:space="preserve">randomly selected and </w:t>
      </w:r>
      <w:r w:rsidR="00B6251E">
        <w:rPr>
          <w:rFonts w:ascii="Times New Roman" w:hAnsi="Times New Roman" w:cs="Times New Roman"/>
          <w:sz w:val="24"/>
          <w:szCs w:val="24"/>
        </w:rPr>
        <w:t xml:space="preserve">interviewed after </w:t>
      </w:r>
      <w:r w:rsidR="00600E25">
        <w:rPr>
          <w:rFonts w:ascii="Times New Roman" w:hAnsi="Times New Roman" w:cs="Times New Roman"/>
          <w:sz w:val="24"/>
          <w:szCs w:val="24"/>
        </w:rPr>
        <w:t>taking the necessary</w:t>
      </w:r>
      <w:r w:rsidR="00B6251E">
        <w:rPr>
          <w:rFonts w:ascii="Times New Roman" w:hAnsi="Times New Roman" w:cs="Times New Roman"/>
          <w:sz w:val="24"/>
          <w:szCs w:val="24"/>
        </w:rPr>
        <w:t xml:space="preserve"> consent. </w:t>
      </w:r>
    </w:p>
    <w:p w14:paraId="47F79407" w14:textId="77777777" w:rsidR="00E00C3C" w:rsidRPr="005B423A" w:rsidRDefault="007C2197" w:rsidP="006C771E">
      <w:pPr>
        <w:jc w:val="both"/>
        <w:rPr>
          <w:rFonts w:ascii="Times New Roman" w:hAnsi="Times New Roman" w:cs="Times New Roman"/>
          <w:color w:val="000000" w:themeColor="text1"/>
          <w:sz w:val="24"/>
          <w:szCs w:val="24"/>
        </w:rPr>
      </w:pPr>
      <w:r w:rsidRPr="006B7223">
        <w:rPr>
          <w:rFonts w:ascii="Times New Roman" w:hAnsi="Times New Roman" w:cs="Times New Roman"/>
          <w:sz w:val="24"/>
          <w:szCs w:val="24"/>
        </w:rPr>
        <w:t xml:space="preserve"> To</w:t>
      </w:r>
      <w:r w:rsidR="006C771E" w:rsidRPr="006B7223">
        <w:rPr>
          <w:rFonts w:ascii="Times New Roman" w:hAnsi="Times New Roman" w:cs="Times New Roman"/>
          <w:sz w:val="24"/>
          <w:szCs w:val="24"/>
        </w:rPr>
        <w:t xml:space="preserve"> know </w:t>
      </w:r>
      <w:r w:rsidR="0036060D" w:rsidRPr="006B7223">
        <w:rPr>
          <w:rFonts w:ascii="Times New Roman" w:hAnsi="Times New Roman" w:cs="Times New Roman"/>
          <w:sz w:val="24"/>
          <w:szCs w:val="24"/>
        </w:rPr>
        <w:t xml:space="preserve">the </w:t>
      </w:r>
      <w:r w:rsidR="006C771E" w:rsidRPr="006B7223">
        <w:rPr>
          <w:rFonts w:ascii="Times New Roman" w:hAnsi="Times New Roman" w:cs="Times New Roman"/>
          <w:sz w:val="24"/>
          <w:szCs w:val="24"/>
        </w:rPr>
        <w:t>underlying structures of factors</w:t>
      </w:r>
      <w:r w:rsidR="0036060D" w:rsidRPr="006B7223">
        <w:rPr>
          <w:rFonts w:ascii="Times New Roman" w:hAnsi="Times New Roman" w:cs="Times New Roman"/>
          <w:sz w:val="24"/>
          <w:szCs w:val="24"/>
        </w:rPr>
        <w:t>,</w:t>
      </w:r>
      <w:r w:rsidR="006C771E" w:rsidRPr="006B7223">
        <w:rPr>
          <w:rFonts w:ascii="Times New Roman" w:hAnsi="Times New Roman" w:cs="Times New Roman"/>
          <w:sz w:val="24"/>
          <w:szCs w:val="24"/>
        </w:rPr>
        <w:t xml:space="preserve"> exploratory factor analysis (EFA) was done on </w:t>
      </w:r>
      <w:r w:rsidR="0036060D" w:rsidRPr="006B7223">
        <w:rPr>
          <w:rFonts w:ascii="Times New Roman" w:hAnsi="Times New Roman" w:cs="Times New Roman"/>
          <w:sz w:val="24"/>
          <w:szCs w:val="24"/>
        </w:rPr>
        <w:t xml:space="preserve">the </w:t>
      </w:r>
      <w:r w:rsidR="006C771E" w:rsidRPr="006B7223">
        <w:rPr>
          <w:rFonts w:ascii="Times New Roman" w:hAnsi="Times New Roman" w:cs="Times New Roman"/>
          <w:sz w:val="24"/>
          <w:szCs w:val="24"/>
        </w:rPr>
        <w:t>collected data. The selection criteria for minimum factor loading w</w:t>
      </w:r>
      <w:r w:rsidR="0036060D" w:rsidRPr="006B7223">
        <w:rPr>
          <w:rFonts w:ascii="Times New Roman" w:hAnsi="Times New Roman" w:cs="Times New Roman"/>
          <w:sz w:val="24"/>
          <w:szCs w:val="24"/>
        </w:rPr>
        <w:t>ere</w:t>
      </w:r>
      <w:r w:rsidR="006C771E" w:rsidRPr="006B7223">
        <w:rPr>
          <w:rFonts w:ascii="Times New Roman" w:hAnsi="Times New Roman" w:cs="Times New Roman"/>
          <w:sz w:val="24"/>
          <w:szCs w:val="24"/>
        </w:rPr>
        <w:t xml:space="preserve"> 0.50.</w:t>
      </w:r>
      <w:r w:rsidR="00600E25">
        <w:rPr>
          <w:rFonts w:ascii="Times New Roman" w:hAnsi="Times New Roman" w:cs="Times New Roman"/>
          <w:sz w:val="24"/>
          <w:szCs w:val="24"/>
        </w:rPr>
        <w:t xml:space="preserve"> </w:t>
      </w:r>
      <w:r w:rsidR="006C771E" w:rsidRPr="006B7223">
        <w:rPr>
          <w:rFonts w:ascii="Times New Roman" w:hAnsi="Times New Roman" w:cs="Times New Roman"/>
          <w:sz w:val="24"/>
          <w:szCs w:val="24"/>
        </w:rPr>
        <w:t>Factor analysis result</w:t>
      </w:r>
      <w:r w:rsidR="0036060D" w:rsidRPr="006B7223">
        <w:rPr>
          <w:rFonts w:ascii="Times New Roman" w:hAnsi="Times New Roman" w:cs="Times New Roman"/>
          <w:sz w:val="24"/>
          <w:szCs w:val="24"/>
        </w:rPr>
        <w:t>s</w:t>
      </w:r>
      <w:r w:rsidR="006C771E" w:rsidRPr="006B7223">
        <w:rPr>
          <w:rFonts w:ascii="Times New Roman" w:hAnsi="Times New Roman" w:cs="Times New Roman"/>
          <w:sz w:val="24"/>
          <w:szCs w:val="24"/>
        </w:rPr>
        <w:t xml:space="preserve"> confirm</w:t>
      </w:r>
      <w:r w:rsidR="005B423A">
        <w:rPr>
          <w:rFonts w:ascii="Times New Roman" w:hAnsi="Times New Roman" w:cs="Times New Roman"/>
          <w:sz w:val="24"/>
          <w:szCs w:val="24"/>
        </w:rPr>
        <w:t>ed</w:t>
      </w:r>
      <w:r w:rsidR="006C771E" w:rsidRPr="006B7223">
        <w:rPr>
          <w:rFonts w:ascii="Times New Roman" w:hAnsi="Times New Roman" w:cs="Times New Roman"/>
          <w:sz w:val="24"/>
          <w:szCs w:val="24"/>
        </w:rPr>
        <w:t xml:space="preserve"> </w:t>
      </w:r>
      <w:r w:rsidR="0036060D" w:rsidRPr="006B7223">
        <w:rPr>
          <w:rFonts w:ascii="Times New Roman" w:hAnsi="Times New Roman" w:cs="Times New Roman"/>
          <w:sz w:val="24"/>
          <w:szCs w:val="24"/>
        </w:rPr>
        <w:t xml:space="preserve">the </w:t>
      </w:r>
      <w:r w:rsidR="006C771E" w:rsidRPr="006B7223">
        <w:rPr>
          <w:rFonts w:ascii="Times New Roman" w:hAnsi="Times New Roman" w:cs="Times New Roman"/>
          <w:sz w:val="24"/>
          <w:szCs w:val="24"/>
        </w:rPr>
        <w:t xml:space="preserve">inclusion of </w:t>
      </w:r>
      <w:r w:rsidR="00B3139E">
        <w:rPr>
          <w:rFonts w:ascii="Times New Roman" w:hAnsi="Times New Roman" w:cs="Times New Roman"/>
          <w:sz w:val="24"/>
          <w:szCs w:val="24"/>
        </w:rPr>
        <w:t xml:space="preserve">16 </w:t>
      </w:r>
      <w:r w:rsidR="00B3139E" w:rsidRPr="005B423A">
        <w:rPr>
          <w:rFonts w:ascii="Times New Roman" w:hAnsi="Times New Roman" w:cs="Times New Roman"/>
          <w:color w:val="000000" w:themeColor="text1"/>
          <w:sz w:val="24"/>
          <w:szCs w:val="24"/>
        </w:rPr>
        <w:t>items under five components.</w:t>
      </w:r>
      <w:r w:rsidR="00600E25" w:rsidRPr="005B423A">
        <w:rPr>
          <w:rFonts w:ascii="Times New Roman" w:hAnsi="Times New Roman" w:cs="Times New Roman"/>
          <w:color w:val="000000" w:themeColor="text1"/>
          <w:sz w:val="24"/>
          <w:szCs w:val="24"/>
        </w:rPr>
        <w:t xml:space="preserve"> </w:t>
      </w:r>
      <w:r w:rsidR="006C771E" w:rsidRPr="005B423A">
        <w:rPr>
          <w:rFonts w:ascii="Times New Roman" w:hAnsi="Times New Roman" w:cs="Times New Roman"/>
          <w:color w:val="000000" w:themeColor="text1"/>
          <w:sz w:val="24"/>
          <w:szCs w:val="24"/>
        </w:rPr>
        <w:t>To measure internal reliability of the instrument</w:t>
      </w:r>
      <w:r w:rsidR="0036060D" w:rsidRPr="005B423A">
        <w:rPr>
          <w:rFonts w:ascii="Times New Roman" w:hAnsi="Times New Roman" w:cs="Times New Roman"/>
          <w:color w:val="000000" w:themeColor="text1"/>
          <w:sz w:val="24"/>
          <w:szCs w:val="24"/>
        </w:rPr>
        <w:t>, the split-</w:t>
      </w:r>
      <w:r w:rsidR="006C771E" w:rsidRPr="005B423A">
        <w:rPr>
          <w:rFonts w:ascii="Times New Roman" w:hAnsi="Times New Roman" w:cs="Times New Roman"/>
          <w:color w:val="000000" w:themeColor="text1"/>
          <w:sz w:val="24"/>
          <w:szCs w:val="24"/>
        </w:rPr>
        <w:t>half and C</w:t>
      </w:r>
      <w:r w:rsidR="0036060D" w:rsidRPr="005B423A">
        <w:rPr>
          <w:rFonts w:ascii="Times New Roman" w:hAnsi="Times New Roman" w:cs="Times New Roman"/>
          <w:color w:val="000000" w:themeColor="text1"/>
          <w:sz w:val="24"/>
          <w:szCs w:val="24"/>
        </w:rPr>
        <w:t>ronbach's</w:t>
      </w:r>
      <w:r w:rsidR="006C771E" w:rsidRPr="005B423A">
        <w:rPr>
          <w:rFonts w:ascii="Times New Roman" w:hAnsi="Times New Roman" w:cs="Times New Roman"/>
          <w:color w:val="000000" w:themeColor="text1"/>
          <w:sz w:val="24"/>
          <w:szCs w:val="24"/>
        </w:rPr>
        <w:t xml:space="preserve"> alpha method</w:t>
      </w:r>
      <w:r w:rsidR="0036060D" w:rsidRPr="005B423A">
        <w:rPr>
          <w:rFonts w:ascii="Times New Roman" w:hAnsi="Times New Roman" w:cs="Times New Roman"/>
          <w:color w:val="000000" w:themeColor="text1"/>
          <w:sz w:val="24"/>
          <w:szCs w:val="24"/>
        </w:rPr>
        <w:t>s</w:t>
      </w:r>
      <w:r w:rsidR="006C771E" w:rsidRPr="005B423A">
        <w:rPr>
          <w:rFonts w:ascii="Times New Roman" w:hAnsi="Times New Roman" w:cs="Times New Roman"/>
          <w:color w:val="000000" w:themeColor="text1"/>
          <w:sz w:val="24"/>
          <w:szCs w:val="24"/>
        </w:rPr>
        <w:t xml:space="preserve"> w</w:t>
      </w:r>
      <w:r w:rsidR="0036060D" w:rsidRPr="005B423A">
        <w:rPr>
          <w:rFonts w:ascii="Times New Roman" w:hAnsi="Times New Roman" w:cs="Times New Roman"/>
          <w:color w:val="000000" w:themeColor="text1"/>
          <w:sz w:val="24"/>
          <w:szCs w:val="24"/>
        </w:rPr>
        <w:t>ere</w:t>
      </w:r>
      <w:r w:rsidR="006C771E" w:rsidRPr="005B423A">
        <w:rPr>
          <w:rFonts w:ascii="Times New Roman" w:hAnsi="Times New Roman" w:cs="Times New Roman"/>
          <w:color w:val="000000" w:themeColor="text1"/>
          <w:sz w:val="24"/>
          <w:szCs w:val="24"/>
        </w:rPr>
        <w:t xml:space="preserve"> used.</w:t>
      </w:r>
    </w:p>
    <w:p w14:paraId="7FF6B9D0" w14:textId="77777777" w:rsidR="00E00C3C" w:rsidRPr="005B423A" w:rsidRDefault="003A30FC" w:rsidP="006C771E">
      <w:pPr>
        <w:jc w:val="both"/>
        <w:rPr>
          <w:rFonts w:ascii="Times New Roman" w:hAnsi="Times New Roman" w:cs="Times New Roman"/>
          <w:b/>
          <w:color w:val="000000" w:themeColor="text1"/>
          <w:sz w:val="24"/>
          <w:szCs w:val="24"/>
        </w:rPr>
      </w:pPr>
      <w:r w:rsidRPr="005B423A">
        <w:rPr>
          <w:rFonts w:ascii="Times New Roman" w:hAnsi="Times New Roman" w:cs="Times New Roman"/>
          <w:b/>
          <w:color w:val="000000" w:themeColor="text1"/>
          <w:sz w:val="24"/>
          <w:szCs w:val="24"/>
        </w:rPr>
        <w:t xml:space="preserve">2.5 </w:t>
      </w:r>
      <w:r w:rsidR="00E00C3C" w:rsidRPr="005B423A">
        <w:rPr>
          <w:rFonts w:ascii="Times New Roman" w:hAnsi="Times New Roman" w:cs="Times New Roman"/>
          <w:b/>
          <w:color w:val="000000" w:themeColor="text1"/>
          <w:sz w:val="24"/>
          <w:szCs w:val="24"/>
        </w:rPr>
        <w:t>Validity Testing</w:t>
      </w:r>
    </w:p>
    <w:p w14:paraId="374368A2" w14:textId="77777777" w:rsidR="006C771E" w:rsidRPr="00E00C3C" w:rsidRDefault="006C771E" w:rsidP="006C771E">
      <w:pPr>
        <w:jc w:val="both"/>
        <w:rPr>
          <w:rFonts w:ascii="Times New Roman" w:hAnsi="Times New Roman" w:cs="Times New Roman"/>
          <w:b/>
          <w:sz w:val="24"/>
          <w:szCs w:val="24"/>
        </w:rPr>
      </w:pPr>
      <w:r w:rsidRPr="006B7223">
        <w:rPr>
          <w:rFonts w:ascii="Times New Roman" w:hAnsi="Times New Roman" w:cs="Times New Roman"/>
          <w:sz w:val="24"/>
          <w:szCs w:val="24"/>
        </w:rPr>
        <w:t xml:space="preserve">Further </w:t>
      </w:r>
      <w:r w:rsidR="00D97FC5" w:rsidRPr="006B7223">
        <w:rPr>
          <w:rFonts w:ascii="Times New Roman" w:hAnsi="Times New Roman" w:cs="Times New Roman"/>
          <w:sz w:val="24"/>
          <w:szCs w:val="24"/>
        </w:rPr>
        <w:t>corrected</w:t>
      </w:r>
      <w:r w:rsidRPr="006B7223">
        <w:rPr>
          <w:rFonts w:ascii="Times New Roman" w:hAnsi="Times New Roman" w:cs="Times New Roman"/>
          <w:sz w:val="24"/>
          <w:szCs w:val="24"/>
        </w:rPr>
        <w:t xml:space="preserve"> item total </w:t>
      </w:r>
      <w:r w:rsidR="00600E25">
        <w:rPr>
          <w:rFonts w:ascii="Times New Roman" w:hAnsi="Times New Roman" w:cs="Times New Roman"/>
          <w:sz w:val="24"/>
          <w:szCs w:val="24"/>
        </w:rPr>
        <w:t xml:space="preserve">correlation analysis was done </w:t>
      </w:r>
      <w:r w:rsidR="005B423A">
        <w:rPr>
          <w:rFonts w:ascii="Times New Roman" w:hAnsi="Times New Roman" w:cs="Times New Roman"/>
          <w:sz w:val="24"/>
          <w:szCs w:val="24"/>
        </w:rPr>
        <w:t>to</w:t>
      </w:r>
      <w:r w:rsidRPr="006B7223">
        <w:rPr>
          <w:rFonts w:ascii="Times New Roman" w:hAnsi="Times New Roman" w:cs="Times New Roman"/>
          <w:sz w:val="24"/>
          <w:szCs w:val="24"/>
        </w:rPr>
        <w:t xml:space="preserve"> find </w:t>
      </w:r>
      <w:r w:rsidR="005B423A">
        <w:rPr>
          <w:rFonts w:ascii="Times New Roman" w:hAnsi="Times New Roman" w:cs="Times New Roman"/>
          <w:sz w:val="24"/>
          <w:szCs w:val="24"/>
        </w:rPr>
        <w:t>out the relation of</w:t>
      </w:r>
      <w:r w:rsidR="0036060D" w:rsidRPr="006B7223">
        <w:rPr>
          <w:rFonts w:ascii="Times New Roman" w:hAnsi="Times New Roman" w:cs="Times New Roman"/>
          <w:sz w:val="24"/>
          <w:szCs w:val="24"/>
        </w:rPr>
        <w:t xml:space="preserve"> </w:t>
      </w:r>
      <w:r w:rsidRPr="006B7223">
        <w:rPr>
          <w:rFonts w:ascii="Times New Roman" w:hAnsi="Times New Roman" w:cs="Times New Roman"/>
          <w:sz w:val="24"/>
          <w:szCs w:val="24"/>
        </w:rPr>
        <w:t>each item</w:t>
      </w:r>
      <w:r w:rsidR="00600E25">
        <w:rPr>
          <w:rFonts w:ascii="Times New Roman" w:hAnsi="Times New Roman" w:cs="Times New Roman"/>
          <w:sz w:val="24"/>
          <w:szCs w:val="24"/>
        </w:rPr>
        <w:t xml:space="preserve"> </w:t>
      </w:r>
      <w:r w:rsidR="0036060D" w:rsidRPr="006B7223">
        <w:rPr>
          <w:rFonts w:ascii="Times New Roman" w:hAnsi="Times New Roman" w:cs="Times New Roman"/>
          <w:sz w:val="24"/>
          <w:szCs w:val="24"/>
        </w:rPr>
        <w:t xml:space="preserve">connected </w:t>
      </w:r>
      <w:r w:rsidRPr="006B7223">
        <w:rPr>
          <w:rFonts w:ascii="Times New Roman" w:hAnsi="Times New Roman" w:cs="Times New Roman"/>
          <w:sz w:val="24"/>
          <w:szCs w:val="24"/>
        </w:rPr>
        <w:t xml:space="preserve">with </w:t>
      </w:r>
      <w:r w:rsidR="0036060D" w:rsidRPr="006B7223">
        <w:rPr>
          <w:rFonts w:ascii="Times New Roman" w:hAnsi="Times New Roman" w:cs="Times New Roman"/>
          <w:sz w:val="24"/>
          <w:szCs w:val="24"/>
        </w:rPr>
        <w:t xml:space="preserve">the </w:t>
      </w:r>
      <w:r w:rsidRPr="006B7223">
        <w:rPr>
          <w:rFonts w:ascii="Times New Roman" w:hAnsi="Times New Roman" w:cs="Times New Roman"/>
          <w:sz w:val="24"/>
          <w:szCs w:val="24"/>
        </w:rPr>
        <w:t>overall scale.</w:t>
      </w:r>
      <w:r w:rsidR="00600E25">
        <w:rPr>
          <w:rFonts w:ascii="Times New Roman" w:hAnsi="Times New Roman" w:cs="Times New Roman"/>
          <w:sz w:val="24"/>
          <w:szCs w:val="24"/>
        </w:rPr>
        <w:t xml:space="preserve"> </w:t>
      </w:r>
      <w:r w:rsidRPr="006B7223">
        <w:rPr>
          <w:rFonts w:ascii="Times New Roman" w:hAnsi="Times New Roman" w:cs="Times New Roman"/>
          <w:sz w:val="24"/>
          <w:szCs w:val="24"/>
        </w:rPr>
        <w:t>Finally</w:t>
      </w:r>
      <w:r w:rsidR="0036060D" w:rsidRPr="006B7223">
        <w:rPr>
          <w:rFonts w:ascii="Times New Roman" w:hAnsi="Times New Roman" w:cs="Times New Roman"/>
          <w:sz w:val="24"/>
          <w:szCs w:val="24"/>
        </w:rPr>
        <w:t>,</w:t>
      </w:r>
      <w:r w:rsidR="000666DD" w:rsidRPr="006B7223">
        <w:rPr>
          <w:rFonts w:ascii="Times New Roman" w:hAnsi="Times New Roman" w:cs="Times New Roman"/>
          <w:sz w:val="24"/>
          <w:szCs w:val="24"/>
        </w:rPr>
        <w:t xml:space="preserve"> 16</w:t>
      </w:r>
      <w:r w:rsidR="00600E25">
        <w:rPr>
          <w:rFonts w:ascii="Times New Roman" w:hAnsi="Times New Roman" w:cs="Times New Roman"/>
          <w:sz w:val="24"/>
          <w:szCs w:val="24"/>
        </w:rPr>
        <w:t xml:space="preserve"> items are retained for scale </w:t>
      </w:r>
      <w:proofErr w:type="spellStart"/>
      <w:r w:rsidR="00600E25">
        <w:rPr>
          <w:rFonts w:ascii="Times New Roman" w:hAnsi="Times New Roman" w:cs="Times New Roman"/>
          <w:sz w:val="24"/>
          <w:szCs w:val="24"/>
        </w:rPr>
        <w:t>thats</w:t>
      </w:r>
      <w:proofErr w:type="spellEnd"/>
      <w:r w:rsidR="00600E25">
        <w:rPr>
          <w:rFonts w:ascii="Times New Roman" w:hAnsi="Times New Roman" w:cs="Times New Roman"/>
          <w:sz w:val="24"/>
          <w:szCs w:val="24"/>
        </w:rPr>
        <w:t xml:space="preserve">  </w:t>
      </w:r>
      <w:r w:rsidRPr="006B7223">
        <w:rPr>
          <w:rFonts w:ascii="Times New Roman" w:hAnsi="Times New Roman" w:cs="Times New Roman"/>
          <w:sz w:val="24"/>
          <w:szCs w:val="24"/>
        </w:rPr>
        <w:t xml:space="preserve"> </w:t>
      </w:r>
      <w:proofErr w:type="gramStart"/>
      <w:r w:rsidR="00600E25">
        <w:rPr>
          <w:rFonts w:ascii="Times New Roman" w:hAnsi="Times New Roman" w:cs="Times New Roman"/>
          <w:sz w:val="24"/>
          <w:szCs w:val="24"/>
        </w:rPr>
        <w:t xml:space="preserve">reliable </w:t>
      </w:r>
      <w:r w:rsidRPr="006B7223">
        <w:rPr>
          <w:rFonts w:ascii="Times New Roman" w:hAnsi="Times New Roman" w:cs="Times New Roman"/>
          <w:sz w:val="24"/>
          <w:szCs w:val="24"/>
        </w:rPr>
        <w:t xml:space="preserve"> and</w:t>
      </w:r>
      <w:proofErr w:type="gramEnd"/>
      <w:r w:rsidRPr="006B7223">
        <w:rPr>
          <w:rFonts w:ascii="Times New Roman" w:hAnsi="Times New Roman" w:cs="Times New Roman"/>
          <w:sz w:val="24"/>
          <w:szCs w:val="24"/>
        </w:rPr>
        <w:t xml:space="preserve"> </w:t>
      </w:r>
      <w:r w:rsidR="00FB2117" w:rsidRPr="006B7223">
        <w:rPr>
          <w:rFonts w:ascii="Times New Roman" w:hAnsi="Times New Roman" w:cs="Times New Roman"/>
          <w:sz w:val="24"/>
          <w:szCs w:val="24"/>
        </w:rPr>
        <w:t xml:space="preserve"> </w:t>
      </w:r>
      <w:r w:rsidR="00D97FC5" w:rsidRPr="006B7223">
        <w:rPr>
          <w:rFonts w:ascii="Times New Roman" w:hAnsi="Times New Roman" w:cs="Times New Roman"/>
          <w:sz w:val="24"/>
          <w:szCs w:val="24"/>
        </w:rPr>
        <w:t>valid</w:t>
      </w:r>
      <w:r w:rsidR="00E00C3C">
        <w:rPr>
          <w:rFonts w:ascii="Times New Roman" w:hAnsi="Times New Roman" w:cs="Times New Roman"/>
          <w:sz w:val="24"/>
          <w:szCs w:val="24"/>
        </w:rPr>
        <w:t xml:space="preserve"> </w:t>
      </w:r>
      <w:r w:rsidR="0036060D" w:rsidRPr="006B7223">
        <w:rPr>
          <w:rFonts w:ascii="Times New Roman" w:hAnsi="Times New Roman" w:cs="Times New Roman"/>
          <w:sz w:val="24"/>
          <w:szCs w:val="24"/>
        </w:rPr>
        <w:t>to</w:t>
      </w:r>
      <w:r w:rsidRPr="006B7223">
        <w:rPr>
          <w:rFonts w:ascii="Times New Roman" w:hAnsi="Times New Roman" w:cs="Times New Roman"/>
          <w:sz w:val="24"/>
          <w:szCs w:val="24"/>
        </w:rPr>
        <w:t xml:space="preserve"> identify farmer</w:t>
      </w:r>
      <w:r w:rsidR="005B423A">
        <w:rPr>
          <w:rFonts w:ascii="Times New Roman" w:hAnsi="Times New Roman" w:cs="Times New Roman"/>
          <w:sz w:val="24"/>
          <w:szCs w:val="24"/>
        </w:rPr>
        <w:t>s’</w:t>
      </w:r>
      <w:r w:rsidRPr="006B7223">
        <w:rPr>
          <w:rFonts w:ascii="Times New Roman" w:hAnsi="Times New Roman" w:cs="Times New Roman"/>
          <w:sz w:val="24"/>
          <w:szCs w:val="24"/>
        </w:rPr>
        <w:t xml:space="preserve"> perception regarding agrochemical impact on </w:t>
      </w:r>
      <w:r w:rsidR="005B423A">
        <w:rPr>
          <w:rFonts w:ascii="Times New Roman" w:hAnsi="Times New Roman" w:cs="Times New Roman"/>
          <w:sz w:val="24"/>
          <w:szCs w:val="24"/>
        </w:rPr>
        <w:t xml:space="preserve">human </w:t>
      </w:r>
      <w:r w:rsidRPr="006B7223">
        <w:rPr>
          <w:rFonts w:ascii="Times New Roman" w:hAnsi="Times New Roman" w:cs="Times New Roman"/>
          <w:sz w:val="24"/>
          <w:szCs w:val="24"/>
        </w:rPr>
        <w:t>health.</w:t>
      </w:r>
    </w:p>
    <w:p w14:paraId="3011E34C" w14:textId="77777777" w:rsidR="006C771E" w:rsidRDefault="006C771E" w:rsidP="00BF0FC6">
      <w:pPr>
        <w:jc w:val="both"/>
      </w:pPr>
    </w:p>
    <w:p w14:paraId="3949A949" w14:textId="77777777" w:rsidR="00BF0FC6" w:rsidRPr="00BF0FC6" w:rsidRDefault="00BF0FC6" w:rsidP="002F6F1E">
      <w:pPr>
        <w:rPr>
          <w:rFonts w:ascii="Times New Roman" w:hAnsi="Times New Roman" w:cs="Times New Roman"/>
          <w:b/>
          <w:sz w:val="24"/>
          <w:szCs w:val="24"/>
        </w:rPr>
      </w:pPr>
      <w:r w:rsidRPr="00BF0FC6">
        <w:rPr>
          <w:rFonts w:ascii="Times New Roman" w:hAnsi="Times New Roman" w:cs="Times New Roman"/>
          <w:b/>
          <w:sz w:val="24"/>
          <w:szCs w:val="24"/>
        </w:rPr>
        <w:t>RESULTS</w:t>
      </w:r>
    </w:p>
    <w:p w14:paraId="59F024B8" w14:textId="77777777" w:rsidR="00F52F50" w:rsidRDefault="00BF0FC6" w:rsidP="00F52F50">
      <w:pPr>
        <w:rPr>
          <w:rFonts w:ascii="Times New Roman" w:hAnsi="Times New Roman" w:cs="Times New Roman"/>
          <w:b/>
          <w:sz w:val="24"/>
          <w:szCs w:val="24"/>
        </w:rPr>
      </w:pPr>
      <w:r w:rsidRPr="00A95D56">
        <w:rPr>
          <w:rFonts w:ascii="Times New Roman" w:hAnsi="Times New Roman" w:cs="Times New Roman"/>
          <w:b/>
          <w:sz w:val="24"/>
          <w:szCs w:val="24"/>
        </w:rPr>
        <w:t>Relevancy Test</w:t>
      </w:r>
    </w:p>
    <w:p w14:paraId="6CBD8075" w14:textId="77777777" w:rsidR="00F52F50" w:rsidRPr="00F52F50" w:rsidRDefault="005B423A" w:rsidP="00F52F50">
      <w:pPr>
        <w:jc w:val="both"/>
        <w:rPr>
          <w:rFonts w:ascii="Times New Roman" w:hAnsi="Times New Roman" w:cs="Times New Roman"/>
          <w:b/>
          <w:sz w:val="24"/>
          <w:szCs w:val="24"/>
        </w:rPr>
      </w:pPr>
      <w:r>
        <w:rPr>
          <w:rFonts w:ascii="Times New Roman" w:hAnsi="Times New Roman" w:cs="Times New Roman"/>
          <w:sz w:val="24"/>
          <w:szCs w:val="24"/>
        </w:rPr>
        <w:t xml:space="preserve">Initially developed 80 </w:t>
      </w:r>
      <w:r w:rsidR="00F52F50" w:rsidRPr="00F52F50">
        <w:rPr>
          <w:rFonts w:ascii="Times New Roman" w:hAnsi="Times New Roman" w:cs="Times New Roman"/>
          <w:sz w:val="24"/>
          <w:szCs w:val="24"/>
        </w:rPr>
        <w:t>item</w:t>
      </w:r>
      <w:r w:rsidR="000666DD">
        <w:rPr>
          <w:rFonts w:ascii="Times New Roman" w:hAnsi="Times New Roman" w:cs="Times New Roman"/>
          <w:sz w:val="24"/>
          <w:szCs w:val="24"/>
        </w:rPr>
        <w:t>s</w:t>
      </w:r>
      <w:r w:rsidR="00F52F50" w:rsidRPr="00F52F50">
        <w:rPr>
          <w:rFonts w:ascii="Times New Roman" w:hAnsi="Times New Roman" w:cs="Times New Roman"/>
          <w:sz w:val="24"/>
          <w:szCs w:val="24"/>
        </w:rPr>
        <w:t xml:space="preserve"> were sent </w:t>
      </w:r>
      <w:r w:rsidR="00FF41B2">
        <w:rPr>
          <w:rFonts w:ascii="Times New Roman" w:hAnsi="Times New Roman" w:cs="Times New Roman"/>
          <w:sz w:val="24"/>
          <w:szCs w:val="24"/>
        </w:rPr>
        <w:t xml:space="preserve">to </w:t>
      </w:r>
      <w:r w:rsidR="00F52F50" w:rsidRPr="00F52F50">
        <w:rPr>
          <w:rFonts w:ascii="Times New Roman" w:hAnsi="Times New Roman" w:cs="Times New Roman"/>
          <w:sz w:val="24"/>
          <w:szCs w:val="24"/>
        </w:rPr>
        <w:t>70 specialists across</w:t>
      </w:r>
      <w:r w:rsidR="000666DD">
        <w:rPr>
          <w:rFonts w:ascii="Times New Roman" w:hAnsi="Times New Roman" w:cs="Times New Roman"/>
          <w:sz w:val="24"/>
          <w:szCs w:val="24"/>
        </w:rPr>
        <w:t xml:space="preserve"> the nation</w:t>
      </w:r>
      <w:r w:rsidR="00F52F50" w:rsidRPr="00F52F50">
        <w:rPr>
          <w:rFonts w:ascii="Times New Roman" w:hAnsi="Times New Roman" w:cs="Times New Roman"/>
          <w:sz w:val="24"/>
          <w:szCs w:val="24"/>
        </w:rPr>
        <w:t xml:space="preserve"> related </w:t>
      </w:r>
      <w:r w:rsidR="000666DD">
        <w:rPr>
          <w:rFonts w:ascii="Times New Roman" w:hAnsi="Times New Roman" w:cs="Times New Roman"/>
          <w:sz w:val="24"/>
          <w:szCs w:val="24"/>
        </w:rPr>
        <w:t xml:space="preserve">to the study </w:t>
      </w:r>
      <w:r w:rsidR="00434A86" w:rsidRPr="00F52F50">
        <w:rPr>
          <w:rFonts w:ascii="Times New Roman" w:hAnsi="Times New Roman" w:cs="Times New Roman"/>
          <w:sz w:val="24"/>
          <w:szCs w:val="24"/>
        </w:rPr>
        <w:t>disciplines, out</w:t>
      </w:r>
      <w:r w:rsidR="00600E25">
        <w:rPr>
          <w:rFonts w:ascii="Times New Roman" w:hAnsi="Times New Roman" w:cs="Times New Roman"/>
          <w:sz w:val="24"/>
          <w:szCs w:val="24"/>
        </w:rPr>
        <w:t xml:space="preserve"> </w:t>
      </w:r>
      <w:r w:rsidR="00434A86" w:rsidRPr="00F52F50">
        <w:rPr>
          <w:rFonts w:ascii="Times New Roman" w:hAnsi="Times New Roman" w:cs="Times New Roman"/>
          <w:sz w:val="24"/>
          <w:szCs w:val="24"/>
        </w:rPr>
        <w:t>of which</w:t>
      </w:r>
      <w:r w:rsidR="00F52F50" w:rsidRPr="00F52F50">
        <w:rPr>
          <w:rFonts w:ascii="Times New Roman" w:hAnsi="Times New Roman" w:cs="Times New Roman"/>
          <w:sz w:val="24"/>
          <w:szCs w:val="24"/>
        </w:rPr>
        <w:t xml:space="preserve"> 30 </w:t>
      </w:r>
      <w:r w:rsidR="0074064E">
        <w:rPr>
          <w:rFonts w:ascii="Times New Roman" w:hAnsi="Times New Roman" w:cs="Times New Roman"/>
          <w:sz w:val="24"/>
          <w:szCs w:val="24"/>
        </w:rPr>
        <w:t>responses were received</w:t>
      </w:r>
      <w:r w:rsidR="00F52F50" w:rsidRPr="00F52F50">
        <w:rPr>
          <w:rFonts w:ascii="Times New Roman" w:hAnsi="Times New Roman" w:cs="Times New Roman"/>
          <w:sz w:val="24"/>
          <w:szCs w:val="24"/>
        </w:rPr>
        <w:t xml:space="preserve"> within the stipulated </w:t>
      </w:r>
      <w:proofErr w:type="spellStart"/>
      <w:r w:rsidR="00F52F50" w:rsidRPr="00F52F50">
        <w:rPr>
          <w:rFonts w:ascii="Times New Roman" w:hAnsi="Times New Roman" w:cs="Times New Roman"/>
          <w:sz w:val="24"/>
          <w:szCs w:val="24"/>
        </w:rPr>
        <w:t>timeframe.After</w:t>
      </w:r>
      <w:proofErr w:type="spellEnd"/>
      <w:r w:rsidR="00600E25">
        <w:rPr>
          <w:rFonts w:ascii="Times New Roman" w:hAnsi="Times New Roman" w:cs="Times New Roman"/>
          <w:sz w:val="24"/>
          <w:szCs w:val="24"/>
        </w:rPr>
        <w:t xml:space="preserve"> </w:t>
      </w:r>
      <w:r w:rsidR="00F52F50" w:rsidRPr="00F52F50">
        <w:rPr>
          <w:rFonts w:ascii="Times New Roman" w:hAnsi="Times New Roman" w:cs="Times New Roman"/>
          <w:sz w:val="24"/>
          <w:szCs w:val="24"/>
        </w:rPr>
        <w:t>that mean relevanc</w:t>
      </w:r>
      <w:r w:rsidR="00FF41B2">
        <w:rPr>
          <w:rFonts w:ascii="Times New Roman" w:hAnsi="Times New Roman" w:cs="Times New Roman"/>
          <w:sz w:val="24"/>
          <w:szCs w:val="24"/>
        </w:rPr>
        <w:t>e</w:t>
      </w:r>
      <w:r w:rsidR="00F52F50" w:rsidRPr="00F52F50">
        <w:rPr>
          <w:rFonts w:ascii="Times New Roman" w:hAnsi="Times New Roman" w:cs="Times New Roman"/>
          <w:sz w:val="24"/>
          <w:szCs w:val="24"/>
        </w:rPr>
        <w:t xml:space="preserve"> score and percen</w:t>
      </w:r>
      <w:r w:rsidR="000666DD">
        <w:rPr>
          <w:rFonts w:ascii="Times New Roman" w:hAnsi="Times New Roman" w:cs="Times New Roman"/>
          <w:sz w:val="24"/>
          <w:szCs w:val="24"/>
        </w:rPr>
        <w:t>tage for each item w</w:t>
      </w:r>
      <w:r w:rsidR="00FF41B2">
        <w:rPr>
          <w:rFonts w:ascii="Times New Roman" w:hAnsi="Times New Roman" w:cs="Times New Roman"/>
          <w:sz w:val="24"/>
          <w:szCs w:val="24"/>
        </w:rPr>
        <w:t>e</w:t>
      </w:r>
      <w:r w:rsidR="000666DD">
        <w:rPr>
          <w:rFonts w:ascii="Times New Roman" w:hAnsi="Times New Roman" w:cs="Times New Roman"/>
          <w:sz w:val="24"/>
          <w:szCs w:val="24"/>
        </w:rPr>
        <w:t>re calcula</w:t>
      </w:r>
      <w:r w:rsidR="00F52F50" w:rsidRPr="00F52F50">
        <w:rPr>
          <w:rFonts w:ascii="Times New Roman" w:hAnsi="Times New Roman" w:cs="Times New Roman"/>
          <w:sz w:val="24"/>
          <w:szCs w:val="24"/>
        </w:rPr>
        <w:t xml:space="preserve">ted. Based </w:t>
      </w:r>
      <w:r w:rsidR="00434A86" w:rsidRPr="00F52F50">
        <w:rPr>
          <w:rFonts w:ascii="Times New Roman" w:hAnsi="Times New Roman" w:cs="Times New Roman"/>
          <w:sz w:val="24"/>
          <w:szCs w:val="24"/>
        </w:rPr>
        <w:t>on expert</w:t>
      </w:r>
      <w:r w:rsidR="00F52F50" w:rsidRPr="00F52F50">
        <w:rPr>
          <w:rFonts w:ascii="Times New Roman" w:hAnsi="Times New Roman" w:cs="Times New Roman"/>
          <w:sz w:val="24"/>
          <w:szCs w:val="24"/>
        </w:rPr>
        <w:t xml:space="preserve"> assessment</w:t>
      </w:r>
      <w:r w:rsidR="00434A86" w:rsidRPr="00F52F50">
        <w:rPr>
          <w:rFonts w:ascii="Times New Roman" w:hAnsi="Times New Roman" w:cs="Times New Roman"/>
          <w:sz w:val="24"/>
          <w:szCs w:val="24"/>
        </w:rPr>
        <w:t>, 24</w:t>
      </w:r>
      <w:r w:rsidR="00F52F50" w:rsidRPr="00F52F50">
        <w:rPr>
          <w:rFonts w:ascii="Times New Roman" w:hAnsi="Times New Roman" w:cs="Times New Roman"/>
          <w:sz w:val="24"/>
          <w:szCs w:val="24"/>
        </w:rPr>
        <w:t xml:space="preserve"> items </w:t>
      </w:r>
      <w:r w:rsidR="000666DD">
        <w:rPr>
          <w:rFonts w:ascii="Times New Roman" w:hAnsi="Times New Roman" w:cs="Times New Roman"/>
          <w:sz w:val="24"/>
          <w:szCs w:val="24"/>
        </w:rPr>
        <w:t>secured</w:t>
      </w:r>
      <w:r w:rsidR="00F52F50" w:rsidRPr="00F52F50">
        <w:rPr>
          <w:rFonts w:ascii="Times New Roman" w:hAnsi="Times New Roman" w:cs="Times New Roman"/>
          <w:sz w:val="24"/>
          <w:szCs w:val="24"/>
        </w:rPr>
        <w:t xml:space="preserve"> a rele</w:t>
      </w:r>
      <w:r w:rsidR="00BB6F3D">
        <w:rPr>
          <w:rFonts w:ascii="Times New Roman" w:hAnsi="Times New Roman" w:cs="Times New Roman"/>
          <w:sz w:val="24"/>
          <w:szCs w:val="24"/>
        </w:rPr>
        <w:t>vancy percentage of more than 85</w:t>
      </w:r>
      <w:r w:rsidR="00F52F50" w:rsidRPr="00F52F50">
        <w:rPr>
          <w:rFonts w:ascii="Times New Roman" w:hAnsi="Times New Roman" w:cs="Times New Roman"/>
          <w:sz w:val="24"/>
          <w:szCs w:val="24"/>
        </w:rPr>
        <w:t xml:space="preserve">% out of 80 </w:t>
      </w:r>
      <w:r w:rsidR="00434A86" w:rsidRPr="00F52F50">
        <w:rPr>
          <w:rFonts w:ascii="Times New Roman" w:hAnsi="Times New Roman" w:cs="Times New Roman"/>
          <w:sz w:val="24"/>
          <w:szCs w:val="24"/>
        </w:rPr>
        <w:t xml:space="preserve">items. </w:t>
      </w:r>
      <w:r w:rsidR="000666DD">
        <w:rPr>
          <w:rFonts w:ascii="Times New Roman" w:hAnsi="Times New Roman" w:cs="Times New Roman"/>
          <w:sz w:val="24"/>
          <w:szCs w:val="24"/>
        </w:rPr>
        <w:t>Some items were</w:t>
      </w:r>
      <w:r>
        <w:rPr>
          <w:rFonts w:ascii="Times New Roman" w:hAnsi="Times New Roman" w:cs="Times New Roman"/>
          <w:sz w:val="24"/>
          <w:szCs w:val="24"/>
        </w:rPr>
        <w:t xml:space="preserve"> found overlap</w:t>
      </w:r>
      <w:r w:rsidR="00F52F50" w:rsidRPr="00F52F50">
        <w:rPr>
          <w:rFonts w:ascii="Times New Roman" w:hAnsi="Times New Roman" w:cs="Times New Roman"/>
          <w:sz w:val="24"/>
          <w:szCs w:val="24"/>
        </w:rPr>
        <w:t xml:space="preserve"> in </w:t>
      </w:r>
      <w:r w:rsidR="00434A86" w:rsidRPr="00F52F50">
        <w:rPr>
          <w:rFonts w:ascii="Times New Roman" w:hAnsi="Times New Roman" w:cs="Times New Roman"/>
          <w:sz w:val="24"/>
          <w:szCs w:val="24"/>
        </w:rPr>
        <w:t>the content</w:t>
      </w:r>
      <w:r>
        <w:rPr>
          <w:rFonts w:ascii="Times New Roman" w:hAnsi="Times New Roman" w:cs="Times New Roman"/>
          <w:sz w:val="24"/>
          <w:szCs w:val="24"/>
        </w:rPr>
        <w:t>. Tho</w:t>
      </w:r>
      <w:r w:rsidR="00F52F50" w:rsidRPr="00F52F50">
        <w:rPr>
          <w:rFonts w:ascii="Times New Roman" w:hAnsi="Times New Roman" w:cs="Times New Roman"/>
          <w:sz w:val="24"/>
          <w:szCs w:val="24"/>
        </w:rPr>
        <w:t xml:space="preserve">se were excluded or reviewed according to expert feedback to remove </w:t>
      </w:r>
      <w:r w:rsidR="000666DD" w:rsidRPr="00F52F50">
        <w:rPr>
          <w:rFonts w:ascii="Times New Roman" w:hAnsi="Times New Roman" w:cs="Times New Roman"/>
          <w:sz w:val="24"/>
          <w:szCs w:val="24"/>
        </w:rPr>
        <w:t>ambiguity</w:t>
      </w:r>
      <w:r w:rsidR="00F52F50" w:rsidRPr="00F52F50">
        <w:rPr>
          <w:rFonts w:ascii="Times New Roman" w:hAnsi="Times New Roman" w:cs="Times New Roman"/>
          <w:sz w:val="24"/>
          <w:szCs w:val="24"/>
        </w:rPr>
        <w:t>.</w:t>
      </w:r>
    </w:p>
    <w:p w14:paraId="3CF5EBA2" w14:textId="77777777" w:rsidR="00F52F50" w:rsidRPr="00F52F50" w:rsidRDefault="00F52F50" w:rsidP="00F52F50">
      <w:pPr>
        <w:jc w:val="both"/>
        <w:rPr>
          <w:rFonts w:ascii="Times New Roman" w:hAnsi="Times New Roman" w:cs="Times New Roman"/>
          <w:sz w:val="24"/>
          <w:szCs w:val="24"/>
        </w:rPr>
      </w:pPr>
      <w:r w:rsidRPr="00F52F50">
        <w:rPr>
          <w:rFonts w:ascii="Times New Roman" w:hAnsi="Times New Roman" w:cs="Times New Roman"/>
          <w:sz w:val="24"/>
          <w:szCs w:val="24"/>
        </w:rPr>
        <w:t>Relevanc</w:t>
      </w:r>
      <w:r w:rsidR="00FF41B2">
        <w:rPr>
          <w:rFonts w:ascii="Times New Roman" w:hAnsi="Times New Roman" w:cs="Times New Roman"/>
          <w:sz w:val="24"/>
          <w:szCs w:val="24"/>
        </w:rPr>
        <w:t>e</w:t>
      </w:r>
      <w:r w:rsidR="00600E25">
        <w:rPr>
          <w:rFonts w:ascii="Times New Roman" w:hAnsi="Times New Roman" w:cs="Times New Roman"/>
          <w:sz w:val="24"/>
          <w:szCs w:val="24"/>
        </w:rPr>
        <w:t xml:space="preserve"> </w:t>
      </w:r>
      <w:r w:rsidR="00434A86" w:rsidRPr="00F52F50">
        <w:rPr>
          <w:rFonts w:ascii="Times New Roman" w:hAnsi="Times New Roman" w:cs="Times New Roman"/>
          <w:sz w:val="24"/>
          <w:szCs w:val="24"/>
        </w:rPr>
        <w:t>Percentage was</w:t>
      </w:r>
      <w:r w:rsidRPr="00F52F50">
        <w:rPr>
          <w:rFonts w:ascii="Times New Roman" w:hAnsi="Times New Roman" w:cs="Times New Roman"/>
          <w:sz w:val="24"/>
          <w:szCs w:val="24"/>
        </w:rPr>
        <w:t xml:space="preserve"> calculated using the following formula:</w:t>
      </w:r>
    </w:p>
    <w:p w14:paraId="415D8BAE" w14:textId="77777777" w:rsidR="00BF0FC6" w:rsidRPr="005B423A" w:rsidRDefault="00F52F50" w:rsidP="002F6F1E">
      <w:pPr>
        <w:rPr>
          <w:rFonts w:ascii="Times New Roman" w:hAnsi="Times New Roman" w:cs="Times New Roman"/>
          <w:b/>
          <w:bCs/>
          <w:sz w:val="24"/>
        </w:rPr>
      </w:pPr>
      <w:r w:rsidRPr="005B423A">
        <w:rPr>
          <w:rFonts w:ascii="Times New Roman" w:hAnsi="Times New Roman" w:cs="Times New Roman"/>
          <w:b/>
          <w:bCs/>
          <w:sz w:val="24"/>
        </w:rPr>
        <w:lastRenderedPageBreak/>
        <w:t>Relevancy Percentage = (Obtained Score / Maximum Possible Score) × 100</w:t>
      </w:r>
    </w:p>
    <w:tbl>
      <w:tblPr>
        <w:tblStyle w:val="TableGrid"/>
        <w:tblW w:w="9464" w:type="dxa"/>
        <w:tblLook w:val="0000" w:firstRow="0" w:lastRow="0" w:firstColumn="0" w:lastColumn="0" w:noHBand="0" w:noVBand="0"/>
      </w:tblPr>
      <w:tblGrid>
        <w:gridCol w:w="780"/>
        <w:gridCol w:w="920"/>
        <w:gridCol w:w="6418"/>
        <w:gridCol w:w="1346"/>
      </w:tblGrid>
      <w:tr w:rsidR="00703423" w14:paraId="5594AA5A" w14:textId="77777777" w:rsidTr="00703423">
        <w:trPr>
          <w:trHeight w:val="503"/>
        </w:trPr>
        <w:tc>
          <w:tcPr>
            <w:tcW w:w="9464" w:type="dxa"/>
            <w:gridSpan w:val="4"/>
            <w:tcBorders>
              <w:top w:val="nil"/>
              <w:left w:val="nil"/>
              <w:right w:val="nil"/>
            </w:tcBorders>
          </w:tcPr>
          <w:p w14:paraId="3CC46648" w14:textId="77777777" w:rsidR="00703423" w:rsidRDefault="00703423" w:rsidP="00703423">
            <w:pPr>
              <w:spacing w:after="200" w:line="276" w:lineRule="auto"/>
              <w:rPr>
                <w:b/>
                <w:bCs/>
              </w:rPr>
            </w:pPr>
          </w:p>
        </w:tc>
      </w:tr>
      <w:tr w:rsidR="00703423" w:rsidRPr="00554EC8" w14:paraId="05E8F8E7" w14:textId="77777777" w:rsidTr="009524E4">
        <w:tblPrEx>
          <w:tblLook w:val="04A0" w:firstRow="1" w:lastRow="0" w:firstColumn="1" w:lastColumn="0" w:noHBand="0" w:noVBand="1"/>
        </w:tblPrEx>
        <w:trPr>
          <w:trHeight w:val="300"/>
        </w:trPr>
        <w:tc>
          <w:tcPr>
            <w:tcW w:w="9464" w:type="dxa"/>
            <w:gridSpan w:val="4"/>
            <w:noWrap/>
          </w:tcPr>
          <w:p w14:paraId="43582280" w14:textId="77777777" w:rsidR="00703423" w:rsidRPr="00703423" w:rsidRDefault="00703423" w:rsidP="00703423">
            <w:pPr>
              <w:jc w:val="center"/>
              <w:rPr>
                <w:rFonts w:ascii="Times New Roman" w:hAnsi="Times New Roman" w:cs="Times New Roman"/>
                <w:b/>
                <w:bCs/>
                <w:sz w:val="20"/>
                <w:szCs w:val="20"/>
              </w:rPr>
            </w:pPr>
          </w:p>
          <w:p w14:paraId="2730603E" w14:textId="48247E86" w:rsidR="00703423" w:rsidRPr="00554EC8" w:rsidRDefault="00703423" w:rsidP="00600E25">
            <w:pPr>
              <w:jc w:val="center"/>
              <w:rPr>
                <w:rFonts w:ascii="Times New Roman" w:hAnsi="Times New Roman" w:cs="Times New Roman"/>
                <w:bCs/>
                <w:sz w:val="20"/>
                <w:szCs w:val="20"/>
              </w:rPr>
            </w:pPr>
            <w:r w:rsidRPr="00703423">
              <w:rPr>
                <w:rFonts w:ascii="Times New Roman" w:hAnsi="Times New Roman" w:cs="Times New Roman"/>
                <w:b/>
                <w:bCs/>
                <w:sz w:val="20"/>
                <w:szCs w:val="20"/>
              </w:rPr>
              <w:t>Table 1: Relevanc</w:t>
            </w:r>
            <w:r w:rsidR="00600E25">
              <w:rPr>
                <w:rFonts w:ascii="Times New Roman" w:hAnsi="Times New Roman" w:cs="Times New Roman"/>
                <w:b/>
                <w:bCs/>
                <w:sz w:val="20"/>
                <w:szCs w:val="20"/>
              </w:rPr>
              <w:t>e</w:t>
            </w:r>
            <w:r w:rsidRPr="00703423">
              <w:rPr>
                <w:rFonts w:ascii="Times New Roman" w:hAnsi="Times New Roman" w:cs="Times New Roman"/>
                <w:b/>
                <w:bCs/>
                <w:sz w:val="20"/>
                <w:szCs w:val="20"/>
              </w:rPr>
              <w:t xml:space="preserve"> of the item</w:t>
            </w:r>
            <w:r w:rsidR="005B423A">
              <w:rPr>
                <w:rFonts w:ascii="Times New Roman" w:hAnsi="Times New Roman" w:cs="Times New Roman"/>
                <w:b/>
                <w:bCs/>
                <w:sz w:val="20"/>
                <w:szCs w:val="20"/>
              </w:rPr>
              <w:t>s</w:t>
            </w:r>
          </w:p>
        </w:tc>
      </w:tr>
      <w:tr w:rsidR="00703423" w:rsidRPr="00554EC8" w14:paraId="44614E91" w14:textId="77777777" w:rsidTr="00703423">
        <w:tblPrEx>
          <w:tblLook w:val="04A0" w:firstRow="1" w:lastRow="0" w:firstColumn="1" w:lastColumn="0" w:noHBand="0" w:noVBand="1"/>
        </w:tblPrEx>
        <w:trPr>
          <w:trHeight w:val="288"/>
        </w:trPr>
        <w:tc>
          <w:tcPr>
            <w:tcW w:w="780" w:type="dxa"/>
            <w:noWrap/>
            <w:hideMark/>
          </w:tcPr>
          <w:p w14:paraId="55A1693E" w14:textId="77777777" w:rsidR="00703423" w:rsidRPr="00554EC8" w:rsidRDefault="00703423" w:rsidP="009524E4">
            <w:pPr>
              <w:rPr>
                <w:rFonts w:ascii="Times New Roman" w:hAnsi="Times New Roman" w:cs="Times New Roman"/>
                <w:bCs/>
                <w:sz w:val="20"/>
                <w:szCs w:val="20"/>
              </w:rPr>
            </w:pPr>
            <w:proofErr w:type="spellStart"/>
            <w:r w:rsidRPr="00554EC8">
              <w:rPr>
                <w:rFonts w:ascii="Times New Roman" w:hAnsi="Times New Roman" w:cs="Times New Roman"/>
                <w:bCs/>
                <w:sz w:val="20"/>
                <w:szCs w:val="20"/>
              </w:rPr>
              <w:t>Sl</w:t>
            </w:r>
            <w:proofErr w:type="spellEnd"/>
            <w:r w:rsidRPr="00554EC8">
              <w:rPr>
                <w:rFonts w:ascii="Times New Roman" w:hAnsi="Times New Roman" w:cs="Times New Roman"/>
                <w:bCs/>
                <w:sz w:val="20"/>
                <w:szCs w:val="20"/>
              </w:rPr>
              <w:t xml:space="preserve"> No</w:t>
            </w:r>
          </w:p>
        </w:tc>
        <w:tc>
          <w:tcPr>
            <w:tcW w:w="920" w:type="dxa"/>
            <w:noWrap/>
            <w:hideMark/>
          </w:tcPr>
          <w:p w14:paraId="2C4F59A0" w14:textId="77777777" w:rsidR="00703423" w:rsidRPr="00554EC8" w:rsidRDefault="00703423" w:rsidP="009524E4">
            <w:pPr>
              <w:rPr>
                <w:rFonts w:ascii="Times New Roman" w:hAnsi="Times New Roman" w:cs="Times New Roman"/>
                <w:bCs/>
                <w:sz w:val="20"/>
                <w:szCs w:val="20"/>
              </w:rPr>
            </w:pPr>
            <w:r w:rsidRPr="00554EC8">
              <w:rPr>
                <w:rFonts w:ascii="Times New Roman" w:hAnsi="Times New Roman" w:cs="Times New Roman"/>
                <w:bCs/>
                <w:sz w:val="20"/>
                <w:szCs w:val="20"/>
              </w:rPr>
              <w:t>Items No</w:t>
            </w:r>
          </w:p>
        </w:tc>
        <w:tc>
          <w:tcPr>
            <w:tcW w:w="6418" w:type="dxa"/>
            <w:noWrap/>
            <w:hideMark/>
          </w:tcPr>
          <w:p w14:paraId="7B2E0A64" w14:textId="77777777" w:rsidR="00703423" w:rsidRPr="00554EC8" w:rsidRDefault="00703423" w:rsidP="009524E4">
            <w:pPr>
              <w:rPr>
                <w:rFonts w:ascii="Times New Roman" w:hAnsi="Times New Roman" w:cs="Times New Roman"/>
                <w:bCs/>
                <w:sz w:val="20"/>
                <w:szCs w:val="20"/>
              </w:rPr>
            </w:pPr>
            <w:r>
              <w:rPr>
                <w:rFonts w:ascii="Times New Roman" w:hAnsi="Times New Roman" w:cs="Times New Roman"/>
                <w:bCs/>
                <w:sz w:val="20"/>
                <w:szCs w:val="20"/>
              </w:rPr>
              <w:t>Statement</w:t>
            </w:r>
          </w:p>
        </w:tc>
        <w:tc>
          <w:tcPr>
            <w:tcW w:w="1346" w:type="dxa"/>
            <w:noWrap/>
            <w:hideMark/>
          </w:tcPr>
          <w:p w14:paraId="3051922B" w14:textId="77777777" w:rsidR="00703423" w:rsidRPr="00554EC8" w:rsidRDefault="00703423" w:rsidP="009524E4">
            <w:pPr>
              <w:jc w:val="center"/>
              <w:rPr>
                <w:rFonts w:ascii="Times New Roman" w:hAnsi="Times New Roman" w:cs="Times New Roman"/>
                <w:bCs/>
                <w:sz w:val="20"/>
                <w:szCs w:val="20"/>
              </w:rPr>
            </w:pPr>
            <w:r w:rsidRPr="00554EC8">
              <w:rPr>
                <w:rFonts w:ascii="Times New Roman" w:hAnsi="Times New Roman" w:cs="Times New Roman"/>
                <w:bCs/>
                <w:sz w:val="20"/>
                <w:szCs w:val="20"/>
              </w:rPr>
              <w:t>Relevancy (%)</w:t>
            </w:r>
          </w:p>
        </w:tc>
      </w:tr>
      <w:tr w:rsidR="00703423" w:rsidRPr="00554EC8" w14:paraId="2DAEAFEE" w14:textId="77777777" w:rsidTr="00703423">
        <w:tblPrEx>
          <w:tblLook w:val="04A0" w:firstRow="1" w:lastRow="0" w:firstColumn="1" w:lastColumn="0" w:noHBand="0" w:noVBand="1"/>
        </w:tblPrEx>
        <w:trPr>
          <w:trHeight w:val="288"/>
        </w:trPr>
        <w:tc>
          <w:tcPr>
            <w:tcW w:w="780" w:type="dxa"/>
            <w:noWrap/>
            <w:hideMark/>
          </w:tcPr>
          <w:p w14:paraId="640FED6F"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2</w:t>
            </w:r>
          </w:p>
        </w:tc>
        <w:tc>
          <w:tcPr>
            <w:tcW w:w="920" w:type="dxa"/>
            <w:noWrap/>
            <w:hideMark/>
          </w:tcPr>
          <w:p w14:paraId="5214B695"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6</w:t>
            </w:r>
          </w:p>
        </w:tc>
        <w:tc>
          <w:tcPr>
            <w:tcW w:w="6418" w:type="dxa"/>
            <w:noWrap/>
            <w:hideMark/>
          </w:tcPr>
          <w:p w14:paraId="7FAD443F"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Agrochemical contamination of groundwater can pose a risk to human health.</w:t>
            </w:r>
          </w:p>
        </w:tc>
        <w:tc>
          <w:tcPr>
            <w:tcW w:w="1346" w:type="dxa"/>
            <w:noWrap/>
            <w:hideMark/>
          </w:tcPr>
          <w:p w14:paraId="35202816"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92.67</w:t>
            </w:r>
          </w:p>
        </w:tc>
      </w:tr>
      <w:tr w:rsidR="00703423" w:rsidRPr="00554EC8" w14:paraId="16B0A094" w14:textId="77777777" w:rsidTr="00703423">
        <w:tblPrEx>
          <w:tblLook w:val="04A0" w:firstRow="1" w:lastRow="0" w:firstColumn="1" w:lastColumn="0" w:noHBand="0" w:noVBand="1"/>
        </w:tblPrEx>
        <w:trPr>
          <w:trHeight w:val="288"/>
        </w:trPr>
        <w:tc>
          <w:tcPr>
            <w:tcW w:w="780" w:type="dxa"/>
            <w:noWrap/>
            <w:hideMark/>
          </w:tcPr>
          <w:p w14:paraId="21A0126F"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3</w:t>
            </w:r>
          </w:p>
        </w:tc>
        <w:tc>
          <w:tcPr>
            <w:tcW w:w="920" w:type="dxa"/>
            <w:noWrap/>
            <w:hideMark/>
          </w:tcPr>
          <w:p w14:paraId="14EFDF0E"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15</w:t>
            </w:r>
          </w:p>
        </w:tc>
        <w:tc>
          <w:tcPr>
            <w:tcW w:w="6418" w:type="dxa"/>
            <w:noWrap/>
            <w:hideMark/>
          </w:tcPr>
          <w:p w14:paraId="514CCE70" w14:textId="77777777" w:rsidR="00703423" w:rsidRPr="00554EC8" w:rsidRDefault="00703423" w:rsidP="00600E25">
            <w:pPr>
              <w:rPr>
                <w:rFonts w:ascii="Times New Roman" w:hAnsi="Times New Roman" w:cs="Times New Roman"/>
                <w:bCs/>
                <w:sz w:val="20"/>
                <w:szCs w:val="20"/>
              </w:rPr>
            </w:pPr>
            <w:r w:rsidRPr="00554EC8">
              <w:rPr>
                <w:rFonts w:ascii="Times New Roman" w:hAnsi="Times New Roman" w:cs="Times New Roman"/>
                <w:bCs/>
                <w:sz w:val="20"/>
                <w:szCs w:val="20"/>
              </w:rPr>
              <w:t>Consumption of agrochemical</w:t>
            </w:r>
            <w:r w:rsidR="00600E25">
              <w:rPr>
                <w:rFonts w:ascii="Times New Roman" w:hAnsi="Times New Roman" w:cs="Times New Roman"/>
                <w:bCs/>
                <w:sz w:val="20"/>
                <w:szCs w:val="20"/>
              </w:rPr>
              <w:t>-</w:t>
            </w:r>
            <w:r w:rsidRPr="00554EC8">
              <w:rPr>
                <w:rFonts w:ascii="Times New Roman" w:hAnsi="Times New Roman" w:cs="Times New Roman"/>
                <w:bCs/>
                <w:sz w:val="20"/>
                <w:szCs w:val="20"/>
              </w:rPr>
              <w:t>contaminated drinking water causes health hazards.</w:t>
            </w:r>
          </w:p>
        </w:tc>
        <w:tc>
          <w:tcPr>
            <w:tcW w:w="1346" w:type="dxa"/>
            <w:noWrap/>
            <w:hideMark/>
          </w:tcPr>
          <w:p w14:paraId="0A987AEE"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88.67</w:t>
            </w:r>
          </w:p>
        </w:tc>
      </w:tr>
      <w:tr w:rsidR="00703423" w:rsidRPr="00554EC8" w14:paraId="2B5F8286" w14:textId="77777777" w:rsidTr="00703423">
        <w:tblPrEx>
          <w:tblLook w:val="04A0" w:firstRow="1" w:lastRow="0" w:firstColumn="1" w:lastColumn="0" w:noHBand="0" w:noVBand="1"/>
        </w:tblPrEx>
        <w:trPr>
          <w:trHeight w:val="288"/>
        </w:trPr>
        <w:tc>
          <w:tcPr>
            <w:tcW w:w="780" w:type="dxa"/>
            <w:noWrap/>
            <w:hideMark/>
          </w:tcPr>
          <w:p w14:paraId="110D1660"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4</w:t>
            </w:r>
          </w:p>
        </w:tc>
        <w:tc>
          <w:tcPr>
            <w:tcW w:w="920" w:type="dxa"/>
            <w:noWrap/>
            <w:hideMark/>
          </w:tcPr>
          <w:p w14:paraId="3E2014BA"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25</w:t>
            </w:r>
          </w:p>
        </w:tc>
        <w:tc>
          <w:tcPr>
            <w:tcW w:w="6418" w:type="dxa"/>
            <w:noWrap/>
            <w:hideMark/>
          </w:tcPr>
          <w:p w14:paraId="6FC7F1B8"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 xml:space="preserve">Inhaling agrochemicals during application can cause respiratory issues. </w:t>
            </w:r>
          </w:p>
        </w:tc>
        <w:tc>
          <w:tcPr>
            <w:tcW w:w="1346" w:type="dxa"/>
            <w:noWrap/>
            <w:hideMark/>
          </w:tcPr>
          <w:p w14:paraId="64910AFD"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91.33</w:t>
            </w:r>
          </w:p>
        </w:tc>
      </w:tr>
      <w:tr w:rsidR="00703423" w:rsidRPr="00554EC8" w14:paraId="154A83D5" w14:textId="77777777" w:rsidTr="00703423">
        <w:tblPrEx>
          <w:tblLook w:val="04A0" w:firstRow="1" w:lastRow="0" w:firstColumn="1" w:lastColumn="0" w:noHBand="0" w:noVBand="1"/>
        </w:tblPrEx>
        <w:trPr>
          <w:trHeight w:val="288"/>
        </w:trPr>
        <w:tc>
          <w:tcPr>
            <w:tcW w:w="780" w:type="dxa"/>
            <w:noWrap/>
            <w:hideMark/>
          </w:tcPr>
          <w:p w14:paraId="0A1F16C4"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5</w:t>
            </w:r>
          </w:p>
        </w:tc>
        <w:tc>
          <w:tcPr>
            <w:tcW w:w="920" w:type="dxa"/>
            <w:noWrap/>
            <w:hideMark/>
          </w:tcPr>
          <w:p w14:paraId="65B906A3"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28</w:t>
            </w:r>
          </w:p>
        </w:tc>
        <w:tc>
          <w:tcPr>
            <w:tcW w:w="6418" w:type="dxa"/>
            <w:noWrap/>
            <w:hideMark/>
          </w:tcPr>
          <w:p w14:paraId="06408637"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Protective equipment is essential to prevent inhalation of agrochemicals during application.</w:t>
            </w:r>
          </w:p>
        </w:tc>
        <w:tc>
          <w:tcPr>
            <w:tcW w:w="1346" w:type="dxa"/>
            <w:noWrap/>
            <w:hideMark/>
          </w:tcPr>
          <w:p w14:paraId="7469AE24"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91.33</w:t>
            </w:r>
          </w:p>
        </w:tc>
      </w:tr>
      <w:tr w:rsidR="00703423" w:rsidRPr="00554EC8" w14:paraId="38A077AF" w14:textId="77777777" w:rsidTr="00703423">
        <w:tblPrEx>
          <w:tblLook w:val="04A0" w:firstRow="1" w:lastRow="0" w:firstColumn="1" w:lastColumn="0" w:noHBand="0" w:noVBand="1"/>
        </w:tblPrEx>
        <w:trPr>
          <w:trHeight w:val="288"/>
        </w:trPr>
        <w:tc>
          <w:tcPr>
            <w:tcW w:w="780" w:type="dxa"/>
            <w:noWrap/>
            <w:hideMark/>
          </w:tcPr>
          <w:p w14:paraId="66B03374"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6</w:t>
            </w:r>
          </w:p>
        </w:tc>
        <w:tc>
          <w:tcPr>
            <w:tcW w:w="920" w:type="dxa"/>
            <w:noWrap/>
            <w:hideMark/>
          </w:tcPr>
          <w:p w14:paraId="10B2E85F"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29</w:t>
            </w:r>
          </w:p>
        </w:tc>
        <w:tc>
          <w:tcPr>
            <w:tcW w:w="6418" w:type="dxa"/>
            <w:noWrap/>
            <w:hideMark/>
          </w:tcPr>
          <w:p w14:paraId="3A894853"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Long-term exposure to airborne agrochemicals can lead to chronic respiratory diseases.</w:t>
            </w:r>
          </w:p>
        </w:tc>
        <w:tc>
          <w:tcPr>
            <w:tcW w:w="1346" w:type="dxa"/>
            <w:noWrap/>
            <w:hideMark/>
          </w:tcPr>
          <w:p w14:paraId="3FA85A64"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85.33</w:t>
            </w:r>
          </w:p>
        </w:tc>
      </w:tr>
      <w:tr w:rsidR="00703423" w:rsidRPr="00554EC8" w14:paraId="5C9B6328" w14:textId="77777777" w:rsidTr="00703423">
        <w:tblPrEx>
          <w:tblLook w:val="04A0" w:firstRow="1" w:lastRow="0" w:firstColumn="1" w:lastColumn="0" w:noHBand="0" w:noVBand="1"/>
        </w:tblPrEx>
        <w:trPr>
          <w:trHeight w:val="288"/>
        </w:trPr>
        <w:tc>
          <w:tcPr>
            <w:tcW w:w="780" w:type="dxa"/>
            <w:noWrap/>
            <w:hideMark/>
          </w:tcPr>
          <w:p w14:paraId="7F1C47BE"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7</w:t>
            </w:r>
          </w:p>
        </w:tc>
        <w:tc>
          <w:tcPr>
            <w:tcW w:w="920" w:type="dxa"/>
            <w:noWrap/>
            <w:hideMark/>
          </w:tcPr>
          <w:p w14:paraId="7AF935B0"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30</w:t>
            </w:r>
          </w:p>
        </w:tc>
        <w:tc>
          <w:tcPr>
            <w:tcW w:w="6418" w:type="dxa"/>
            <w:noWrap/>
            <w:hideMark/>
          </w:tcPr>
          <w:p w14:paraId="458D8FE8"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Agrochemical inhalation can worsen existing respiratory conditions such as asthma.</w:t>
            </w:r>
          </w:p>
        </w:tc>
        <w:tc>
          <w:tcPr>
            <w:tcW w:w="1346" w:type="dxa"/>
            <w:noWrap/>
            <w:hideMark/>
          </w:tcPr>
          <w:p w14:paraId="62D69191"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85.33</w:t>
            </w:r>
          </w:p>
        </w:tc>
      </w:tr>
      <w:tr w:rsidR="00703423" w:rsidRPr="00554EC8" w14:paraId="2447E534" w14:textId="77777777" w:rsidTr="00703423">
        <w:tblPrEx>
          <w:tblLook w:val="04A0" w:firstRow="1" w:lastRow="0" w:firstColumn="1" w:lastColumn="0" w:noHBand="0" w:noVBand="1"/>
        </w:tblPrEx>
        <w:trPr>
          <w:trHeight w:val="288"/>
        </w:trPr>
        <w:tc>
          <w:tcPr>
            <w:tcW w:w="780" w:type="dxa"/>
            <w:noWrap/>
            <w:hideMark/>
          </w:tcPr>
          <w:p w14:paraId="5037DC8F"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8</w:t>
            </w:r>
          </w:p>
        </w:tc>
        <w:tc>
          <w:tcPr>
            <w:tcW w:w="920" w:type="dxa"/>
            <w:noWrap/>
            <w:hideMark/>
          </w:tcPr>
          <w:p w14:paraId="0A152A6D"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36</w:t>
            </w:r>
          </w:p>
        </w:tc>
        <w:tc>
          <w:tcPr>
            <w:tcW w:w="6418" w:type="dxa"/>
            <w:noWrap/>
            <w:hideMark/>
          </w:tcPr>
          <w:p w14:paraId="69094E38"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Humans consuming fish exposed to agrochemicals are at risk of health issues.</w:t>
            </w:r>
          </w:p>
        </w:tc>
        <w:tc>
          <w:tcPr>
            <w:tcW w:w="1346" w:type="dxa"/>
            <w:noWrap/>
            <w:hideMark/>
          </w:tcPr>
          <w:p w14:paraId="250AA425"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88.00</w:t>
            </w:r>
          </w:p>
        </w:tc>
      </w:tr>
      <w:tr w:rsidR="00703423" w:rsidRPr="00554EC8" w14:paraId="2936FBA1" w14:textId="77777777" w:rsidTr="00703423">
        <w:tblPrEx>
          <w:tblLook w:val="04A0" w:firstRow="1" w:lastRow="0" w:firstColumn="1" w:lastColumn="0" w:noHBand="0" w:noVBand="1"/>
        </w:tblPrEx>
        <w:trPr>
          <w:trHeight w:val="288"/>
        </w:trPr>
        <w:tc>
          <w:tcPr>
            <w:tcW w:w="780" w:type="dxa"/>
            <w:noWrap/>
            <w:hideMark/>
          </w:tcPr>
          <w:p w14:paraId="7530B37C"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9</w:t>
            </w:r>
          </w:p>
        </w:tc>
        <w:tc>
          <w:tcPr>
            <w:tcW w:w="920" w:type="dxa"/>
            <w:noWrap/>
            <w:hideMark/>
          </w:tcPr>
          <w:p w14:paraId="686293B5"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46</w:t>
            </w:r>
          </w:p>
        </w:tc>
        <w:tc>
          <w:tcPr>
            <w:tcW w:w="6418" w:type="dxa"/>
            <w:noWrap/>
            <w:hideMark/>
          </w:tcPr>
          <w:p w14:paraId="28C963BE"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Agrochemical residues on fruits and vegetables can pose health risks to consumers.</w:t>
            </w:r>
          </w:p>
        </w:tc>
        <w:tc>
          <w:tcPr>
            <w:tcW w:w="1346" w:type="dxa"/>
            <w:noWrap/>
            <w:hideMark/>
          </w:tcPr>
          <w:p w14:paraId="51043375"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92.67</w:t>
            </w:r>
          </w:p>
        </w:tc>
      </w:tr>
      <w:tr w:rsidR="00703423" w:rsidRPr="00554EC8" w14:paraId="4BD660A5" w14:textId="77777777" w:rsidTr="00703423">
        <w:tblPrEx>
          <w:tblLook w:val="04A0" w:firstRow="1" w:lastRow="0" w:firstColumn="1" w:lastColumn="0" w:noHBand="0" w:noVBand="1"/>
        </w:tblPrEx>
        <w:trPr>
          <w:trHeight w:val="288"/>
        </w:trPr>
        <w:tc>
          <w:tcPr>
            <w:tcW w:w="780" w:type="dxa"/>
            <w:noWrap/>
            <w:hideMark/>
          </w:tcPr>
          <w:p w14:paraId="3D600716"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10</w:t>
            </w:r>
          </w:p>
        </w:tc>
        <w:tc>
          <w:tcPr>
            <w:tcW w:w="920" w:type="dxa"/>
            <w:noWrap/>
            <w:hideMark/>
          </w:tcPr>
          <w:p w14:paraId="27FCA84B"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49</w:t>
            </w:r>
          </w:p>
        </w:tc>
        <w:tc>
          <w:tcPr>
            <w:tcW w:w="6418" w:type="dxa"/>
            <w:noWrap/>
            <w:hideMark/>
          </w:tcPr>
          <w:p w14:paraId="22D0FBCC"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Exposure to agrochemicals can cause immediate health effects such as nausea or dizziness.</w:t>
            </w:r>
          </w:p>
        </w:tc>
        <w:tc>
          <w:tcPr>
            <w:tcW w:w="1346" w:type="dxa"/>
            <w:noWrap/>
            <w:hideMark/>
          </w:tcPr>
          <w:p w14:paraId="46587D94"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86.67</w:t>
            </w:r>
          </w:p>
        </w:tc>
      </w:tr>
      <w:tr w:rsidR="00703423" w:rsidRPr="00554EC8" w14:paraId="34DB3D4D" w14:textId="77777777" w:rsidTr="00703423">
        <w:tblPrEx>
          <w:tblLook w:val="04A0" w:firstRow="1" w:lastRow="0" w:firstColumn="1" w:lastColumn="0" w:noHBand="0" w:noVBand="1"/>
        </w:tblPrEx>
        <w:trPr>
          <w:trHeight w:val="288"/>
        </w:trPr>
        <w:tc>
          <w:tcPr>
            <w:tcW w:w="780" w:type="dxa"/>
            <w:noWrap/>
            <w:hideMark/>
          </w:tcPr>
          <w:p w14:paraId="7A467786"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11</w:t>
            </w:r>
          </w:p>
        </w:tc>
        <w:tc>
          <w:tcPr>
            <w:tcW w:w="920" w:type="dxa"/>
            <w:noWrap/>
            <w:hideMark/>
          </w:tcPr>
          <w:p w14:paraId="7C644ADC"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50</w:t>
            </w:r>
          </w:p>
        </w:tc>
        <w:tc>
          <w:tcPr>
            <w:tcW w:w="6418" w:type="dxa"/>
            <w:noWrap/>
            <w:hideMark/>
          </w:tcPr>
          <w:p w14:paraId="2E98CB71"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Contact with agrochemicals can cause acute skin burns.</w:t>
            </w:r>
          </w:p>
        </w:tc>
        <w:tc>
          <w:tcPr>
            <w:tcW w:w="1346" w:type="dxa"/>
            <w:noWrap/>
            <w:hideMark/>
          </w:tcPr>
          <w:p w14:paraId="36C168B8"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86.67</w:t>
            </w:r>
          </w:p>
        </w:tc>
      </w:tr>
      <w:tr w:rsidR="00703423" w:rsidRPr="00554EC8" w14:paraId="0AE12D22" w14:textId="77777777" w:rsidTr="00703423">
        <w:tblPrEx>
          <w:tblLook w:val="04A0" w:firstRow="1" w:lastRow="0" w:firstColumn="1" w:lastColumn="0" w:noHBand="0" w:noVBand="1"/>
        </w:tblPrEx>
        <w:trPr>
          <w:trHeight w:val="288"/>
        </w:trPr>
        <w:tc>
          <w:tcPr>
            <w:tcW w:w="780" w:type="dxa"/>
            <w:noWrap/>
            <w:hideMark/>
          </w:tcPr>
          <w:p w14:paraId="59CB805F"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12</w:t>
            </w:r>
          </w:p>
        </w:tc>
        <w:tc>
          <w:tcPr>
            <w:tcW w:w="920" w:type="dxa"/>
            <w:noWrap/>
            <w:hideMark/>
          </w:tcPr>
          <w:p w14:paraId="6F08AEB3"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51</w:t>
            </w:r>
          </w:p>
        </w:tc>
        <w:tc>
          <w:tcPr>
            <w:tcW w:w="6418" w:type="dxa"/>
            <w:noWrap/>
            <w:hideMark/>
          </w:tcPr>
          <w:p w14:paraId="3B230256"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Splashing agrochemicals into the eyes can cause immediate eye irritation or damage.</w:t>
            </w:r>
          </w:p>
        </w:tc>
        <w:tc>
          <w:tcPr>
            <w:tcW w:w="1346" w:type="dxa"/>
            <w:noWrap/>
            <w:hideMark/>
          </w:tcPr>
          <w:p w14:paraId="491D7A14"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92.67</w:t>
            </w:r>
          </w:p>
        </w:tc>
      </w:tr>
      <w:tr w:rsidR="00703423" w:rsidRPr="00554EC8" w14:paraId="159E9F59" w14:textId="77777777" w:rsidTr="00703423">
        <w:tblPrEx>
          <w:tblLook w:val="04A0" w:firstRow="1" w:lastRow="0" w:firstColumn="1" w:lastColumn="0" w:noHBand="0" w:noVBand="1"/>
        </w:tblPrEx>
        <w:trPr>
          <w:trHeight w:val="288"/>
        </w:trPr>
        <w:tc>
          <w:tcPr>
            <w:tcW w:w="780" w:type="dxa"/>
            <w:noWrap/>
            <w:hideMark/>
          </w:tcPr>
          <w:p w14:paraId="7B8D18FC"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13</w:t>
            </w:r>
          </w:p>
        </w:tc>
        <w:tc>
          <w:tcPr>
            <w:tcW w:w="920" w:type="dxa"/>
            <w:noWrap/>
            <w:hideMark/>
          </w:tcPr>
          <w:p w14:paraId="6F047F1E"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52</w:t>
            </w:r>
          </w:p>
        </w:tc>
        <w:tc>
          <w:tcPr>
            <w:tcW w:w="6418" w:type="dxa"/>
            <w:noWrap/>
            <w:hideMark/>
          </w:tcPr>
          <w:p w14:paraId="1A8DA09B"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Skin contact with agrochemicals can lead to rashes or irritation.</w:t>
            </w:r>
          </w:p>
        </w:tc>
        <w:tc>
          <w:tcPr>
            <w:tcW w:w="1346" w:type="dxa"/>
            <w:noWrap/>
            <w:hideMark/>
          </w:tcPr>
          <w:p w14:paraId="465713C7"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87.33</w:t>
            </w:r>
          </w:p>
        </w:tc>
      </w:tr>
      <w:tr w:rsidR="00703423" w:rsidRPr="00554EC8" w14:paraId="1328F962" w14:textId="77777777" w:rsidTr="00703423">
        <w:tblPrEx>
          <w:tblLook w:val="04A0" w:firstRow="1" w:lastRow="0" w:firstColumn="1" w:lastColumn="0" w:noHBand="0" w:noVBand="1"/>
        </w:tblPrEx>
        <w:trPr>
          <w:trHeight w:val="288"/>
        </w:trPr>
        <w:tc>
          <w:tcPr>
            <w:tcW w:w="780" w:type="dxa"/>
            <w:noWrap/>
            <w:hideMark/>
          </w:tcPr>
          <w:p w14:paraId="0153DBF3"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14</w:t>
            </w:r>
          </w:p>
        </w:tc>
        <w:tc>
          <w:tcPr>
            <w:tcW w:w="920" w:type="dxa"/>
            <w:noWrap/>
            <w:hideMark/>
          </w:tcPr>
          <w:p w14:paraId="092998C0"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54</w:t>
            </w:r>
          </w:p>
        </w:tc>
        <w:tc>
          <w:tcPr>
            <w:tcW w:w="6418" w:type="dxa"/>
            <w:noWrap/>
            <w:hideMark/>
          </w:tcPr>
          <w:p w14:paraId="1BD5BC52"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Consuming food with agrochemical residues can lead to gastrointestinal problems.</w:t>
            </w:r>
          </w:p>
        </w:tc>
        <w:tc>
          <w:tcPr>
            <w:tcW w:w="1346" w:type="dxa"/>
            <w:noWrap/>
            <w:hideMark/>
          </w:tcPr>
          <w:p w14:paraId="71A6481A"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90.67</w:t>
            </w:r>
          </w:p>
        </w:tc>
      </w:tr>
      <w:tr w:rsidR="00703423" w:rsidRPr="00554EC8" w14:paraId="371B108C" w14:textId="77777777" w:rsidTr="00703423">
        <w:tblPrEx>
          <w:tblLook w:val="04A0" w:firstRow="1" w:lastRow="0" w:firstColumn="1" w:lastColumn="0" w:noHBand="0" w:noVBand="1"/>
        </w:tblPrEx>
        <w:trPr>
          <w:trHeight w:val="288"/>
        </w:trPr>
        <w:tc>
          <w:tcPr>
            <w:tcW w:w="780" w:type="dxa"/>
            <w:noWrap/>
            <w:hideMark/>
          </w:tcPr>
          <w:p w14:paraId="25F3DE13"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15</w:t>
            </w:r>
          </w:p>
        </w:tc>
        <w:tc>
          <w:tcPr>
            <w:tcW w:w="920" w:type="dxa"/>
            <w:noWrap/>
            <w:hideMark/>
          </w:tcPr>
          <w:p w14:paraId="179B3E98"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55</w:t>
            </w:r>
          </w:p>
        </w:tc>
        <w:tc>
          <w:tcPr>
            <w:tcW w:w="6418" w:type="dxa"/>
            <w:noWrap/>
            <w:hideMark/>
          </w:tcPr>
          <w:p w14:paraId="39BD0FD5"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Agrochemicals can cause headaches or migraines</w:t>
            </w:r>
          </w:p>
        </w:tc>
        <w:tc>
          <w:tcPr>
            <w:tcW w:w="1346" w:type="dxa"/>
            <w:noWrap/>
            <w:hideMark/>
          </w:tcPr>
          <w:p w14:paraId="25152437"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85.33</w:t>
            </w:r>
          </w:p>
        </w:tc>
      </w:tr>
      <w:tr w:rsidR="00703423" w:rsidRPr="00554EC8" w14:paraId="7F069C79" w14:textId="77777777" w:rsidTr="00703423">
        <w:tblPrEx>
          <w:tblLook w:val="04A0" w:firstRow="1" w:lastRow="0" w:firstColumn="1" w:lastColumn="0" w:noHBand="0" w:noVBand="1"/>
        </w:tblPrEx>
        <w:trPr>
          <w:trHeight w:val="288"/>
        </w:trPr>
        <w:tc>
          <w:tcPr>
            <w:tcW w:w="780" w:type="dxa"/>
            <w:noWrap/>
            <w:hideMark/>
          </w:tcPr>
          <w:p w14:paraId="2456980A"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16</w:t>
            </w:r>
          </w:p>
        </w:tc>
        <w:tc>
          <w:tcPr>
            <w:tcW w:w="920" w:type="dxa"/>
            <w:noWrap/>
            <w:hideMark/>
          </w:tcPr>
          <w:p w14:paraId="29136E8F"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56</w:t>
            </w:r>
          </w:p>
        </w:tc>
        <w:tc>
          <w:tcPr>
            <w:tcW w:w="6418" w:type="dxa"/>
            <w:noWrap/>
            <w:hideMark/>
          </w:tcPr>
          <w:p w14:paraId="69851CE4"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Cancer rates are higher among people frequently exposed to agrochemicals.</w:t>
            </w:r>
          </w:p>
        </w:tc>
        <w:tc>
          <w:tcPr>
            <w:tcW w:w="1346" w:type="dxa"/>
            <w:noWrap/>
            <w:hideMark/>
          </w:tcPr>
          <w:p w14:paraId="32B258D4"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85.33</w:t>
            </w:r>
          </w:p>
        </w:tc>
      </w:tr>
      <w:tr w:rsidR="00703423" w:rsidRPr="00554EC8" w14:paraId="2A5A5BF0" w14:textId="77777777" w:rsidTr="00703423">
        <w:tblPrEx>
          <w:tblLook w:val="04A0" w:firstRow="1" w:lastRow="0" w:firstColumn="1" w:lastColumn="0" w:noHBand="0" w:noVBand="1"/>
        </w:tblPrEx>
        <w:trPr>
          <w:trHeight w:val="288"/>
        </w:trPr>
        <w:tc>
          <w:tcPr>
            <w:tcW w:w="780" w:type="dxa"/>
            <w:noWrap/>
            <w:hideMark/>
          </w:tcPr>
          <w:p w14:paraId="3BADB788"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17</w:t>
            </w:r>
          </w:p>
        </w:tc>
        <w:tc>
          <w:tcPr>
            <w:tcW w:w="920" w:type="dxa"/>
            <w:noWrap/>
            <w:hideMark/>
          </w:tcPr>
          <w:p w14:paraId="1266B3B3"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58</w:t>
            </w:r>
          </w:p>
        </w:tc>
        <w:tc>
          <w:tcPr>
            <w:tcW w:w="6418" w:type="dxa"/>
            <w:noWrap/>
            <w:hideMark/>
          </w:tcPr>
          <w:p w14:paraId="0908A4F6"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Communities near agricultural fields have higher disease rates due to agrochemical exposure.</w:t>
            </w:r>
          </w:p>
        </w:tc>
        <w:tc>
          <w:tcPr>
            <w:tcW w:w="1346" w:type="dxa"/>
            <w:noWrap/>
            <w:hideMark/>
          </w:tcPr>
          <w:p w14:paraId="2BAD170F"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85.33</w:t>
            </w:r>
          </w:p>
        </w:tc>
      </w:tr>
      <w:tr w:rsidR="00703423" w:rsidRPr="00554EC8" w14:paraId="6AF90511" w14:textId="77777777" w:rsidTr="00703423">
        <w:tblPrEx>
          <w:tblLook w:val="04A0" w:firstRow="1" w:lastRow="0" w:firstColumn="1" w:lastColumn="0" w:noHBand="0" w:noVBand="1"/>
        </w:tblPrEx>
        <w:trPr>
          <w:trHeight w:val="288"/>
        </w:trPr>
        <w:tc>
          <w:tcPr>
            <w:tcW w:w="780" w:type="dxa"/>
            <w:noWrap/>
            <w:hideMark/>
          </w:tcPr>
          <w:p w14:paraId="6785D695"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18</w:t>
            </w:r>
          </w:p>
        </w:tc>
        <w:tc>
          <w:tcPr>
            <w:tcW w:w="920" w:type="dxa"/>
            <w:noWrap/>
            <w:hideMark/>
          </w:tcPr>
          <w:p w14:paraId="14860E83"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60</w:t>
            </w:r>
          </w:p>
        </w:tc>
        <w:tc>
          <w:tcPr>
            <w:tcW w:w="6418" w:type="dxa"/>
            <w:noWrap/>
            <w:hideMark/>
          </w:tcPr>
          <w:p w14:paraId="75E77F25"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Agrochemicals can cause skin diseases or allergies.</w:t>
            </w:r>
          </w:p>
        </w:tc>
        <w:tc>
          <w:tcPr>
            <w:tcW w:w="1346" w:type="dxa"/>
            <w:noWrap/>
            <w:hideMark/>
          </w:tcPr>
          <w:p w14:paraId="4D059A30"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86.00</w:t>
            </w:r>
          </w:p>
        </w:tc>
      </w:tr>
      <w:tr w:rsidR="00703423" w:rsidRPr="00554EC8" w14:paraId="4B8ACC4D" w14:textId="77777777" w:rsidTr="00703423">
        <w:tblPrEx>
          <w:tblLook w:val="04A0" w:firstRow="1" w:lastRow="0" w:firstColumn="1" w:lastColumn="0" w:noHBand="0" w:noVBand="1"/>
        </w:tblPrEx>
        <w:trPr>
          <w:trHeight w:val="288"/>
        </w:trPr>
        <w:tc>
          <w:tcPr>
            <w:tcW w:w="780" w:type="dxa"/>
            <w:noWrap/>
            <w:hideMark/>
          </w:tcPr>
          <w:p w14:paraId="6E445103"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19</w:t>
            </w:r>
          </w:p>
        </w:tc>
        <w:tc>
          <w:tcPr>
            <w:tcW w:w="920" w:type="dxa"/>
            <w:noWrap/>
            <w:hideMark/>
          </w:tcPr>
          <w:p w14:paraId="4DE4D966"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61</w:t>
            </w:r>
          </w:p>
        </w:tc>
        <w:tc>
          <w:tcPr>
            <w:tcW w:w="6418" w:type="dxa"/>
            <w:noWrap/>
            <w:hideMark/>
          </w:tcPr>
          <w:p w14:paraId="5F74FAE4"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Children are more vulnerable to the health effects of agrochemicals.</w:t>
            </w:r>
          </w:p>
        </w:tc>
        <w:tc>
          <w:tcPr>
            <w:tcW w:w="1346" w:type="dxa"/>
            <w:noWrap/>
            <w:hideMark/>
          </w:tcPr>
          <w:p w14:paraId="25C9D8B1"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87.33</w:t>
            </w:r>
          </w:p>
        </w:tc>
      </w:tr>
      <w:tr w:rsidR="00703423" w:rsidRPr="00554EC8" w14:paraId="20FB331E" w14:textId="77777777" w:rsidTr="00703423">
        <w:tblPrEx>
          <w:tblLook w:val="04A0" w:firstRow="1" w:lastRow="0" w:firstColumn="1" w:lastColumn="0" w:noHBand="0" w:noVBand="1"/>
        </w:tblPrEx>
        <w:trPr>
          <w:trHeight w:val="288"/>
        </w:trPr>
        <w:tc>
          <w:tcPr>
            <w:tcW w:w="780" w:type="dxa"/>
            <w:noWrap/>
            <w:hideMark/>
          </w:tcPr>
          <w:p w14:paraId="26CC832F"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20</w:t>
            </w:r>
          </w:p>
        </w:tc>
        <w:tc>
          <w:tcPr>
            <w:tcW w:w="920" w:type="dxa"/>
            <w:noWrap/>
            <w:hideMark/>
          </w:tcPr>
          <w:p w14:paraId="0ED17A6B"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62</w:t>
            </w:r>
          </w:p>
        </w:tc>
        <w:tc>
          <w:tcPr>
            <w:tcW w:w="6418" w:type="dxa"/>
            <w:noWrap/>
            <w:hideMark/>
          </w:tcPr>
          <w:p w14:paraId="15521445"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Agrochemical residues in drinking water pose a health risk</w:t>
            </w:r>
          </w:p>
        </w:tc>
        <w:tc>
          <w:tcPr>
            <w:tcW w:w="1346" w:type="dxa"/>
            <w:noWrap/>
            <w:hideMark/>
          </w:tcPr>
          <w:p w14:paraId="08E053CA"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88.67</w:t>
            </w:r>
          </w:p>
        </w:tc>
      </w:tr>
      <w:tr w:rsidR="00703423" w:rsidRPr="00554EC8" w14:paraId="036F2EA3" w14:textId="77777777" w:rsidTr="00703423">
        <w:tblPrEx>
          <w:tblLook w:val="04A0" w:firstRow="1" w:lastRow="0" w:firstColumn="1" w:lastColumn="0" w:noHBand="0" w:noVBand="1"/>
        </w:tblPrEx>
        <w:trPr>
          <w:trHeight w:val="288"/>
        </w:trPr>
        <w:tc>
          <w:tcPr>
            <w:tcW w:w="780" w:type="dxa"/>
            <w:noWrap/>
            <w:hideMark/>
          </w:tcPr>
          <w:p w14:paraId="5FE4CB5B"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21</w:t>
            </w:r>
          </w:p>
        </w:tc>
        <w:tc>
          <w:tcPr>
            <w:tcW w:w="920" w:type="dxa"/>
            <w:noWrap/>
            <w:hideMark/>
          </w:tcPr>
          <w:p w14:paraId="675A4A82"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63</w:t>
            </w:r>
          </w:p>
        </w:tc>
        <w:tc>
          <w:tcPr>
            <w:tcW w:w="6418" w:type="dxa"/>
            <w:noWrap/>
            <w:hideMark/>
          </w:tcPr>
          <w:p w14:paraId="0DE93F03"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br/>
              <w:t>Long-term exposure to agrochemicals can lead to chronic health conditions.</w:t>
            </w:r>
          </w:p>
        </w:tc>
        <w:tc>
          <w:tcPr>
            <w:tcW w:w="1346" w:type="dxa"/>
            <w:noWrap/>
            <w:hideMark/>
          </w:tcPr>
          <w:p w14:paraId="48230B24"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89.33</w:t>
            </w:r>
          </w:p>
        </w:tc>
      </w:tr>
      <w:tr w:rsidR="00703423" w:rsidRPr="00554EC8" w14:paraId="4C0D8AA6" w14:textId="77777777" w:rsidTr="00703423">
        <w:tblPrEx>
          <w:tblLook w:val="04A0" w:firstRow="1" w:lastRow="0" w:firstColumn="1" w:lastColumn="0" w:noHBand="0" w:noVBand="1"/>
        </w:tblPrEx>
        <w:trPr>
          <w:trHeight w:val="288"/>
        </w:trPr>
        <w:tc>
          <w:tcPr>
            <w:tcW w:w="780" w:type="dxa"/>
            <w:noWrap/>
            <w:hideMark/>
          </w:tcPr>
          <w:p w14:paraId="5B5CCC6D"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22</w:t>
            </w:r>
          </w:p>
        </w:tc>
        <w:tc>
          <w:tcPr>
            <w:tcW w:w="920" w:type="dxa"/>
            <w:noWrap/>
            <w:hideMark/>
          </w:tcPr>
          <w:p w14:paraId="121B47B2"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64</w:t>
            </w:r>
          </w:p>
        </w:tc>
        <w:tc>
          <w:tcPr>
            <w:tcW w:w="6418" w:type="dxa"/>
            <w:noWrap/>
            <w:hideMark/>
          </w:tcPr>
          <w:p w14:paraId="3B9A1FD4"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Agrochemicals can have cumulative health effects over time.</w:t>
            </w:r>
          </w:p>
        </w:tc>
        <w:tc>
          <w:tcPr>
            <w:tcW w:w="1346" w:type="dxa"/>
            <w:noWrap/>
            <w:hideMark/>
          </w:tcPr>
          <w:p w14:paraId="22C3C948"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86.67</w:t>
            </w:r>
          </w:p>
        </w:tc>
      </w:tr>
      <w:tr w:rsidR="00703423" w:rsidRPr="00554EC8" w14:paraId="60A6D3F8" w14:textId="77777777" w:rsidTr="00703423">
        <w:tblPrEx>
          <w:tblLook w:val="04A0" w:firstRow="1" w:lastRow="0" w:firstColumn="1" w:lastColumn="0" w:noHBand="0" w:noVBand="1"/>
        </w:tblPrEx>
        <w:trPr>
          <w:trHeight w:val="288"/>
        </w:trPr>
        <w:tc>
          <w:tcPr>
            <w:tcW w:w="780" w:type="dxa"/>
            <w:noWrap/>
            <w:hideMark/>
          </w:tcPr>
          <w:p w14:paraId="3E8CE4B0"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23</w:t>
            </w:r>
          </w:p>
        </w:tc>
        <w:tc>
          <w:tcPr>
            <w:tcW w:w="920" w:type="dxa"/>
            <w:noWrap/>
            <w:hideMark/>
          </w:tcPr>
          <w:p w14:paraId="3E2DFA5F"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65</w:t>
            </w:r>
          </w:p>
        </w:tc>
        <w:tc>
          <w:tcPr>
            <w:tcW w:w="6418" w:type="dxa"/>
            <w:noWrap/>
            <w:hideMark/>
          </w:tcPr>
          <w:p w14:paraId="04EADE77"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More research is needed to understand the long-term health effects of agrochemicals.</w:t>
            </w:r>
          </w:p>
        </w:tc>
        <w:tc>
          <w:tcPr>
            <w:tcW w:w="1346" w:type="dxa"/>
            <w:noWrap/>
            <w:hideMark/>
          </w:tcPr>
          <w:p w14:paraId="41652770"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89.33</w:t>
            </w:r>
          </w:p>
        </w:tc>
      </w:tr>
      <w:tr w:rsidR="00703423" w:rsidRPr="00554EC8" w14:paraId="101A42D5" w14:textId="77777777" w:rsidTr="00703423">
        <w:tblPrEx>
          <w:tblLook w:val="04A0" w:firstRow="1" w:lastRow="0" w:firstColumn="1" w:lastColumn="0" w:noHBand="0" w:noVBand="1"/>
        </w:tblPrEx>
        <w:trPr>
          <w:trHeight w:val="288"/>
        </w:trPr>
        <w:tc>
          <w:tcPr>
            <w:tcW w:w="780" w:type="dxa"/>
            <w:noWrap/>
            <w:hideMark/>
          </w:tcPr>
          <w:p w14:paraId="7B1EBA97"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24</w:t>
            </w:r>
          </w:p>
        </w:tc>
        <w:tc>
          <w:tcPr>
            <w:tcW w:w="920" w:type="dxa"/>
            <w:noWrap/>
            <w:hideMark/>
          </w:tcPr>
          <w:p w14:paraId="64E92977" w14:textId="77777777" w:rsidR="00703423" w:rsidRPr="00554EC8" w:rsidRDefault="00703423" w:rsidP="00554EC8">
            <w:pPr>
              <w:rPr>
                <w:rFonts w:ascii="Times New Roman" w:hAnsi="Times New Roman" w:cs="Times New Roman"/>
                <w:bCs/>
                <w:sz w:val="20"/>
                <w:szCs w:val="20"/>
              </w:rPr>
            </w:pPr>
            <w:r w:rsidRPr="00554EC8">
              <w:rPr>
                <w:rFonts w:ascii="Times New Roman" w:hAnsi="Times New Roman" w:cs="Times New Roman"/>
                <w:bCs/>
                <w:sz w:val="20"/>
                <w:szCs w:val="20"/>
              </w:rPr>
              <w:t>66</w:t>
            </w:r>
          </w:p>
        </w:tc>
        <w:tc>
          <w:tcPr>
            <w:tcW w:w="6418" w:type="dxa"/>
            <w:noWrap/>
            <w:hideMark/>
          </w:tcPr>
          <w:p w14:paraId="5FE8A8C0" w14:textId="77777777" w:rsidR="00703423" w:rsidRPr="00554EC8" w:rsidRDefault="00703423">
            <w:pPr>
              <w:rPr>
                <w:rFonts w:ascii="Times New Roman" w:hAnsi="Times New Roman" w:cs="Times New Roman"/>
                <w:bCs/>
                <w:sz w:val="20"/>
                <w:szCs w:val="20"/>
              </w:rPr>
            </w:pPr>
            <w:r w:rsidRPr="00554EC8">
              <w:rPr>
                <w:rFonts w:ascii="Times New Roman" w:hAnsi="Times New Roman" w:cs="Times New Roman"/>
                <w:bCs/>
                <w:sz w:val="20"/>
                <w:szCs w:val="20"/>
              </w:rPr>
              <w:t>Adopting safer agricultural practices can reduce health risks.</w:t>
            </w:r>
          </w:p>
        </w:tc>
        <w:tc>
          <w:tcPr>
            <w:tcW w:w="1346" w:type="dxa"/>
            <w:noWrap/>
            <w:hideMark/>
          </w:tcPr>
          <w:p w14:paraId="7B9EA483" w14:textId="77777777" w:rsidR="00703423" w:rsidRPr="00554EC8" w:rsidRDefault="00703423" w:rsidP="005D2350">
            <w:pPr>
              <w:jc w:val="center"/>
              <w:rPr>
                <w:rFonts w:ascii="Times New Roman" w:hAnsi="Times New Roman" w:cs="Times New Roman"/>
                <w:bCs/>
                <w:sz w:val="20"/>
                <w:szCs w:val="20"/>
              </w:rPr>
            </w:pPr>
            <w:r w:rsidRPr="00554EC8">
              <w:rPr>
                <w:rFonts w:ascii="Times New Roman" w:hAnsi="Times New Roman" w:cs="Times New Roman"/>
                <w:bCs/>
                <w:sz w:val="20"/>
                <w:szCs w:val="20"/>
              </w:rPr>
              <w:t>92.00</w:t>
            </w:r>
          </w:p>
        </w:tc>
      </w:tr>
    </w:tbl>
    <w:p w14:paraId="5A82A7FD" w14:textId="77777777" w:rsidR="00F52F50" w:rsidRDefault="00F52F50" w:rsidP="002F6F1E">
      <w:pPr>
        <w:rPr>
          <w:b/>
          <w:bCs/>
        </w:rPr>
      </w:pPr>
      <w:r w:rsidRPr="00F52F50">
        <w:rPr>
          <w:b/>
          <w:bCs/>
        </w:rPr>
        <w:t>Item Analysis:</w:t>
      </w:r>
    </w:p>
    <w:p w14:paraId="6173811B" w14:textId="77777777" w:rsidR="00F52F50" w:rsidRPr="00F52F50" w:rsidRDefault="00F52F50" w:rsidP="002F6F1E">
      <w:pPr>
        <w:rPr>
          <w:b/>
          <w:bCs/>
        </w:rPr>
      </w:pPr>
      <w:r w:rsidRPr="00F52F50">
        <w:rPr>
          <w:rFonts w:ascii="Times New Roman" w:hAnsi="Times New Roman" w:cs="Times New Roman"/>
          <w:sz w:val="24"/>
          <w:szCs w:val="24"/>
        </w:rPr>
        <w:t xml:space="preserve">After that, with the help of a revised </w:t>
      </w:r>
      <w:r w:rsidR="000666DD">
        <w:rPr>
          <w:rFonts w:ascii="Times New Roman" w:hAnsi="Times New Roman" w:cs="Times New Roman"/>
          <w:sz w:val="24"/>
          <w:szCs w:val="24"/>
        </w:rPr>
        <w:t>list of items</w:t>
      </w:r>
      <w:r w:rsidRPr="00F52F50">
        <w:rPr>
          <w:rFonts w:ascii="Times New Roman" w:hAnsi="Times New Roman" w:cs="Times New Roman"/>
          <w:sz w:val="24"/>
          <w:szCs w:val="24"/>
        </w:rPr>
        <w:t>, a field-level test was done among 190 farmers of three different agro</w:t>
      </w:r>
      <w:r w:rsidR="000666DD">
        <w:rPr>
          <w:rFonts w:ascii="Times New Roman" w:hAnsi="Times New Roman" w:cs="Times New Roman"/>
          <w:sz w:val="24"/>
          <w:szCs w:val="24"/>
        </w:rPr>
        <w:t>-</w:t>
      </w:r>
      <w:r w:rsidR="005B423A">
        <w:rPr>
          <w:rFonts w:ascii="Times New Roman" w:hAnsi="Times New Roman" w:cs="Times New Roman"/>
          <w:sz w:val="24"/>
          <w:szCs w:val="24"/>
        </w:rPr>
        <w:t>climatic regions. That</w:t>
      </w:r>
      <w:r w:rsidRPr="00F52F50">
        <w:rPr>
          <w:rFonts w:ascii="Times New Roman" w:hAnsi="Times New Roman" w:cs="Times New Roman"/>
          <w:sz w:val="24"/>
          <w:szCs w:val="24"/>
        </w:rPr>
        <w:t xml:space="preserve"> survey population include</w:t>
      </w:r>
      <w:r w:rsidR="005B423A">
        <w:rPr>
          <w:rFonts w:ascii="Times New Roman" w:hAnsi="Times New Roman" w:cs="Times New Roman"/>
          <w:sz w:val="24"/>
          <w:szCs w:val="24"/>
        </w:rPr>
        <w:t>d</w:t>
      </w:r>
      <w:r w:rsidRPr="00F52F50">
        <w:rPr>
          <w:rFonts w:ascii="Times New Roman" w:hAnsi="Times New Roman" w:cs="Times New Roman"/>
          <w:sz w:val="24"/>
          <w:szCs w:val="24"/>
        </w:rPr>
        <w:t xml:space="preserve"> 50 fertiliser sellers who also engage</w:t>
      </w:r>
      <w:r w:rsidR="0074064E">
        <w:rPr>
          <w:rFonts w:ascii="Times New Roman" w:hAnsi="Times New Roman" w:cs="Times New Roman"/>
          <w:sz w:val="24"/>
          <w:szCs w:val="24"/>
        </w:rPr>
        <w:t>d</w:t>
      </w:r>
      <w:r w:rsidRPr="00F52F50">
        <w:rPr>
          <w:rFonts w:ascii="Times New Roman" w:hAnsi="Times New Roman" w:cs="Times New Roman"/>
          <w:sz w:val="24"/>
          <w:szCs w:val="24"/>
        </w:rPr>
        <w:t xml:space="preserve"> </w:t>
      </w:r>
      <w:r w:rsidR="005B423A">
        <w:rPr>
          <w:rFonts w:ascii="Times New Roman" w:hAnsi="Times New Roman" w:cs="Times New Roman"/>
          <w:sz w:val="24"/>
          <w:szCs w:val="24"/>
        </w:rPr>
        <w:t>in agricultural practices</w:t>
      </w:r>
      <w:r w:rsidRPr="00F52F50">
        <w:rPr>
          <w:rFonts w:ascii="Times New Roman" w:hAnsi="Times New Roman" w:cs="Times New Roman"/>
          <w:sz w:val="24"/>
          <w:szCs w:val="24"/>
        </w:rPr>
        <w:t xml:space="preserve">.  </w:t>
      </w:r>
      <w:r w:rsidR="00434A86" w:rsidRPr="00F52F50">
        <w:rPr>
          <w:rFonts w:ascii="Times New Roman" w:hAnsi="Times New Roman" w:cs="Times New Roman"/>
          <w:sz w:val="24"/>
          <w:szCs w:val="24"/>
        </w:rPr>
        <w:t>Exploratory Factor</w:t>
      </w:r>
      <w:r w:rsidR="00600E25">
        <w:rPr>
          <w:rFonts w:ascii="Times New Roman" w:hAnsi="Times New Roman" w:cs="Times New Roman"/>
          <w:sz w:val="24"/>
          <w:szCs w:val="24"/>
        </w:rPr>
        <w:t xml:space="preserve"> </w:t>
      </w:r>
      <w:r w:rsidR="00434A86" w:rsidRPr="00F52F50">
        <w:rPr>
          <w:rFonts w:ascii="Times New Roman" w:hAnsi="Times New Roman" w:cs="Times New Roman"/>
          <w:sz w:val="24"/>
          <w:szCs w:val="24"/>
        </w:rPr>
        <w:t>Analysis (</w:t>
      </w:r>
      <w:r w:rsidRPr="00F52F50">
        <w:rPr>
          <w:rFonts w:ascii="Times New Roman" w:hAnsi="Times New Roman" w:cs="Times New Roman"/>
          <w:sz w:val="24"/>
          <w:szCs w:val="24"/>
        </w:rPr>
        <w:t>EFA) was conducted to analyse the items.</w:t>
      </w:r>
    </w:p>
    <w:tbl>
      <w:tblPr>
        <w:tblW w:w="59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2"/>
        <w:gridCol w:w="2352"/>
        <w:gridCol w:w="1105"/>
      </w:tblGrid>
      <w:tr w:rsidR="00F53577" w:rsidRPr="00E87AAA" w14:paraId="7CDD98D5" w14:textId="77777777" w:rsidTr="00F52F50">
        <w:trPr>
          <w:cantSplit/>
          <w:jc w:val="center"/>
        </w:trPr>
        <w:tc>
          <w:tcPr>
            <w:tcW w:w="5947" w:type="dxa"/>
            <w:gridSpan w:val="3"/>
            <w:tcBorders>
              <w:top w:val="nil"/>
              <w:left w:val="nil"/>
              <w:bottom w:val="nil"/>
              <w:right w:val="nil"/>
            </w:tcBorders>
            <w:shd w:val="clear" w:color="auto" w:fill="FFFFFF"/>
            <w:vAlign w:val="center"/>
          </w:tcPr>
          <w:p w14:paraId="272CCDBD" w14:textId="2F825BF6" w:rsidR="00F53577" w:rsidRPr="00E87AAA" w:rsidRDefault="00F53577" w:rsidP="00600E25">
            <w:pPr>
              <w:autoSpaceDE w:val="0"/>
              <w:autoSpaceDN w:val="0"/>
              <w:adjustRightInd w:val="0"/>
              <w:spacing w:after="0" w:line="320" w:lineRule="atLeast"/>
              <w:ind w:right="60"/>
              <w:rPr>
                <w:rFonts w:ascii="Arial" w:hAnsi="Arial" w:cs="Arial"/>
                <w:color w:val="000000"/>
                <w:sz w:val="18"/>
                <w:szCs w:val="18"/>
              </w:rPr>
            </w:pPr>
            <w:r>
              <w:rPr>
                <w:rFonts w:ascii="Arial" w:hAnsi="Arial" w:cs="Arial"/>
                <w:b/>
                <w:bCs/>
                <w:color w:val="000000"/>
                <w:sz w:val="18"/>
                <w:szCs w:val="18"/>
              </w:rPr>
              <w:t>Table</w:t>
            </w:r>
            <w:r w:rsidR="00600E25">
              <w:rPr>
                <w:rFonts w:ascii="Arial" w:hAnsi="Arial" w:cs="Arial"/>
                <w:b/>
                <w:bCs/>
                <w:color w:val="000000"/>
                <w:sz w:val="18"/>
                <w:szCs w:val="18"/>
              </w:rPr>
              <w:t xml:space="preserve"> </w:t>
            </w:r>
            <w:proofErr w:type="gramStart"/>
            <w:r w:rsidR="00AC7195">
              <w:rPr>
                <w:rFonts w:ascii="Arial" w:hAnsi="Arial" w:cs="Arial"/>
                <w:b/>
                <w:bCs/>
                <w:color w:val="000000"/>
                <w:sz w:val="18"/>
                <w:szCs w:val="18"/>
              </w:rPr>
              <w:t>2</w:t>
            </w:r>
            <w:r w:rsidR="00600E25">
              <w:rPr>
                <w:rFonts w:ascii="Arial" w:hAnsi="Arial" w:cs="Arial"/>
                <w:b/>
                <w:bCs/>
                <w:color w:val="000000"/>
                <w:sz w:val="18"/>
                <w:szCs w:val="18"/>
              </w:rPr>
              <w:t xml:space="preserve">  </w:t>
            </w:r>
            <w:r w:rsidRPr="00E87AAA">
              <w:rPr>
                <w:rFonts w:ascii="Arial" w:hAnsi="Arial" w:cs="Arial"/>
                <w:b/>
                <w:bCs/>
                <w:color w:val="000000"/>
                <w:sz w:val="18"/>
                <w:szCs w:val="18"/>
              </w:rPr>
              <w:t>KMO</w:t>
            </w:r>
            <w:proofErr w:type="gramEnd"/>
            <w:r w:rsidRPr="00E87AAA">
              <w:rPr>
                <w:rFonts w:ascii="Arial" w:hAnsi="Arial" w:cs="Arial"/>
                <w:b/>
                <w:bCs/>
                <w:color w:val="000000"/>
                <w:sz w:val="18"/>
                <w:szCs w:val="18"/>
              </w:rPr>
              <w:t xml:space="preserve"> and Bartlett's Test</w:t>
            </w:r>
          </w:p>
        </w:tc>
      </w:tr>
      <w:tr w:rsidR="00F53577" w:rsidRPr="00E87AAA" w14:paraId="2AEF64B4" w14:textId="77777777" w:rsidTr="00F52F50">
        <w:trPr>
          <w:cantSplit/>
          <w:jc w:val="center"/>
        </w:trPr>
        <w:tc>
          <w:tcPr>
            <w:tcW w:w="4842" w:type="dxa"/>
            <w:gridSpan w:val="2"/>
            <w:tcBorders>
              <w:top w:val="single" w:sz="16" w:space="0" w:color="000000"/>
              <w:left w:val="single" w:sz="16" w:space="0" w:color="000000"/>
              <w:bottom w:val="nil"/>
              <w:right w:val="nil"/>
            </w:tcBorders>
            <w:shd w:val="clear" w:color="auto" w:fill="FFFFFF"/>
          </w:tcPr>
          <w:p w14:paraId="5C3D2707" w14:textId="77777777" w:rsidR="00F53577" w:rsidRPr="00E87AAA" w:rsidRDefault="00F53577" w:rsidP="0036060D">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Kaiser-Meyer-Olkin Measure of Sampling Adequacy.</w:t>
            </w:r>
          </w:p>
        </w:tc>
        <w:tc>
          <w:tcPr>
            <w:tcW w:w="1105" w:type="dxa"/>
            <w:tcBorders>
              <w:top w:val="single" w:sz="16" w:space="0" w:color="000000"/>
              <w:left w:val="single" w:sz="16" w:space="0" w:color="000000"/>
              <w:bottom w:val="nil"/>
              <w:right w:val="single" w:sz="16" w:space="0" w:color="000000"/>
            </w:tcBorders>
            <w:shd w:val="clear" w:color="auto" w:fill="FFFFFF"/>
            <w:vAlign w:val="center"/>
          </w:tcPr>
          <w:p w14:paraId="310F16EE" w14:textId="77777777" w:rsidR="00F53577" w:rsidRPr="00E87AAA" w:rsidRDefault="00F53577" w:rsidP="0036060D">
            <w:pPr>
              <w:autoSpaceDE w:val="0"/>
              <w:autoSpaceDN w:val="0"/>
              <w:adjustRightInd w:val="0"/>
              <w:spacing w:after="0" w:line="320" w:lineRule="atLeast"/>
              <w:ind w:left="60" w:right="60"/>
              <w:jc w:val="right"/>
              <w:rPr>
                <w:rFonts w:ascii="Arial" w:hAnsi="Arial" w:cs="Arial"/>
                <w:color w:val="000000"/>
                <w:sz w:val="18"/>
                <w:szCs w:val="18"/>
              </w:rPr>
            </w:pPr>
            <w:r w:rsidRPr="00E87AAA">
              <w:rPr>
                <w:rFonts w:ascii="Arial" w:hAnsi="Arial" w:cs="Arial"/>
                <w:color w:val="000000"/>
                <w:sz w:val="18"/>
                <w:szCs w:val="18"/>
              </w:rPr>
              <w:t>.870</w:t>
            </w:r>
          </w:p>
        </w:tc>
      </w:tr>
      <w:tr w:rsidR="00F53577" w:rsidRPr="00E87AAA" w14:paraId="793E5BE1" w14:textId="77777777" w:rsidTr="00F52F50">
        <w:trPr>
          <w:cantSplit/>
          <w:jc w:val="center"/>
        </w:trPr>
        <w:tc>
          <w:tcPr>
            <w:tcW w:w="2491" w:type="dxa"/>
            <w:vMerge w:val="restart"/>
            <w:tcBorders>
              <w:top w:val="nil"/>
              <w:left w:val="single" w:sz="16" w:space="0" w:color="000000"/>
              <w:bottom w:val="single" w:sz="16" w:space="0" w:color="000000"/>
              <w:right w:val="nil"/>
            </w:tcBorders>
            <w:shd w:val="clear" w:color="auto" w:fill="FFFFFF"/>
          </w:tcPr>
          <w:p w14:paraId="3CF728BB" w14:textId="77777777" w:rsidR="00F53577" w:rsidRPr="00E87AAA" w:rsidRDefault="00F53577" w:rsidP="0036060D">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Bartlett's Test of Sphericity</w:t>
            </w:r>
          </w:p>
        </w:tc>
        <w:tc>
          <w:tcPr>
            <w:tcW w:w="2351" w:type="dxa"/>
            <w:tcBorders>
              <w:top w:val="nil"/>
              <w:left w:val="nil"/>
              <w:bottom w:val="nil"/>
              <w:right w:val="single" w:sz="16" w:space="0" w:color="000000"/>
            </w:tcBorders>
            <w:shd w:val="clear" w:color="auto" w:fill="FFFFFF"/>
          </w:tcPr>
          <w:p w14:paraId="70E25184" w14:textId="77777777" w:rsidR="00F53577" w:rsidRPr="00E87AAA" w:rsidRDefault="00F53577" w:rsidP="0036060D">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Approx. Chi-Square</w:t>
            </w:r>
          </w:p>
        </w:tc>
        <w:tc>
          <w:tcPr>
            <w:tcW w:w="1105" w:type="dxa"/>
            <w:tcBorders>
              <w:top w:val="nil"/>
              <w:left w:val="single" w:sz="16" w:space="0" w:color="000000"/>
              <w:bottom w:val="nil"/>
              <w:right w:val="single" w:sz="16" w:space="0" w:color="000000"/>
            </w:tcBorders>
            <w:shd w:val="clear" w:color="auto" w:fill="FFFFFF"/>
            <w:vAlign w:val="center"/>
          </w:tcPr>
          <w:p w14:paraId="355E2F03" w14:textId="77777777" w:rsidR="00F53577" w:rsidRPr="00E87AAA" w:rsidRDefault="00F53577" w:rsidP="0036060D">
            <w:pPr>
              <w:autoSpaceDE w:val="0"/>
              <w:autoSpaceDN w:val="0"/>
              <w:adjustRightInd w:val="0"/>
              <w:spacing w:after="0" w:line="320" w:lineRule="atLeast"/>
              <w:ind w:left="60" w:right="60"/>
              <w:jc w:val="right"/>
              <w:rPr>
                <w:rFonts w:ascii="Arial" w:hAnsi="Arial" w:cs="Arial"/>
                <w:color w:val="000000"/>
                <w:sz w:val="18"/>
                <w:szCs w:val="18"/>
              </w:rPr>
            </w:pPr>
            <w:r w:rsidRPr="00E87AAA">
              <w:rPr>
                <w:rFonts w:ascii="Arial" w:hAnsi="Arial" w:cs="Arial"/>
                <w:color w:val="000000"/>
                <w:sz w:val="18"/>
                <w:szCs w:val="18"/>
              </w:rPr>
              <w:t>1963.136</w:t>
            </w:r>
          </w:p>
        </w:tc>
      </w:tr>
      <w:tr w:rsidR="00F53577" w:rsidRPr="00E87AAA" w14:paraId="13ABF414" w14:textId="77777777" w:rsidTr="00F52F50">
        <w:trPr>
          <w:cantSplit/>
          <w:jc w:val="center"/>
        </w:trPr>
        <w:tc>
          <w:tcPr>
            <w:tcW w:w="2491" w:type="dxa"/>
            <w:vMerge/>
            <w:tcBorders>
              <w:top w:val="nil"/>
              <w:left w:val="single" w:sz="16" w:space="0" w:color="000000"/>
              <w:bottom w:val="single" w:sz="16" w:space="0" w:color="000000"/>
              <w:right w:val="nil"/>
            </w:tcBorders>
            <w:shd w:val="clear" w:color="auto" w:fill="FFFFFF"/>
          </w:tcPr>
          <w:p w14:paraId="6857C61D" w14:textId="77777777" w:rsidR="00F53577" w:rsidRPr="00E87AAA" w:rsidRDefault="00F53577" w:rsidP="0036060D">
            <w:pPr>
              <w:autoSpaceDE w:val="0"/>
              <w:autoSpaceDN w:val="0"/>
              <w:adjustRightInd w:val="0"/>
              <w:spacing w:after="0" w:line="240" w:lineRule="auto"/>
              <w:rPr>
                <w:rFonts w:ascii="Arial" w:hAnsi="Arial" w:cs="Arial"/>
                <w:color w:val="000000"/>
                <w:sz w:val="18"/>
                <w:szCs w:val="18"/>
              </w:rPr>
            </w:pPr>
          </w:p>
        </w:tc>
        <w:tc>
          <w:tcPr>
            <w:tcW w:w="2351" w:type="dxa"/>
            <w:tcBorders>
              <w:top w:val="nil"/>
              <w:left w:val="nil"/>
              <w:bottom w:val="nil"/>
              <w:right w:val="single" w:sz="16" w:space="0" w:color="000000"/>
            </w:tcBorders>
            <w:shd w:val="clear" w:color="auto" w:fill="FFFFFF"/>
          </w:tcPr>
          <w:p w14:paraId="0A583EA6" w14:textId="77777777" w:rsidR="00F53577" w:rsidRPr="00E87AAA" w:rsidRDefault="00F53577" w:rsidP="0036060D">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df</w:t>
            </w:r>
          </w:p>
        </w:tc>
        <w:tc>
          <w:tcPr>
            <w:tcW w:w="1105" w:type="dxa"/>
            <w:tcBorders>
              <w:top w:val="nil"/>
              <w:left w:val="single" w:sz="16" w:space="0" w:color="000000"/>
              <w:bottom w:val="nil"/>
              <w:right w:val="single" w:sz="16" w:space="0" w:color="000000"/>
            </w:tcBorders>
            <w:shd w:val="clear" w:color="auto" w:fill="FFFFFF"/>
            <w:vAlign w:val="center"/>
          </w:tcPr>
          <w:p w14:paraId="7668204C" w14:textId="77777777" w:rsidR="00F53577" w:rsidRPr="00E87AAA" w:rsidRDefault="00F53577" w:rsidP="0036060D">
            <w:pPr>
              <w:autoSpaceDE w:val="0"/>
              <w:autoSpaceDN w:val="0"/>
              <w:adjustRightInd w:val="0"/>
              <w:spacing w:after="0" w:line="320" w:lineRule="atLeast"/>
              <w:ind w:left="60" w:right="60"/>
              <w:jc w:val="right"/>
              <w:rPr>
                <w:rFonts w:ascii="Arial" w:hAnsi="Arial" w:cs="Arial"/>
                <w:color w:val="000000"/>
                <w:sz w:val="18"/>
                <w:szCs w:val="18"/>
              </w:rPr>
            </w:pPr>
            <w:r w:rsidRPr="00E87AAA">
              <w:rPr>
                <w:rFonts w:ascii="Arial" w:hAnsi="Arial" w:cs="Arial"/>
                <w:color w:val="000000"/>
                <w:sz w:val="18"/>
                <w:szCs w:val="18"/>
              </w:rPr>
              <w:t>276</w:t>
            </w:r>
          </w:p>
        </w:tc>
      </w:tr>
      <w:tr w:rsidR="00F53577" w:rsidRPr="00E87AAA" w14:paraId="5AA7C039" w14:textId="77777777" w:rsidTr="00F52F50">
        <w:trPr>
          <w:cantSplit/>
          <w:jc w:val="center"/>
        </w:trPr>
        <w:tc>
          <w:tcPr>
            <w:tcW w:w="2491" w:type="dxa"/>
            <w:vMerge/>
            <w:tcBorders>
              <w:top w:val="nil"/>
              <w:left w:val="single" w:sz="16" w:space="0" w:color="000000"/>
              <w:bottom w:val="single" w:sz="16" w:space="0" w:color="000000"/>
              <w:right w:val="nil"/>
            </w:tcBorders>
            <w:shd w:val="clear" w:color="auto" w:fill="FFFFFF"/>
          </w:tcPr>
          <w:p w14:paraId="46BF6F78" w14:textId="77777777" w:rsidR="00F53577" w:rsidRPr="00E87AAA" w:rsidRDefault="00F53577" w:rsidP="0036060D">
            <w:pPr>
              <w:autoSpaceDE w:val="0"/>
              <w:autoSpaceDN w:val="0"/>
              <w:adjustRightInd w:val="0"/>
              <w:spacing w:after="0" w:line="240" w:lineRule="auto"/>
              <w:rPr>
                <w:rFonts w:ascii="Arial" w:hAnsi="Arial" w:cs="Arial"/>
                <w:color w:val="000000"/>
                <w:sz w:val="18"/>
                <w:szCs w:val="18"/>
              </w:rPr>
            </w:pPr>
          </w:p>
        </w:tc>
        <w:tc>
          <w:tcPr>
            <w:tcW w:w="2351" w:type="dxa"/>
            <w:tcBorders>
              <w:top w:val="nil"/>
              <w:left w:val="nil"/>
              <w:bottom w:val="single" w:sz="16" w:space="0" w:color="000000"/>
              <w:right w:val="single" w:sz="16" w:space="0" w:color="000000"/>
            </w:tcBorders>
            <w:shd w:val="clear" w:color="auto" w:fill="FFFFFF"/>
          </w:tcPr>
          <w:p w14:paraId="39241E05" w14:textId="77777777" w:rsidR="00F53577" w:rsidRPr="00E87AAA" w:rsidRDefault="00F53577" w:rsidP="0036060D">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Sig.</w:t>
            </w:r>
          </w:p>
        </w:tc>
        <w:tc>
          <w:tcPr>
            <w:tcW w:w="1105" w:type="dxa"/>
            <w:tcBorders>
              <w:top w:val="nil"/>
              <w:left w:val="single" w:sz="16" w:space="0" w:color="000000"/>
              <w:bottom w:val="single" w:sz="16" w:space="0" w:color="000000"/>
              <w:right w:val="single" w:sz="16" w:space="0" w:color="000000"/>
            </w:tcBorders>
            <w:shd w:val="clear" w:color="auto" w:fill="FFFFFF"/>
            <w:vAlign w:val="center"/>
          </w:tcPr>
          <w:p w14:paraId="39A06DF9" w14:textId="77777777" w:rsidR="00F53577" w:rsidRPr="000666DD" w:rsidRDefault="00F53577" w:rsidP="0036060D">
            <w:pPr>
              <w:autoSpaceDE w:val="0"/>
              <w:autoSpaceDN w:val="0"/>
              <w:adjustRightInd w:val="0"/>
              <w:spacing w:after="0" w:line="320" w:lineRule="atLeast"/>
              <w:ind w:left="60" w:right="60"/>
              <w:jc w:val="right"/>
              <w:rPr>
                <w:rFonts w:ascii="Arial" w:hAnsi="Arial" w:cs="Arial"/>
                <w:b/>
                <w:color w:val="000000"/>
                <w:sz w:val="18"/>
                <w:szCs w:val="18"/>
              </w:rPr>
            </w:pPr>
            <w:r w:rsidRPr="000666DD">
              <w:rPr>
                <w:rFonts w:ascii="Arial" w:hAnsi="Arial" w:cs="Arial"/>
                <w:b/>
                <w:color w:val="000000"/>
                <w:sz w:val="18"/>
                <w:szCs w:val="18"/>
              </w:rPr>
              <w:t>.000</w:t>
            </w:r>
          </w:p>
        </w:tc>
      </w:tr>
    </w:tbl>
    <w:p w14:paraId="70863195" w14:textId="77777777" w:rsidR="00BF0FC6" w:rsidRDefault="00BF0FC6" w:rsidP="002F6F1E"/>
    <w:p w14:paraId="67290A07" w14:textId="77777777" w:rsidR="00BD6E15" w:rsidRPr="00BD6E15" w:rsidRDefault="00F52F50" w:rsidP="00BD6E15">
      <w:pPr>
        <w:jc w:val="both"/>
        <w:rPr>
          <w:rFonts w:ascii="Times New Roman" w:hAnsi="Times New Roman" w:cs="Times New Roman"/>
          <w:sz w:val="24"/>
          <w:szCs w:val="24"/>
        </w:rPr>
      </w:pPr>
      <w:r w:rsidRPr="00FD1291">
        <w:rPr>
          <w:rFonts w:ascii="Times New Roman" w:hAnsi="Times New Roman" w:cs="Times New Roman"/>
          <w:sz w:val="24"/>
          <w:szCs w:val="24"/>
        </w:rPr>
        <w:t xml:space="preserve">To </w:t>
      </w:r>
      <w:r w:rsidR="00FD1291" w:rsidRPr="00FD1291">
        <w:rPr>
          <w:rFonts w:ascii="Times New Roman" w:hAnsi="Times New Roman" w:cs="Times New Roman"/>
          <w:sz w:val="24"/>
          <w:szCs w:val="24"/>
        </w:rPr>
        <w:t>know</w:t>
      </w:r>
      <w:r w:rsidR="0074064E">
        <w:rPr>
          <w:rFonts w:ascii="Times New Roman" w:hAnsi="Times New Roman" w:cs="Times New Roman"/>
          <w:sz w:val="24"/>
          <w:szCs w:val="24"/>
        </w:rPr>
        <w:t xml:space="preserve"> </w:t>
      </w:r>
      <w:r w:rsidR="00FF41B2">
        <w:rPr>
          <w:rFonts w:ascii="Times New Roman" w:hAnsi="Times New Roman" w:cs="Times New Roman"/>
          <w:sz w:val="24"/>
          <w:szCs w:val="24"/>
        </w:rPr>
        <w:t xml:space="preserve">the </w:t>
      </w:r>
      <w:r w:rsidRPr="00FD1291">
        <w:rPr>
          <w:rFonts w:ascii="Times New Roman" w:hAnsi="Times New Roman" w:cs="Times New Roman"/>
          <w:sz w:val="24"/>
          <w:szCs w:val="24"/>
        </w:rPr>
        <w:t xml:space="preserve">suitability of </w:t>
      </w:r>
      <w:r w:rsidR="00FF41B2">
        <w:rPr>
          <w:rFonts w:ascii="Times New Roman" w:hAnsi="Times New Roman" w:cs="Times New Roman"/>
          <w:sz w:val="24"/>
          <w:szCs w:val="24"/>
        </w:rPr>
        <w:t xml:space="preserve">the </w:t>
      </w:r>
      <w:r w:rsidRPr="00FD1291">
        <w:rPr>
          <w:rFonts w:ascii="Times New Roman" w:hAnsi="Times New Roman" w:cs="Times New Roman"/>
          <w:sz w:val="24"/>
          <w:szCs w:val="24"/>
        </w:rPr>
        <w:t>dataset for factor analysis or to check the data adequacy, Exploratory Facto</w:t>
      </w:r>
      <w:r w:rsidR="0080186E">
        <w:rPr>
          <w:rFonts w:ascii="Times New Roman" w:hAnsi="Times New Roman" w:cs="Times New Roman"/>
          <w:sz w:val="24"/>
          <w:szCs w:val="24"/>
        </w:rPr>
        <w:t xml:space="preserve">r Analysis (EFA) was computed through </w:t>
      </w:r>
      <w:r w:rsidR="0080186E" w:rsidRPr="00FD1291">
        <w:rPr>
          <w:rFonts w:ascii="Times New Roman" w:hAnsi="Times New Roman" w:cs="Times New Roman"/>
          <w:sz w:val="24"/>
          <w:szCs w:val="24"/>
        </w:rPr>
        <w:t>principal</w:t>
      </w:r>
      <w:r w:rsidR="00600E25">
        <w:rPr>
          <w:rFonts w:ascii="Times New Roman" w:hAnsi="Times New Roman" w:cs="Times New Roman"/>
          <w:sz w:val="24"/>
          <w:szCs w:val="24"/>
        </w:rPr>
        <w:t xml:space="preserve"> </w:t>
      </w:r>
      <w:r w:rsidR="0080186E" w:rsidRPr="00FD1291">
        <w:rPr>
          <w:rFonts w:ascii="Times New Roman" w:hAnsi="Times New Roman" w:cs="Times New Roman"/>
          <w:sz w:val="24"/>
          <w:szCs w:val="24"/>
        </w:rPr>
        <w:t>component</w:t>
      </w:r>
      <w:r w:rsidRPr="00FD1291">
        <w:rPr>
          <w:rFonts w:ascii="Times New Roman" w:hAnsi="Times New Roman" w:cs="Times New Roman"/>
          <w:sz w:val="24"/>
          <w:szCs w:val="24"/>
        </w:rPr>
        <w:t xml:space="preserve"> analysis using varimax rotation. The </w:t>
      </w:r>
      <w:r w:rsidRPr="00FD1291">
        <w:rPr>
          <w:rFonts w:ascii="Times New Roman" w:hAnsi="Times New Roman" w:cs="Times New Roman"/>
          <w:bCs/>
          <w:sz w:val="24"/>
          <w:szCs w:val="24"/>
        </w:rPr>
        <w:t>Kaiser-Meyer-Olkin (KMO) was measured to check sample adequacy</w:t>
      </w:r>
      <w:r w:rsidR="00FD1291" w:rsidRPr="00FD1291">
        <w:rPr>
          <w:rFonts w:ascii="Times New Roman" w:hAnsi="Times New Roman" w:cs="Times New Roman"/>
          <w:bCs/>
          <w:sz w:val="24"/>
          <w:szCs w:val="24"/>
        </w:rPr>
        <w:t xml:space="preserve">, </w:t>
      </w:r>
      <w:r w:rsidR="00600E25">
        <w:rPr>
          <w:rFonts w:ascii="Times New Roman" w:hAnsi="Times New Roman" w:cs="Times New Roman"/>
          <w:bCs/>
          <w:sz w:val="24"/>
          <w:szCs w:val="24"/>
        </w:rPr>
        <w:t xml:space="preserve">and </w:t>
      </w:r>
      <w:r w:rsidR="00FD1291" w:rsidRPr="00FD1291">
        <w:rPr>
          <w:rFonts w:ascii="Times New Roman" w:hAnsi="Times New Roman" w:cs="Times New Roman"/>
          <w:bCs/>
          <w:sz w:val="24"/>
          <w:szCs w:val="24"/>
        </w:rPr>
        <w:t>0.870</w:t>
      </w:r>
      <w:r w:rsidRPr="00FD1291">
        <w:rPr>
          <w:rFonts w:ascii="Times New Roman" w:hAnsi="Times New Roman" w:cs="Times New Roman"/>
          <w:bCs/>
          <w:sz w:val="24"/>
          <w:szCs w:val="24"/>
        </w:rPr>
        <w:t xml:space="preserve"> was </w:t>
      </w:r>
      <w:r w:rsidR="00C6765D" w:rsidRPr="00FD1291">
        <w:rPr>
          <w:rFonts w:ascii="Times New Roman" w:hAnsi="Times New Roman" w:cs="Times New Roman"/>
          <w:bCs/>
          <w:sz w:val="24"/>
          <w:szCs w:val="24"/>
        </w:rPr>
        <w:t>found,</w:t>
      </w:r>
      <w:r w:rsidRPr="00FD1291">
        <w:rPr>
          <w:rFonts w:ascii="Times New Roman" w:hAnsi="Times New Roman" w:cs="Times New Roman"/>
          <w:bCs/>
          <w:sz w:val="24"/>
          <w:szCs w:val="24"/>
        </w:rPr>
        <w:t xml:space="preserve"> which is above </w:t>
      </w:r>
      <w:r w:rsidR="00FF41B2">
        <w:rPr>
          <w:rFonts w:ascii="Times New Roman" w:hAnsi="Times New Roman" w:cs="Times New Roman"/>
          <w:bCs/>
          <w:sz w:val="24"/>
          <w:szCs w:val="24"/>
        </w:rPr>
        <w:t xml:space="preserve">the </w:t>
      </w:r>
      <w:r w:rsidRPr="00FD1291">
        <w:rPr>
          <w:rFonts w:ascii="Times New Roman" w:hAnsi="Times New Roman" w:cs="Times New Roman"/>
          <w:bCs/>
          <w:sz w:val="24"/>
          <w:szCs w:val="24"/>
        </w:rPr>
        <w:t xml:space="preserve">acceptable threshold value of 0.60 </w:t>
      </w:r>
      <w:r w:rsidR="006B7223">
        <w:rPr>
          <w:rFonts w:ascii="Times New Roman" w:hAnsi="Times New Roman" w:cs="Times New Roman"/>
          <w:sz w:val="24"/>
          <w:szCs w:val="24"/>
        </w:rPr>
        <w:t>(Kaiser, 1974</w:t>
      </w:r>
      <w:r w:rsidRPr="00FD1291">
        <w:rPr>
          <w:rFonts w:ascii="Times New Roman" w:hAnsi="Times New Roman" w:cs="Times New Roman"/>
          <w:sz w:val="24"/>
          <w:szCs w:val="24"/>
        </w:rPr>
        <w:t xml:space="preserve">). </w:t>
      </w:r>
      <w:r w:rsidR="00D9419B" w:rsidRPr="00FD1291">
        <w:rPr>
          <w:rFonts w:ascii="Times New Roman" w:hAnsi="Times New Roman" w:cs="Times New Roman"/>
          <w:sz w:val="24"/>
          <w:szCs w:val="24"/>
        </w:rPr>
        <w:t>Additionally,</w:t>
      </w:r>
      <w:r w:rsidR="00D9419B" w:rsidRPr="00FD1291">
        <w:rPr>
          <w:rFonts w:ascii="Times New Roman" w:hAnsi="Times New Roman" w:cs="Times New Roman"/>
          <w:bCs/>
          <w:sz w:val="24"/>
          <w:szCs w:val="24"/>
        </w:rPr>
        <w:t xml:space="preserve"> Bartlett’s</w:t>
      </w:r>
      <w:r w:rsidRPr="00FD1291">
        <w:rPr>
          <w:rFonts w:ascii="Times New Roman" w:hAnsi="Times New Roman" w:cs="Times New Roman"/>
          <w:bCs/>
          <w:sz w:val="24"/>
          <w:szCs w:val="24"/>
        </w:rPr>
        <w:t xml:space="preserve"> Test of Sphericity significant </w:t>
      </w:r>
      <w:r w:rsidR="00FD1291" w:rsidRPr="00FD1291">
        <w:rPr>
          <w:rFonts w:ascii="Times New Roman" w:hAnsi="Times New Roman" w:cs="Times New Roman"/>
          <w:bCs/>
          <w:sz w:val="24"/>
          <w:szCs w:val="24"/>
        </w:rPr>
        <w:t xml:space="preserve">result </w:t>
      </w:r>
      <w:r w:rsidR="00FD1291" w:rsidRPr="00FD1291">
        <w:rPr>
          <w:rFonts w:ascii="Times New Roman" w:hAnsi="Times New Roman" w:cs="Times New Roman"/>
          <w:sz w:val="24"/>
          <w:szCs w:val="24"/>
        </w:rPr>
        <w:t>(</w:t>
      </w:r>
      <w:r w:rsidRPr="00FD1291">
        <w:rPr>
          <w:rFonts w:ascii="Times New Roman" w:hAnsi="Times New Roman" w:cs="Times New Roman"/>
          <w:sz w:val="24"/>
          <w:szCs w:val="24"/>
        </w:rPr>
        <w:t>x</w:t>
      </w:r>
      <w:r w:rsidRPr="00FD1291">
        <w:rPr>
          <w:rFonts w:ascii="Times New Roman" w:hAnsi="Times New Roman" w:cs="Times New Roman"/>
          <w:sz w:val="24"/>
          <w:szCs w:val="24"/>
          <w:vertAlign w:val="superscript"/>
        </w:rPr>
        <w:t>2</w:t>
      </w:r>
      <w:r w:rsidRPr="00FD1291">
        <w:rPr>
          <w:rFonts w:ascii="Times New Roman" w:hAnsi="Times New Roman" w:cs="Times New Roman"/>
          <w:sz w:val="24"/>
          <w:szCs w:val="24"/>
        </w:rPr>
        <w:t xml:space="preserve">= 1963.136, df = </w:t>
      </w:r>
      <w:r w:rsidR="008D68A2">
        <w:rPr>
          <w:rFonts w:ascii="Times New Roman" w:hAnsi="Times New Roman" w:cs="Times New Roman"/>
          <w:sz w:val="24"/>
          <w:szCs w:val="24"/>
        </w:rPr>
        <w:t>276</w:t>
      </w:r>
      <w:r w:rsidRPr="00FD1291">
        <w:rPr>
          <w:rFonts w:ascii="Times New Roman" w:hAnsi="Times New Roman" w:cs="Times New Roman"/>
          <w:sz w:val="24"/>
          <w:szCs w:val="24"/>
        </w:rPr>
        <w:t xml:space="preserve">, </w:t>
      </w:r>
      <w:r w:rsidRPr="00FD1291">
        <w:rPr>
          <w:rFonts w:ascii="Times New Roman" w:hAnsi="Times New Roman" w:cs="Times New Roman"/>
          <w:bCs/>
          <w:sz w:val="24"/>
          <w:szCs w:val="24"/>
        </w:rPr>
        <w:t>p &lt; .001</w:t>
      </w:r>
      <w:r w:rsidR="005B423A">
        <w:rPr>
          <w:rFonts w:ascii="Times New Roman" w:hAnsi="Times New Roman" w:cs="Times New Roman"/>
          <w:sz w:val="24"/>
          <w:szCs w:val="24"/>
        </w:rPr>
        <w:t>) suggests that the data were</w:t>
      </w:r>
      <w:r w:rsidRPr="00FD1291">
        <w:rPr>
          <w:rFonts w:ascii="Times New Roman" w:hAnsi="Times New Roman" w:cs="Times New Roman"/>
          <w:sz w:val="24"/>
          <w:szCs w:val="24"/>
        </w:rPr>
        <w:t xml:space="preserve"> appropriate for factor analys</w:t>
      </w:r>
      <w:r w:rsidR="005B423A">
        <w:rPr>
          <w:rFonts w:ascii="Times New Roman" w:hAnsi="Times New Roman" w:cs="Times New Roman"/>
          <w:sz w:val="24"/>
          <w:szCs w:val="24"/>
        </w:rPr>
        <w:t>is and the correlation matrix was</w:t>
      </w:r>
      <w:r w:rsidRPr="00FD1291">
        <w:rPr>
          <w:rFonts w:ascii="Times New Roman" w:hAnsi="Times New Roman" w:cs="Times New Roman"/>
          <w:sz w:val="24"/>
          <w:szCs w:val="24"/>
        </w:rPr>
        <w:t xml:space="preserve"> not an </w:t>
      </w:r>
      <w:r w:rsidR="00FD1291" w:rsidRPr="00FD1291">
        <w:rPr>
          <w:rFonts w:ascii="Times New Roman" w:hAnsi="Times New Roman" w:cs="Times New Roman"/>
          <w:sz w:val="24"/>
          <w:szCs w:val="24"/>
        </w:rPr>
        <w:t>identity matrix</w:t>
      </w:r>
      <w:r w:rsidR="00D9419B" w:rsidRPr="00717694">
        <w:rPr>
          <w:rFonts w:ascii="Times New Roman" w:hAnsi="Times New Roman" w:cs="Times New Roman"/>
          <w:sz w:val="24"/>
          <w:szCs w:val="24"/>
        </w:rPr>
        <w:t xml:space="preserve"> </w:t>
      </w:r>
      <w:r w:rsidR="00D9419B">
        <w:rPr>
          <w:rFonts w:ascii="Times New Roman" w:hAnsi="Times New Roman" w:cs="Times New Roman"/>
          <w:sz w:val="24"/>
          <w:szCs w:val="24"/>
        </w:rPr>
        <w:t>(</w:t>
      </w:r>
      <w:r w:rsidR="00D9419B" w:rsidRPr="00717694">
        <w:rPr>
          <w:rFonts w:ascii="Times New Roman" w:hAnsi="Times New Roman" w:cs="Times New Roman"/>
          <w:sz w:val="24"/>
          <w:szCs w:val="24"/>
        </w:rPr>
        <w:t>Ali et al., 2021</w:t>
      </w:r>
      <w:r w:rsidR="00600E25" w:rsidRPr="00600E25">
        <w:rPr>
          <w:rFonts w:ascii="Times New Roman" w:hAnsi="Times New Roman" w:cs="Times New Roman"/>
        </w:rPr>
        <w:t>)</w:t>
      </w:r>
      <w:r w:rsidR="005B423A">
        <w:rPr>
          <w:rFonts w:ascii="Times New Roman" w:hAnsi="Times New Roman" w:cs="Times New Roman"/>
        </w:rPr>
        <w:t>.</w:t>
      </w:r>
      <w:r w:rsidR="00BD6E15" w:rsidRPr="00BD6E15">
        <w:rPr>
          <w:rFonts w:ascii="Times New Roman" w:hAnsi="Times New Roman" w:cs="Times New Roman"/>
          <w:sz w:val="24"/>
          <w:szCs w:val="24"/>
        </w:rPr>
        <w:t xml:space="preserve"> </w:t>
      </w:r>
      <w:r w:rsidR="00BD6E15" w:rsidRPr="0073753E">
        <w:rPr>
          <w:rFonts w:ascii="Times New Roman" w:hAnsi="Times New Roman" w:cs="Times New Roman"/>
          <w:sz w:val="24"/>
          <w:szCs w:val="24"/>
        </w:rPr>
        <w:t>The results of</w:t>
      </w:r>
      <w:r w:rsidR="00D9419B">
        <w:rPr>
          <w:rFonts w:ascii="Times New Roman" w:hAnsi="Times New Roman" w:cs="Times New Roman"/>
          <w:sz w:val="24"/>
          <w:szCs w:val="24"/>
        </w:rPr>
        <w:t xml:space="preserve"> the variance </w:t>
      </w:r>
      <w:r w:rsidR="005B423A">
        <w:rPr>
          <w:rFonts w:ascii="Times New Roman" w:hAnsi="Times New Roman" w:cs="Times New Roman"/>
          <w:sz w:val="24"/>
          <w:szCs w:val="24"/>
        </w:rPr>
        <w:t>analysis revealed 6</w:t>
      </w:r>
      <w:r w:rsidR="00BD6E15" w:rsidRPr="0073753E">
        <w:rPr>
          <w:rFonts w:ascii="Times New Roman" w:hAnsi="Times New Roman" w:cs="Times New Roman"/>
          <w:sz w:val="24"/>
          <w:szCs w:val="24"/>
        </w:rPr>
        <w:t xml:space="preserve"> co</w:t>
      </w:r>
      <w:r w:rsidR="00BD6E15">
        <w:rPr>
          <w:rFonts w:ascii="Times New Roman" w:hAnsi="Times New Roman" w:cs="Times New Roman"/>
          <w:sz w:val="24"/>
          <w:szCs w:val="24"/>
        </w:rPr>
        <w:t>mponents with Eigenvalues over 1</w:t>
      </w:r>
      <w:r w:rsidR="00BD6E15" w:rsidRPr="0073753E">
        <w:rPr>
          <w:rFonts w:ascii="Times New Roman" w:hAnsi="Times New Roman" w:cs="Times New Roman"/>
          <w:sz w:val="24"/>
          <w:szCs w:val="24"/>
        </w:rPr>
        <w:t xml:space="preserve">, explaining </w:t>
      </w:r>
      <w:r w:rsidR="00BD6E15" w:rsidRPr="00BD6E15">
        <w:rPr>
          <w:rFonts w:ascii="Times New Roman" w:hAnsi="Times New Roman" w:cs="Times New Roman"/>
          <w:sz w:val="24"/>
          <w:szCs w:val="24"/>
        </w:rPr>
        <w:t>34.06%, 40.79%, 46.79%, 51.97%, 56.95%</w:t>
      </w:r>
      <w:r w:rsidR="00D9419B">
        <w:rPr>
          <w:rFonts w:ascii="Times New Roman" w:hAnsi="Times New Roman" w:cs="Times New Roman"/>
          <w:sz w:val="24"/>
          <w:szCs w:val="24"/>
        </w:rPr>
        <w:t xml:space="preserve"> and 61.56%</w:t>
      </w:r>
      <w:r w:rsidR="00BD6E15" w:rsidRPr="0073753E">
        <w:rPr>
          <w:rFonts w:ascii="Times New Roman" w:hAnsi="Times New Roman" w:cs="Times New Roman"/>
          <w:sz w:val="24"/>
          <w:szCs w:val="24"/>
        </w:rPr>
        <w:t xml:space="preserve"> of the variance, respectively</w:t>
      </w:r>
      <w:r w:rsidR="00600E25">
        <w:rPr>
          <w:rFonts w:ascii="Times New Roman" w:hAnsi="Times New Roman" w:cs="Times New Roman"/>
          <w:sz w:val="24"/>
          <w:szCs w:val="24"/>
        </w:rPr>
        <w:t>.</w:t>
      </w:r>
    </w:p>
    <w:tbl>
      <w:tblPr>
        <w:tblpPr w:leftFromText="180" w:rightFromText="180" w:vertAnchor="text" w:horzAnchor="margin" w:tblpXSpec="center" w:tblpY="219"/>
        <w:tblOverlap w:val="never"/>
        <w:tblW w:w="4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1417"/>
        <w:gridCol w:w="1843"/>
      </w:tblGrid>
      <w:tr w:rsidR="00600E25" w:rsidRPr="00F52F50" w14:paraId="429BD59E" w14:textId="77777777" w:rsidTr="00600E25">
        <w:trPr>
          <w:cantSplit/>
        </w:trPr>
        <w:tc>
          <w:tcPr>
            <w:tcW w:w="4253" w:type="dxa"/>
            <w:gridSpan w:val="3"/>
            <w:tcBorders>
              <w:top w:val="nil"/>
              <w:left w:val="nil"/>
              <w:bottom w:val="nil"/>
              <w:right w:val="nil"/>
            </w:tcBorders>
            <w:shd w:val="clear" w:color="auto" w:fill="FFFFFF"/>
            <w:vAlign w:val="center"/>
          </w:tcPr>
          <w:p w14:paraId="2C7293C6" w14:textId="370EA816" w:rsidR="00600E25" w:rsidRPr="00F52F50" w:rsidRDefault="00600E25" w:rsidP="00600E25">
            <w:pPr>
              <w:autoSpaceDE w:val="0"/>
              <w:autoSpaceDN w:val="0"/>
              <w:adjustRightInd w:val="0"/>
              <w:spacing w:after="0" w:line="320" w:lineRule="atLeast"/>
              <w:ind w:right="60"/>
              <w:rPr>
                <w:rFonts w:ascii="Arial" w:hAnsi="Arial" w:cs="Arial"/>
                <w:color w:val="000000"/>
                <w:sz w:val="18"/>
                <w:szCs w:val="18"/>
              </w:rPr>
            </w:pPr>
            <w:r>
              <w:rPr>
                <w:rFonts w:ascii="Arial" w:hAnsi="Arial" w:cs="Arial"/>
                <w:b/>
                <w:bCs/>
                <w:color w:val="000000"/>
                <w:sz w:val="18"/>
                <w:szCs w:val="18"/>
              </w:rPr>
              <w:t>Table :3</w:t>
            </w:r>
            <w:r w:rsidRPr="00F52F50">
              <w:rPr>
                <w:rFonts w:ascii="Arial" w:hAnsi="Arial" w:cs="Arial"/>
                <w:b/>
                <w:bCs/>
                <w:color w:val="000000"/>
                <w:sz w:val="18"/>
                <w:szCs w:val="18"/>
              </w:rPr>
              <w:t xml:space="preserve">       Communalities</w:t>
            </w:r>
          </w:p>
        </w:tc>
      </w:tr>
      <w:tr w:rsidR="00600E25" w:rsidRPr="00F52F50" w14:paraId="30DFE983" w14:textId="77777777" w:rsidTr="00600E25">
        <w:trPr>
          <w:cantSplit/>
        </w:trPr>
        <w:tc>
          <w:tcPr>
            <w:tcW w:w="99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F5EDB33" w14:textId="77777777" w:rsidR="00600E25" w:rsidRPr="00F52F50" w:rsidRDefault="00600E25" w:rsidP="00600E25">
            <w:pPr>
              <w:autoSpaceDE w:val="0"/>
              <w:autoSpaceDN w:val="0"/>
              <w:adjustRightInd w:val="0"/>
              <w:spacing w:after="0" w:line="240" w:lineRule="auto"/>
              <w:rPr>
                <w:rFonts w:ascii="Times New Roman" w:hAnsi="Times New Roman" w:cs="Times New Roman"/>
                <w:sz w:val="18"/>
                <w:szCs w:val="24"/>
              </w:rPr>
            </w:pPr>
          </w:p>
        </w:tc>
        <w:tc>
          <w:tcPr>
            <w:tcW w:w="1417" w:type="dxa"/>
            <w:tcBorders>
              <w:top w:val="single" w:sz="16" w:space="0" w:color="000000"/>
              <w:left w:val="single" w:sz="16" w:space="0" w:color="000000"/>
              <w:bottom w:val="single" w:sz="16" w:space="0" w:color="000000"/>
            </w:tcBorders>
            <w:shd w:val="clear" w:color="auto" w:fill="FFFFFF"/>
            <w:vAlign w:val="bottom"/>
          </w:tcPr>
          <w:p w14:paraId="250C1456" w14:textId="77777777" w:rsidR="00600E25" w:rsidRPr="00F52F50" w:rsidRDefault="00600E25" w:rsidP="00600E25">
            <w:pPr>
              <w:autoSpaceDE w:val="0"/>
              <w:autoSpaceDN w:val="0"/>
              <w:adjustRightInd w:val="0"/>
              <w:spacing w:after="0" w:line="320" w:lineRule="atLeast"/>
              <w:ind w:left="60" w:right="60"/>
              <w:jc w:val="center"/>
              <w:rPr>
                <w:rFonts w:ascii="Arial" w:hAnsi="Arial" w:cs="Arial"/>
                <w:color w:val="000000"/>
                <w:sz w:val="18"/>
                <w:szCs w:val="18"/>
              </w:rPr>
            </w:pPr>
            <w:r w:rsidRPr="00F52F50">
              <w:rPr>
                <w:rFonts w:ascii="Arial" w:hAnsi="Arial" w:cs="Arial"/>
                <w:color w:val="000000"/>
                <w:sz w:val="18"/>
                <w:szCs w:val="18"/>
              </w:rPr>
              <w:t>Initial</w:t>
            </w:r>
          </w:p>
        </w:tc>
        <w:tc>
          <w:tcPr>
            <w:tcW w:w="1843" w:type="dxa"/>
            <w:tcBorders>
              <w:top w:val="single" w:sz="16" w:space="0" w:color="000000"/>
              <w:bottom w:val="single" w:sz="16" w:space="0" w:color="000000"/>
              <w:right w:val="single" w:sz="16" w:space="0" w:color="000000"/>
            </w:tcBorders>
            <w:shd w:val="clear" w:color="auto" w:fill="FFFFFF"/>
            <w:vAlign w:val="bottom"/>
          </w:tcPr>
          <w:p w14:paraId="5B74F4CB" w14:textId="77777777" w:rsidR="00600E25" w:rsidRPr="00F52F50" w:rsidRDefault="00600E25" w:rsidP="00600E25">
            <w:pPr>
              <w:autoSpaceDE w:val="0"/>
              <w:autoSpaceDN w:val="0"/>
              <w:adjustRightInd w:val="0"/>
              <w:spacing w:after="0" w:line="320" w:lineRule="atLeast"/>
              <w:ind w:left="60" w:right="60"/>
              <w:jc w:val="center"/>
              <w:rPr>
                <w:rFonts w:ascii="Arial" w:hAnsi="Arial" w:cs="Arial"/>
                <w:color w:val="000000"/>
                <w:sz w:val="18"/>
                <w:szCs w:val="18"/>
              </w:rPr>
            </w:pPr>
            <w:r w:rsidRPr="00F52F50">
              <w:rPr>
                <w:rFonts w:ascii="Arial" w:hAnsi="Arial" w:cs="Arial"/>
                <w:color w:val="000000"/>
                <w:sz w:val="18"/>
                <w:szCs w:val="18"/>
              </w:rPr>
              <w:t>Extraction</w:t>
            </w:r>
          </w:p>
        </w:tc>
      </w:tr>
      <w:tr w:rsidR="00600E25" w:rsidRPr="00F52F50" w14:paraId="253C84CB" w14:textId="77777777" w:rsidTr="00600E25">
        <w:trPr>
          <w:cantSplit/>
        </w:trPr>
        <w:tc>
          <w:tcPr>
            <w:tcW w:w="993" w:type="dxa"/>
            <w:tcBorders>
              <w:top w:val="single" w:sz="16" w:space="0" w:color="000000"/>
              <w:left w:val="single" w:sz="16" w:space="0" w:color="000000"/>
              <w:bottom w:val="nil"/>
              <w:right w:val="single" w:sz="16" w:space="0" w:color="000000"/>
            </w:tcBorders>
            <w:shd w:val="clear" w:color="auto" w:fill="FFFFFF"/>
          </w:tcPr>
          <w:p w14:paraId="190E114C"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Q2</w:t>
            </w:r>
          </w:p>
        </w:tc>
        <w:tc>
          <w:tcPr>
            <w:tcW w:w="1417" w:type="dxa"/>
            <w:tcBorders>
              <w:top w:val="single" w:sz="16" w:space="0" w:color="000000"/>
              <w:left w:val="single" w:sz="16" w:space="0" w:color="000000"/>
              <w:bottom w:val="nil"/>
            </w:tcBorders>
            <w:shd w:val="clear" w:color="auto" w:fill="FFFFFF"/>
            <w:vAlign w:val="center"/>
          </w:tcPr>
          <w:p w14:paraId="4BBA47C2"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single" w:sz="16" w:space="0" w:color="000000"/>
              <w:bottom w:val="nil"/>
              <w:right w:val="single" w:sz="16" w:space="0" w:color="000000"/>
            </w:tcBorders>
            <w:shd w:val="clear" w:color="auto" w:fill="FFFFFF"/>
            <w:vAlign w:val="center"/>
          </w:tcPr>
          <w:p w14:paraId="445FAB54"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.662</w:t>
            </w:r>
          </w:p>
        </w:tc>
      </w:tr>
      <w:tr w:rsidR="00600E25" w:rsidRPr="00F52F50" w14:paraId="5EBC55F6"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1DBF19F8"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Q26</w:t>
            </w:r>
          </w:p>
        </w:tc>
        <w:tc>
          <w:tcPr>
            <w:tcW w:w="1417" w:type="dxa"/>
            <w:tcBorders>
              <w:top w:val="nil"/>
              <w:left w:val="single" w:sz="16" w:space="0" w:color="000000"/>
              <w:bottom w:val="nil"/>
            </w:tcBorders>
            <w:shd w:val="clear" w:color="auto" w:fill="FFFFFF"/>
            <w:vAlign w:val="center"/>
          </w:tcPr>
          <w:p w14:paraId="4753F7BD"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7B53F3C9"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.505</w:t>
            </w:r>
          </w:p>
        </w:tc>
      </w:tr>
      <w:tr w:rsidR="00600E25" w:rsidRPr="00F52F50" w14:paraId="692C834E"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7A3AA697"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Q28</w:t>
            </w:r>
          </w:p>
        </w:tc>
        <w:tc>
          <w:tcPr>
            <w:tcW w:w="1417" w:type="dxa"/>
            <w:tcBorders>
              <w:top w:val="nil"/>
              <w:left w:val="single" w:sz="16" w:space="0" w:color="000000"/>
              <w:bottom w:val="nil"/>
            </w:tcBorders>
            <w:shd w:val="clear" w:color="auto" w:fill="FFFFFF"/>
            <w:vAlign w:val="center"/>
          </w:tcPr>
          <w:p w14:paraId="3715E219"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5D8F9AA5"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.682</w:t>
            </w:r>
          </w:p>
        </w:tc>
      </w:tr>
      <w:tr w:rsidR="00600E25" w:rsidRPr="00F52F50" w14:paraId="69C53BCD"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6BB63F98"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Q49</w:t>
            </w:r>
          </w:p>
        </w:tc>
        <w:tc>
          <w:tcPr>
            <w:tcW w:w="1417" w:type="dxa"/>
            <w:tcBorders>
              <w:top w:val="nil"/>
              <w:left w:val="single" w:sz="16" w:space="0" w:color="000000"/>
              <w:bottom w:val="nil"/>
            </w:tcBorders>
            <w:shd w:val="clear" w:color="auto" w:fill="FFFFFF"/>
            <w:vAlign w:val="center"/>
          </w:tcPr>
          <w:p w14:paraId="49B29883"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6391C1D0"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.620</w:t>
            </w:r>
          </w:p>
        </w:tc>
      </w:tr>
      <w:tr w:rsidR="00600E25" w:rsidRPr="00F52F50" w14:paraId="3A7A07E1"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4E940F3F"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Q50</w:t>
            </w:r>
          </w:p>
        </w:tc>
        <w:tc>
          <w:tcPr>
            <w:tcW w:w="1417" w:type="dxa"/>
            <w:tcBorders>
              <w:top w:val="nil"/>
              <w:left w:val="single" w:sz="16" w:space="0" w:color="000000"/>
              <w:bottom w:val="nil"/>
            </w:tcBorders>
            <w:shd w:val="clear" w:color="auto" w:fill="FFFFFF"/>
            <w:vAlign w:val="center"/>
          </w:tcPr>
          <w:p w14:paraId="2119D3AF"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76DA9459"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.695</w:t>
            </w:r>
          </w:p>
        </w:tc>
      </w:tr>
      <w:tr w:rsidR="00600E25" w:rsidRPr="00F52F50" w14:paraId="007DFCD1"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768D0BCA"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Q51</w:t>
            </w:r>
          </w:p>
        </w:tc>
        <w:tc>
          <w:tcPr>
            <w:tcW w:w="1417" w:type="dxa"/>
            <w:tcBorders>
              <w:top w:val="nil"/>
              <w:left w:val="single" w:sz="16" w:space="0" w:color="000000"/>
              <w:bottom w:val="nil"/>
            </w:tcBorders>
            <w:shd w:val="clear" w:color="auto" w:fill="FFFFFF"/>
            <w:vAlign w:val="center"/>
          </w:tcPr>
          <w:p w14:paraId="1C0A4869"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518899B8"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.795</w:t>
            </w:r>
          </w:p>
        </w:tc>
      </w:tr>
      <w:tr w:rsidR="00600E25" w:rsidRPr="00F52F50" w14:paraId="022514BF"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7C5890A6"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Q52</w:t>
            </w:r>
          </w:p>
        </w:tc>
        <w:tc>
          <w:tcPr>
            <w:tcW w:w="1417" w:type="dxa"/>
            <w:tcBorders>
              <w:top w:val="nil"/>
              <w:left w:val="single" w:sz="16" w:space="0" w:color="000000"/>
              <w:bottom w:val="nil"/>
            </w:tcBorders>
            <w:shd w:val="clear" w:color="auto" w:fill="FFFFFF"/>
            <w:vAlign w:val="center"/>
          </w:tcPr>
          <w:p w14:paraId="6CB22F62"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0AD0AA61"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.719</w:t>
            </w:r>
          </w:p>
        </w:tc>
      </w:tr>
      <w:tr w:rsidR="00600E25" w:rsidRPr="00F52F50" w14:paraId="3D8DB1E2"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63999E21"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Q54</w:t>
            </w:r>
          </w:p>
        </w:tc>
        <w:tc>
          <w:tcPr>
            <w:tcW w:w="1417" w:type="dxa"/>
            <w:tcBorders>
              <w:top w:val="nil"/>
              <w:left w:val="single" w:sz="16" w:space="0" w:color="000000"/>
              <w:bottom w:val="nil"/>
            </w:tcBorders>
            <w:shd w:val="clear" w:color="auto" w:fill="FFFFFF"/>
            <w:vAlign w:val="center"/>
          </w:tcPr>
          <w:p w14:paraId="1754416B"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165E5FCB"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.652</w:t>
            </w:r>
          </w:p>
        </w:tc>
      </w:tr>
      <w:tr w:rsidR="00600E25" w:rsidRPr="00F52F50" w14:paraId="02304219"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7FEDFB59"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Q55</w:t>
            </w:r>
          </w:p>
        </w:tc>
        <w:tc>
          <w:tcPr>
            <w:tcW w:w="1417" w:type="dxa"/>
            <w:tcBorders>
              <w:top w:val="nil"/>
              <w:left w:val="single" w:sz="16" w:space="0" w:color="000000"/>
              <w:bottom w:val="nil"/>
            </w:tcBorders>
            <w:shd w:val="clear" w:color="auto" w:fill="FFFFFF"/>
            <w:vAlign w:val="center"/>
          </w:tcPr>
          <w:p w14:paraId="67D073C6"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42F6693E"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.687</w:t>
            </w:r>
          </w:p>
        </w:tc>
      </w:tr>
      <w:tr w:rsidR="00600E25" w:rsidRPr="00F52F50" w14:paraId="69E57C47"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10647301"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Q60</w:t>
            </w:r>
          </w:p>
        </w:tc>
        <w:tc>
          <w:tcPr>
            <w:tcW w:w="1417" w:type="dxa"/>
            <w:tcBorders>
              <w:top w:val="nil"/>
              <w:left w:val="single" w:sz="16" w:space="0" w:color="000000"/>
              <w:bottom w:val="nil"/>
            </w:tcBorders>
            <w:shd w:val="clear" w:color="auto" w:fill="FFFFFF"/>
            <w:vAlign w:val="center"/>
          </w:tcPr>
          <w:p w14:paraId="789CB080"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2E2C05C1"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.625</w:t>
            </w:r>
          </w:p>
        </w:tc>
      </w:tr>
      <w:tr w:rsidR="00600E25" w:rsidRPr="00F52F50" w14:paraId="75553889"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23DD8E5B"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Q62</w:t>
            </w:r>
          </w:p>
        </w:tc>
        <w:tc>
          <w:tcPr>
            <w:tcW w:w="1417" w:type="dxa"/>
            <w:tcBorders>
              <w:top w:val="nil"/>
              <w:left w:val="single" w:sz="16" w:space="0" w:color="000000"/>
              <w:bottom w:val="nil"/>
            </w:tcBorders>
            <w:shd w:val="clear" w:color="auto" w:fill="FFFFFF"/>
            <w:vAlign w:val="center"/>
          </w:tcPr>
          <w:p w14:paraId="05AAF561"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0A94462F"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.672</w:t>
            </w:r>
          </w:p>
        </w:tc>
      </w:tr>
      <w:tr w:rsidR="00600E25" w:rsidRPr="00F52F50" w14:paraId="40FDD7A2"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6166DA33"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Q63</w:t>
            </w:r>
          </w:p>
        </w:tc>
        <w:tc>
          <w:tcPr>
            <w:tcW w:w="1417" w:type="dxa"/>
            <w:tcBorders>
              <w:top w:val="nil"/>
              <w:left w:val="single" w:sz="16" w:space="0" w:color="000000"/>
              <w:bottom w:val="nil"/>
            </w:tcBorders>
            <w:shd w:val="clear" w:color="auto" w:fill="FFFFFF"/>
            <w:vAlign w:val="center"/>
          </w:tcPr>
          <w:p w14:paraId="41CDCF3D"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0F94228B"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.743</w:t>
            </w:r>
          </w:p>
        </w:tc>
      </w:tr>
      <w:tr w:rsidR="00600E25" w:rsidRPr="00F52F50" w14:paraId="5670E10F"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654630F9"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Q64</w:t>
            </w:r>
          </w:p>
        </w:tc>
        <w:tc>
          <w:tcPr>
            <w:tcW w:w="1417" w:type="dxa"/>
            <w:tcBorders>
              <w:top w:val="nil"/>
              <w:left w:val="single" w:sz="16" w:space="0" w:color="000000"/>
              <w:bottom w:val="nil"/>
            </w:tcBorders>
            <w:shd w:val="clear" w:color="auto" w:fill="FFFFFF"/>
            <w:vAlign w:val="center"/>
          </w:tcPr>
          <w:p w14:paraId="50D1B977"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18C4F17C"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.591</w:t>
            </w:r>
          </w:p>
        </w:tc>
      </w:tr>
      <w:tr w:rsidR="00600E25" w:rsidRPr="00F52F50" w14:paraId="18DD19ED"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4376F36F"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Q65</w:t>
            </w:r>
          </w:p>
        </w:tc>
        <w:tc>
          <w:tcPr>
            <w:tcW w:w="1417" w:type="dxa"/>
            <w:tcBorders>
              <w:top w:val="nil"/>
              <w:left w:val="single" w:sz="16" w:space="0" w:color="000000"/>
              <w:bottom w:val="nil"/>
            </w:tcBorders>
            <w:shd w:val="clear" w:color="auto" w:fill="FFFFFF"/>
            <w:vAlign w:val="center"/>
          </w:tcPr>
          <w:p w14:paraId="4565D43F"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6E8C5671"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.672</w:t>
            </w:r>
          </w:p>
        </w:tc>
      </w:tr>
      <w:tr w:rsidR="00600E25" w:rsidRPr="00F52F50" w14:paraId="1FEEAAC5"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753849B9"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Q66</w:t>
            </w:r>
          </w:p>
        </w:tc>
        <w:tc>
          <w:tcPr>
            <w:tcW w:w="1417" w:type="dxa"/>
            <w:tcBorders>
              <w:top w:val="nil"/>
              <w:left w:val="single" w:sz="16" w:space="0" w:color="000000"/>
              <w:bottom w:val="nil"/>
            </w:tcBorders>
            <w:shd w:val="clear" w:color="auto" w:fill="FFFFFF"/>
            <w:vAlign w:val="center"/>
          </w:tcPr>
          <w:p w14:paraId="0B7139FE"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11CA7B73"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.552</w:t>
            </w:r>
          </w:p>
        </w:tc>
      </w:tr>
      <w:tr w:rsidR="00600E25" w:rsidRPr="00F52F50" w14:paraId="075C2764"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2219FFB1"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Q6</w:t>
            </w:r>
          </w:p>
        </w:tc>
        <w:tc>
          <w:tcPr>
            <w:tcW w:w="1417" w:type="dxa"/>
            <w:tcBorders>
              <w:top w:val="nil"/>
              <w:left w:val="single" w:sz="16" w:space="0" w:color="000000"/>
              <w:bottom w:val="nil"/>
            </w:tcBorders>
            <w:shd w:val="clear" w:color="auto" w:fill="FFFFFF"/>
            <w:vAlign w:val="center"/>
          </w:tcPr>
          <w:p w14:paraId="5A72DEA6"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03D46CBC"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.491</w:t>
            </w:r>
          </w:p>
        </w:tc>
      </w:tr>
      <w:tr w:rsidR="00600E25" w:rsidRPr="00F52F50" w14:paraId="20D60B9E"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755FD88E"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Q36</w:t>
            </w:r>
          </w:p>
        </w:tc>
        <w:tc>
          <w:tcPr>
            <w:tcW w:w="1417" w:type="dxa"/>
            <w:tcBorders>
              <w:top w:val="nil"/>
              <w:left w:val="single" w:sz="16" w:space="0" w:color="000000"/>
              <w:bottom w:val="nil"/>
            </w:tcBorders>
            <w:shd w:val="clear" w:color="auto" w:fill="FFFFFF"/>
            <w:vAlign w:val="center"/>
          </w:tcPr>
          <w:p w14:paraId="7903A662"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1C1305E6"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.488</w:t>
            </w:r>
          </w:p>
        </w:tc>
      </w:tr>
      <w:tr w:rsidR="00600E25" w:rsidRPr="00F52F50" w14:paraId="2F1D45FB"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4E8875AE"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Q15</w:t>
            </w:r>
          </w:p>
        </w:tc>
        <w:tc>
          <w:tcPr>
            <w:tcW w:w="1417" w:type="dxa"/>
            <w:tcBorders>
              <w:top w:val="nil"/>
              <w:left w:val="single" w:sz="16" w:space="0" w:color="000000"/>
              <w:bottom w:val="nil"/>
            </w:tcBorders>
            <w:shd w:val="clear" w:color="auto" w:fill="FFFFFF"/>
            <w:vAlign w:val="center"/>
          </w:tcPr>
          <w:p w14:paraId="64176069"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6FDA91EE"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.379</w:t>
            </w:r>
          </w:p>
        </w:tc>
      </w:tr>
      <w:tr w:rsidR="00600E25" w:rsidRPr="00F52F50" w14:paraId="06D40B9C"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11128507"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Q29</w:t>
            </w:r>
          </w:p>
        </w:tc>
        <w:tc>
          <w:tcPr>
            <w:tcW w:w="1417" w:type="dxa"/>
            <w:tcBorders>
              <w:top w:val="nil"/>
              <w:left w:val="single" w:sz="16" w:space="0" w:color="000000"/>
              <w:bottom w:val="nil"/>
            </w:tcBorders>
            <w:shd w:val="clear" w:color="auto" w:fill="FFFFFF"/>
            <w:vAlign w:val="center"/>
          </w:tcPr>
          <w:p w14:paraId="0E862507"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4B473BF5"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.562</w:t>
            </w:r>
          </w:p>
        </w:tc>
      </w:tr>
      <w:tr w:rsidR="00600E25" w:rsidRPr="00F52F50" w14:paraId="36FC2B0D"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0FCE1ED7"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Q30</w:t>
            </w:r>
          </w:p>
        </w:tc>
        <w:tc>
          <w:tcPr>
            <w:tcW w:w="1417" w:type="dxa"/>
            <w:tcBorders>
              <w:top w:val="nil"/>
              <w:left w:val="single" w:sz="16" w:space="0" w:color="000000"/>
              <w:bottom w:val="nil"/>
            </w:tcBorders>
            <w:shd w:val="clear" w:color="auto" w:fill="FFFFFF"/>
            <w:vAlign w:val="center"/>
          </w:tcPr>
          <w:p w14:paraId="7181D64D"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1D072AA8"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.546</w:t>
            </w:r>
          </w:p>
        </w:tc>
      </w:tr>
      <w:tr w:rsidR="00600E25" w:rsidRPr="00F52F50" w14:paraId="2AEEC7E4"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030C5829"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Q46</w:t>
            </w:r>
          </w:p>
        </w:tc>
        <w:tc>
          <w:tcPr>
            <w:tcW w:w="1417" w:type="dxa"/>
            <w:tcBorders>
              <w:top w:val="nil"/>
              <w:left w:val="single" w:sz="16" w:space="0" w:color="000000"/>
              <w:bottom w:val="nil"/>
            </w:tcBorders>
            <w:shd w:val="clear" w:color="auto" w:fill="FFFFFF"/>
            <w:vAlign w:val="center"/>
          </w:tcPr>
          <w:p w14:paraId="0B9EC67C"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65312F41"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.562</w:t>
            </w:r>
          </w:p>
        </w:tc>
      </w:tr>
      <w:tr w:rsidR="00600E25" w:rsidRPr="00F52F50" w14:paraId="771C0A7E"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257746FA"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Q56</w:t>
            </w:r>
          </w:p>
        </w:tc>
        <w:tc>
          <w:tcPr>
            <w:tcW w:w="1417" w:type="dxa"/>
            <w:tcBorders>
              <w:top w:val="nil"/>
              <w:left w:val="single" w:sz="16" w:space="0" w:color="000000"/>
              <w:bottom w:val="nil"/>
            </w:tcBorders>
            <w:shd w:val="clear" w:color="auto" w:fill="FFFFFF"/>
            <w:vAlign w:val="center"/>
          </w:tcPr>
          <w:p w14:paraId="6BEAB3CB"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26005DD2"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.572</w:t>
            </w:r>
          </w:p>
        </w:tc>
      </w:tr>
      <w:tr w:rsidR="00600E25" w:rsidRPr="00F52F50" w14:paraId="7A55F7B8" w14:textId="77777777" w:rsidTr="00600E25">
        <w:trPr>
          <w:cantSplit/>
        </w:trPr>
        <w:tc>
          <w:tcPr>
            <w:tcW w:w="993" w:type="dxa"/>
            <w:tcBorders>
              <w:top w:val="nil"/>
              <w:left w:val="single" w:sz="16" w:space="0" w:color="000000"/>
              <w:bottom w:val="nil"/>
              <w:right w:val="single" w:sz="16" w:space="0" w:color="000000"/>
            </w:tcBorders>
            <w:shd w:val="clear" w:color="auto" w:fill="FFFFFF"/>
          </w:tcPr>
          <w:p w14:paraId="09CB6F60"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Q58</w:t>
            </w:r>
          </w:p>
        </w:tc>
        <w:tc>
          <w:tcPr>
            <w:tcW w:w="1417" w:type="dxa"/>
            <w:tcBorders>
              <w:top w:val="nil"/>
              <w:left w:val="single" w:sz="16" w:space="0" w:color="000000"/>
              <w:bottom w:val="nil"/>
            </w:tcBorders>
            <w:shd w:val="clear" w:color="auto" w:fill="FFFFFF"/>
            <w:vAlign w:val="center"/>
          </w:tcPr>
          <w:p w14:paraId="5C7C630E"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nil"/>
              <w:right w:val="single" w:sz="16" w:space="0" w:color="000000"/>
            </w:tcBorders>
            <w:shd w:val="clear" w:color="auto" w:fill="FFFFFF"/>
            <w:vAlign w:val="center"/>
          </w:tcPr>
          <w:p w14:paraId="2AF0FE3B"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.593</w:t>
            </w:r>
          </w:p>
        </w:tc>
      </w:tr>
      <w:tr w:rsidR="00600E25" w:rsidRPr="00F52F50" w14:paraId="5A85650F" w14:textId="77777777" w:rsidTr="00600E25">
        <w:trPr>
          <w:cantSplit/>
        </w:trPr>
        <w:tc>
          <w:tcPr>
            <w:tcW w:w="993" w:type="dxa"/>
            <w:tcBorders>
              <w:top w:val="nil"/>
              <w:left w:val="single" w:sz="16" w:space="0" w:color="000000"/>
              <w:bottom w:val="single" w:sz="16" w:space="0" w:color="000000"/>
              <w:right w:val="single" w:sz="16" w:space="0" w:color="000000"/>
            </w:tcBorders>
            <w:shd w:val="clear" w:color="auto" w:fill="FFFFFF"/>
          </w:tcPr>
          <w:p w14:paraId="4F0D4953"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Q61</w:t>
            </w:r>
          </w:p>
        </w:tc>
        <w:tc>
          <w:tcPr>
            <w:tcW w:w="1417" w:type="dxa"/>
            <w:tcBorders>
              <w:top w:val="nil"/>
              <w:left w:val="single" w:sz="16" w:space="0" w:color="000000"/>
              <w:bottom w:val="single" w:sz="16" w:space="0" w:color="000000"/>
            </w:tcBorders>
            <w:shd w:val="clear" w:color="auto" w:fill="FFFFFF"/>
            <w:vAlign w:val="center"/>
          </w:tcPr>
          <w:p w14:paraId="4BC2DC2E"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1.000</w:t>
            </w:r>
          </w:p>
        </w:tc>
        <w:tc>
          <w:tcPr>
            <w:tcW w:w="1843" w:type="dxa"/>
            <w:tcBorders>
              <w:top w:val="nil"/>
              <w:bottom w:val="single" w:sz="16" w:space="0" w:color="000000"/>
              <w:right w:val="single" w:sz="16" w:space="0" w:color="000000"/>
            </w:tcBorders>
            <w:shd w:val="clear" w:color="auto" w:fill="FFFFFF"/>
            <w:vAlign w:val="center"/>
          </w:tcPr>
          <w:p w14:paraId="0D85A130" w14:textId="77777777" w:rsidR="00600E25" w:rsidRPr="00F52F50" w:rsidRDefault="00600E25" w:rsidP="00600E25">
            <w:pPr>
              <w:autoSpaceDE w:val="0"/>
              <w:autoSpaceDN w:val="0"/>
              <w:adjustRightInd w:val="0"/>
              <w:spacing w:after="0" w:line="320" w:lineRule="atLeast"/>
              <w:ind w:left="60" w:right="60"/>
              <w:jc w:val="right"/>
              <w:rPr>
                <w:rFonts w:ascii="Arial" w:hAnsi="Arial" w:cs="Arial"/>
                <w:color w:val="000000"/>
                <w:sz w:val="18"/>
                <w:szCs w:val="18"/>
              </w:rPr>
            </w:pPr>
            <w:r w:rsidRPr="00F52F50">
              <w:rPr>
                <w:rFonts w:ascii="Arial" w:hAnsi="Arial" w:cs="Arial"/>
                <w:color w:val="000000"/>
                <w:sz w:val="18"/>
                <w:szCs w:val="18"/>
              </w:rPr>
              <w:t>.711</w:t>
            </w:r>
          </w:p>
        </w:tc>
      </w:tr>
      <w:tr w:rsidR="00600E25" w:rsidRPr="00F52F50" w14:paraId="18FB8F03" w14:textId="77777777" w:rsidTr="00600E25">
        <w:trPr>
          <w:cantSplit/>
        </w:trPr>
        <w:tc>
          <w:tcPr>
            <w:tcW w:w="4253" w:type="dxa"/>
            <w:gridSpan w:val="3"/>
            <w:tcBorders>
              <w:top w:val="nil"/>
              <w:left w:val="nil"/>
              <w:bottom w:val="nil"/>
              <w:right w:val="nil"/>
            </w:tcBorders>
            <w:shd w:val="clear" w:color="auto" w:fill="FFFFFF"/>
          </w:tcPr>
          <w:p w14:paraId="4A82DA3F" w14:textId="77777777" w:rsidR="00600E25" w:rsidRPr="00F52F50" w:rsidRDefault="00600E25" w:rsidP="00600E25">
            <w:pPr>
              <w:autoSpaceDE w:val="0"/>
              <w:autoSpaceDN w:val="0"/>
              <w:adjustRightInd w:val="0"/>
              <w:spacing w:after="0" w:line="320" w:lineRule="atLeast"/>
              <w:ind w:left="60" w:right="60"/>
              <w:rPr>
                <w:rFonts w:ascii="Arial" w:hAnsi="Arial" w:cs="Arial"/>
                <w:color w:val="000000"/>
                <w:sz w:val="18"/>
                <w:szCs w:val="18"/>
              </w:rPr>
            </w:pPr>
            <w:r w:rsidRPr="00F52F50">
              <w:rPr>
                <w:rFonts w:ascii="Arial" w:hAnsi="Arial" w:cs="Arial"/>
                <w:color w:val="000000"/>
                <w:sz w:val="18"/>
                <w:szCs w:val="18"/>
              </w:rPr>
              <w:t xml:space="preserve">Extraction Method: </w:t>
            </w:r>
            <w:r>
              <w:rPr>
                <w:rFonts w:ascii="Arial" w:hAnsi="Arial" w:cs="Arial"/>
                <w:color w:val="000000"/>
                <w:sz w:val="18"/>
                <w:szCs w:val="18"/>
              </w:rPr>
              <w:t xml:space="preserve">Principal </w:t>
            </w:r>
            <w:r w:rsidRPr="00F52F50">
              <w:rPr>
                <w:rFonts w:ascii="Arial" w:hAnsi="Arial" w:cs="Arial"/>
                <w:color w:val="000000"/>
                <w:sz w:val="18"/>
                <w:szCs w:val="18"/>
              </w:rPr>
              <w:t>Component Analysis.</w:t>
            </w:r>
          </w:p>
        </w:tc>
      </w:tr>
    </w:tbl>
    <w:p w14:paraId="05AA1DB1" w14:textId="77777777" w:rsidR="00BD6E15" w:rsidRPr="00BD6E15" w:rsidRDefault="00BD6E15" w:rsidP="00BD6E15">
      <w:pPr>
        <w:jc w:val="both"/>
        <w:rPr>
          <w:rFonts w:ascii="Times New Roman" w:hAnsi="Times New Roman" w:cs="Times New Roman"/>
          <w:sz w:val="24"/>
          <w:szCs w:val="24"/>
        </w:rPr>
      </w:pPr>
    </w:p>
    <w:p w14:paraId="6A41BA3C" w14:textId="77777777" w:rsidR="00BD6E15" w:rsidRPr="00BD6E15" w:rsidRDefault="00BD6E15" w:rsidP="00BD6E15">
      <w:pPr>
        <w:jc w:val="both"/>
        <w:rPr>
          <w:rFonts w:ascii="Times New Roman" w:hAnsi="Times New Roman" w:cs="Times New Roman"/>
          <w:sz w:val="24"/>
          <w:szCs w:val="24"/>
        </w:rPr>
      </w:pPr>
    </w:p>
    <w:p w14:paraId="76926CB4" w14:textId="77777777" w:rsidR="000666DD" w:rsidRDefault="000666DD" w:rsidP="00C6765D">
      <w:pPr>
        <w:jc w:val="both"/>
        <w:rPr>
          <w:b/>
          <w:bCs/>
        </w:rPr>
      </w:pPr>
    </w:p>
    <w:p w14:paraId="6A613E95" w14:textId="77777777" w:rsidR="00A446CA" w:rsidRDefault="00A446CA" w:rsidP="00C6765D">
      <w:pPr>
        <w:jc w:val="both"/>
        <w:rPr>
          <w:b/>
          <w:bCs/>
        </w:rPr>
      </w:pPr>
    </w:p>
    <w:p w14:paraId="2FAACA73" w14:textId="77777777" w:rsidR="00A446CA" w:rsidRDefault="00A446CA" w:rsidP="00C6765D">
      <w:pPr>
        <w:jc w:val="both"/>
        <w:rPr>
          <w:b/>
          <w:bCs/>
        </w:rPr>
      </w:pPr>
    </w:p>
    <w:p w14:paraId="46255BF8" w14:textId="77777777" w:rsidR="00A446CA" w:rsidRDefault="00A446CA" w:rsidP="00C6765D">
      <w:pPr>
        <w:jc w:val="both"/>
        <w:rPr>
          <w:b/>
          <w:bCs/>
        </w:rPr>
      </w:pPr>
    </w:p>
    <w:p w14:paraId="224609CB" w14:textId="77777777" w:rsidR="00A446CA" w:rsidRDefault="00A446CA" w:rsidP="00C6765D">
      <w:pPr>
        <w:jc w:val="both"/>
        <w:rPr>
          <w:b/>
          <w:bCs/>
        </w:rPr>
      </w:pPr>
    </w:p>
    <w:p w14:paraId="73F27C45" w14:textId="77777777" w:rsidR="00A446CA" w:rsidRDefault="00A446CA" w:rsidP="00C6765D">
      <w:pPr>
        <w:jc w:val="both"/>
        <w:rPr>
          <w:b/>
          <w:bCs/>
        </w:rPr>
      </w:pPr>
    </w:p>
    <w:p w14:paraId="389666DE" w14:textId="77777777" w:rsidR="00A446CA" w:rsidRDefault="00A446CA" w:rsidP="00C6765D">
      <w:pPr>
        <w:jc w:val="both"/>
        <w:rPr>
          <w:b/>
          <w:bCs/>
        </w:rPr>
      </w:pPr>
    </w:p>
    <w:p w14:paraId="7CF5199A" w14:textId="77777777" w:rsidR="00A446CA" w:rsidRDefault="00A446CA" w:rsidP="00C6765D">
      <w:pPr>
        <w:jc w:val="both"/>
        <w:rPr>
          <w:b/>
          <w:bCs/>
        </w:rPr>
      </w:pPr>
    </w:p>
    <w:p w14:paraId="61E429AC" w14:textId="77777777" w:rsidR="00A446CA" w:rsidRDefault="00A446CA" w:rsidP="00C6765D">
      <w:pPr>
        <w:jc w:val="both"/>
        <w:rPr>
          <w:b/>
          <w:bCs/>
        </w:rPr>
      </w:pPr>
    </w:p>
    <w:p w14:paraId="091F87BA" w14:textId="77777777" w:rsidR="00A446CA" w:rsidRDefault="00A446CA" w:rsidP="00C6765D">
      <w:pPr>
        <w:jc w:val="both"/>
        <w:rPr>
          <w:b/>
          <w:bCs/>
        </w:rPr>
      </w:pPr>
    </w:p>
    <w:p w14:paraId="19A68EB0" w14:textId="77777777" w:rsidR="00A446CA" w:rsidRDefault="00A446CA" w:rsidP="00C6765D">
      <w:pPr>
        <w:jc w:val="both"/>
        <w:rPr>
          <w:b/>
          <w:bCs/>
        </w:rPr>
      </w:pPr>
    </w:p>
    <w:p w14:paraId="25BCBE8C" w14:textId="77777777" w:rsidR="00A446CA" w:rsidRDefault="00A446CA" w:rsidP="00C6765D">
      <w:pPr>
        <w:jc w:val="both"/>
        <w:rPr>
          <w:b/>
          <w:bCs/>
        </w:rPr>
      </w:pPr>
    </w:p>
    <w:p w14:paraId="54E6B4B5" w14:textId="77777777" w:rsidR="00A446CA" w:rsidRDefault="00A446CA" w:rsidP="00C6765D">
      <w:pPr>
        <w:jc w:val="both"/>
        <w:rPr>
          <w:b/>
          <w:bCs/>
        </w:rPr>
      </w:pPr>
    </w:p>
    <w:p w14:paraId="31AF7845" w14:textId="77777777" w:rsidR="00A446CA" w:rsidRDefault="00A446CA" w:rsidP="00C6765D">
      <w:pPr>
        <w:jc w:val="both"/>
        <w:rPr>
          <w:b/>
          <w:bCs/>
        </w:rPr>
      </w:pPr>
    </w:p>
    <w:p w14:paraId="33A5B3DA" w14:textId="77777777" w:rsidR="00A446CA" w:rsidRDefault="00A446CA" w:rsidP="00C6765D">
      <w:pPr>
        <w:jc w:val="both"/>
        <w:rPr>
          <w:b/>
          <w:bCs/>
        </w:rPr>
      </w:pPr>
    </w:p>
    <w:p w14:paraId="76F1824A" w14:textId="77777777" w:rsidR="00A446CA" w:rsidRDefault="00A446CA" w:rsidP="00C6765D">
      <w:pPr>
        <w:jc w:val="both"/>
        <w:rPr>
          <w:b/>
          <w:bCs/>
        </w:rPr>
      </w:pPr>
    </w:p>
    <w:p w14:paraId="2A2057C1" w14:textId="485324EA" w:rsidR="00C6765D" w:rsidRPr="00FF41B2" w:rsidRDefault="00C6765D" w:rsidP="00C6765D">
      <w:pPr>
        <w:jc w:val="both"/>
        <w:rPr>
          <w:rFonts w:ascii="Times New Roman" w:hAnsi="Times New Roman" w:cs="Times New Roman"/>
          <w:sz w:val="24"/>
          <w:szCs w:val="24"/>
        </w:rPr>
      </w:pPr>
      <w:r w:rsidRPr="00FF41B2">
        <w:rPr>
          <w:rFonts w:ascii="Times New Roman" w:hAnsi="Times New Roman" w:cs="Times New Roman"/>
          <w:b/>
          <w:bCs/>
          <w:sz w:val="24"/>
          <w:szCs w:val="24"/>
        </w:rPr>
        <w:t xml:space="preserve">Table </w:t>
      </w:r>
      <w:r w:rsidR="00AC7195">
        <w:rPr>
          <w:rFonts w:ascii="Times New Roman" w:hAnsi="Times New Roman" w:cs="Times New Roman"/>
          <w:b/>
          <w:bCs/>
          <w:sz w:val="24"/>
          <w:szCs w:val="24"/>
        </w:rPr>
        <w:t>3</w:t>
      </w:r>
      <w:r w:rsidR="00600E25">
        <w:rPr>
          <w:rFonts w:ascii="Times New Roman" w:hAnsi="Times New Roman" w:cs="Times New Roman"/>
          <w:b/>
          <w:bCs/>
          <w:sz w:val="24"/>
          <w:szCs w:val="24"/>
        </w:rPr>
        <w:t xml:space="preserve"> </w:t>
      </w:r>
      <w:r w:rsidR="00AC7195">
        <w:rPr>
          <w:rFonts w:ascii="Times New Roman" w:hAnsi="Times New Roman" w:cs="Times New Roman"/>
          <w:sz w:val="24"/>
          <w:szCs w:val="24"/>
        </w:rPr>
        <w:t>represents</w:t>
      </w:r>
      <w:r w:rsidRPr="00FF41B2">
        <w:rPr>
          <w:rFonts w:ascii="Times New Roman" w:hAnsi="Times New Roman" w:cs="Times New Roman"/>
          <w:sz w:val="24"/>
          <w:szCs w:val="24"/>
        </w:rPr>
        <w:t xml:space="preserve"> the communalities value of 24 items before and after extraction with </w:t>
      </w:r>
      <w:r w:rsidR="00FF41B2">
        <w:rPr>
          <w:rFonts w:ascii="Times New Roman" w:hAnsi="Times New Roman" w:cs="Times New Roman"/>
          <w:sz w:val="24"/>
          <w:szCs w:val="24"/>
        </w:rPr>
        <w:t xml:space="preserve">the </w:t>
      </w:r>
      <w:r w:rsidRPr="00FF41B2">
        <w:rPr>
          <w:rFonts w:ascii="Times New Roman" w:hAnsi="Times New Roman" w:cs="Times New Roman"/>
          <w:sz w:val="24"/>
          <w:szCs w:val="24"/>
        </w:rPr>
        <w:t>help of PCA (Principal Component Analysis). According to Suhr (2006)</w:t>
      </w:r>
      <w:r w:rsidR="00FF41B2">
        <w:rPr>
          <w:rFonts w:ascii="Times New Roman" w:hAnsi="Times New Roman" w:cs="Times New Roman"/>
          <w:sz w:val="24"/>
          <w:szCs w:val="24"/>
        </w:rPr>
        <w:t>,</w:t>
      </w:r>
      <w:r w:rsidRPr="00FF41B2">
        <w:rPr>
          <w:rFonts w:ascii="Times New Roman" w:hAnsi="Times New Roman" w:cs="Times New Roman"/>
          <w:sz w:val="24"/>
          <w:szCs w:val="24"/>
        </w:rPr>
        <w:t xml:space="preserve"> initial communalities denote total variance</w:t>
      </w:r>
      <w:r w:rsidR="00FF41B2">
        <w:rPr>
          <w:rFonts w:ascii="Times New Roman" w:hAnsi="Times New Roman" w:cs="Times New Roman"/>
          <w:sz w:val="24"/>
          <w:szCs w:val="24"/>
        </w:rPr>
        <w:t>,</w:t>
      </w:r>
      <w:r w:rsidRPr="00FF41B2">
        <w:rPr>
          <w:rFonts w:ascii="Times New Roman" w:hAnsi="Times New Roman" w:cs="Times New Roman"/>
          <w:sz w:val="24"/>
          <w:szCs w:val="24"/>
        </w:rPr>
        <w:t xml:space="preserve"> and PCA consider</w:t>
      </w:r>
      <w:r w:rsidR="00FF41B2">
        <w:rPr>
          <w:rFonts w:ascii="Times New Roman" w:hAnsi="Times New Roman" w:cs="Times New Roman"/>
          <w:sz w:val="24"/>
          <w:szCs w:val="24"/>
        </w:rPr>
        <w:t>s</w:t>
      </w:r>
      <w:r w:rsidRPr="00FF41B2">
        <w:rPr>
          <w:rFonts w:ascii="Times New Roman" w:hAnsi="Times New Roman" w:cs="Times New Roman"/>
          <w:sz w:val="24"/>
          <w:szCs w:val="24"/>
        </w:rPr>
        <w:t xml:space="preserve"> all variance as common variance </w:t>
      </w:r>
      <w:r w:rsidRPr="00FF41B2">
        <w:rPr>
          <w:rFonts w:ascii="Times New Roman" w:hAnsi="Times New Roman" w:cs="Times New Roman"/>
          <w:sz w:val="24"/>
          <w:szCs w:val="24"/>
        </w:rPr>
        <w:lastRenderedPageBreak/>
        <w:t>during extraction. For all item</w:t>
      </w:r>
      <w:r w:rsidR="00FF41B2">
        <w:rPr>
          <w:rFonts w:ascii="Times New Roman" w:hAnsi="Times New Roman" w:cs="Times New Roman"/>
          <w:sz w:val="24"/>
          <w:szCs w:val="24"/>
        </w:rPr>
        <w:t>s</w:t>
      </w:r>
      <w:r w:rsidR="00AC2688">
        <w:rPr>
          <w:rFonts w:ascii="Times New Roman" w:hAnsi="Times New Roman" w:cs="Times New Roman"/>
          <w:sz w:val="24"/>
          <w:szCs w:val="24"/>
        </w:rPr>
        <w:t xml:space="preserve"> i</w:t>
      </w:r>
      <w:r w:rsidRPr="00FF41B2">
        <w:rPr>
          <w:rFonts w:ascii="Times New Roman" w:hAnsi="Times New Roman" w:cs="Times New Roman"/>
          <w:sz w:val="24"/>
          <w:szCs w:val="24"/>
        </w:rPr>
        <w:t>nitial value</w:t>
      </w:r>
      <w:r w:rsidR="005C76F8" w:rsidRPr="00FF41B2">
        <w:rPr>
          <w:rFonts w:ascii="Times New Roman" w:hAnsi="Times New Roman" w:cs="Times New Roman"/>
          <w:sz w:val="24"/>
          <w:szCs w:val="24"/>
        </w:rPr>
        <w:t xml:space="preserve"> was</w:t>
      </w:r>
      <w:r w:rsidRPr="00FF41B2">
        <w:rPr>
          <w:rFonts w:ascii="Times New Roman" w:hAnsi="Times New Roman" w:cs="Times New Roman"/>
          <w:sz w:val="24"/>
          <w:szCs w:val="24"/>
        </w:rPr>
        <w:t xml:space="preserve"> 1</w:t>
      </w:r>
      <w:r w:rsidR="00FF41B2">
        <w:rPr>
          <w:rFonts w:ascii="Times New Roman" w:hAnsi="Times New Roman" w:cs="Times New Roman"/>
          <w:sz w:val="24"/>
          <w:szCs w:val="24"/>
        </w:rPr>
        <w:t>,</w:t>
      </w:r>
      <w:r w:rsidRPr="00FF41B2">
        <w:rPr>
          <w:rFonts w:ascii="Times New Roman" w:hAnsi="Times New Roman" w:cs="Times New Roman"/>
          <w:sz w:val="24"/>
          <w:szCs w:val="24"/>
        </w:rPr>
        <w:t xml:space="preserve"> but after extraction</w:t>
      </w:r>
      <w:r w:rsidR="00FF41B2">
        <w:rPr>
          <w:rFonts w:ascii="Times New Roman" w:hAnsi="Times New Roman" w:cs="Times New Roman"/>
          <w:sz w:val="24"/>
          <w:szCs w:val="24"/>
        </w:rPr>
        <w:t>,</w:t>
      </w:r>
      <w:r w:rsidRPr="00FF41B2">
        <w:rPr>
          <w:rFonts w:ascii="Times New Roman" w:hAnsi="Times New Roman" w:cs="Times New Roman"/>
          <w:sz w:val="24"/>
          <w:szCs w:val="24"/>
        </w:rPr>
        <w:t xml:space="preserve"> all value</w:t>
      </w:r>
      <w:r w:rsidR="0074064E">
        <w:rPr>
          <w:rFonts w:ascii="Times New Roman" w:hAnsi="Times New Roman" w:cs="Times New Roman"/>
          <w:sz w:val="24"/>
          <w:szCs w:val="24"/>
        </w:rPr>
        <w:t>s show</w:t>
      </w:r>
      <w:r w:rsidR="00AC2688">
        <w:rPr>
          <w:rFonts w:ascii="Times New Roman" w:hAnsi="Times New Roman" w:cs="Times New Roman"/>
          <w:sz w:val="24"/>
          <w:szCs w:val="24"/>
        </w:rPr>
        <w:t>ed</w:t>
      </w:r>
      <w:r w:rsidRPr="00FF41B2">
        <w:rPr>
          <w:rFonts w:ascii="Times New Roman" w:hAnsi="Times New Roman" w:cs="Times New Roman"/>
          <w:sz w:val="24"/>
          <w:szCs w:val="24"/>
        </w:rPr>
        <w:t xml:space="preserve"> acceptable communalities. </w:t>
      </w:r>
      <w:r w:rsidR="00FF41B2">
        <w:rPr>
          <w:rFonts w:ascii="Times New Roman" w:hAnsi="Times New Roman" w:cs="Times New Roman"/>
          <w:sz w:val="24"/>
          <w:szCs w:val="24"/>
        </w:rPr>
        <w:t>The r</w:t>
      </w:r>
      <w:r w:rsidRPr="00FF41B2">
        <w:rPr>
          <w:rFonts w:ascii="Times New Roman" w:hAnsi="Times New Roman" w:cs="Times New Roman"/>
          <w:sz w:val="24"/>
          <w:szCs w:val="24"/>
        </w:rPr>
        <w:t xml:space="preserve">esult suggests </w:t>
      </w:r>
      <w:r w:rsidR="00FF41B2">
        <w:rPr>
          <w:rFonts w:ascii="Times New Roman" w:hAnsi="Times New Roman" w:cs="Times New Roman"/>
          <w:sz w:val="24"/>
          <w:szCs w:val="24"/>
        </w:rPr>
        <w:t xml:space="preserve">that </w:t>
      </w:r>
      <w:r w:rsidRPr="00FF41B2">
        <w:rPr>
          <w:rFonts w:ascii="Times New Roman" w:hAnsi="Times New Roman" w:cs="Times New Roman"/>
          <w:sz w:val="24"/>
          <w:szCs w:val="24"/>
        </w:rPr>
        <w:t xml:space="preserve">all retained items </w:t>
      </w:r>
      <w:r w:rsidR="00600E25">
        <w:rPr>
          <w:rFonts w:ascii="Times New Roman" w:hAnsi="Times New Roman" w:cs="Times New Roman"/>
          <w:sz w:val="24"/>
          <w:szCs w:val="24"/>
        </w:rPr>
        <w:t xml:space="preserve">are </w:t>
      </w:r>
      <w:r w:rsidRPr="00FF41B2">
        <w:rPr>
          <w:rFonts w:ascii="Times New Roman" w:hAnsi="Times New Roman" w:cs="Times New Roman"/>
          <w:sz w:val="24"/>
          <w:szCs w:val="24"/>
        </w:rPr>
        <w:t>sufficiently describe</w:t>
      </w:r>
      <w:r w:rsidR="00600E25">
        <w:rPr>
          <w:rFonts w:ascii="Times New Roman" w:hAnsi="Times New Roman" w:cs="Times New Roman"/>
          <w:sz w:val="24"/>
          <w:szCs w:val="24"/>
        </w:rPr>
        <w:t>d</w:t>
      </w:r>
      <w:r w:rsidRPr="00FF41B2">
        <w:rPr>
          <w:rFonts w:ascii="Times New Roman" w:hAnsi="Times New Roman" w:cs="Times New Roman"/>
          <w:sz w:val="24"/>
          <w:szCs w:val="24"/>
        </w:rPr>
        <w:t xml:space="preserve"> by </w:t>
      </w:r>
      <w:r w:rsidR="00600E25">
        <w:rPr>
          <w:rFonts w:ascii="Times New Roman" w:hAnsi="Times New Roman" w:cs="Times New Roman"/>
          <w:sz w:val="24"/>
          <w:szCs w:val="24"/>
        </w:rPr>
        <w:t xml:space="preserve">the </w:t>
      </w:r>
      <w:r w:rsidRPr="00FF41B2">
        <w:rPr>
          <w:rFonts w:ascii="Times New Roman" w:hAnsi="Times New Roman" w:cs="Times New Roman"/>
          <w:sz w:val="24"/>
          <w:szCs w:val="24"/>
        </w:rPr>
        <w:t>extracted component</w:t>
      </w:r>
      <w:r w:rsidR="00FF41B2">
        <w:rPr>
          <w:rFonts w:ascii="Times New Roman" w:hAnsi="Times New Roman" w:cs="Times New Roman"/>
          <w:sz w:val="24"/>
          <w:szCs w:val="24"/>
        </w:rPr>
        <w:t>,</w:t>
      </w:r>
      <w:r w:rsidRPr="00FF41B2">
        <w:rPr>
          <w:rFonts w:ascii="Times New Roman" w:hAnsi="Times New Roman" w:cs="Times New Roman"/>
          <w:sz w:val="24"/>
          <w:szCs w:val="24"/>
        </w:rPr>
        <w:t xml:space="preserve"> hence it supports </w:t>
      </w:r>
      <w:r w:rsidR="00FF41B2">
        <w:rPr>
          <w:rFonts w:ascii="Times New Roman" w:hAnsi="Times New Roman" w:cs="Times New Roman"/>
          <w:sz w:val="24"/>
          <w:szCs w:val="24"/>
        </w:rPr>
        <w:t xml:space="preserve">the </w:t>
      </w:r>
      <w:r w:rsidRPr="00FF41B2">
        <w:rPr>
          <w:rFonts w:ascii="Times New Roman" w:hAnsi="Times New Roman" w:cs="Times New Roman"/>
          <w:sz w:val="24"/>
          <w:szCs w:val="24"/>
        </w:rPr>
        <w:t>scale construct validity.</w:t>
      </w:r>
    </w:p>
    <w:tbl>
      <w:tblPr>
        <w:tblpPr w:leftFromText="180" w:rightFromText="180" w:vertAnchor="text" w:horzAnchor="page" w:tblpXSpec="center" w:tblpY="217"/>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2"/>
        <w:gridCol w:w="773"/>
        <w:gridCol w:w="774"/>
        <w:gridCol w:w="774"/>
        <w:gridCol w:w="774"/>
        <w:gridCol w:w="774"/>
        <w:gridCol w:w="774"/>
      </w:tblGrid>
      <w:tr w:rsidR="00F52F50" w:rsidRPr="00213B15" w14:paraId="08F6456C" w14:textId="77777777" w:rsidTr="00F52F50">
        <w:trPr>
          <w:cantSplit/>
          <w:trHeight w:val="323"/>
        </w:trPr>
        <w:tc>
          <w:tcPr>
            <w:tcW w:w="5365" w:type="dxa"/>
            <w:gridSpan w:val="7"/>
            <w:tcBorders>
              <w:top w:val="nil"/>
              <w:left w:val="nil"/>
              <w:bottom w:val="nil"/>
              <w:right w:val="nil"/>
            </w:tcBorders>
            <w:shd w:val="clear" w:color="auto" w:fill="FFFFFF"/>
            <w:vAlign w:val="center"/>
          </w:tcPr>
          <w:p w14:paraId="35D35F28" w14:textId="38BC0571" w:rsidR="00F52F50" w:rsidRPr="00213B15" w:rsidRDefault="00AC7195" w:rsidP="00006EE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b/>
                <w:bCs/>
                <w:color w:val="000000"/>
                <w:sz w:val="18"/>
                <w:szCs w:val="18"/>
              </w:rPr>
              <w:t xml:space="preserve">Table </w:t>
            </w:r>
            <w:r w:rsidR="00162686">
              <w:rPr>
                <w:rFonts w:ascii="Arial" w:hAnsi="Arial" w:cs="Arial"/>
                <w:b/>
                <w:bCs/>
                <w:color w:val="000000"/>
                <w:sz w:val="18"/>
                <w:szCs w:val="18"/>
              </w:rPr>
              <w:t>4</w:t>
            </w:r>
            <w:r>
              <w:rPr>
                <w:rFonts w:ascii="Arial" w:hAnsi="Arial" w:cs="Arial"/>
                <w:b/>
                <w:bCs/>
                <w:color w:val="000000"/>
                <w:sz w:val="18"/>
                <w:szCs w:val="18"/>
              </w:rPr>
              <w:t>:</w:t>
            </w:r>
            <w:r w:rsidR="00A446CA">
              <w:rPr>
                <w:rFonts w:ascii="Arial" w:hAnsi="Arial" w:cs="Arial"/>
                <w:b/>
                <w:bCs/>
                <w:color w:val="000000"/>
                <w:sz w:val="18"/>
                <w:szCs w:val="18"/>
              </w:rPr>
              <w:t xml:space="preserve">   </w:t>
            </w:r>
            <w:r>
              <w:rPr>
                <w:rFonts w:ascii="Arial" w:hAnsi="Arial" w:cs="Arial"/>
                <w:b/>
                <w:bCs/>
                <w:color w:val="000000"/>
                <w:sz w:val="18"/>
                <w:szCs w:val="18"/>
              </w:rPr>
              <w:t>04</w:t>
            </w:r>
            <w:r w:rsidR="00F52F50" w:rsidRPr="00213B15">
              <w:rPr>
                <w:rFonts w:ascii="Arial" w:hAnsi="Arial" w:cs="Arial"/>
                <w:b/>
                <w:bCs/>
                <w:color w:val="000000"/>
                <w:sz w:val="18"/>
                <w:szCs w:val="18"/>
              </w:rPr>
              <w:t xml:space="preserve">Rotated Component </w:t>
            </w:r>
            <w:proofErr w:type="spellStart"/>
            <w:r w:rsidR="00F52F50" w:rsidRPr="00213B15">
              <w:rPr>
                <w:rFonts w:ascii="Arial" w:hAnsi="Arial" w:cs="Arial"/>
                <w:b/>
                <w:bCs/>
                <w:color w:val="000000"/>
                <w:sz w:val="18"/>
                <w:szCs w:val="18"/>
              </w:rPr>
              <w:t>Matrix</w:t>
            </w:r>
            <w:r w:rsidR="00F52F50" w:rsidRPr="00213B15">
              <w:rPr>
                <w:rFonts w:ascii="Arial" w:hAnsi="Arial" w:cs="Arial"/>
                <w:b/>
                <w:bCs/>
                <w:color w:val="000000"/>
                <w:sz w:val="18"/>
                <w:szCs w:val="18"/>
                <w:vertAlign w:val="superscript"/>
              </w:rPr>
              <w:t>a</w:t>
            </w:r>
            <w:proofErr w:type="spellEnd"/>
          </w:p>
        </w:tc>
      </w:tr>
      <w:tr w:rsidR="00F52F50" w:rsidRPr="00213B15" w14:paraId="7754710B" w14:textId="77777777" w:rsidTr="00F52F50">
        <w:trPr>
          <w:cantSplit/>
          <w:trHeight w:val="311"/>
        </w:trPr>
        <w:tc>
          <w:tcPr>
            <w:tcW w:w="722" w:type="dxa"/>
            <w:vMerge w:val="restart"/>
            <w:tcBorders>
              <w:top w:val="single" w:sz="16" w:space="0" w:color="000000"/>
              <w:left w:val="single" w:sz="16" w:space="0" w:color="000000"/>
              <w:bottom w:val="nil"/>
              <w:right w:val="single" w:sz="16" w:space="0" w:color="000000"/>
            </w:tcBorders>
            <w:shd w:val="clear" w:color="auto" w:fill="FFFFFF"/>
            <w:vAlign w:val="bottom"/>
          </w:tcPr>
          <w:p w14:paraId="6AD1E313"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4643" w:type="dxa"/>
            <w:gridSpan w:val="6"/>
            <w:tcBorders>
              <w:top w:val="single" w:sz="16" w:space="0" w:color="000000"/>
              <w:left w:val="single" w:sz="16" w:space="0" w:color="000000"/>
              <w:right w:val="single" w:sz="16" w:space="0" w:color="000000"/>
            </w:tcBorders>
            <w:shd w:val="clear" w:color="auto" w:fill="FFFFFF"/>
            <w:vAlign w:val="bottom"/>
          </w:tcPr>
          <w:p w14:paraId="11013B81" w14:textId="77777777" w:rsidR="00F52F50" w:rsidRPr="00213B15" w:rsidRDefault="00F52F50" w:rsidP="00006EE1">
            <w:pPr>
              <w:autoSpaceDE w:val="0"/>
              <w:autoSpaceDN w:val="0"/>
              <w:adjustRightInd w:val="0"/>
              <w:spacing w:after="0" w:line="320" w:lineRule="atLeast"/>
              <w:ind w:left="60" w:right="60"/>
              <w:jc w:val="center"/>
              <w:rPr>
                <w:rFonts w:ascii="Arial" w:hAnsi="Arial" w:cs="Arial"/>
                <w:color w:val="000000"/>
                <w:sz w:val="18"/>
                <w:szCs w:val="18"/>
              </w:rPr>
            </w:pPr>
            <w:r w:rsidRPr="00213B15">
              <w:rPr>
                <w:rFonts w:ascii="Arial" w:hAnsi="Arial" w:cs="Arial"/>
                <w:color w:val="000000"/>
                <w:sz w:val="18"/>
                <w:szCs w:val="18"/>
              </w:rPr>
              <w:t>Component</w:t>
            </w:r>
          </w:p>
        </w:tc>
      </w:tr>
      <w:tr w:rsidR="00F52F50" w:rsidRPr="00213B15" w14:paraId="685C417C" w14:textId="77777777" w:rsidTr="00F52F50">
        <w:trPr>
          <w:cantSplit/>
          <w:trHeight w:val="141"/>
        </w:trPr>
        <w:tc>
          <w:tcPr>
            <w:tcW w:w="722" w:type="dxa"/>
            <w:vMerge/>
            <w:tcBorders>
              <w:top w:val="single" w:sz="16" w:space="0" w:color="000000"/>
              <w:left w:val="single" w:sz="16" w:space="0" w:color="000000"/>
              <w:bottom w:val="nil"/>
              <w:right w:val="single" w:sz="16" w:space="0" w:color="000000"/>
            </w:tcBorders>
            <w:shd w:val="clear" w:color="auto" w:fill="FFFFFF"/>
            <w:vAlign w:val="bottom"/>
          </w:tcPr>
          <w:p w14:paraId="7D81A123" w14:textId="77777777" w:rsidR="00F52F50" w:rsidRPr="00213B15" w:rsidRDefault="00F52F50" w:rsidP="00006EE1">
            <w:pPr>
              <w:autoSpaceDE w:val="0"/>
              <w:autoSpaceDN w:val="0"/>
              <w:adjustRightInd w:val="0"/>
              <w:spacing w:after="0" w:line="240" w:lineRule="auto"/>
              <w:rPr>
                <w:rFonts w:ascii="Arial" w:hAnsi="Arial" w:cs="Arial"/>
                <w:color w:val="000000"/>
                <w:sz w:val="18"/>
                <w:szCs w:val="18"/>
              </w:rPr>
            </w:pPr>
          </w:p>
        </w:tc>
        <w:tc>
          <w:tcPr>
            <w:tcW w:w="773" w:type="dxa"/>
            <w:tcBorders>
              <w:left w:val="single" w:sz="16" w:space="0" w:color="000000"/>
              <w:bottom w:val="single" w:sz="16" w:space="0" w:color="000000"/>
            </w:tcBorders>
            <w:shd w:val="clear" w:color="auto" w:fill="FFFFFF"/>
            <w:vAlign w:val="bottom"/>
          </w:tcPr>
          <w:p w14:paraId="710FBC84" w14:textId="77777777" w:rsidR="00F52F50" w:rsidRPr="00213B15" w:rsidRDefault="00F52F50" w:rsidP="00006EE1">
            <w:pPr>
              <w:autoSpaceDE w:val="0"/>
              <w:autoSpaceDN w:val="0"/>
              <w:adjustRightInd w:val="0"/>
              <w:spacing w:after="0" w:line="320" w:lineRule="atLeast"/>
              <w:ind w:left="60" w:right="60"/>
              <w:jc w:val="center"/>
              <w:rPr>
                <w:rFonts w:ascii="Arial" w:hAnsi="Arial" w:cs="Arial"/>
                <w:color w:val="000000"/>
                <w:sz w:val="18"/>
                <w:szCs w:val="18"/>
              </w:rPr>
            </w:pPr>
            <w:r w:rsidRPr="00213B15">
              <w:rPr>
                <w:rFonts w:ascii="Arial" w:hAnsi="Arial" w:cs="Arial"/>
                <w:color w:val="000000"/>
                <w:sz w:val="18"/>
                <w:szCs w:val="18"/>
              </w:rPr>
              <w:t>1</w:t>
            </w:r>
          </w:p>
        </w:tc>
        <w:tc>
          <w:tcPr>
            <w:tcW w:w="774" w:type="dxa"/>
            <w:tcBorders>
              <w:bottom w:val="single" w:sz="16" w:space="0" w:color="000000"/>
            </w:tcBorders>
            <w:shd w:val="clear" w:color="auto" w:fill="FFFFFF"/>
            <w:vAlign w:val="bottom"/>
          </w:tcPr>
          <w:p w14:paraId="03BFF716" w14:textId="77777777" w:rsidR="00F52F50" w:rsidRPr="00213B15" w:rsidRDefault="00F52F50" w:rsidP="00006EE1">
            <w:pPr>
              <w:autoSpaceDE w:val="0"/>
              <w:autoSpaceDN w:val="0"/>
              <w:adjustRightInd w:val="0"/>
              <w:spacing w:after="0" w:line="320" w:lineRule="atLeast"/>
              <w:ind w:left="60" w:right="60"/>
              <w:jc w:val="center"/>
              <w:rPr>
                <w:rFonts w:ascii="Arial" w:hAnsi="Arial" w:cs="Arial"/>
                <w:color w:val="000000"/>
                <w:sz w:val="18"/>
                <w:szCs w:val="18"/>
              </w:rPr>
            </w:pPr>
            <w:r w:rsidRPr="00213B15">
              <w:rPr>
                <w:rFonts w:ascii="Arial" w:hAnsi="Arial" w:cs="Arial"/>
                <w:color w:val="000000"/>
                <w:sz w:val="18"/>
                <w:szCs w:val="18"/>
              </w:rPr>
              <w:t>2</w:t>
            </w:r>
          </w:p>
        </w:tc>
        <w:tc>
          <w:tcPr>
            <w:tcW w:w="774" w:type="dxa"/>
            <w:tcBorders>
              <w:bottom w:val="single" w:sz="16" w:space="0" w:color="000000"/>
            </w:tcBorders>
            <w:shd w:val="clear" w:color="auto" w:fill="FFFFFF"/>
            <w:vAlign w:val="bottom"/>
          </w:tcPr>
          <w:p w14:paraId="7676C674" w14:textId="77777777" w:rsidR="00F52F50" w:rsidRPr="00213B15" w:rsidRDefault="00F52F50" w:rsidP="00006EE1">
            <w:pPr>
              <w:autoSpaceDE w:val="0"/>
              <w:autoSpaceDN w:val="0"/>
              <w:adjustRightInd w:val="0"/>
              <w:spacing w:after="0" w:line="320" w:lineRule="atLeast"/>
              <w:ind w:left="60" w:right="60"/>
              <w:jc w:val="center"/>
              <w:rPr>
                <w:rFonts w:ascii="Arial" w:hAnsi="Arial" w:cs="Arial"/>
                <w:color w:val="000000"/>
                <w:sz w:val="18"/>
                <w:szCs w:val="18"/>
              </w:rPr>
            </w:pPr>
            <w:r w:rsidRPr="00213B15">
              <w:rPr>
                <w:rFonts w:ascii="Arial" w:hAnsi="Arial" w:cs="Arial"/>
                <w:color w:val="000000"/>
                <w:sz w:val="18"/>
                <w:szCs w:val="18"/>
              </w:rPr>
              <w:t>3</w:t>
            </w:r>
          </w:p>
        </w:tc>
        <w:tc>
          <w:tcPr>
            <w:tcW w:w="774" w:type="dxa"/>
            <w:tcBorders>
              <w:bottom w:val="single" w:sz="16" w:space="0" w:color="000000"/>
            </w:tcBorders>
            <w:shd w:val="clear" w:color="auto" w:fill="FFFFFF"/>
            <w:vAlign w:val="bottom"/>
          </w:tcPr>
          <w:p w14:paraId="45A84A93" w14:textId="77777777" w:rsidR="00F52F50" w:rsidRPr="00213B15" w:rsidRDefault="00F52F50" w:rsidP="00006EE1">
            <w:pPr>
              <w:autoSpaceDE w:val="0"/>
              <w:autoSpaceDN w:val="0"/>
              <w:adjustRightInd w:val="0"/>
              <w:spacing w:after="0" w:line="320" w:lineRule="atLeast"/>
              <w:ind w:left="60" w:right="60"/>
              <w:jc w:val="center"/>
              <w:rPr>
                <w:rFonts w:ascii="Arial" w:hAnsi="Arial" w:cs="Arial"/>
                <w:color w:val="000000"/>
                <w:sz w:val="18"/>
                <w:szCs w:val="18"/>
              </w:rPr>
            </w:pPr>
            <w:r w:rsidRPr="00213B15">
              <w:rPr>
                <w:rFonts w:ascii="Arial" w:hAnsi="Arial" w:cs="Arial"/>
                <w:color w:val="000000"/>
                <w:sz w:val="18"/>
                <w:szCs w:val="18"/>
              </w:rPr>
              <w:t>4</w:t>
            </w:r>
          </w:p>
        </w:tc>
        <w:tc>
          <w:tcPr>
            <w:tcW w:w="774" w:type="dxa"/>
            <w:tcBorders>
              <w:bottom w:val="single" w:sz="16" w:space="0" w:color="000000"/>
            </w:tcBorders>
            <w:shd w:val="clear" w:color="auto" w:fill="FFFFFF"/>
            <w:vAlign w:val="bottom"/>
          </w:tcPr>
          <w:p w14:paraId="6441BBBF" w14:textId="77777777" w:rsidR="00F52F50" w:rsidRPr="00213B15" w:rsidRDefault="00F52F50" w:rsidP="00006EE1">
            <w:pPr>
              <w:autoSpaceDE w:val="0"/>
              <w:autoSpaceDN w:val="0"/>
              <w:adjustRightInd w:val="0"/>
              <w:spacing w:after="0" w:line="320" w:lineRule="atLeast"/>
              <w:ind w:left="60" w:right="60"/>
              <w:jc w:val="center"/>
              <w:rPr>
                <w:rFonts w:ascii="Arial" w:hAnsi="Arial" w:cs="Arial"/>
                <w:color w:val="000000"/>
                <w:sz w:val="18"/>
                <w:szCs w:val="18"/>
              </w:rPr>
            </w:pPr>
            <w:r w:rsidRPr="00213B15">
              <w:rPr>
                <w:rFonts w:ascii="Arial" w:hAnsi="Arial" w:cs="Arial"/>
                <w:color w:val="000000"/>
                <w:sz w:val="18"/>
                <w:szCs w:val="18"/>
              </w:rPr>
              <w:t>5</w:t>
            </w:r>
          </w:p>
        </w:tc>
        <w:tc>
          <w:tcPr>
            <w:tcW w:w="774" w:type="dxa"/>
            <w:tcBorders>
              <w:bottom w:val="single" w:sz="16" w:space="0" w:color="000000"/>
              <w:right w:val="single" w:sz="16" w:space="0" w:color="000000"/>
            </w:tcBorders>
            <w:shd w:val="clear" w:color="auto" w:fill="FFFFFF"/>
            <w:vAlign w:val="bottom"/>
          </w:tcPr>
          <w:p w14:paraId="48CC8021" w14:textId="77777777" w:rsidR="00F52F50" w:rsidRPr="00213B15" w:rsidRDefault="00F52F50" w:rsidP="00006EE1">
            <w:pPr>
              <w:autoSpaceDE w:val="0"/>
              <w:autoSpaceDN w:val="0"/>
              <w:adjustRightInd w:val="0"/>
              <w:spacing w:after="0" w:line="320" w:lineRule="atLeast"/>
              <w:ind w:left="60" w:right="60"/>
              <w:jc w:val="center"/>
              <w:rPr>
                <w:rFonts w:ascii="Arial" w:hAnsi="Arial" w:cs="Arial"/>
                <w:color w:val="000000"/>
                <w:sz w:val="18"/>
                <w:szCs w:val="18"/>
              </w:rPr>
            </w:pPr>
            <w:r w:rsidRPr="00213B15">
              <w:rPr>
                <w:rFonts w:ascii="Arial" w:hAnsi="Arial" w:cs="Arial"/>
                <w:color w:val="000000"/>
                <w:sz w:val="18"/>
                <w:szCs w:val="18"/>
              </w:rPr>
              <w:t>6</w:t>
            </w:r>
          </w:p>
        </w:tc>
      </w:tr>
      <w:tr w:rsidR="00F52F50" w:rsidRPr="00213B15" w14:paraId="56B174A7" w14:textId="77777777" w:rsidTr="00F52F50">
        <w:trPr>
          <w:cantSplit/>
          <w:trHeight w:val="311"/>
        </w:trPr>
        <w:tc>
          <w:tcPr>
            <w:tcW w:w="722" w:type="dxa"/>
            <w:tcBorders>
              <w:top w:val="single" w:sz="16" w:space="0" w:color="000000"/>
              <w:left w:val="single" w:sz="16" w:space="0" w:color="000000"/>
              <w:bottom w:val="nil"/>
              <w:right w:val="single" w:sz="16" w:space="0" w:color="000000"/>
            </w:tcBorders>
            <w:shd w:val="clear" w:color="auto" w:fill="FFFFFF"/>
          </w:tcPr>
          <w:p w14:paraId="36492789"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Q51</w:t>
            </w:r>
          </w:p>
        </w:tc>
        <w:tc>
          <w:tcPr>
            <w:tcW w:w="773" w:type="dxa"/>
            <w:tcBorders>
              <w:top w:val="single" w:sz="16" w:space="0" w:color="000000"/>
              <w:left w:val="single" w:sz="16" w:space="0" w:color="000000"/>
              <w:bottom w:val="nil"/>
            </w:tcBorders>
            <w:shd w:val="clear" w:color="auto" w:fill="FFFFFF"/>
            <w:vAlign w:val="center"/>
          </w:tcPr>
          <w:p w14:paraId="2F7E856B"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.823</w:t>
            </w:r>
          </w:p>
        </w:tc>
        <w:tc>
          <w:tcPr>
            <w:tcW w:w="774" w:type="dxa"/>
            <w:tcBorders>
              <w:top w:val="single" w:sz="16" w:space="0" w:color="000000"/>
              <w:bottom w:val="nil"/>
            </w:tcBorders>
            <w:shd w:val="clear" w:color="auto" w:fill="FFFFFF"/>
            <w:vAlign w:val="center"/>
          </w:tcPr>
          <w:p w14:paraId="23D11AC3"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single" w:sz="16" w:space="0" w:color="000000"/>
              <w:bottom w:val="nil"/>
            </w:tcBorders>
            <w:shd w:val="clear" w:color="auto" w:fill="FFFFFF"/>
            <w:vAlign w:val="center"/>
          </w:tcPr>
          <w:p w14:paraId="27FC69DB"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single" w:sz="16" w:space="0" w:color="000000"/>
              <w:bottom w:val="nil"/>
            </w:tcBorders>
            <w:shd w:val="clear" w:color="auto" w:fill="FFFFFF"/>
            <w:vAlign w:val="center"/>
          </w:tcPr>
          <w:p w14:paraId="1975C72F"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single" w:sz="16" w:space="0" w:color="000000"/>
              <w:bottom w:val="nil"/>
            </w:tcBorders>
            <w:shd w:val="clear" w:color="auto" w:fill="FFFFFF"/>
            <w:vAlign w:val="center"/>
          </w:tcPr>
          <w:p w14:paraId="56671AA2"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single" w:sz="16" w:space="0" w:color="000000"/>
              <w:bottom w:val="nil"/>
              <w:right w:val="single" w:sz="16" w:space="0" w:color="000000"/>
            </w:tcBorders>
            <w:shd w:val="clear" w:color="auto" w:fill="FFFFFF"/>
            <w:vAlign w:val="center"/>
          </w:tcPr>
          <w:p w14:paraId="4C759A68"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43D094FA"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70D50195"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Q50</w:t>
            </w:r>
          </w:p>
        </w:tc>
        <w:tc>
          <w:tcPr>
            <w:tcW w:w="773" w:type="dxa"/>
            <w:tcBorders>
              <w:top w:val="nil"/>
              <w:left w:val="single" w:sz="16" w:space="0" w:color="000000"/>
              <w:bottom w:val="nil"/>
            </w:tcBorders>
            <w:shd w:val="clear" w:color="auto" w:fill="FFFFFF"/>
            <w:vAlign w:val="center"/>
          </w:tcPr>
          <w:p w14:paraId="36AAA5F1"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.765</w:t>
            </w:r>
          </w:p>
        </w:tc>
        <w:tc>
          <w:tcPr>
            <w:tcW w:w="774" w:type="dxa"/>
            <w:tcBorders>
              <w:top w:val="nil"/>
              <w:bottom w:val="nil"/>
            </w:tcBorders>
            <w:shd w:val="clear" w:color="auto" w:fill="FFFFFF"/>
            <w:vAlign w:val="center"/>
          </w:tcPr>
          <w:p w14:paraId="4BACEF48"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44648A1A"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6012E554"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4FF4B835"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7A4BAA48"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02773EE2" w14:textId="77777777" w:rsidTr="00F52F50">
        <w:trPr>
          <w:cantSplit/>
          <w:trHeight w:val="323"/>
        </w:trPr>
        <w:tc>
          <w:tcPr>
            <w:tcW w:w="722" w:type="dxa"/>
            <w:tcBorders>
              <w:top w:val="nil"/>
              <w:left w:val="single" w:sz="16" w:space="0" w:color="000000"/>
              <w:bottom w:val="nil"/>
              <w:right w:val="single" w:sz="16" w:space="0" w:color="000000"/>
            </w:tcBorders>
            <w:shd w:val="clear" w:color="auto" w:fill="FFFFFF"/>
          </w:tcPr>
          <w:p w14:paraId="33F0085F"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Q52</w:t>
            </w:r>
          </w:p>
        </w:tc>
        <w:tc>
          <w:tcPr>
            <w:tcW w:w="773" w:type="dxa"/>
            <w:tcBorders>
              <w:top w:val="nil"/>
              <w:left w:val="single" w:sz="16" w:space="0" w:color="000000"/>
              <w:bottom w:val="nil"/>
            </w:tcBorders>
            <w:shd w:val="clear" w:color="auto" w:fill="FFFFFF"/>
            <w:vAlign w:val="center"/>
          </w:tcPr>
          <w:p w14:paraId="1A7DFE47"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.676</w:t>
            </w:r>
          </w:p>
        </w:tc>
        <w:tc>
          <w:tcPr>
            <w:tcW w:w="774" w:type="dxa"/>
            <w:tcBorders>
              <w:top w:val="nil"/>
              <w:bottom w:val="nil"/>
            </w:tcBorders>
            <w:shd w:val="clear" w:color="auto" w:fill="FFFFFF"/>
            <w:vAlign w:val="center"/>
          </w:tcPr>
          <w:p w14:paraId="6E90B47E"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406949A6"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223B3328"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542654CE"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5D90436B"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11A9CC37"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33B423DE"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Q49</w:t>
            </w:r>
          </w:p>
        </w:tc>
        <w:tc>
          <w:tcPr>
            <w:tcW w:w="773" w:type="dxa"/>
            <w:tcBorders>
              <w:top w:val="nil"/>
              <w:left w:val="single" w:sz="16" w:space="0" w:color="000000"/>
              <w:bottom w:val="nil"/>
            </w:tcBorders>
            <w:shd w:val="clear" w:color="auto" w:fill="FFFFFF"/>
            <w:vAlign w:val="center"/>
          </w:tcPr>
          <w:p w14:paraId="20D0C53C"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.617</w:t>
            </w:r>
          </w:p>
        </w:tc>
        <w:tc>
          <w:tcPr>
            <w:tcW w:w="774" w:type="dxa"/>
            <w:tcBorders>
              <w:top w:val="nil"/>
              <w:bottom w:val="nil"/>
            </w:tcBorders>
            <w:shd w:val="clear" w:color="auto" w:fill="FFFFFF"/>
            <w:vAlign w:val="center"/>
          </w:tcPr>
          <w:p w14:paraId="042B4127"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0A6F2B0C"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65D30F79"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6D0583EC"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07A2F551"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64464005"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3A0C1EC4" w14:textId="77777777" w:rsidR="00F52F50" w:rsidRPr="00651F5B" w:rsidRDefault="00F52F50" w:rsidP="00006EE1">
            <w:pPr>
              <w:autoSpaceDE w:val="0"/>
              <w:autoSpaceDN w:val="0"/>
              <w:adjustRightInd w:val="0"/>
              <w:spacing w:after="0" w:line="320" w:lineRule="atLeast"/>
              <w:ind w:left="60" w:right="60"/>
              <w:rPr>
                <w:rFonts w:ascii="Arial" w:hAnsi="Arial" w:cs="Arial"/>
                <w:b/>
                <w:color w:val="000000"/>
                <w:sz w:val="18"/>
                <w:szCs w:val="18"/>
              </w:rPr>
            </w:pPr>
            <w:r w:rsidRPr="00651F5B">
              <w:rPr>
                <w:rFonts w:ascii="Arial" w:hAnsi="Arial" w:cs="Arial"/>
                <w:b/>
                <w:color w:val="000000"/>
                <w:sz w:val="18"/>
                <w:szCs w:val="18"/>
              </w:rPr>
              <w:t>Q29</w:t>
            </w:r>
          </w:p>
        </w:tc>
        <w:tc>
          <w:tcPr>
            <w:tcW w:w="773" w:type="dxa"/>
            <w:tcBorders>
              <w:top w:val="nil"/>
              <w:left w:val="single" w:sz="16" w:space="0" w:color="000000"/>
              <w:bottom w:val="nil"/>
            </w:tcBorders>
            <w:shd w:val="clear" w:color="auto" w:fill="FFFFFF"/>
            <w:vAlign w:val="center"/>
          </w:tcPr>
          <w:p w14:paraId="7E05154C"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240F0B7B"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703845B9"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39D7B475"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2332B5DC"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6B778C17"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45EB5C81"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7612EEC8" w14:textId="77777777" w:rsidR="00F52F50" w:rsidRPr="00651F5B" w:rsidRDefault="00F52F50" w:rsidP="00006EE1">
            <w:pPr>
              <w:autoSpaceDE w:val="0"/>
              <w:autoSpaceDN w:val="0"/>
              <w:adjustRightInd w:val="0"/>
              <w:spacing w:after="0" w:line="320" w:lineRule="atLeast"/>
              <w:ind w:left="60" w:right="60"/>
              <w:rPr>
                <w:rFonts w:ascii="Arial" w:hAnsi="Arial" w:cs="Arial"/>
                <w:b/>
                <w:color w:val="000000"/>
                <w:sz w:val="18"/>
                <w:szCs w:val="18"/>
              </w:rPr>
            </w:pPr>
            <w:r w:rsidRPr="00651F5B">
              <w:rPr>
                <w:rFonts w:ascii="Arial" w:hAnsi="Arial" w:cs="Arial"/>
                <w:b/>
                <w:color w:val="000000"/>
                <w:sz w:val="18"/>
                <w:szCs w:val="18"/>
              </w:rPr>
              <w:t>Q46</w:t>
            </w:r>
          </w:p>
        </w:tc>
        <w:tc>
          <w:tcPr>
            <w:tcW w:w="773" w:type="dxa"/>
            <w:tcBorders>
              <w:top w:val="nil"/>
              <w:left w:val="single" w:sz="16" w:space="0" w:color="000000"/>
              <w:bottom w:val="nil"/>
            </w:tcBorders>
            <w:shd w:val="clear" w:color="auto" w:fill="FFFFFF"/>
            <w:vAlign w:val="center"/>
          </w:tcPr>
          <w:p w14:paraId="4F5F6F3C"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1B3B1EF3"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461F1510"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3177D6E9"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5D7C8927"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0DA67536"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230A753F"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71488A11"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Q63</w:t>
            </w:r>
          </w:p>
        </w:tc>
        <w:tc>
          <w:tcPr>
            <w:tcW w:w="773" w:type="dxa"/>
            <w:tcBorders>
              <w:top w:val="nil"/>
              <w:left w:val="single" w:sz="16" w:space="0" w:color="000000"/>
              <w:bottom w:val="nil"/>
            </w:tcBorders>
            <w:shd w:val="clear" w:color="auto" w:fill="FFFFFF"/>
            <w:vAlign w:val="center"/>
          </w:tcPr>
          <w:p w14:paraId="06E599C7"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3149147A"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.800</w:t>
            </w:r>
          </w:p>
        </w:tc>
        <w:tc>
          <w:tcPr>
            <w:tcW w:w="774" w:type="dxa"/>
            <w:tcBorders>
              <w:top w:val="nil"/>
              <w:bottom w:val="nil"/>
            </w:tcBorders>
            <w:shd w:val="clear" w:color="auto" w:fill="FFFFFF"/>
            <w:vAlign w:val="center"/>
          </w:tcPr>
          <w:p w14:paraId="5BA3541A"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23DE43BC"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20D9586B"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4D21C189"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439E39B2" w14:textId="77777777" w:rsidTr="00F52F50">
        <w:trPr>
          <w:cantSplit/>
          <w:trHeight w:val="323"/>
        </w:trPr>
        <w:tc>
          <w:tcPr>
            <w:tcW w:w="722" w:type="dxa"/>
            <w:tcBorders>
              <w:top w:val="nil"/>
              <w:left w:val="single" w:sz="16" w:space="0" w:color="000000"/>
              <w:bottom w:val="nil"/>
              <w:right w:val="single" w:sz="16" w:space="0" w:color="000000"/>
            </w:tcBorders>
            <w:shd w:val="clear" w:color="auto" w:fill="FFFFFF"/>
          </w:tcPr>
          <w:p w14:paraId="6340A882"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Q64</w:t>
            </w:r>
          </w:p>
        </w:tc>
        <w:tc>
          <w:tcPr>
            <w:tcW w:w="773" w:type="dxa"/>
            <w:tcBorders>
              <w:top w:val="nil"/>
              <w:left w:val="single" w:sz="16" w:space="0" w:color="000000"/>
              <w:bottom w:val="nil"/>
            </w:tcBorders>
            <w:shd w:val="clear" w:color="auto" w:fill="FFFFFF"/>
            <w:vAlign w:val="center"/>
          </w:tcPr>
          <w:p w14:paraId="428D6D07"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469C6B4D"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.637</w:t>
            </w:r>
          </w:p>
        </w:tc>
        <w:tc>
          <w:tcPr>
            <w:tcW w:w="774" w:type="dxa"/>
            <w:tcBorders>
              <w:top w:val="nil"/>
              <w:bottom w:val="nil"/>
            </w:tcBorders>
            <w:shd w:val="clear" w:color="auto" w:fill="FFFFFF"/>
            <w:vAlign w:val="center"/>
          </w:tcPr>
          <w:p w14:paraId="79CD46EE"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5327101F"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1CA25240"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1A3A24B0"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282804C3"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28183FA0"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Q60</w:t>
            </w:r>
          </w:p>
        </w:tc>
        <w:tc>
          <w:tcPr>
            <w:tcW w:w="773" w:type="dxa"/>
            <w:tcBorders>
              <w:top w:val="nil"/>
              <w:left w:val="single" w:sz="16" w:space="0" w:color="000000"/>
              <w:bottom w:val="nil"/>
            </w:tcBorders>
            <w:shd w:val="clear" w:color="auto" w:fill="FFFFFF"/>
            <w:vAlign w:val="center"/>
          </w:tcPr>
          <w:p w14:paraId="454DAE6C"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50294225"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.577</w:t>
            </w:r>
          </w:p>
        </w:tc>
        <w:tc>
          <w:tcPr>
            <w:tcW w:w="774" w:type="dxa"/>
            <w:tcBorders>
              <w:top w:val="nil"/>
              <w:bottom w:val="nil"/>
            </w:tcBorders>
            <w:shd w:val="clear" w:color="auto" w:fill="FFFFFF"/>
            <w:vAlign w:val="center"/>
          </w:tcPr>
          <w:p w14:paraId="59DB6845"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513C0F4F"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0824274A"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6E03F056"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3438EBAB"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224B6783"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Q62</w:t>
            </w:r>
          </w:p>
        </w:tc>
        <w:tc>
          <w:tcPr>
            <w:tcW w:w="773" w:type="dxa"/>
            <w:tcBorders>
              <w:top w:val="nil"/>
              <w:left w:val="single" w:sz="16" w:space="0" w:color="000000"/>
              <w:bottom w:val="nil"/>
            </w:tcBorders>
            <w:shd w:val="clear" w:color="auto" w:fill="FFFFFF"/>
            <w:vAlign w:val="center"/>
          </w:tcPr>
          <w:p w14:paraId="41CEC8AF"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34F5AEFA"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.561</w:t>
            </w:r>
          </w:p>
        </w:tc>
        <w:tc>
          <w:tcPr>
            <w:tcW w:w="774" w:type="dxa"/>
            <w:tcBorders>
              <w:top w:val="nil"/>
              <w:bottom w:val="nil"/>
            </w:tcBorders>
            <w:shd w:val="clear" w:color="auto" w:fill="FFFFFF"/>
            <w:vAlign w:val="center"/>
          </w:tcPr>
          <w:p w14:paraId="504678A6"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3A8F4B40"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2646B303"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014E4EFD"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2B8CF81E"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06B5DBF6"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Q56</w:t>
            </w:r>
          </w:p>
        </w:tc>
        <w:tc>
          <w:tcPr>
            <w:tcW w:w="773" w:type="dxa"/>
            <w:tcBorders>
              <w:top w:val="nil"/>
              <w:left w:val="single" w:sz="16" w:space="0" w:color="000000"/>
              <w:bottom w:val="nil"/>
            </w:tcBorders>
            <w:shd w:val="clear" w:color="auto" w:fill="FFFFFF"/>
            <w:vAlign w:val="center"/>
          </w:tcPr>
          <w:p w14:paraId="09C42D5F"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460D4BCC"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.526</w:t>
            </w:r>
          </w:p>
        </w:tc>
        <w:tc>
          <w:tcPr>
            <w:tcW w:w="774" w:type="dxa"/>
            <w:tcBorders>
              <w:top w:val="nil"/>
              <w:bottom w:val="nil"/>
            </w:tcBorders>
            <w:shd w:val="clear" w:color="auto" w:fill="FFFFFF"/>
            <w:vAlign w:val="center"/>
          </w:tcPr>
          <w:p w14:paraId="0721AEBC"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32392762"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55A8A035"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.515</w:t>
            </w:r>
          </w:p>
        </w:tc>
        <w:tc>
          <w:tcPr>
            <w:tcW w:w="774" w:type="dxa"/>
            <w:tcBorders>
              <w:top w:val="nil"/>
              <w:bottom w:val="nil"/>
              <w:right w:val="single" w:sz="16" w:space="0" w:color="000000"/>
            </w:tcBorders>
            <w:shd w:val="clear" w:color="auto" w:fill="FFFFFF"/>
            <w:vAlign w:val="center"/>
          </w:tcPr>
          <w:p w14:paraId="411707A4"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340CB087" w14:textId="77777777" w:rsidTr="00F52F50">
        <w:trPr>
          <w:cantSplit/>
          <w:trHeight w:val="323"/>
        </w:trPr>
        <w:tc>
          <w:tcPr>
            <w:tcW w:w="722" w:type="dxa"/>
            <w:tcBorders>
              <w:top w:val="nil"/>
              <w:left w:val="single" w:sz="16" w:space="0" w:color="000000"/>
              <w:bottom w:val="nil"/>
              <w:right w:val="single" w:sz="16" w:space="0" w:color="000000"/>
            </w:tcBorders>
            <w:shd w:val="clear" w:color="auto" w:fill="FFFFFF"/>
          </w:tcPr>
          <w:p w14:paraId="5A17730F"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Q55</w:t>
            </w:r>
          </w:p>
        </w:tc>
        <w:tc>
          <w:tcPr>
            <w:tcW w:w="773" w:type="dxa"/>
            <w:tcBorders>
              <w:top w:val="nil"/>
              <w:left w:val="single" w:sz="16" w:space="0" w:color="000000"/>
              <w:bottom w:val="nil"/>
            </w:tcBorders>
            <w:shd w:val="clear" w:color="auto" w:fill="FFFFFF"/>
            <w:vAlign w:val="center"/>
          </w:tcPr>
          <w:p w14:paraId="50A5F052"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09016CE2"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16BACD95"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.757</w:t>
            </w:r>
          </w:p>
        </w:tc>
        <w:tc>
          <w:tcPr>
            <w:tcW w:w="774" w:type="dxa"/>
            <w:tcBorders>
              <w:top w:val="nil"/>
              <w:bottom w:val="nil"/>
            </w:tcBorders>
            <w:shd w:val="clear" w:color="auto" w:fill="FFFFFF"/>
            <w:vAlign w:val="center"/>
          </w:tcPr>
          <w:p w14:paraId="176D7871"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5DB23A13"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196ADF7E"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4E3F5B2C"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65DCF705"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Q65</w:t>
            </w:r>
          </w:p>
        </w:tc>
        <w:tc>
          <w:tcPr>
            <w:tcW w:w="773" w:type="dxa"/>
            <w:tcBorders>
              <w:top w:val="nil"/>
              <w:left w:val="single" w:sz="16" w:space="0" w:color="000000"/>
              <w:bottom w:val="nil"/>
            </w:tcBorders>
            <w:shd w:val="clear" w:color="auto" w:fill="FFFFFF"/>
            <w:vAlign w:val="center"/>
          </w:tcPr>
          <w:p w14:paraId="68FD5BB2"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5AB3B68C"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3B6EEE81"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.665</w:t>
            </w:r>
          </w:p>
        </w:tc>
        <w:tc>
          <w:tcPr>
            <w:tcW w:w="774" w:type="dxa"/>
            <w:tcBorders>
              <w:top w:val="nil"/>
              <w:bottom w:val="nil"/>
            </w:tcBorders>
            <w:shd w:val="clear" w:color="auto" w:fill="FFFFFF"/>
            <w:vAlign w:val="center"/>
          </w:tcPr>
          <w:p w14:paraId="29C095F1"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5C45188A"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61CB45BD"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5FF1E415"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6F9975F5"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Q54</w:t>
            </w:r>
          </w:p>
        </w:tc>
        <w:tc>
          <w:tcPr>
            <w:tcW w:w="773" w:type="dxa"/>
            <w:tcBorders>
              <w:top w:val="nil"/>
              <w:left w:val="single" w:sz="16" w:space="0" w:color="000000"/>
              <w:bottom w:val="nil"/>
            </w:tcBorders>
            <w:shd w:val="clear" w:color="auto" w:fill="FFFFFF"/>
            <w:vAlign w:val="center"/>
          </w:tcPr>
          <w:p w14:paraId="6D4F2313"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10017F79"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24840A45"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.643</w:t>
            </w:r>
          </w:p>
        </w:tc>
        <w:tc>
          <w:tcPr>
            <w:tcW w:w="774" w:type="dxa"/>
            <w:tcBorders>
              <w:top w:val="nil"/>
              <w:bottom w:val="nil"/>
            </w:tcBorders>
            <w:shd w:val="clear" w:color="auto" w:fill="FFFFFF"/>
            <w:vAlign w:val="center"/>
          </w:tcPr>
          <w:p w14:paraId="788AAD37"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7B240100"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2F475E1A"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66343291"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5DC7F542" w14:textId="77777777" w:rsidR="00F52F50" w:rsidRPr="00651F5B" w:rsidRDefault="00F52F50" w:rsidP="00006EE1">
            <w:pPr>
              <w:autoSpaceDE w:val="0"/>
              <w:autoSpaceDN w:val="0"/>
              <w:adjustRightInd w:val="0"/>
              <w:spacing w:after="0" w:line="320" w:lineRule="atLeast"/>
              <w:ind w:left="60" w:right="60"/>
              <w:rPr>
                <w:rFonts w:ascii="Arial" w:hAnsi="Arial" w:cs="Arial"/>
                <w:b/>
                <w:color w:val="000000"/>
                <w:sz w:val="18"/>
                <w:szCs w:val="18"/>
              </w:rPr>
            </w:pPr>
            <w:r w:rsidRPr="00651F5B">
              <w:rPr>
                <w:rFonts w:ascii="Arial" w:hAnsi="Arial" w:cs="Arial"/>
                <w:b/>
                <w:color w:val="000000"/>
                <w:sz w:val="18"/>
                <w:szCs w:val="18"/>
              </w:rPr>
              <w:t>Q61</w:t>
            </w:r>
          </w:p>
        </w:tc>
        <w:tc>
          <w:tcPr>
            <w:tcW w:w="773" w:type="dxa"/>
            <w:tcBorders>
              <w:top w:val="nil"/>
              <w:left w:val="single" w:sz="16" w:space="0" w:color="000000"/>
              <w:bottom w:val="nil"/>
            </w:tcBorders>
            <w:shd w:val="clear" w:color="auto" w:fill="FFFFFF"/>
            <w:vAlign w:val="center"/>
          </w:tcPr>
          <w:p w14:paraId="5B18D9F0"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636DBAC8"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03A36865"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2EE8A716"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2E5EB9E8"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030EB4A1"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6853CD24"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7B84D9B6" w14:textId="77777777" w:rsidR="00F52F50" w:rsidRPr="00651F5B" w:rsidRDefault="00F52F50" w:rsidP="00006EE1">
            <w:pPr>
              <w:autoSpaceDE w:val="0"/>
              <w:autoSpaceDN w:val="0"/>
              <w:adjustRightInd w:val="0"/>
              <w:spacing w:after="0" w:line="320" w:lineRule="atLeast"/>
              <w:ind w:left="60" w:right="60"/>
              <w:rPr>
                <w:rFonts w:ascii="Arial" w:hAnsi="Arial" w:cs="Arial"/>
                <w:b/>
                <w:color w:val="000000"/>
                <w:sz w:val="18"/>
                <w:szCs w:val="18"/>
              </w:rPr>
            </w:pPr>
            <w:r w:rsidRPr="00651F5B">
              <w:rPr>
                <w:rFonts w:ascii="Arial" w:hAnsi="Arial" w:cs="Arial"/>
                <w:b/>
                <w:color w:val="000000"/>
                <w:sz w:val="18"/>
                <w:szCs w:val="18"/>
              </w:rPr>
              <w:t>Q58</w:t>
            </w:r>
          </w:p>
        </w:tc>
        <w:tc>
          <w:tcPr>
            <w:tcW w:w="773" w:type="dxa"/>
            <w:tcBorders>
              <w:top w:val="nil"/>
              <w:left w:val="single" w:sz="16" w:space="0" w:color="000000"/>
              <w:bottom w:val="nil"/>
            </w:tcBorders>
            <w:shd w:val="clear" w:color="auto" w:fill="FFFFFF"/>
            <w:vAlign w:val="center"/>
          </w:tcPr>
          <w:p w14:paraId="32A127AF"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6B7C351F"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170ECA38"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2D7085CF"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50CA2A45"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76C46B42"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5D753D5A" w14:textId="77777777" w:rsidTr="00F52F50">
        <w:trPr>
          <w:cantSplit/>
          <w:trHeight w:val="323"/>
        </w:trPr>
        <w:tc>
          <w:tcPr>
            <w:tcW w:w="722" w:type="dxa"/>
            <w:tcBorders>
              <w:top w:val="nil"/>
              <w:left w:val="single" w:sz="16" w:space="0" w:color="000000"/>
              <w:bottom w:val="nil"/>
              <w:right w:val="single" w:sz="16" w:space="0" w:color="000000"/>
            </w:tcBorders>
            <w:shd w:val="clear" w:color="auto" w:fill="FFFFFF"/>
          </w:tcPr>
          <w:p w14:paraId="71F1DC2E" w14:textId="77777777" w:rsidR="00F52F50" w:rsidRPr="00651F5B" w:rsidRDefault="00F52F50" w:rsidP="00006EE1">
            <w:pPr>
              <w:autoSpaceDE w:val="0"/>
              <w:autoSpaceDN w:val="0"/>
              <w:adjustRightInd w:val="0"/>
              <w:spacing w:after="0" w:line="320" w:lineRule="atLeast"/>
              <w:ind w:left="60" w:right="60"/>
              <w:rPr>
                <w:rFonts w:ascii="Arial" w:hAnsi="Arial" w:cs="Arial"/>
                <w:b/>
                <w:color w:val="000000"/>
                <w:sz w:val="18"/>
                <w:szCs w:val="18"/>
              </w:rPr>
            </w:pPr>
            <w:r w:rsidRPr="00651F5B">
              <w:rPr>
                <w:rFonts w:ascii="Arial" w:hAnsi="Arial" w:cs="Arial"/>
                <w:b/>
                <w:color w:val="000000"/>
                <w:sz w:val="18"/>
                <w:szCs w:val="18"/>
              </w:rPr>
              <w:t>Q30</w:t>
            </w:r>
          </w:p>
        </w:tc>
        <w:tc>
          <w:tcPr>
            <w:tcW w:w="773" w:type="dxa"/>
            <w:tcBorders>
              <w:top w:val="nil"/>
              <w:left w:val="single" w:sz="16" w:space="0" w:color="000000"/>
              <w:bottom w:val="nil"/>
            </w:tcBorders>
            <w:shd w:val="clear" w:color="auto" w:fill="FFFFFF"/>
            <w:vAlign w:val="center"/>
          </w:tcPr>
          <w:p w14:paraId="6698C572"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0DDBA69F"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3E93CD12"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472F04EE"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71DCECAF"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4370E7B1"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6D5A7E2B"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75BF8D8B"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Q28</w:t>
            </w:r>
          </w:p>
        </w:tc>
        <w:tc>
          <w:tcPr>
            <w:tcW w:w="773" w:type="dxa"/>
            <w:tcBorders>
              <w:top w:val="nil"/>
              <w:left w:val="single" w:sz="16" w:space="0" w:color="000000"/>
              <w:bottom w:val="nil"/>
            </w:tcBorders>
            <w:shd w:val="clear" w:color="auto" w:fill="FFFFFF"/>
            <w:vAlign w:val="center"/>
          </w:tcPr>
          <w:p w14:paraId="50A60442"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0BFE2E13"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313A3711"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215F4871"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.662</w:t>
            </w:r>
          </w:p>
        </w:tc>
        <w:tc>
          <w:tcPr>
            <w:tcW w:w="774" w:type="dxa"/>
            <w:tcBorders>
              <w:top w:val="nil"/>
              <w:bottom w:val="nil"/>
            </w:tcBorders>
            <w:shd w:val="clear" w:color="auto" w:fill="FFFFFF"/>
            <w:vAlign w:val="center"/>
          </w:tcPr>
          <w:p w14:paraId="5F6AD28B"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201C00E1"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662FF789"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43A72DEF"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Q36</w:t>
            </w:r>
          </w:p>
        </w:tc>
        <w:tc>
          <w:tcPr>
            <w:tcW w:w="773" w:type="dxa"/>
            <w:tcBorders>
              <w:top w:val="nil"/>
              <w:left w:val="single" w:sz="16" w:space="0" w:color="000000"/>
              <w:bottom w:val="nil"/>
            </w:tcBorders>
            <w:shd w:val="clear" w:color="auto" w:fill="FFFFFF"/>
            <w:vAlign w:val="center"/>
          </w:tcPr>
          <w:p w14:paraId="7F99FC77"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51776ED8"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6DE439FE"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6791CA32"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.654</w:t>
            </w:r>
          </w:p>
        </w:tc>
        <w:tc>
          <w:tcPr>
            <w:tcW w:w="774" w:type="dxa"/>
            <w:tcBorders>
              <w:top w:val="nil"/>
              <w:bottom w:val="nil"/>
            </w:tcBorders>
            <w:shd w:val="clear" w:color="auto" w:fill="FFFFFF"/>
            <w:vAlign w:val="center"/>
          </w:tcPr>
          <w:p w14:paraId="5F06C2FE"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21737A85"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409E40FC"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59383DF3"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Q26</w:t>
            </w:r>
          </w:p>
        </w:tc>
        <w:tc>
          <w:tcPr>
            <w:tcW w:w="773" w:type="dxa"/>
            <w:tcBorders>
              <w:top w:val="nil"/>
              <w:left w:val="single" w:sz="16" w:space="0" w:color="000000"/>
              <w:bottom w:val="nil"/>
            </w:tcBorders>
            <w:shd w:val="clear" w:color="auto" w:fill="FFFFFF"/>
            <w:vAlign w:val="center"/>
          </w:tcPr>
          <w:p w14:paraId="5DAD84CB"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64CC40B4"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0ADB14E2"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11BCCD43"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.538</w:t>
            </w:r>
          </w:p>
        </w:tc>
        <w:tc>
          <w:tcPr>
            <w:tcW w:w="774" w:type="dxa"/>
            <w:tcBorders>
              <w:top w:val="nil"/>
              <w:bottom w:val="nil"/>
            </w:tcBorders>
            <w:shd w:val="clear" w:color="auto" w:fill="FFFFFF"/>
            <w:vAlign w:val="center"/>
          </w:tcPr>
          <w:p w14:paraId="131B4ECC"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19AA9837"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7B1C6B85" w14:textId="77777777" w:rsidTr="00F52F50">
        <w:trPr>
          <w:cantSplit/>
          <w:trHeight w:val="323"/>
        </w:trPr>
        <w:tc>
          <w:tcPr>
            <w:tcW w:w="722" w:type="dxa"/>
            <w:tcBorders>
              <w:top w:val="nil"/>
              <w:left w:val="single" w:sz="16" w:space="0" w:color="000000"/>
              <w:bottom w:val="nil"/>
              <w:right w:val="single" w:sz="16" w:space="0" w:color="000000"/>
            </w:tcBorders>
            <w:shd w:val="clear" w:color="auto" w:fill="FFFFFF"/>
          </w:tcPr>
          <w:p w14:paraId="122FD692"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Q66</w:t>
            </w:r>
          </w:p>
        </w:tc>
        <w:tc>
          <w:tcPr>
            <w:tcW w:w="773" w:type="dxa"/>
            <w:tcBorders>
              <w:top w:val="nil"/>
              <w:left w:val="single" w:sz="16" w:space="0" w:color="000000"/>
              <w:bottom w:val="nil"/>
            </w:tcBorders>
            <w:shd w:val="clear" w:color="auto" w:fill="FFFFFF"/>
            <w:vAlign w:val="center"/>
          </w:tcPr>
          <w:p w14:paraId="50475C68"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5CB0D28D"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068A6416"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062E52F3"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3A30D52C"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.702</w:t>
            </w:r>
          </w:p>
        </w:tc>
        <w:tc>
          <w:tcPr>
            <w:tcW w:w="774" w:type="dxa"/>
            <w:tcBorders>
              <w:top w:val="nil"/>
              <w:bottom w:val="nil"/>
              <w:right w:val="single" w:sz="16" w:space="0" w:color="000000"/>
            </w:tcBorders>
            <w:shd w:val="clear" w:color="auto" w:fill="FFFFFF"/>
            <w:vAlign w:val="center"/>
          </w:tcPr>
          <w:p w14:paraId="7E6EC8DB"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763F79CB"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0C55D829"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Q6</w:t>
            </w:r>
          </w:p>
        </w:tc>
        <w:tc>
          <w:tcPr>
            <w:tcW w:w="773" w:type="dxa"/>
            <w:tcBorders>
              <w:top w:val="nil"/>
              <w:left w:val="single" w:sz="16" w:space="0" w:color="000000"/>
              <w:bottom w:val="nil"/>
            </w:tcBorders>
            <w:shd w:val="clear" w:color="auto" w:fill="FFFFFF"/>
            <w:vAlign w:val="center"/>
          </w:tcPr>
          <w:p w14:paraId="545266B3"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783AB7A4"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7FA40DE1"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53B561F4"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707BB929"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.659</w:t>
            </w:r>
          </w:p>
        </w:tc>
        <w:tc>
          <w:tcPr>
            <w:tcW w:w="774" w:type="dxa"/>
            <w:tcBorders>
              <w:top w:val="nil"/>
              <w:bottom w:val="nil"/>
              <w:right w:val="single" w:sz="16" w:space="0" w:color="000000"/>
            </w:tcBorders>
            <w:shd w:val="clear" w:color="auto" w:fill="FFFFFF"/>
            <w:vAlign w:val="center"/>
          </w:tcPr>
          <w:p w14:paraId="557B4CD5"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4FFC598C" w14:textId="77777777" w:rsidTr="00F52F50">
        <w:trPr>
          <w:cantSplit/>
          <w:trHeight w:val="311"/>
        </w:trPr>
        <w:tc>
          <w:tcPr>
            <w:tcW w:w="722" w:type="dxa"/>
            <w:tcBorders>
              <w:top w:val="nil"/>
              <w:left w:val="single" w:sz="16" w:space="0" w:color="000000"/>
              <w:bottom w:val="nil"/>
              <w:right w:val="single" w:sz="16" w:space="0" w:color="000000"/>
            </w:tcBorders>
            <w:shd w:val="clear" w:color="auto" w:fill="FFFFFF"/>
          </w:tcPr>
          <w:p w14:paraId="7C304898"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Q2</w:t>
            </w:r>
          </w:p>
        </w:tc>
        <w:tc>
          <w:tcPr>
            <w:tcW w:w="773" w:type="dxa"/>
            <w:tcBorders>
              <w:top w:val="nil"/>
              <w:left w:val="single" w:sz="16" w:space="0" w:color="000000"/>
              <w:bottom w:val="nil"/>
            </w:tcBorders>
            <w:shd w:val="clear" w:color="auto" w:fill="FFFFFF"/>
            <w:vAlign w:val="center"/>
          </w:tcPr>
          <w:p w14:paraId="635DE621"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24526405"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07D3DA1A"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6562D975"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tcBorders>
            <w:shd w:val="clear" w:color="auto" w:fill="FFFFFF"/>
            <w:vAlign w:val="center"/>
          </w:tcPr>
          <w:p w14:paraId="1C3D3852"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nil"/>
              <w:right w:val="single" w:sz="16" w:space="0" w:color="000000"/>
            </w:tcBorders>
            <w:shd w:val="clear" w:color="auto" w:fill="FFFFFF"/>
            <w:vAlign w:val="center"/>
          </w:tcPr>
          <w:p w14:paraId="73A65AF5" w14:textId="77777777" w:rsidR="00F52F50" w:rsidRPr="00213B15" w:rsidRDefault="00F52F50" w:rsidP="00006EE1">
            <w:pPr>
              <w:autoSpaceDE w:val="0"/>
              <w:autoSpaceDN w:val="0"/>
              <w:adjustRightInd w:val="0"/>
              <w:spacing w:after="0" w:line="320" w:lineRule="atLeast"/>
              <w:ind w:left="60" w:right="60"/>
              <w:jc w:val="right"/>
              <w:rPr>
                <w:rFonts w:ascii="Arial" w:hAnsi="Arial" w:cs="Arial"/>
                <w:color w:val="000000"/>
                <w:sz w:val="18"/>
                <w:szCs w:val="18"/>
              </w:rPr>
            </w:pPr>
            <w:r w:rsidRPr="00213B15">
              <w:rPr>
                <w:rFonts w:ascii="Arial" w:hAnsi="Arial" w:cs="Arial"/>
                <w:color w:val="000000"/>
                <w:sz w:val="18"/>
                <w:szCs w:val="18"/>
              </w:rPr>
              <w:t>.786</w:t>
            </w:r>
          </w:p>
        </w:tc>
      </w:tr>
      <w:tr w:rsidR="00F52F50" w:rsidRPr="00213B15" w14:paraId="6F2F8C80" w14:textId="77777777" w:rsidTr="00F52F50">
        <w:trPr>
          <w:cantSplit/>
          <w:trHeight w:val="66"/>
        </w:trPr>
        <w:tc>
          <w:tcPr>
            <w:tcW w:w="722" w:type="dxa"/>
            <w:tcBorders>
              <w:top w:val="nil"/>
              <w:left w:val="single" w:sz="16" w:space="0" w:color="000000"/>
              <w:bottom w:val="single" w:sz="16" w:space="0" w:color="000000"/>
              <w:right w:val="single" w:sz="16" w:space="0" w:color="000000"/>
            </w:tcBorders>
            <w:shd w:val="clear" w:color="auto" w:fill="FFFFFF"/>
          </w:tcPr>
          <w:p w14:paraId="1F04231B" w14:textId="77777777" w:rsidR="00F52F50" w:rsidRPr="00651F5B" w:rsidRDefault="00F52F50" w:rsidP="00006EE1">
            <w:pPr>
              <w:autoSpaceDE w:val="0"/>
              <w:autoSpaceDN w:val="0"/>
              <w:adjustRightInd w:val="0"/>
              <w:spacing w:after="0" w:line="320" w:lineRule="atLeast"/>
              <w:ind w:left="60" w:right="60"/>
              <w:rPr>
                <w:rFonts w:ascii="Arial" w:hAnsi="Arial" w:cs="Arial"/>
                <w:b/>
                <w:color w:val="000000"/>
                <w:sz w:val="18"/>
                <w:szCs w:val="18"/>
              </w:rPr>
            </w:pPr>
            <w:r w:rsidRPr="00651F5B">
              <w:rPr>
                <w:rFonts w:ascii="Arial" w:hAnsi="Arial" w:cs="Arial"/>
                <w:b/>
                <w:color w:val="000000"/>
                <w:sz w:val="18"/>
                <w:szCs w:val="18"/>
              </w:rPr>
              <w:t>Q15</w:t>
            </w:r>
          </w:p>
        </w:tc>
        <w:tc>
          <w:tcPr>
            <w:tcW w:w="773" w:type="dxa"/>
            <w:tcBorders>
              <w:top w:val="nil"/>
              <w:left w:val="single" w:sz="16" w:space="0" w:color="000000"/>
              <w:bottom w:val="single" w:sz="16" w:space="0" w:color="000000"/>
            </w:tcBorders>
            <w:shd w:val="clear" w:color="auto" w:fill="FFFFFF"/>
            <w:vAlign w:val="center"/>
          </w:tcPr>
          <w:p w14:paraId="7CC39514"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single" w:sz="16" w:space="0" w:color="000000"/>
            </w:tcBorders>
            <w:shd w:val="clear" w:color="auto" w:fill="FFFFFF"/>
            <w:vAlign w:val="center"/>
          </w:tcPr>
          <w:p w14:paraId="763B0B09"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single" w:sz="16" w:space="0" w:color="000000"/>
            </w:tcBorders>
            <w:shd w:val="clear" w:color="auto" w:fill="FFFFFF"/>
            <w:vAlign w:val="center"/>
          </w:tcPr>
          <w:p w14:paraId="52235254"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single" w:sz="16" w:space="0" w:color="000000"/>
            </w:tcBorders>
            <w:shd w:val="clear" w:color="auto" w:fill="FFFFFF"/>
            <w:vAlign w:val="center"/>
          </w:tcPr>
          <w:p w14:paraId="301A364F"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single" w:sz="16" w:space="0" w:color="000000"/>
            </w:tcBorders>
            <w:shd w:val="clear" w:color="auto" w:fill="FFFFFF"/>
            <w:vAlign w:val="center"/>
          </w:tcPr>
          <w:p w14:paraId="78A24DB6"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c>
          <w:tcPr>
            <w:tcW w:w="774" w:type="dxa"/>
            <w:tcBorders>
              <w:top w:val="nil"/>
              <w:bottom w:val="single" w:sz="16" w:space="0" w:color="000000"/>
              <w:right w:val="single" w:sz="16" w:space="0" w:color="000000"/>
            </w:tcBorders>
            <w:shd w:val="clear" w:color="auto" w:fill="FFFFFF"/>
            <w:vAlign w:val="center"/>
          </w:tcPr>
          <w:p w14:paraId="058C373B" w14:textId="77777777" w:rsidR="00F52F50" w:rsidRPr="00213B15" w:rsidRDefault="00F52F50" w:rsidP="00006EE1">
            <w:pPr>
              <w:autoSpaceDE w:val="0"/>
              <w:autoSpaceDN w:val="0"/>
              <w:adjustRightInd w:val="0"/>
              <w:spacing w:after="0" w:line="240" w:lineRule="auto"/>
              <w:rPr>
                <w:rFonts w:ascii="Times New Roman" w:hAnsi="Times New Roman" w:cs="Times New Roman"/>
                <w:sz w:val="24"/>
                <w:szCs w:val="24"/>
              </w:rPr>
            </w:pPr>
          </w:p>
        </w:tc>
      </w:tr>
      <w:tr w:rsidR="00F52F50" w:rsidRPr="00213B15" w14:paraId="100532BD" w14:textId="77777777" w:rsidTr="00F52F50">
        <w:trPr>
          <w:cantSplit/>
          <w:trHeight w:val="635"/>
        </w:trPr>
        <w:tc>
          <w:tcPr>
            <w:tcW w:w="5365" w:type="dxa"/>
            <w:gridSpan w:val="7"/>
            <w:tcBorders>
              <w:top w:val="nil"/>
              <w:left w:val="nil"/>
              <w:bottom w:val="nil"/>
              <w:right w:val="nil"/>
            </w:tcBorders>
            <w:shd w:val="clear" w:color="auto" w:fill="FFFFFF"/>
          </w:tcPr>
          <w:p w14:paraId="0E2E01F0"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 xml:space="preserve">Extraction Method: Principal Component Analysis. </w:t>
            </w:r>
          </w:p>
          <w:p w14:paraId="160D1C59"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 xml:space="preserve"> Rotation Method: Varimax with Kaiser </w:t>
            </w:r>
            <w:proofErr w:type="spellStart"/>
            <w:r w:rsidRPr="00213B15">
              <w:rPr>
                <w:rFonts w:ascii="Arial" w:hAnsi="Arial" w:cs="Arial"/>
                <w:color w:val="000000"/>
                <w:sz w:val="18"/>
                <w:szCs w:val="18"/>
              </w:rPr>
              <w:t>Normalization.</w:t>
            </w:r>
            <w:r w:rsidRPr="00213B15">
              <w:rPr>
                <w:rFonts w:ascii="Arial" w:hAnsi="Arial" w:cs="Arial"/>
                <w:color w:val="000000"/>
                <w:sz w:val="18"/>
                <w:szCs w:val="18"/>
                <w:vertAlign w:val="superscript"/>
              </w:rPr>
              <w:t>a</w:t>
            </w:r>
            <w:proofErr w:type="spellEnd"/>
          </w:p>
        </w:tc>
      </w:tr>
      <w:tr w:rsidR="00F52F50" w:rsidRPr="00213B15" w14:paraId="49CFA9E2" w14:textId="77777777" w:rsidTr="00F52F50">
        <w:trPr>
          <w:cantSplit/>
          <w:trHeight w:val="311"/>
        </w:trPr>
        <w:tc>
          <w:tcPr>
            <w:tcW w:w="5365" w:type="dxa"/>
            <w:gridSpan w:val="7"/>
            <w:tcBorders>
              <w:top w:val="nil"/>
              <w:left w:val="nil"/>
              <w:bottom w:val="nil"/>
              <w:right w:val="nil"/>
            </w:tcBorders>
            <w:shd w:val="clear" w:color="auto" w:fill="FFFFFF"/>
          </w:tcPr>
          <w:p w14:paraId="32783D2D" w14:textId="77777777" w:rsidR="00F52F50" w:rsidRPr="00213B15" w:rsidRDefault="00F52F50" w:rsidP="00006EE1">
            <w:pPr>
              <w:autoSpaceDE w:val="0"/>
              <w:autoSpaceDN w:val="0"/>
              <w:adjustRightInd w:val="0"/>
              <w:spacing w:after="0" w:line="320" w:lineRule="atLeast"/>
              <w:ind w:left="60" w:right="60"/>
              <w:rPr>
                <w:rFonts w:ascii="Arial" w:hAnsi="Arial" w:cs="Arial"/>
                <w:color w:val="000000"/>
                <w:sz w:val="18"/>
                <w:szCs w:val="18"/>
              </w:rPr>
            </w:pPr>
            <w:r w:rsidRPr="00213B15">
              <w:rPr>
                <w:rFonts w:ascii="Arial" w:hAnsi="Arial" w:cs="Arial"/>
                <w:color w:val="000000"/>
                <w:sz w:val="18"/>
                <w:szCs w:val="18"/>
              </w:rPr>
              <w:t>a. Rotation converged in 8 iterations.</w:t>
            </w:r>
          </w:p>
        </w:tc>
      </w:tr>
    </w:tbl>
    <w:p w14:paraId="3EB52855" w14:textId="77777777" w:rsidR="002F6F1E" w:rsidRDefault="002F6F1E" w:rsidP="00F52F50">
      <w:pPr>
        <w:jc w:val="both"/>
      </w:pPr>
    </w:p>
    <w:p w14:paraId="46D90791" w14:textId="77777777" w:rsidR="00BF0FC6" w:rsidRDefault="00BF0FC6" w:rsidP="002F6F1E"/>
    <w:p w14:paraId="0F04127B" w14:textId="77777777" w:rsidR="00BF0FC6" w:rsidRDefault="00BF0FC6" w:rsidP="002F6F1E"/>
    <w:p w14:paraId="2A45B321" w14:textId="77777777" w:rsidR="00BF0FC6" w:rsidRDefault="00BF0FC6" w:rsidP="002F6F1E"/>
    <w:p w14:paraId="4EF5C68A" w14:textId="77777777" w:rsidR="00BF0FC6" w:rsidRDefault="00BF0FC6" w:rsidP="002F6F1E"/>
    <w:p w14:paraId="45CE75E6" w14:textId="77777777" w:rsidR="00BF0FC6" w:rsidRDefault="00BF0FC6" w:rsidP="002F6F1E"/>
    <w:p w14:paraId="1C8DC343" w14:textId="77777777" w:rsidR="00BF0FC6" w:rsidRDefault="00BF0FC6" w:rsidP="002F6F1E"/>
    <w:p w14:paraId="0588987E" w14:textId="77777777" w:rsidR="00213B15" w:rsidRDefault="00213B15" w:rsidP="00213B15">
      <w:pPr>
        <w:autoSpaceDE w:val="0"/>
        <w:autoSpaceDN w:val="0"/>
        <w:adjustRightInd w:val="0"/>
        <w:spacing w:after="0" w:line="240" w:lineRule="auto"/>
        <w:rPr>
          <w:rFonts w:ascii="Times New Roman" w:hAnsi="Times New Roman" w:cs="Times New Roman"/>
          <w:sz w:val="24"/>
          <w:szCs w:val="24"/>
        </w:rPr>
      </w:pPr>
    </w:p>
    <w:p w14:paraId="644EC142" w14:textId="77777777" w:rsidR="00C6765D" w:rsidRDefault="00C6765D" w:rsidP="00213B15">
      <w:pPr>
        <w:autoSpaceDE w:val="0"/>
        <w:autoSpaceDN w:val="0"/>
        <w:adjustRightInd w:val="0"/>
        <w:spacing w:after="0" w:line="240" w:lineRule="auto"/>
        <w:rPr>
          <w:rFonts w:ascii="Times New Roman" w:hAnsi="Times New Roman" w:cs="Times New Roman"/>
          <w:sz w:val="24"/>
          <w:szCs w:val="24"/>
        </w:rPr>
      </w:pPr>
    </w:p>
    <w:p w14:paraId="3C58F69D" w14:textId="77777777" w:rsidR="00C6765D" w:rsidRDefault="00C6765D" w:rsidP="00213B15">
      <w:pPr>
        <w:autoSpaceDE w:val="0"/>
        <w:autoSpaceDN w:val="0"/>
        <w:adjustRightInd w:val="0"/>
        <w:spacing w:after="0" w:line="240" w:lineRule="auto"/>
        <w:rPr>
          <w:rFonts w:ascii="Times New Roman" w:hAnsi="Times New Roman" w:cs="Times New Roman"/>
          <w:sz w:val="24"/>
          <w:szCs w:val="24"/>
        </w:rPr>
      </w:pPr>
    </w:p>
    <w:p w14:paraId="3BF9C59E" w14:textId="77777777" w:rsidR="00C6765D" w:rsidRDefault="00C6765D" w:rsidP="00213B15">
      <w:pPr>
        <w:autoSpaceDE w:val="0"/>
        <w:autoSpaceDN w:val="0"/>
        <w:adjustRightInd w:val="0"/>
        <w:spacing w:after="0" w:line="240" w:lineRule="auto"/>
        <w:rPr>
          <w:rFonts w:ascii="Times New Roman" w:hAnsi="Times New Roman" w:cs="Times New Roman"/>
          <w:sz w:val="24"/>
          <w:szCs w:val="24"/>
        </w:rPr>
      </w:pPr>
    </w:p>
    <w:p w14:paraId="781F1D68" w14:textId="77777777" w:rsidR="00C6765D" w:rsidRDefault="00C6765D" w:rsidP="00213B15">
      <w:pPr>
        <w:autoSpaceDE w:val="0"/>
        <w:autoSpaceDN w:val="0"/>
        <w:adjustRightInd w:val="0"/>
        <w:spacing w:after="0" w:line="240" w:lineRule="auto"/>
        <w:rPr>
          <w:rFonts w:ascii="Times New Roman" w:hAnsi="Times New Roman" w:cs="Times New Roman"/>
          <w:sz w:val="24"/>
          <w:szCs w:val="24"/>
        </w:rPr>
      </w:pPr>
    </w:p>
    <w:p w14:paraId="5CB804E8" w14:textId="77777777" w:rsidR="00C6765D" w:rsidRDefault="00C6765D" w:rsidP="00213B15">
      <w:pPr>
        <w:autoSpaceDE w:val="0"/>
        <w:autoSpaceDN w:val="0"/>
        <w:adjustRightInd w:val="0"/>
        <w:spacing w:after="0" w:line="240" w:lineRule="auto"/>
        <w:rPr>
          <w:rFonts w:ascii="Times New Roman" w:hAnsi="Times New Roman" w:cs="Times New Roman"/>
          <w:sz w:val="24"/>
          <w:szCs w:val="24"/>
        </w:rPr>
      </w:pPr>
    </w:p>
    <w:p w14:paraId="1AA1284D"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3393DAA7"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4A3819DA"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65448A39"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1177983B"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3417DC03"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12602AFF"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0E5E2C31"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4DD20614"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0D40028A"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6BAE105E"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0FB6D4BF"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740C5AC2"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1902A73C"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15D66BDC"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5DF4A033"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0CB2B719" w14:textId="77777777" w:rsidR="00600E25" w:rsidRDefault="00600E25" w:rsidP="00213B15">
      <w:pPr>
        <w:autoSpaceDE w:val="0"/>
        <w:autoSpaceDN w:val="0"/>
        <w:adjustRightInd w:val="0"/>
        <w:spacing w:after="0" w:line="240" w:lineRule="auto"/>
        <w:rPr>
          <w:rFonts w:ascii="Times New Roman" w:hAnsi="Times New Roman" w:cs="Times New Roman"/>
          <w:sz w:val="24"/>
          <w:szCs w:val="24"/>
        </w:rPr>
      </w:pPr>
    </w:p>
    <w:p w14:paraId="3F26E325" w14:textId="77777777" w:rsidR="00C6765D" w:rsidRDefault="00C6765D" w:rsidP="00C6765D">
      <w:pPr>
        <w:autoSpaceDE w:val="0"/>
        <w:autoSpaceDN w:val="0"/>
        <w:adjustRightInd w:val="0"/>
        <w:spacing w:after="0" w:line="240" w:lineRule="auto"/>
        <w:jc w:val="both"/>
        <w:rPr>
          <w:rFonts w:ascii="Times New Roman" w:hAnsi="Times New Roman" w:cs="Times New Roman"/>
          <w:sz w:val="24"/>
          <w:szCs w:val="24"/>
        </w:rPr>
      </w:pPr>
    </w:p>
    <w:p w14:paraId="51E4CA99" w14:textId="77777777" w:rsidR="00C6765D" w:rsidRDefault="00C6765D" w:rsidP="00C6765D">
      <w:pPr>
        <w:autoSpaceDE w:val="0"/>
        <w:autoSpaceDN w:val="0"/>
        <w:adjustRightInd w:val="0"/>
        <w:spacing w:after="0" w:line="240" w:lineRule="auto"/>
        <w:jc w:val="both"/>
        <w:rPr>
          <w:rFonts w:ascii="Times New Roman" w:hAnsi="Times New Roman" w:cs="Times New Roman"/>
          <w:sz w:val="24"/>
          <w:szCs w:val="24"/>
        </w:rPr>
      </w:pPr>
    </w:p>
    <w:p w14:paraId="513D2659" w14:textId="20299120" w:rsidR="00F63353" w:rsidRDefault="00AC7195" w:rsidP="00F633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4</w:t>
      </w:r>
      <w:r w:rsidR="00567E72">
        <w:rPr>
          <w:rFonts w:ascii="Times New Roman" w:hAnsi="Times New Roman" w:cs="Times New Roman"/>
          <w:b/>
          <w:sz w:val="24"/>
          <w:szCs w:val="24"/>
        </w:rPr>
        <w:t xml:space="preserve"> </w:t>
      </w:r>
      <w:r w:rsidR="00006EE1">
        <w:rPr>
          <w:rFonts w:ascii="Times New Roman" w:hAnsi="Times New Roman" w:cs="Times New Roman"/>
          <w:sz w:val="24"/>
          <w:szCs w:val="24"/>
        </w:rPr>
        <w:t>represents</w:t>
      </w:r>
      <w:r w:rsidR="00567E72">
        <w:rPr>
          <w:rFonts w:ascii="Times New Roman" w:hAnsi="Times New Roman" w:cs="Times New Roman"/>
          <w:sz w:val="24"/>
          <w:szCs w:val="24"/>
        </w:rPr>
        <w:t xml:space="preserve"> </w:t>
      </w:r>
      <w:r w:rsidR="00FF41B2">
        <w:rPr>
          <w:rFonts w:ascii="Times New Roman" w:hAnsi="Times New Roman" w:cs="Times New Roman"/>
          <w:sz w:val="24"/>
          <w:szCs w:val="24"/>
        </w:rPr>
        <w:t xml:space="preserve">the </w:t>
      </w:r>
      <w:r w:rsidR="00AC2688">
        <w:rPr>
          <w:rFonts w:ascii="Times New Roman" w:hAnsi="Times New Roman" w:cs="Times New Roman"/>
          <w:sz w:val="24"/>
          <w:szCs w:val="24"/>
        </w:rPr>
        <w:t xml:space="preserve">Rotated Component Matrix </w:t>
      </w:r>
      <w:r w:rsidR="00C6765D">
        <w:rPr>
          <w:rFonts w:ascii="Times New Roman" w:hAnsi="Times New Roman" w:cs="Times New Roman"/>
          <w:sz w:val="24"/>
          <w:szCs w:val="24"/>
        </w:rPr>
        <w:t>w</w:t>
      </w:r>
      <w:r w:rsidR="00600E25">
        <w:rPr>
          <w:rFonts w:ascii="Times New Roman" w:hAnsi="Times New Roman" w:cs="Times New Roman"/>
          <w:sz w:val="24"/>
          <w:szCs w:val="24"/>
        </w:rPr>
        <w:t>ith PCA with varimax rotation. T</w:t>
      </w:r>
      <w:r w:rsidR="00C6765D">
        <w:rPr>
          <w:rFonts w:ascii="Times New Roman" w:hAnsi="Times New Roman" w:cs="Times New Roman"/>
          <w:sz w:val="24"/>
          <w:szCs w:val="24"/>
        </w:rPr>
        <w:t xml:space="preserve">hreshold for factor loading is 0.50. </w:t>
      </w:r>
      <w:r w:rsidR="00FF41B2">
        <w:rPr>
          <w:rFonts w:ascii="Times New Roman" w:hAnsi="Times New Roman" w:cs="Times New Roman"/>
          <w:sz w:val="24"/>
          <w:szCs w:val="24"/>
        </w:rPr>
        <w:t>The r</w:t>
      </w:r>
      <w:r w:rsidR="00C6765D">
        <w:rPr>
          <w:rFonts w:ascii="Times New Roman" w:hAnsi="Times New Roman" w:cs="Times New Roman"/>
          <w:sz w:val="24"/>
          <w:szCs w:val="24"/>
        </w:rPr>
        <w:t>esult show</w:t>
      </w:r>
      <w:r w:rsidR="00833398">
        <w:rPr>
          <w:rFonts w:ascii="Times New Roman" w:hAnsi="Times New Roman" w:cs="Times New Roman"/>
          <w:sz w:val="24"/>
          <w:szCs w:val="24"/>
        </w:rPr>
        <w:t xml:space="preserve">s that out of 24 </w:t>
      </w:r>
      <w:proofErr w:type="gramStart"/>
      <w:r w:rsidR="00C32CE5">
        <w:rPr>
          <w:rFonts w:ascii="Times New Roman" w:hAnsi="Times New Roman" w:cs="Times New Roman"/>
          <w:sz w:val="24"/>
          <w:szCs w:val="24"/>
        </w:rPr>
        <w:t>items</w:t>
      </w:r>
      <w:r w:rsidR="00FF41B2">
        <w:rPr>
          <w:rFonts w:ascii="Times New Roman" w:hAnsi="Times New Roman" w:cs="Times New Roman"/>
          <w:sz w:val="24"/>
          <w:szCs w:val="24"/>
        </w:rPr>
        <w:t>,</w:t>
      </w:r>
      <w:r w:rsidR="00863AF6">
        <w:rPr>
          <w:rFonts w:ascii="Times New Roman" w:hAnsi="Times New Roman" w:cs="Times New Roman"/>
          <w:sz w:val="24"/>
          <w:szCs w:val="24"/>
        </w:rPr>
        <w:t xml:space="preserve"> </w:t>
      </w:r>
      <w:r w:rsidR="00600E25">
        <w:rPr>
          <w:rFonts w:ascii="Times New Roman" w:hAnsi="Times New Roman" w:cs="Times New Roman"/>
          <w:sz w:val="24"/>
          <w:szCs w:val="24"/>
        </w:rPr>
        <w:t xml:space="preserve"> 6</w:t>
      </w:r>
      <w:proofErr w:type="gramEnd"/>
      <w:r w:rsidR="00600E25">
        <w:rPr>
          <w:rFonts w:ascii="Times New Roman" w:hAnsi="Times New Roman" w:cs="Times New Roman"/>
          <w:sz w:val="24"/>
          <w:szCs w:val="24"/>
        </w:rPr>
        <w:t>th</w:t>
      </w:r>
      <w:r w:rsidR="00863AF6">
        <w:rPr>
          <w:rFonts w:ascii="Times New Roman" w:hAnsi="Times New Roman" w:cs="Times New Roman"/>
          <w:sz w:val="24"/>
          <w:szCs w:val="24"/>
        </w:rPr>
        <w:t xml:space="preserve"> item </w:t>
      </w:r>
      <w:proofErr w:type="spellStart"/>
      <w:r w:rsidR="00863AF6">
        <w:rPr>
          <w:rFonts w:ascii="Times New Roman" w:hAnsi="Times New Roman" w:cs="Times New Roman"/>
          <w:sz w:val="24"/>
          <w:szCs w:val="24"/>
        </w:rPr>
        <w:t>tha</w:t>
      </w:r>
      <w:proofErr w:type="spellEnd"/>
      <w:r w:rsidR="00863AF6">
        <w:rPr>
          <w:rFonts w:ascii="Times New Roman" w:hAnsi="Times New Roman" w:cs="Times New Roman"/>
          <w:sz w:val="24"/>
          <w:szCs w:val="24"/>
        </w:rPr>
        <w:t xml:space="preserve"> are bolded </w:t>
      </w:r>
      <w:r w:rsidR="00833398">
        <w:rPr>
          <w:rFonts w:ascii="Times New Roman" w:hAnsi="Times New Roman" w:cs="Times New Roman"/>
          <w:sz w:val="24"/>
          <w:szCs w:val="24"/>
        </w:rPr>
        <w:t xml:space="preserve">in </w:t>
      </w:r>
      <w:r w:rsidR="00FF41B2">
        <w:rPr>
          <w:rFonts w:ascii="Times New Roman" w:hAnsi="Times New Roman" w:cs="Times New Roman"/>
          <w:sz w:val="24"/>
          <w:szCs w:val="24"/>
        </w:rPr>
        <w:t xml:space="preserve">the </w:t>
      </w:r>
      <w:r w:rsidR="00C32CE5">
        <w:rPr>
          <w:rFonts w:ascii="Times New Roman" w:hAnsi="Times New Roman" w:cs="Times New Roman"/>
          <w:sz w:val="24"/>
          <w:szCs w:val="24"/>
        </w:rPr>
        <w:t>table can’t</w:t>
      </w:r>
      <w:r w:rsidR="00833398">
        <w:rPr>
          <w:rFonts w:ascii="Times New Roman" w:hAnsi="Times New Roman" w:cs="Times New Roman"/>
          <w:sz w:val="24"/>
          <w:szCs w:val="24"/>
        </w:rPr>
        <w:t xml:space="preserve"> load </w:t>
      </w:r>
      <w:r w:rsidR="00C32CE5">
        <w:rPr>
          <w:rFonts w:ascii="Times New Roman" w:hAnsi="Times New Roman" w:cs="Times New Roman"/>
          <w:sz w:val="24"/>
          <w:szCs w:val="24"/>
        </w:rPr>
        <w:t>properly, so</w:t>
      </w:r>
      <w:r w:rsidR="00600E25">
        <w:rPr>
          <w:rFonts w:ascii="Times New Roman" w:hAnsi="Times New Roman" w:cs="Times New Roman"/>
          <w:sz w:val="24"/>
          <w:szCs w:val="24"/>
        </w:rPr>
        <w:t xml:space="preserve"> </w:t>
      </w:r>
      <w:r w:rsidR="00FF41B2">
        <w:rPr>
          <w:rFonts w:ascii="Times New Roman" w:hAnsi="Times New Roman" w:cs="Times New Roman"/>
          <w:sz w:val="24"/>
          <w:szCs w:val="24"/>
        </w:rPr>
        <w:t xml:space="preserve">a </w:t>
      </w:r>
      <w:r w:rsidR="00833398">
        <w:rPr>
          <w:rFonts w:ascii="Times New Roman" w:hAnsi="Times New Roman" w:cs="Times New Roman"/>
          <w:sz w:val="24"/>
          <w:szCs w:val="24"/>
        </w:rPr>
        <w:t xml:space="preserve">total </w:t>
      </w:r>
      <w:r w:rsidR="00FF41B2">
        <w:rPr>
          <w:rFonts w:ascii="Times New Roman" w:hAnsi="Times New Roman" w:cs="Times New Roman"/>
          <w:sz w:val="24"/>
          <w:szCs w:val="24"/>
        </w:rPr>
        <w:t xml:space="preserve">of </w:t>
      </w:r>
      <w:r w:rsidR="00090775">
        <w:rPr>
          <w:rFonts w:ascii="Times New Roman" w:hAnsi="Times New Roman" w:cs="Times New Roman"/>
          <w:sz w:val="24"/>
          <w:szCs w:val="24"/>
        </w:rPr>
        <w:t>16</w:t>
      </w:r>
      <w:r w:rsidR="00C32CE5">
        <w:rPr>
          <w:rFonts w:ascii="Times New Roman" w:hAnsi="Times New Roman" w:cs="Times New Roman"/>
          <w:sz w:val="24"/>
          <w:szCs w:val="24"/>
        </w:rPr>
        <w:t xml:space="preserve"> items</w:t>
      </w:r>
      <w:r w:rsidR="00833398">
        <w:rPr>
          <w:rFonts w:ascii="Times New Roman" w:hAnsi="Times New Roman" w:cs="Times New Roman"/>
          <w:sz w:val="24"/>
          <w:szCs w:val="24"/>
        </w:rPr>
        <w:t xml:space="preserve"> load </w:t>
      </w:r>
      <w:r w:rsidR="005C76F8">
        <w:rPr>
          <w:rFonts w:ascii="Times New Roman" w:hAnsi="Times New Roman" w:cs="Times New Roman"/>
          <w:sz w:val="24"/>
          <w:szCs w:val="24"/>
        </w:rPr>
        <w:t>within 5 components.</w:t>
      </w:r>
      <w:r w:rsidR="00600E25">
        <w:rPr>
          <w:rFonts w:ascii="Times New Roman" w:hAnsi="Times New Roman" w:cs="Times New Roman"/>
          <w:sz w:val="24"/>
          <w:szCs w:val="24"/>
        </w:rPr>
        <w:t xml:space="preserve"> </w:t>
      </w:r>
      <w:r w:rsidR="005C76F8">
        <w:rPr>
          <w:rFonts w:ascii="Times New Roman" w:hAnsi="Times New Roman" w:cs="Times New Roman"/>
          <w:sz w:val="24"/>
          <w:szCs w:val="24"/>
        </w:rPr>
        <w:t xml:space="preserve">Only one item has loaded in </w:t>
      </w:r>
      <w:r w:rsidR="00FF41B2">
        <w:rPr>
          <w:rFonts w:ascii="Times New Roman" w:hAnsi="Times New Roman" w:cs="Times New Roman"/>
          <w:sz w:val="24"/>
          <w:szCs w:val="24"/>
        </w:rPr>
        <w:t xml:space="preserve">the </w:t>
      </w:r>
      <w:r w:rsidR="005C76F8">
        <w:rPr>
          <w:rFonts w:ascii="Times New Roman" w:hAnsi="Times New Roman" w:cs="Times New Roman"/>
          <w:sz w:val="24"/>
          <w:szCs w:val="24"/>
        </w:rPr>
        <w:t>6</w:t>
      </w:r>
      <w:r w:rsidR="005C76F8" w:rsidRPr="005C76F8">
        <w:rPr>
          <w:rFonts w:ascii="Times New Roman" w:hAnsi="Times New Roman" w:cs="Times New Roman"/>
          <w:sz w:val="24"/>
          <w:szCs w:val="24"/>
          <w:vertAlign w:val="superscript"/>
        </w:rPr>
        <w:t>th</w:t>
      </w:r>
      <w:r w:rsidR="005C76F8">
        <w:rPr>
          <w:rFonts w:ascii="Times New Roman" w:hAnsi="Times New Roman" w:cs="Times New Roman"/>
          <w:sz w:val="24"/>
          <w:szCs w:val="24"/>
        </w:rPr>
        <w:t xml:space="preserve"> component</w:t>
      </w:r>
      <w:r w:rsidR="00FF41B2">
        <w:rPr>
          <w:rFonts w:ascii="Times New Roman" w:hAnsi="Times New Roman" w:cs="Times New Roman"/>
          <w:sz w:val="24"/>
          <w:szCs w:val="24"/>
        </w:rPr>
        <w:t>,</w:t>
      </w:r>
      <w:r w:rsidR="005C76F8">
        <w:rPr>
          <w:rFonts w:ascii="Times New Roman" w:hAnsi="Times New Roman" w:cs="Times New Roman"/>
          <w:sz w:val="24"/>
          <w:szCs w:val="24"/>
        </w:rPr>
        <w:t xml:space="preserve"> and it has been excluded as no other item</w:t>
      </w:r>
      <w:r w:rsidR="00FF41B2">
        <w:rPr>
          <w:rFonts w:ascii="Times New Roman" w:hAnsi="Times New Roman" w:cs="Times New Roman"/>
          <w:sz w:val="24"/>
          <w:szCs w:val="24"/>
        </w:rPr>
        <w:t>s</w:t>
      </w:r>
      <w:r w:rsidR="00600E25">
        <w:rPr>
          <w:rFonts w:ascii="Times New Roman" w:hAnsi="Times New Roman" w:cs="Times New Roman"/>
          <w:sz w:val="24"/>
          <w:szCs w:val="24"/>
        </w:rPr>
        <w:t xml:space="preserve"> </w:t>
      </w:r>
      <w:r w:rsidR="00FF41B2">
        <w:rPr>
          <w:rFonts w:ascii="Times New Roman" w:hAnsi="Times New Roman" w:cs="Times New Roman"/>
          <w:sz w:val="24"/>
          <w:szCs w:val="24"/>
        </w:rPr>
        <w:t>were found</w:t>
      </w:r>
      <w:r w:rsidR="005C76F8">
        <w:rPr>
          <w:rFonts w:ascii="Times New Roman" w:hAnsi="Times New Roman" w:cs="Times New Roman"/>
          <w:sz w:val="24"/>
          <w:szCs w:val="24"/>
        </w:rPr>
        <w:t xml:space="preserve"> in that component after rotation.</w:t>
      </w:r>
    </w:p>
    <w:p w14:paraId="31F50B36" w14:textId="77777777" w:rsidR="00600E25" w:rsidRDefault="00600E25" w:rsidP="00F63353">
      <w:pPr>
        <w:autoSpaceDE w:val="0"/>
        <w:autoSpaceDN w:val="0"/>
        <w:adjustRightInd w:val="0"/>
        <w:spacing w:after="0" w:line="240" w:lineRule="auto"/>
        <w:jc w:val="both"/>
        <w:rPr>
          <w:rFonts w:ascii="Times New Roman" w:hAnsi="Times New Roman" w:cs="Times New Roman"/>
          <w:sz w:val="24"/>
          <w:szCs w:val="24"/>
        </w:rPr>
      </w:pPr>
    </w:p>
    <w:p w14:paraId="20BBD928" w14:textId="77777777" w:rsidR="00600E25" w:rsidRPr="00213B15" w:rsidRDefault="00600E25" w:rsidP="00F63353">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vertAnchor="text" w:horzAnchor="margin" w:tblpXSpec="center" w:tblpY="1071"/>
        <w:tblW w:w="56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5"/>
        <w:gridCol w:w="935"/>
        <w:gridCol w:w="1168"/>
        <w:gridCol w:w="1028"/>
      </w:tblGrid>
      <w:tr w:rsidR="00006EE1" w:rsidRPr="00E87AAA" w14:paraId="02AB15BF" w14:textId="77777777" w:rsidTr="00833398">
        <w:trPr>
          <w:cantSplit/>
        </w:trPr>
        <w:tc>
          <w:tcPr>
            <w:tcW w:w="5626" w:type="dxa"/>
            <w:gridSpan w:val="4"/>
            <w:tcBorders>
              <w:top w:val="nil"/>
              <w:left w:val="nil"/>
              <w:bottom w:val="nil"/>
              <w:right w:val="nil"/>
            </w:tcBorders>
            <w:shd w:val="clear" w:color="auto" w:fill="FFFFFF"/>
            <w:vAlign w:val="center"/>
          </w:tcPr>
          <w:p w14:paraId="61869265" w14:textId="75B140A1" w:rsidR="00006EE1" w:rsidRPr="00E87AAA" w:rsidRDefault="00600E25" w:rsidP="00854FFF">
            <w:pPr>
              <w:autoSpaceDE w:val="0"/>
              <w:autoSpaceDN w:val="0"/>
              <w:adjustRightInd w:val="0"/>
              <w:spacing w:after="0" w:line="320" w:lineRule="atLeast"/>
              <w:ind w:left="60" w:right="60"/>
              <w:rPr>
                <w:rFonts w:ascii="Arial" w:hAnsi="Arial" w:cs="Arial"/>
                <w:color w:val="000000"/>
                <w:sz w:val="18"/>
                <w:szCs w:val="18"/>
              </w:rPr>
            </w:pPr>
            <w:r>
              <w:rPr>
                <w:rFonts w:ascii="Arial" w:hAnsi="Arial" w:cs="Arial"/>
                <w:b/>
                <w:bCs/>
                <w:color w:val="000000"/>
                <w:sz w:val="18"/>
                <w:szCs w:val="18"/>
              </w:rPr>
              <w:t xml:space="preserve">Table </w:t>
            </w:r>
            <w:r w:rsidR="00AC7195">
              <w:rPr>
                <w:rFonts w:ascii="Arial" w:hAnsi="Arial" w:cs="Arial"/>
                <w:b/>
                <w:bCs/>
                <w:color w:val="000000"/>
                <w:sz w:val="18"/>
                <w:szCs w:val="18"/>
              </w:rPr>
              <w:t>5</w:t>
            </w:r>
            <w:r>
              <w:rPr>
                <w:rFonts w:ascii="Arial" w:hAnsi="Arial" w:cs="Arial"/>
                <w:b/>
                <w:bCs/>
                <w:color w:val="000000"/>
                <w:sz w:val="18"/>
                <w:szCs w:val="18"/>
              </w:rPr>
              <w:t xml:space="preserve"> </w:t>
            </w:r>
            <w:r w:rsidR="00006EE1" w:rsidRPr="00E87AAA">
              <w:rPr>
                <w:rFonts w:ascii="Arial" w:hAnsi="Arial" w:cs="Arial"/>
                <w:b/>
                <w:bCs/>
                <w:color w:val="000000"/>
                <w:sz w:val="18"/>
                <w:szCs w:val="18"/>
              </w:rPr>
              <w:t>Reliability Statistics</w:t>
            </w:r>
          </w:p>
        </w:tc>
      </w:tr>
      <w:tr w:rsidR="00006EE1" w:rsidRPr="00E87AAA" w14:paraId="7CBB553D" w14:textId="77777777" w:rsidTr="00833398">
        <w:trPr>
          <w:cantSplit/>
        </w:trPr>
        <w:tc>
          <w:tcPr>
            <w:tcW w:w="2495" w:type="dxa"/>
            <w:vMerge w:val="restart"/>
            <w:tcBorders>
              <w:top w:val="single" w:sz="16" w:space="0" w:color="000000"/>
              <w:left w:val="single" w:sz="16" w:space="0" w:color="000000"/>
              <w:bottom w:val="nil"/>
              <w:right w:val="nil"/>
            </w:tcBorders>
            <w:shd w:val="clear" w:color="auto" w:fill="FFFFFF"/>
          </w:tcPr>
          <w:p w14:paraId="786DE6D2"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lastRenderedPageBreak/>
              <w:t>Cronbach's Alpha</w:t>
            </w:r>
          </w:p>
        </w:tc>
        <w:tc>
          <w:tcPr>
            <w:tcW w:w="935" w:type="dxa"/>
            <w:vMerge w:val="restart"/>
            <w:tcBorders>
              <w:top w:val="single" w:sz="16" w:space="0" w:color="000000"/>
              <w:left w:val="nil"/>
              <w:bottom w:val="nil"/>
              <w:right w:val="nil"/>
            </w:tcBorders>
            <w:shd w:val="clear" w:color="auto" w:fill="FFFFFF"/>
          </w:tcPr>
          <w:p w14:paraId="2B3D0D77"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Part 1</w:t>
            </w:r>
          </w:p>
        </w:tc>
        <w:tc>
          <w:tcPr>
            <w:tcW w:w="1168" w:type="dxa"/>
            <w:tcBorders>
              <w:top w:val="single" w:sz="16" w:space="0" w:color="000000"/>
              <w:left w:val="nil"/>
              <w:bottom w:val="nil"/>
              <w:right w:val="single" w:sz="16" w:space="0" w:color="000000"/>
            </w:tcBorders>
            <w:shd w:val="clear" w:color="auto" w:fill="FFFFFF"/>
          </w:tcPr>
          <w:p w14:paraId="603A4C7F"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Value</w:t>
            </w:r>
          </w:p>
        </w:tc>
        <w:tc>
          <w:tcPr>
            <w:tcW w:w="1028" w:type="dxa"/>
            <w:tcBorders>
              <w:top w:val="single" w:sz="16" w:space="0" w:color="000000"/>
              <w:left w:val="single" w:sz="16" w:space="0" w:color="000000"/>
              <w:bottom w:val="nil"/>
              <w:right w:val="single" w:sz="16" w:space="0" w:color="000000"/>
            </w:tcBorders>
            <w:shd w:val="clear" w:color="auto" w:fill="FFFFFF"/>
            <w:vAlign w:val="center"/>
          </w:tcPr>
          <w:p w14:paraId="37957BCE" w14:textId="77777777" w:rsidR="00006EE1" w:rsidRPr="00E87AAA" w:rsidRDefault="00006EE1" w:rsidP="00833398">
            <w:pPr>
              <w:autoSpaceDE w:val="0"/>
              <w:autoSpaceDN w:val="0"/>
              <w:adjustRightInd w:val="0"/>
              <w:spacing w:after="0" w:line="320" w:lineRule="atLeast"/>
              <w:ind w:left="60" w:right="60"/>
              <w:jc w:val="right"/>
              <w:rPr>
                <w:rFonts w:ascii="Arial" w:hAnsi="Arial" w:cs="Arial"/>
                <w:color w:val="000000"/>
                <w:sz w:val="18"/>
                <w:szCs w:val="18"/>
              </w:rPr>
            </w:pPr>
            <w:r w:rsidRPr="00E87AAA">
              <w:rPr>
                <w:rFonts w:ascii="Arial" w:hAnsi="Arial" w:cs="Arial"/>
                <w:color w:val="000000"/>
                <w:sz w:val="18"/>
                <w:szCs w:val="18"/>
              </w:rPr>
              <w:t>.825</w:t>
            </w:r>
          </w:p>
        </w:tc>
      </w:tr>
      <w:tr w:rsidR="00006EE1" w:rsidRPr="00E87AAA" w14:paraId="494FB12E" w14:textId="77777777" w:rsidTr="00833398">
        <w:trPr>
          <w:cantSplit/>
        </w:trPr>
        <w:tc>
          <w:tcPr>
            <w:tcW w:w="2495" w:type="dxa"/>
            <w:vMerge/>
            <w:tcBorders>
              <w:top w:val="single" w:sz="16" w:space="0" w:color="000000"/>
              <w:left w:val="single" w:sz="16" w:space="0" w:color="000000"/>
              <w:bottom w:val="nil"/>
              <w:right w:val="nil"/>
            </w:tcBorders>
            <w:shd w:val="clear" w:color="auto" w:fill="FFFFFF"/>
          </w:tcPr>
          <w:p w14:paraId="39C20956" w14:textId="77777777" w:rsidR="00006EE1" w:rsidRPr="00E87AAA" w:rsidRDefault="00006EE1" w:rsidP="00833398">
            <w:pPr>
              <w:autoSpaceDE w:val="0"/>
              <w:autoSpaceDN w:val="0"/>
              <w:adjustRightInd w:val="0"/>
              <w:spacing w:after="0" w:line="240" w:lineRule="auto"/>
              <w:rPr>
                <w:rFonts w:ascii="Arial" w:hAnsi="Arial" w:cs="Arial"/>
                <w:color w:val="000000"/>
                <w:sz w:val="18"/>
                <w:szCs w:val="18"/>
              </w:rPr>
            </w:pPr>
          </w:p>
        </w:tc>
        <w:tc>
          <w:tcPr>
            <w:tcW w:w="935" w:type="dxa"/>
            <w:vMerge/>
            <w:tcBorders>
              <w:top w:val="single" w:sz="16" w:space="0" w:color="000000"/>
              <w:left w:val="nil"/>
              <w:bottom w:val="nil"/>
              <w:right w:val="nil"/>
            </w:tcBorders>
            <w:shd w:val="clear" w:color="auto" w:fill="FFFFFF"/>
          </w:tcPr>
          <w:p w14:paraId="63ECEB9A" w14:textId="77777777" w:rsidR="00006EE1" w:rsidRPr="00E87AAA" w:rsidRDefault="00006EE1" w:rsidP="00833398">
            <w:pPr>
              <w:autoSpaceDE w:val="0"/>
              <w:autoSpaceDN w:val="0"/>
              <w:adjustRightInd w:val="0"/>
              <w:spacing w:after="0" w:line="240" w:lineRule="auto"/>
              <w:rPr>
                <w:rFonts w:ascii="Arial" w:hAnsi="Arial" w:cs="Arial"/>
                <w:color w:val="000000"/>
                <w:sz w:val="18"/>
                <w:szCs w:val="18"/>
              </w:rPr>
            </w:pPr>
          </w:p>
        </w:tc>
        <w:tc>
          <w:tcPr>
            <w:tcW w:w="1168" w:type="dxa"/>
            <w:tcBorders>
              <w:top w:val="nil"/>
              <w:left w:val="nil"/>
              <w:bottom w:val="nil"/>
              <w:right w:val="single" w:sz="16" w:space="0" w:color="000000"/>
            </w:tcBorders>
            <w:shd w:val="clear" w:color="auto" w:fill="FFFFFF"/>
          </w:tcPr>
          <w:p w14:paraId="1317581A"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N of Items</w:t>
            </w:r>
          </w:p>
        </w:tc>
        <w:tc>
          <w:tcPr>
            <w:tcW w:w="1028" w:type="dxa"/>
            <w:tcBorders>
              <w:top w:val="nil"/>
              <w:left w:val="single" w:sz="16" w:space="0" w:color="000000"/>
              <w:bottom w:val="nil"/>
              <w:right w:val="single" w:sz="16" w:space="0" w:color="000000"/>
            </w:tcBorders>
            <w:shd w:val="clear" w:color="auto" w:fill="FFFFFF"/>
            <w:vAlign w:val="center"/>
          </w:tcPr>
          <w:p w14:paraId="019B992B" w14:textId="77777777" w:rsidR="00006EE1" w:rsidRPr="00E87AAA" w:rsidRDefault="00006EE1" w:rsidP="00833398">
            <w:pPr>
              <w:autoSpaceDE w:val="0"/>
              <w:autoSpaceDN w:val="0"/>
              <w:adjustRightInd w:val="0"/>
              <w:spacing w:after="0" w:line="320" w:lineRule="atLeast"/>
              <w:ind w:left="60" w:right="60"/>
              <w:jc w:val="right"/>
              <w:rPr>
                <w:rFonts w:ascii="Arial" w:hAnsi="Arial" w:cs="Arial"/>
                <w:color w:val="000000"/>
                <w:sz w:val="18"/>
                <w:szCs w:val="18"/>
              </w:rPr>
            </w:pPr>
            <w:r w:rsidRPr="00E87AAA">
              <w:rPr>
                <w:rFonts w:ascii="Arial" w:hAnsi="Arial" w:cs="Arial"/>
                <w:color w:val="000000"/>
                <w:sz w:val="18"/>
                <w:szCs w:val="18"/>
              </w:rPr>
              <w:t>8</w:t>
            </w:r>
            <w:r w:rsidRPr="00E87AAA">
              <w:rPr>
                <w:rFonts w:ascii="Arial" w:hAnsi="Arial" w:cs="Arial"/>
                <w:color w:val="000000"/>
                <w:sz w:val="18"/>
                <w:szCs w:val="18"/>
                <w:vertAlign w:val="superscript"/>
              </w:rPr>
              <w:t>a</w:t>
            </w:r>
          </w:p>
        </w:tc>
      </w:tr>
      <w:tr w:rsidR="00006EE1" w:rsidRPr="00E87AAA" w14:paraId="6FE66F4E" w14:textId="77777777" w:rsidTr="00833398">
        <w:trPr>
          <w:cantSplit/>
        </w:trPr>
        <w:tc>
          <w:tcPr>
            <w:tcW w:w="2495" w:type="dxa"/>
            <w:vMerge/>
            <w:tcBorders>
              <w:top w:val="single" w:sz="16" w:space="0" w:color="000000"/>
              <w:left w:val="single" w:sz="16" w:space="0" w:color="000000"/>
              <w:bottom w:val="nil"/>
              <w:right w:val="nil"/>
            </w:tcBorders>
            <w:shd w:val="clear" w:color="auto" w:fill="FFFFFF"/>
          </w:tcPr>
          <w:p w14:paraId="114D1226" w14:textId="77777777" w:rsidR="00006EE1" w:rsidRPr="00E87AAA" w:rsidRDefault="00006EE1" w:rsidP="00833398">
            <w:pPr>
              <w:autoSpaceDE w:val="0"/>
              <w:autoSpaceDN w:val="0"/>
              <w:adjustRightInd w:val="0"/>
              <w:spacing w:after="0" w:line="240" w:lineRule="auto"/>
              <w:rPr>
                <w:rFonts w:ascii="Arial" w:hAnsi="Arial" w:cs="Arial"/>
                <w:color w:val="000000"/>
                <w:sz w:val="18"/>
                <w:szCs w:val="18"/>
              </w:rPr>
            </w:pPr>
          </w:p>
        </w:tc>
        <w:tc>
          <w:tcPr>
            <w:tcW w:w="935" w:type="dxa"/>
            <w:vMerge w:val="restart"/>
            <w:tcBorders>
              <w:top w:val="nil"/>
              <w:left w:val="nil"/>
              <w:bottom w:val="nil"/>
              <w:right w:val="nil"/>
            </w:tcBorders>
            <w:shd w:val="clear" w:color="auto" w:fill="FFFFFF"/>
          </w:tcPr>
          <w:p w14:paraId="54BDF1FA"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Part 2</w:t>
            </w:r>
          </w:p>
        </w:tc>
        <w:tc>
          <w:tcPr>
            <w:tcW w:w="1168" w:type="dxa"/>
            <w:tcBorders>
              <w:top w:val="nil"/>
              <w:left w:val="nil"/>
              <w:bottom w:val="nil"/>
              <w:right w:val="single" w:sz="16" w:space="0" w:color="000000"/>
            </w:tcBorders>
            <w:shd w:val="clear" w:color="auto" w:fill="FFFFFF"/>
          </w:tcPr>
          <w:p w14:paraId="15F8EA2D"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Value</w:t>
            </w:r>
          </w:p>
        </w:tc>
        <w:tc>
          <w:tcPr>
            <w:tcW w:w="1028" w:type="dxa"/>
            <w:tcBorders>
              <w:top w:val="nil"/>
              <w:left w:val="single" w:sz="16" w:space="0" w:color="000000"/>
              <w:bottom w:val="nil"/>
              <w:right w:val="single" w:sz="16" w:space="0" w:color="000000"/>
            </w:tcBorders>
            <w:shd w:val="clear" w:color="auto" w:fill="FFFFFF"/>
            <w:vAlign w:val="center"/>
          </w:tcPr>
          <w:p w14:paraId="093C7879" w14:textId="77777777" w:rsidR="00006EE1" w:rsidRPr="00E87AAA" w:rsidRDefault="00006EE1" w:rsidP="00833398">
            <w:pPr>
              <w:autoSpaceDE w:val="0"/>
              <w:autoSpaceDN w:val="0"/>
              <w:adjustRightInd w:val="0"/>
              <w:spacing w:after="0" w:line="320" w:lineRule="atLeast"/>
              <w:ind w:left="60" w:right="60"/>
              <w:jc w:val="right"/>
              <w:rPr>
                <w:rFonts w:ascii="Arial" w:hAnsi="Arial" w:cs="Arial"/>
                <w:color w:val="000000"/>
                <w:sz w:val="18"/>
                <w:szCs w:val="18"/>
              </w:rPr>
            </w:pPr>
            <w:r w:rsidRPr="00E87AAA">
              <w:rPr>
                <w:rFonts w:ascii="Arial" w:hAnsi="Arial" w:cs="Arial"/>
                <w:color w:val="000000"/>
                <w:sz w:val="18"/>
                <w:szCs w:val="18"/>
              </w:rPr>
              <w:t>.759</w:t>
            </w:r>
          </w:p>
        </w:tc>
      </w:tr>
      <w:tr w:rsidR="00006EE1" w:rsidRPr="00E87AAA" w14:paraId="420E0B85" w14:textId="77777777" w:rsidTr="00833398">
        <w:trPr>
          <w:cantSplit/>
        </w:trPr>
        <w:tc>
          <w:tcPr>
            <w:tcW w:w="2495" w:type="dxa"/>
            <w:vMerge/>
            <w:tcBorders>
              <w:top w:val="single" w:sz="16" w:space="0" w:color="000000"/>
              <w:left w:val="single" w:sz="16" w:space="0" w:color="000000"/>
              <w:bottom w:val="nil"/>
              <w:right w:val="nil"/>
            </w:tcBorders>
            <w:shd w:val="clear" w:color="auto" w:fill="FFFFFF"/>
          </w:tcPr>
          <w:p w14:paraId="7648E9C3" w14:textId="77777777" w:rsidR="00006EE1" w:rsidRPr="00E87AAA" w:rsidRDefault="00006EE1" w:rsidP="00833398">
            <w:pPr>
              <w:autoSpaceDE w:val="0"/>
              <w:autoSpaceDN w:val="0"/>
              <w:adjustRightInd w:val="0"/>
              <w:spacing w:after="0" w:line="240" w:lineRule="auto"/>
              <w:rPr>
                <w:rFonts w:ascii="Arial" w:hAnsi="Arial" w:cs="Arial"/>
                <w:color w:val="000000"/>
                <w:sz w:val="18"/>
                <w:szCs w:val="18"/>
              </w:rPr>
            </w:pPr>
          </w:p>
        </w:tc>
        <w:tc>
          <w:tcPr>
            <w:tcW w:w="935" w:type="dxa"/>
            <w:vMerge/>
            <w:tcBorders>
              <w:top w:val="nil"/>
              <w:left w:val="nil"/>
              <w:bottom w:val="nil"/>
              <w:right w:val="nil"/>
            </w:tcBorders>
            <w:shd w:val="clear" w:color="auto" w:fill="FFFFFF"/>
          </w:tcPr>
          <w:p w14:paraId="663CC35E" w14:textId="77777777" w:rsidR="00006EE1" w:rsidRPr="00E87AAA" w:rsidRDefault="00006EE1" w:rsidP="00833398">
            <w:pPr>
              <w:autoSpaceDE w:val="0"/>
              <w:autoSpaceDN w:val="0"/>
              <w:adjustRightInd w:val="0"/>
              <w:spacing w:after="0" w:line="240" w:lineRule="auto"/>
              <w:rPr>
                <w:rFonts w:ascii="Arial" w:hAnsi="Arial" w:cs="Arial"/>
                <w:color w:val="000000"/>
                <w:sz w:val="18"/>
                <w:szCs w:val="18"/>
              </w:rPr>
            </w:pPr>
          </w:p>
        </w:tc>
        <w:tc>
          <w:tcPr>
            <w:tcW w:w="1168" w:type="dxa"/>
            <w:tcBorders>
              <w:top w:val="nil"/>
              <w:left w:val="nil"/>
              <w:bottom w:val="nil"/>
              <w:right w:val="single" w:sz="16" w:space="0" w:color="000000"/>
            </w:tcBorders>
            <w:shd w:val="clear" w:color="auto" w:fill="FFFFFF"/>
          </w:tcPr>
          <w:p w14:paraId="441FCBC8"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N of Items</w:t>
            </w:r>
          </w:p>
        </w:tc>
        <w:tc>
          <w:tcPr>
            <w:tcW w:w="1028" w:type="dxa"/>
            <w:tcBorders>
              <w:top w:val="nil"/>
              <w:left w:val="single" w:sz="16" w:space="0" w:color="000000"/>
              <w:bottom w:val="nil"/>
              <w:right w:val="single" w:sz="16" w:space="0" w:color="000000"/>
            </w:tcBorders>
            <w:shd w:val="clear" w:color="auto" w:fill="FFFFFF"/>
            <w:vAlign w:val="center"/>
          </w:tcPr>
          <w:p w14:paraId="12D9A14F" w14:textId="77777777" w:rsidR="00006EE1" w:rsidRPr="00E87AAA" w:rsidRDefault="00006EE1" w:rsidP="00833398">
            <w:pPr>
              <w:autoSpaceDE w:val="0"/>
              <w:autoSpaceDN w:val="0"/>
              <w:adjustRightInd w:val="0"/>
              <w:spacing w:after="0" w:line="320" w:lineRule="atLeast"/>
              <w:ind w:left="60" w:right="60"/>
              <w:jc w:val="right"/>
              <w:rPr>
                <w:rFonts w:ascii="Arial" w:hAnsi="Arial" w:cs="Arial"/>
                <w:color w:val="000000"/>
                <w:sz w:val="18"/>
                <w:szCs w:val="18"/>
              </w:rPr>
            </w:pPr>
            <w:r w:rsidRPr="00E87AAA">
              <w:rPr>
                <w:rFonts w:ascii="Arial" w:hAnsi="Arial" w:cs="Arial"/>
                <w:color w:val="000000"/>
                <w:sz w:val="18"/>
                <w:szCs w:val="18"/>
              </w:rPr>
              <w:t>8</w:t>
            </w:r>
            <w:r w:rsidRPr="00E87AAA">
              <w:rPr>
                <w:rFonts w:ascii="Arial" w:hAnsi="Arial" w:cs="Arial"/>
                <w:color w:val="000000"/>
                <w:sz w:val="18"/>
                <w:szCs w:val="18"/>
                <w:vertAlign w:val="superscript"/>
              </w:rPr>
              <w:t>b</w:t>
            </w:r>
          </w:p>
        </w:tc>
      </w:tr>
      <w:tr w:rsidR="00006EE1" w:rsidRPr="00E87AAA" w14:paraId="673C10D6" w14:textId="77777777" w:rsidTr="00833398">
        <w:trPr>
          <w:cantSplit/>
        </w:trPr>
        <w:tc>
          <w:tcPr>
            <w:tcW w:w="2495" w:type="dxa"/>
            <w:vMerge/>
            <w:tcBorders>
              <w:top w:val="single" w:sz="16" w:space="0" w:color="000000"/>
              <w:left w:val="single" w:sz="16" w:space="0" w:color="000000"/>
              <w:bottom w:val="nil"/>
              <w:right w:val="nil"/>
            </w:tcBorders>
            <w:shd w:val="clear" w:color="auto" w:fill="FFFFFF"/>
          </w:tcPr>
          <w:p w14:paraId="2FDCD385" w14:textId="77777777" w:rsidR="00006EE1" w:rsidRPr="00E87AAA" w:rsidRDefault="00006EE1" w:rsidP="00833398">
            <w:pPr>
              <w:autoSpaceDE w:val="0"/>
              <w:autoSpaceDN w:val="0"/>
              <w:adjustRightInd w:val="0"/>
              <w:spacing w:after="0" w:line="240" w:lineRule="auto"/>
              <w:rPr>
                <w:rFonts w:ascii="Arial" w:hAnsi="Arial" w:cs="Arial"/>
                <w:color w:val="000000"/>
                <w:sz w:val="18"/>
                <w:szCs w:val="18"/>
              </w:rPr>
            </w:pPr>
          </w:p>
        </w:tc>
        <w:tc>
          <w:tcPr>
            <w:tcW w:w="2103" w:type="dxa"/>
            <w:gridSpan w:val="2"/>
            <w:tcBorders>
              <w:top w:val="nil"/>
              <w:left w:val="nil"/>
              <w:bottom w:val="nil"/>
              <w:right w:val="nil"/>
            </w:tcBorders>
            <w:shd w:val="clear" w:color="auto" w:fill="FFFFFF"/>
          </w:tcPr>
          <w:p w14:paraId="45AB65DD"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Total N of Items</w:t>
            </w:r>
          </w:p>
        </w:tc>
        <w:tc>
          <w:tcPr>
            <w:tcW w:w="1028" w:type="dxa"/>
            <w:tcBorders>
              <w:top w:val="nil"/>
              <w:left w:val="single" w:sz="16" w:space="0" w:color="000000"/>
              <w:bottom w:val="nil"/>
              <w:right w:val="single" w:sz="16" w:space="0" w:color="000000"/>
            </w:tcBorders>
            <w:shd w:val="clear" w:color="auto" w:fill="FFFFFF"/>
            <w:vAlign w:val="center"/>
          </w:tcPr>
          <w:p w14:paraId="5B6FB33D" w14:textId="77777777" w:rsidR="00006EE1" w:rsidRPr="00E87AAA" w:rsidRDefault="00006EE1" w:rsidP="00833398">
            <w:pPr>
              <w:autoSpaceDE w:val="0"/>
              <w:autoSpaceDN w:val="0"/>
              <w:adjustRightInd w:val="0"/>
              <w:spacing w:after="0" w:line="320" w:lineRule="atLeast"/>
              <w:ind w:left="60" w:right="60"/>
              <w:jc w:val="right"/>
              <w:rPr>
                <w:rFonts w:ascii="Arial" w:hAnsi="Arial" w:cs="Arial"/>
                <w:color w:val="000000"/>
                <w:sz w:val="18"/>
                <w:szCs w:val="18"/>
              </w:rPr>
            </w:pPr>
            <w:r w:rsidRPr="00E87AAA">
              <w:rPr>
                <w:rFonts w:ascii="Arial" w:hAnsi="Arial" w:cs="Arial"/>
                <w:color w:val="000000"/>
                <w:sz w:val="18"/>
                <w:szCs w:val="18"/>
              </w:rPr>
              <w:t>16</w:t>
            </w:r>
          </w:p>
        </w:tc>
      </w:tr>
      <w:tr w:rsidR="00006EE1" w:rsidRPr="00E87AAA" w14:paraId="665AD4A3" w14:textId="77777777" w:rsidTr="00833398">
        <w:trPr>
          <w:cantSplit/>
        </w:trPr>
        <w:tc>
          <w:tcPr>
            <w:tcW w:w="4598" w:type="dxa"/>
            <w:gridSpan w:val="3"/>
            <w:tcBorders>
              <w:top w:val="nil"/>
              <w:left w:val="single" w:sz="16" w:space="0" w:color="000000"/>
              <w:bottom w:val="nil"/>
              <w:right w:val="nil"/>
            </w:tcBorders>
            <w:shd w:val="clear" w:color="auto" w:fill="FFFFFF"/>
          </w:tcPr>
          <w:p w14:paraId="065ECE3E"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Correlation Between Forms</w:t>
            </w:r>
          </w:p>
        </w:tc>
        <w:tc>
          <w:tcPr>
            <w:tcW w:w="1028" w:type="dxa"/>
            <w:tcBorders>
              <w:top w:val="nil"/>
              <w:left w:val="single" w:sz="16" w:space="0" w:color="000000"/>
              <w:bottom w:val="nil"/>
              <w:right w:val="single" w:sz="16" w:space="0" w:color="000000"/>
            </w:tcBorders>
            <w:shd w:val="clear" w:color="auto" w:fill="FFFFFF"/>
            <w:vAlign w:val="center"/>
          </w:tcPr>
          <w:p w14:paraId="7E1AD498" w14:textId="77777777" w:rsidR="00006EE1" w:rsidRPr="00E87AAA" w:rsidRDefault="00006EE1" w:rsidP="00833398">
            <w:pPr>
              <w:autoSpaceDE w:val="0"/>
              <w:autoSpaceDN w:val="0"/>
              <w:adjustRightInd w:val="0"/>
              <w:spacing w:after="0" w:line="320" w:lineRule="atLeast"/>
              <w:ind w:left="60" w:right="60"/>
              <w:jc w:val="right"/>
              <w:rPr>
                <w:rFonts w:ascii="Arial" w:hAnsi="Arial" w:cs="Arial"/>
                <w:color w:val="000000"/>
                <w:sz w:val="18"/>
                <w:szCs w:val="18"/>
              </w:rPr>
            </w:pPr>
            <w:r w:rsidRPr="00E87AAA">
              <w:rPr>
                <w:rFonts w:ascii="Arial" w:hAnsi="Arial" w:cs="Arial"/>
                <w:color w:val="000000"/>
                <w:sz w:val="18"/>
                <w:szCs w:val="18"/>
              </w:rPr>
              <w:t>.698</w:t>
            </w:r>
          </w:p>
        </w:tc>
      </w:tr>
      <w:tr w:rsidR="00006EE1" w:rsidRPr="00E87AAA" w14:paraId="31ACF0AA" w14:textId="77777777" w:rsidTr="00833398">
        <w:trPr>
          <w:cantSplit/>
        </w:trPr>
        <w:tc>
          <w:tcPr>
            <w:tcW w:w="2495" w:type="dxa"/>
            <w:vMerge w:val="restart"/>
            <w:tcBorders>
              <w:top w:val="nil"/>
              <w:left w:val="single" w:sz="16" w:space="0" w:color="000000"/>
              <w:bottom w:val="nil"/>
              <w:right w:val="nil"/>
            </w:tcBorders>
            <w:shd w:val="clear" w:color="auto" w:fill="FFFFFF"/>
          </w:tcPr>
          <w:p w14:paraId="459C5026"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Spearman-Brown Coefficient</w:t>
            </w:r>
          </w:p>
        </w:tc>
        <w:tc>
          <w:tcPr>
            <w:tcW w:w="2103" w:type="dxa"/>
            <w:gridSpan w:val="2"/>
            <w:tcBorders>
              <w:top w:val="nil"/>
              <w:left w:val="nil"/>
              <w:bottom w:val="nil"/>
              <w:right w:val="nil"/>
            </w:tcBorders>
            <w:shd w:val="clear" w:color="auto" w:fill="FFFFFF"/>
          </w:tcPr>
          <w:p w14:paraId="18BBA0F7"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Equal Length</w:t>
            </w:r>
          </w:p>
        </w:tc>
        <w:tc>
          <w:tcPr>
            <w:tcW w:w="1028" w:type="dxa"/>
            <w:tcBorders>
              <w:top w:val="nil"/>
              <w:left w:val="single" w:sz="16" w:space="0" w:color="000000"/>
              <w:bottom w:val="nil"/>
              <w:right w:val="single" w:sz="16" w:space="0" w:color="000000"/>
            </w:tcBorders>
            <w:shd w:val="clear" w:color="auto" w:fill="FFFFFF"/>
            <w:vAlign w:val="center"/>
          </w:tcPr>
          <w:p w14:paraId="711AF16E" w14:textId="77777777" w:rsidR="00006EE1" w:rsidRPr="00E87AAA" w:rsidRDefault="00006EE1" w:rsidP="00833398">
            <w:pPr>
              <w:autoSpaceDE w:val="0"/>
              <w:autoSpaceDN w:val="0"/>
              <w:adjustRightInd w:val="0"/>
              <w:spacing w:after="0" w:line="320" w:lineRule="atLeast"/>
              <w:ind w:left="60" w:right="60"/>
              <w:jc w:val="right"/>
              <w:rPr>
                <w:rFonts w:ascii="Arial" w:hAnsi="Arial" w:cs="Arial"/>
                <w:color w:val="000000"/>
                <w:sz w:val="18"/>
                <w:szCs w:val="18"/>
              </w:rPr>
            </w:pPr>
            <w:r w:rsidRPr="00E87AAA">
              <w:rPr>
                <w:rFonts w:ascii="Arial" w:hAnsi="Arial" w:cs="Arial"/>
                <w:color w:val="000000"/>
                <w:sz w:val="18"/>
                <w:szCs w:val="18"/>
              </w:rPr>
              <w:t>.822</w:t>
            </w:r>
          </w:p>
        </w:tc>
      </w:tr>
      <w:tr w:rsidR="00006EE1" w:rsidRPr="00E87AAA" w14:paraId="00159654" w14:textId="77777777" w:rsidTr="00833398">
        <w:trPr>
          <w:cantSplit/>
        </w:trPr>
        <w:tc>
          <w:tcPr>
            <w:tcW w:w="2495" w:type="dxa"/>
            <w:vMerge/>
            <w:tcBorders>
              <w:top w:val="nil"/>
              <w:left w:val="single" w:sz="16" w:space="0" w:color="000000"/>
              <w:bottom w:val="nil"/>
              <w:right w:val="nil"/>
            </w:tcBorders>
            <w:shd w:val="clear" w:color="auto" w:fill="FFFFFF"/>
          </w:tcPr>
          <w:p w14:paraId="52996C38" w14:textId="77777777" w:rsidR="00006EE1" w:rsidRPr="00E87AAA" w:rsidRDefault="00006EE1" w:rsidP="00833398">
            <w:pPr>
              <w:autoSpaceDE w:val="0"/>
              <w:autoSpaceDN w:val="0"/>
              <w:adjustRightInd w:val="0"/>
              <w:spacing w:after="0" w:line="240" w:lineRule="auto"/>
              <w:rPr>
                <w:rFonts w:ascii="Arial" w:hAnsi="Arial" w:cs="Arial"/>
                <w:color w:val="000000"/>
                <w:sz w:val="18"/>
                <w:szCs w:val="18"/>
              </w:rPr>
            </w:pPr>
          </w:p>
        </w:tc>
        <w:tc>
          <w:tcPr>
            <w:tcW w:w="2103" w:type="dxa"/>
            <w:gridSpan w:val="2"/>
            <w:tcBorders>
              <w:top w:val="nil"/>
              <w:left w:val="nil"/>
              <w:bottom w:val="nil"/>
              <w:right w:val="nil"/>
            </w:tcBorders>
            <w:shd w:val="clear" w:color="auto" w:fill="FFFFFF"/>
          </w:tcPr>
          <w:p w14:paraId="62D97E9A"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Unequal Length</w:t>
            </w:r>
          </w:p>
        </w:tc>
        <w:tc>
          <w:tcPr>
            <w:tcW w:w="1028" w:type="dxa"/>
            <w:tcBorders>
              <w:top w:val="nil"/>
              <w:left w:val="single" w:sz="16" w:space="0" w:color="000000"/>
              <w:bottom w:val="nil"/>
              <w:right w:val="single" w:sz="16" w:space="0" w:color="000000"/>
            </w:tcBorders>
            <w:shd w:val="clear" w:color="auto" w:fill="FFFFFF"/>
            <w:vAlign w:val="center"/>
          </w:tcPr>
          <w:p w14:paraId="4CDAC71E" w14:textId="77777777" w:rsidR="00006EE1" w:rsidRPr="00E87AAA" w:rsidRDefault="00006EE1" w:rsidP="00833398">
            <w:pPr>
              <w:autoSpaceDE w:val="0"/>
              <w:autoSpaceDN w:val="0"/>
              <w:adjustRightInd w:val="0"/>
              <w:spacing w:after="0" w:line="320" w:lineRule="atLeast"/>
              <w:ind w:left="60" w:right="60"/>
              <w:jc w:val="right"/>
              <w:rPr>
                <w:rFonts w:ascii="Arial" w:hAnsi="Arial" w:cs="Arial"/>
                <w:color w:val="000000"/>
                <w:sz w:val="18"/>
                <w:szCs w:val="18"/>
              </w:rPr>
            </w:pPr>
            <w:r w:rsidRPr="00E87AAA">
              <w:rPr>
                <w:rFonts w:ascii="Arial" w:hAnsi="Arial" w:cs="Arial"/>
                <w:color w:val="000000"/>
                <w:sz w:val="18"/>
                <w:szCs w:val="18"/>
              </w:rPr>
              <w:t>.822</w:t>
            </w:r>
          </w:p>
        </w:tc>
      </w:tr>
      <w:tr w:rsidR="00006EE1" w:rsidRPr="00E87AAA" w14:paraId="40F00FA2" w14:textId="77777777" w:rsidTr="00833398">
        <w:trPr>
          <w:cantSplit/>
        </w:trPr>
        <w:tc>
          <w:tcPr>
            <w:tcW w:w="4598" w:type="dxa"/>
            <w:gridSpan w:val="3"/>
            <w:tcBorders>
              <w:top w:val="nil"/>
              <w:left w:val="single" w:sz="16" w:space="0" w:color="000000"/>
              <w:bottom w:val="single" w:sz="16" w:space="0" w:color="000000"/>
              <w:right w:val="nil"/>
            </w:tcBorders>
            <w:shd w:val="clear" w:color="auto" w:fill="FFFFFF"/>
          </w:tcPr>
          <w:p w14:paraId="5734D27B"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Guttman Split-Half Coefficient</w:t>
            </w:r>
          </w:p>
        </w:tc>
        <w:tc>
          <w:tcPr>
            <w:tcW w:w="1028" w:type="dxa"/>
            <w:tcBorders>
              <w:top w:val="nil"/>
              <w:left w:val="single" w:sz="16" w:space="0" w:color="000000"/>
              <w:bottom w:val="single" w:sz="16" w:space="0" w:color="000000"/>
              <w:right w:val="single" w:sz="16" w:space="0" w:color="000000"/>
            </w:tcBorders>
            <w:shd w:val="clear" w:color="auto" w:fill="FFFFFF"/>
            <w:vAlign w:val="center"/>
          </w:tcPr>
          <w:p w14:paraId="207B9AD8" w14:textId="77777777" w:rsidR="00006EE1" w:rsidRPr="00E87AAA" w:rsidRDefault="00006EE1" w:rsidP="00833398">
            <w:pPr>
              <w:autoSpaceDE w:val="0"/>
              <w:autoSpaceDN w:val="0"/>
              <w:adjustRightInd w:val="0"/>
              <w:spacing w:after="0" w:line="320" w:lineRule="atLeast"/>
              <w:ind w:left="60" w:right="60"/>
              <w:jc w:val="right"/>
              <w:rPr>
                <w:rFonts w:ascii="Arial" w:hAnsi="Arial" w:cs="Arial"/>
                <w:color w:val="000000"/>
                <w:sz w:val="18"/>
                <w:szCs w:val="18"/>
              </w:rPr>
            </w:pPr>
            <w:r w:rsidRPr="00E87AAA">
              <w:rPr>
                <w:rFonts w:ascii="Arial" w:hAnsi="Arial" w:cs="Arial"/>
                <w:color w:val="000000"/>
                <w:sz w:val="18"/>
                <w:szCs w:val="18"/>
              </w:rPr>
              <w:t>.822</w:t>
            </w:r>
          </w:p>
        </w:tc>
      </w:tr>
      <w:tr w:rsidR="00006EE1" w:rsidRPr="00E87AAA" w14:paraId="63A7D6D3" w14:textId="77777777" w:rsidTr="00833398">
        <w:trPr>
          <w:cantSplit/>
        </w:trPr>
        <w:tc>
          <w:tcPr>
            <w:tcW w:w="5626" w:type="dxa"/>
            <w:gridSpan w:val="4"/>
            <w:tcBorders>
              <w:top w:val="nil"/>
              <w:left w:val="nil"/>
              <w:bottom w:val="nil"/>
              <w:right w:val="nil"/>
            </w:tcBorders>
            <w:shd w:val="clear" w:color="auto" w:fill="FFFFFF"/>
          </w:tcPr>
          <w:p w14:paraId="54949869"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a. The items are: Q2, Q26, Q28, Q49, Q50, Q51, Q52, Q54.</w:t>
            </w:r>
          </w:p>
        </w:tc>
      </w:tr>
      <w:tr w:rsidR="00006EE1" w:rsidRPr="00E87AAA" w14:paraId="672122D4" w14:textId="77777777" w:rsidTr="00833398">
        <w:trPr>
          <w:cantSplit/>
        </w:trPr>
        <w:tc>
          <w:tcPr>
            <w:tcW w:w="5626" w:type="dxa"/>
            <w:gridSpan w:val="4"/>
            <w:tcBorders>
              <w:top w:val="nil"/>
              <w:left w:val="nil"/>
              <w:bottom w:val="nil"/>
              <w:right w:val="nil"/>
            </w:tcBorders>
            <w:shd w:val="clear" w:color="auto" w:fill="FFFFFF"/>
          </w:tcPr>
          <w:p w14:paraId="38E93EF6" w14:textId="77777777" w:rsidR="00006EE1" w:rsidRPr="00E87AAA" w:rsidRDefault="00006EE1" w:rsidP="00833398">
            <w:pPr>
              <w:autoSpaceDE w:val="0"/>
              <w:autoSpaceDN w:val="0"/>
              <w:adjustRightInd w:val="0"/>
              <w:spacing w:after="0" w:line="320" w:lineRule="atLeast"/>
              <w:ind w:left="60" w:right="60"/>
              <w:rPr>
                <w:rFonts w:ascii="Arial" w:hAnsi="Arial" w:cs="Arial"/>
                <w:color w:val="000000"/>
                <w:sz w:val="18"/>
                <w:szCs w:val="18"/>
              </w:rPr>
            </w:pPr>
            <w:r w:rsidRPr="00E87AAA">
              <w:rPr>
                <w:rFonts w:ascii="Arial" w:hAnsi="Arial" w:cs="Arial"/>
                <w:color w:val="000000"/>
                <w:sz w:val="18"/>
                <w:szCs w:val="18"/>
              </w:rPr>
              <w:t>b. The items are: Q55, Q56, Q60, Q62, Q63, Q64, Q65, Q66.</w:t>
            </w:r>
          </w:p>
        </w:tc>
      </w:tr>
    </w:tbl>
    <w:p w14:paraId="7D421972" w14:textId="77777777" w:rsidR="00833398" w:rsidRPr="00833398" w:rsidRDefault="00833398" w:rsidP="00833398">
      <w:pPr>
        <w:rPr>
          <w:b/>
        </w:rPr>
      </w:pPr>
      <w:r w:rsidRPr="00833398">
        <w:rPr>
          <w:b/>
        </w:rPr>
        <w:t>Reliability of the scale:</w:t>
      </w:r>
    </w:p>
    <w:p w14:paraId="6BD722F9" w14:textId="77777777" w:rsidR="00213B15" w:rsidRDefault="00213B15" w:rsidP="002F6F1E"/>
    <w:p w14:paraId="37658E56" w14:textId="77777777" w:rsidR="00833398" w:rsidRDefault="00833398" w:rsidP="002F6F1E"/>
    <w:p w14:paraId="4E125807" w14:textId="77777777" w:rsidR="00833398" w:rsidRDefault="00833398" w:rsidP="002F6F1E"/>
    <w:p w14:paraId="30C7D5C4" w14:textId="77777777" w:rsidR="00E87AAA" w:rsidRDefault="00E87AAA" w:rsidP="002F6F1E"/>
    <w:p w14:paraId="7D609624" w14:textId="77777777" w:rsidR="00E87AAA" w:rsidRDefault="00E87AAA" w:rsidP="002F6F1E"/>
    <w:p w14:paraId="7D6CF064" w14:textId="77777777" w:rsidR="00E87AAA" w:rsidRDefault="00E87AAA" w:rsidP="002F6F1E"/>
    <w:p w14:paraId="574F1C58" w14:textId="77777777" w:rsidR="00E87AAA" w:rsidRPr="00E87AAA" w:rsidRDefault="00E87AAA" w:rsidP="00E87AAA">
      <w:pPr>
        <w:autoSpaceDE w:val="0"/>
        <w:autoSpaceDN w:val="0"/>
        <w:adjustRightInd w:val="0"/>
        <w:spacing w:after="0" w:line="240" w:lineRule="auto"/>
        <w:rPr>
          <w:rFonts w:ascii="Times New Roman" w:hAnsi="Times New Roman" w:cs="Times New Roman"/>
          <w:sz w:val="24"/>
          <w:szCs w:val="24"/>
        </w:rPr>
      </w:pPr>
    </w:p>
    <w:p w14:paraId="10FF4B17" w14:textId="77777777" w:rsidR="00E87AAA" w:rsidRPr="00E87AAA" w:rsidRDefault="00E87AAA" w:rsidP="00E87AAA">
      <w:pPr>
        <w:autoSpaceDE w:val="0"/>
        <w:autoSpaceDN w:val="0"/>
        <w:adjustRightInd w:val="0"/>
        <w:spacing w:after="0" w:line="400" w:lineRule="atLeast"/>
        <w:rPr>
          <w:rFonts w:ascii="Times New Roman" w:hAnsi="Times New Roman" w:cs="Times New Roman"/>
          <w:sz w:val="24"/>
          <w:szCs w:val="24"/>
        </w:rPr>
      </w:pPr>
    </w:p>
    <w:p w14:paraId="2CF07325" w14:textId="77777777" w:rsidR="00E87AAA" w:rsidRDefault="00E87AAA" w:rsidP="002F6F1E"/>
    <w:p w14:paraId="1F7E185A" w14:textId="77777777" w:rsidR="0020030F" w:rsidRPr="0020030F" w:rsidRDefault="0020030F" w:rsidP="0020030F">
      <w:pPr>
        <w:autoSpaceDE w:val="0"/>
        <w:autoSpaceDN w:val="0"/>
        <w:adjustRightInd w:val="0"/>
        <w:spacing w:after="0" w:line="240" w:lineRule="auto"/>
        <w:rPr>
          <w:rFonts w:ascii="Times New Roman" w:hAnsi="Times New Roman" w:cs="Times New Roman"/>
          <w:sz w:val="24"/>
          <w:szCs w:val="24"/>
        </w:rPr>
      </w:pPr>
    </w:p>
    <w:p w14:paraId="4378FA3B" w14:textId="77777777" w:rsidR="00006EE1" w:rsidRDefault="00006EE1" w:rsidP="00926AB6">
      <w:pPr>
        <w:autoSpaceDE w:val="0"/>
        <w:autoSpaceDN w:val="0"/>
        <w:adjustRightInd w:val="0"/>
        <w:spacing w:after="0" w:line="240" w:lineRule="auto"/>
        <w:rPr>
          <w:rFonts w:ascii="Times New Roman" w:hAnsi="Times New Roman" w:cs="Times New Roman"/>
          <w:sz w:val="24"/>
          <w:szCs w:val="24"/>
        </w:rPr>
      </w:pPr>
    </w:p>
    <w:p w14:paraId="1324727E" w14:textId="77777777" w:rsidR="00006EE1" w:rsidRDefault="00006EE1" w:rsidP="00926AB6">
      <w:pPr>
        <w:autoSpaceDE w:val="0"/>
        <w:autoSpaceDN w:val="0"/>
        <w:adjustRightInd w:val="0"/>
        <w:spacing w:after="0" w:line="240" w:lineRule="auto"/>
        <w:rPr>
          <w:rFonts w:ascii="Times New Roman" w:hAnsi="Times New Roman" w:cs="Times New Roman"/>
          <w:sz w:val="24"/>
          <w:szCs w:val="24"/>
        </w:rPr>
      </w:pPr>
    </w:p>
    <w:tbl>
      <w:tblPr>
        <w:tblW w:w="418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4"/>
        <w:gridCol w:w="1503"/>
        <w:gridCol w:w="1174"/>
      </w:tblGrid>
      <w:tr w:rsidR="00833398" w:rsidRPr="00926AB6" w14:paraId="2407A554" w14:textId="77777777" w:rsidTr="00162686">
        <w:trPr>
          <w:cantSplit/>
          <w:jc w:val="center"/>
        </w:trPr>
        <w:tc>
          <w:tcPr>
            <w:tcW w:w="4181" w:type="dxa"/>
            <w:gridSpan w:val="3"/>
            <w:tcBorders>
              <w:top w:val="nil"/>
              <w:left w:val="nil"/>
              <w:bottom w:val="nil"/>
              <w:right w:val="nil"/>
            </w:tcBorders>
            <w:shd w:val="clear" w:color="auto" w:fill="FFFFFF"/>
            <w:vAlign w:val="center"/>
          </w:tcPr>
          <w:p w14:paraId="78490311" w14:textId="2C094FAF" w:rsidR="00833398" w:rsidRPr="00926AB6" w:rsidRDefault="00AC7195" w:rsidP="00162686">
            <w:pPr>
              <w:autoSpaceDE w:val="0"/>
              <w:autoSpaceDN w:val="0"/>
              <w:adjustRightInd w:val="0"/>
              <w:spacing w:after="0" w:line="320" w:lineRule="atLeast"/>
              <w:ind w:left="60" w:right="60"/>
              <w:rPr>
                <w:rFonts w:ascii="Arial" w:hAnsi="Arial" w:cs="Arial"/>
                <w:color w:val="000000"/>
                <w:sz w:val="18"/>
                <w:szCs w:val="18"/>
              </w:rPr>
            </w:pPr>
            <w:r>
              <w:rPr>
                <w:rFonts w:ascii="Arial" w:hAnsi="Arial" w:cs="Arial"/>
                <w:b/>
                <w:bCs/>
                <w:color w:val="000000"/>
                <w:sz w:val="18"/>
                <w:szCs w:val="18"/>
              </w:rPr>
              <w:t>Table 6</w:t>
            </w:r>
            <w:r w:rsidR="005A2A44">
              <w:rPr>
                <w:rFonts w:ascii="Arial" w:hAnsi="Arial" w:cs="Arial"/>
                <w:b/>
                <w:bCs/>
                <w:color w:val="000000"/>
                <w:sz w:val="18"/>
                <w:szCs w:val="18"/>
              </w:rPr>
              <w:t xml:space="preserve"> </w:t>
            </w:r>
            <w:r w:rsidR="00833398" w:rsidRPr="00926AB6">
              <w:rPr>
                <w:rFonts w:ascii="Arial" w:hAnsi="Arial" w:cs="Arial"/>
                <w:b/>
                <w:bCs/>
                <w:color w:val="000000"/>
                <w:sz w:val="18"/>
                <w:szCs w:val="18"/>
              </w:rPr>
              <w:t>Reliability Statistics</w:t>
            </w:r>
          </w:p>
        </w:tc>
      </w:tr>
      <w:tr w:rsidR="00833398" w:rsidRPr="00926AB6" w14:paraId="018EE7B1" w14:textId="77777777" w:rsidTr="00162686">
        <w:trPr>
          <w:cantSplit/>
          <w:jc w:val="center"/>
        </w:trPr>
        <w:tc>
          <w:tcPr>
            <w:tcW w:w="1504" w:type="dxa"/>
            <w:tcBorders>
              <w:top w:val="single" w:sz="16" w:space="0" w:color="000000"/>
              <w:left w:val="single" w:sz="16" w:space="0" w:color="000000"/>
              <w:bottom w:val="single" w:sz="16" w:space="0" w:color="000000"/>
            </w:tcBorders>
            <w:shd w:val="clear" w:color="auto" w:fill="FFFFFF"/>
            <w:vAlign w:val="bottom"/>
          </w:tcPr>
          <w:p w14:paraId="545E4E9F" w14:textId="77777777" w:rsidR="00833398" w:rsidRPr="00926AB6" w:rsidRDefault="00833398" w:rsidP="00162686">
            <w:pPr>
              <w:autoSpaceDE w:val="0"/>
              <w:autoSpaceDN w:val="0"/>
              <w:adjustRightInd w:val="0"/>
              <w:spacing w:after="0" w:line="320" w:lineRule="atLeast"/>
              <w:ind w:left="60" w:right="60"/>
              <w:jc w:val="center"/>
              <w:rPr>
                <w:rFonts w:ascii="Arial" w:hAnsi="Arial" w:cs="Arial"/>
                <w:color w:val="000000"/>
                <w:sz w:val="18"/>
                <w:szCs w:val="18"/>
              </w:rPr>
            </w:pPr>
            <w:r w:rsidRPr="00926AB6">
              <w:rPr>
                <w:rFonts w:ascii="Arial" w:hAnsi="Arial" w:cs="Arial"/>
                <w:color w:val="000000"/>
                <w:sz w:val="18"/>
                <w:szCs w:val="18"/>
              </w:rPr>
              <w:t>Cronbach's Alpha</w:t>
            </w:r>
          </w:p>
        </w:tc>
        <w:tc>
          <w:tcPr>
            <w:tcW w:w="1503" w:type="dxa"/>
            <w:tcBorders>
              <w:top w:val="single" w:sz="16" w:space="0" w:color="000000"/>
              <w:bottom w:val="single" w:sz="16" w:space="0" w:color="000000"/>
            </w:tcBorders>
            <w:shd w:val="clear" w:color="auto" w:fill="FFFFFF"/>
            <w:vAlign w:val="bottom"/>
          </w:tcPr>
          <w:p w14:paraId="40FB1210" w14:textId="77777777" w:rsidR="00833398" w:rsidRPr="00926AB6" w:rsidRDefault="00833398" w:rsidP="00162686">
            <w:pPr>
              <w:autoSpaceDE w:val="0"/>
              <w:autoSpaceDN w:val="0"/>
              <w:adjustRightInd w:val="0"/>
              <w:spacing w:after="0" w:line="320" w:lineRule="atLeast"/>
              <w:ind w:left="60" w:right="60"/>
              <w:jc w:val="center"/>
              <w:rPr>
                <w:rFonts w:ascii="Arial" w:hAnsi="Arial" w:cs="Arial"/>
                <w:color w:val="000000"/>
                <w:sz w:val="18"/>
                <w:szCs w:val="18"/>
              </w:rPr>
            </w:pPr>
            <w:r w:rsidRPr="00926AB6">
              <w:rPr>
                <w:rFonts w:ascii="Arial" w:hAnsi="Arial" w:cs="Arial"/>
                <w:color w:val="000000"/>
                <w:sz w:val="18"/>
                <w:szCs w:val="18"/>
              </w:rPr>
              <w:t>Cronbach's Alpha Based on Standardi</w:t>
            </w:r>
            <w:r w:rsidR="00600E25">
              <w:rPr>
                <w:rFonts w:ascii="Arial" w:hAnsi="Arial" w:cs="Arial"/>
                <w:color w:val="000000"/>
                <w:sz w:val="18"/>
                <w:szCs w:val="18"/>
              </w:rPr>
              <w:t>s</w:t>
            </w:r>
            <w:r w:rsidRPr="00926AB6">
              <w:rPr>
                <w:rFonts w:ascii="Arial" w:hAnsi="Arial" w:cs="Arial"/>
                <w:color w:val="000000"/>
                <w:sz w:val="18"/>
                <w:szCs w:val="18"/>
              </w:rPr>
              <w:t>ed Items</w:t>
            </w:r>
          </w:p>
        </w:tc>
        <w:tc>
          <w:tcPr>
            <w:tcW w:w="1174" w:type="dxa"/>
            <w:tcBorders>
              <w:top w:val="single" w:sz="16" w:space="0" w:color="000000"/>
              <w:bottom w:val="single" w:sz="16" w:space="0" w:color="000000"/>
              <w:right w:val="single" w:sz="16" w:space="0" w:color="000000"/>
            </w:tcBorders>
            <w:shd w:val="clear" w:color="auto" w:fill="FFFFFF"/>
            <w:vAlign w:val="bottom"/>
          </w:tcPr>
          <w:p w14:paraId="7AF0C3A7" w14:textId="77777777" w:rsidR="00833398" w:rsidRPr="00926AB6" w:rsidRDefault="00833398" w:rsidP="00162686">
            <w:pPr>
              <w:autoSpaceDE w:val="0"/>
              <w:autoSpaceDN w:val="0"/>
              <w:adjustRightInd w:val="0"/>
              <w:spacing w:after="0" w:line="320" w:lineRule="atLeast"/>
              <w:ind w:left="60" w:right="60"/>
              <w:jc w:val="center"/>
              <w:rPr>
                <w:rFonts w:ascii="Arial" w:hAnsi="Arial" w:cs="Arial"/>
                <w:color w:val="000000"/>
                <w:sz w:val="18"/>
                <w:szCs w:val="18"/>
              </w:rPr>
            </w:pPr>
            <w:r w:rsidRPr="00926AB6">
              <w:rPr>
                <w:rFonts w:ascii="Arial" w:hAnsi="Arial" w:cs="Arial"/>
                <w:color w:val="000000"/>
                <w:sz w:val="18"/>
                <w:szCs w:val="18"/>
              </w:rPr>
              <w:t>N of Items</w:t>
            </w:r>
          </w:p>
        </w:tc>
      </w:tr>
      <w:tr w:rsidR="00833398" w:rsidRPr="00926AB6" w14:paraId="613ACCB6" w14:textId="77777777" w:rsidTr="00162686">
        <w:trPr>
          <w:cantSplit/>
          <w:jc w:val="center"/>
        </w:trPr>
        <w:tc>
          <w:tcPr>
            <w:tcW w:w="1504" w:type="dxa"/>
            <w:tcBorders>
              <w:top w:val="single" w:sz="16" w:space="0" w:color="000000"/>
              <w:left w:val="single" w:sz="16" w:space="0" w:color="000000"/>
              <w:bottom w:val="single" w:sz="16" w:space="0" w:color="000000"/>
            </w:tcBorders>
            <w:shd w:val="clear" w:color="auto" w:fill="FFFFFF"/>
            <w:vAlign w:val="center"/>
          </w:tcPr>
          <w:p w14:paraId="625B14E4" w14:textId="77777777" w:rsidR="00833398" w:rsidRPr="00926AB6" w:rsidRDefault="00833398" w:rsidP="00162686">
            <w:pPr>
              <w:autoSpaceDE w:val="0"/>
              <w:autoSpaceDN w:val="0"/>
              <w:adjustRightInd w:val="0"/>
              <w:spacing w:after="0" w:line="320" w:lineRule="atLeast"/>
              <w:ind w:left="60" w:right="60"/>
              <w:jc w:val="right"/>
              <w:rPr>
                <w:rFonts w:ascii="Arial" w:hAnsi="Arial" w:cs="Arial"/>
                <w:color w:val="000000"/>
                <w:sz w:val="18"/>
                <w:szCs w:val="18"/>
              </w:rPr>
            </w:pPr>
            <w:r w:rsidRPr="00926AB6">
              <w:rPr>
                <w:rFonts w:ascii="Arial" w:hAnsi="Arial" w:cs="Arial"/>
                <w:color w:val="000000"/>
                <w:sz w:val="18"/>
                <w:szCs w:val="18"/>
              </w:rPr>
              <w:t>.875</w:t>
            </w:r>
          </w:p>
        </w:tc>
        <w:tc>
          <w:tcPr>
            <w:tcW w:w="1503" w:type="dxa"/>
            <w:tcBorders>
              <w:top w:val="single" w:sz="16" w:space="0" w:color="000000"/>
              <w:bottom w:val="single" w:sz="16" w:space="0" w:color="000000"/>
            </w:tcBorders>
            <w:shd w:val="clear" w:color="auto" w:fill="FFFFFF"/>
            <w:vAlign w:val="center"/>
          </w:tcPr>
          <w:p w14:paraId="5B3D5362" w14:textId="77777777" w:rsidR="00833398" w:rsidRPr="00926AB6" w:rsidRDefault="00833398" w:rsidP="00162686">
            <w:pPr>
              <w:autoSpaceDE w:val="0"/>
              <w:autoSpaceDN w:val="0"/>
              <w:adjustRightInd w:val="0"/>
              <w:spacing w:after="0" w:line="320" w:lineRule="atLeast"/>
              <w:ind w:left="60" w:right="60"/>
              <w:jc w:val="right"/>
              <w:rPr>
                <w:rFonts w:ascii="Arial" w:hAnsi="Arial" w:cs="Arial"/>
                <w:color w:val="000000"/>
                <w:sz w:val="18"/>
                <w:szCs w:val="18"/>
              </w:rPr>
            </w:pPr>
            <w:r w:rsidRPr="00926AB6">
              <w:rPr>
                <w:rFonts w:ascii="Arial" w:hAnsi="Arial" w:cs="Arial"/>
                <w:color w:val="000000"/>
                <w:sz w:val="18"/>
                <w:szCs w:val="18"/>
              </w:rPr>
              <w:t>.881</w:t>
            </w:r>
          </w:p>
        </w:tc>
        <w:tc>
          <w:tcPr>
            <w:tcW w:w="1174" w:type="dxa"/>
            <w:tcBorders>
              <w:top w:val="single" w:sz="16" w:space="0" w:color="000000"/>
              <w:bottom w:val="single" w:sz="16" w:space="0" w:color="000000"/>
              <w:right w:val="single" w:sz="16" w:space="0" w:color="000000"/>
            </w:tcBorders>
            <w:shd w:val="clear" w:color="auto" w:fill="FFFFFF"/>
            <w:vAlign w:val="center"/>
          </w:tcPr>
          <w:p w14:paraId="5AB4B2C3" w14:textId="77777777" w:rsidR="00833398" w:rsidRPr="005C76F8" w:rsidRDefault="00833398" w:rsidP="00162686">
            <w:pPr>
              <w:autoSpaceDE w:val="0"/>
              <w:autoSpaceDN w:val="0"/>
              <w:adjustRightInd w:val="0"/>
              <w:spacing w:after="0" w:line="320" w:lineRule="atLeast"/>
              <w:ind w:left="60" w:right="60"/>
              <w:jc w:val="right"/>
              <w:rPr>
                <w:rFonts w:ascii="Arial" w:hAnsi="Arial" w:cs="Arial"/>
                <w:b/>
                <w:color w:val="000000"/>
                <w:sz w:val="18"/>
                <w:szCs w:val="18"/>
              </w:rPr>
            </w:pPr>
            <w:r w:rsidRPr="005C76F8">
              <w:rPr>
                <w:rFonts w:ascii="Arial" w:hAnsi="Arial" w:cs="Arial"/>
                <w:b/>
                <w:color w:val="000000"/>
                <w:sz w:val="18"/>
                <w:szCs w:val="18"/>
              </w:rPr>
              <w:t>16</w:t>
            </w:r>
          </w:p>
        </w:tc>
      </w:tr>
    </w:tbl>
    <w:p w14:paraId="27CC5535" w14:textId="77777777" w:rsidR="005A2A44" w:rsidRDefault="005A2A44" w:rsidP="00CC49D4">
      <w:pPr>
        <w:pStyle w:val="NormalWeb"/>
        <w:jc w:val="both"/>
      </w:pPr>
    </w:p>
    <w:p w14:paraId="64EDAC17" w14:textId="77777777" w:rsidR="00006EE1" w:rsidRDefault="00006EE1" w:rsidP="00CC49D4">
      <w:pPr>
        <w:pStyle w:val="NormalWeb"/>
        <w:jc w:val="both"/>
        <w:rPr>
          <w:rStyle w:val="Strong"/>
          <w:b w:val="0"/>
        </w:rPr>
      </w:pPr>
      <w:r>
        <w:t>To know the internal consistency</w:t>
      </w:r>
      <w:r w:rsidR="00AC2688">
        <w:t>,</w:t>
      </w:r>
      <w:r>
        <w:t xml:space="preserve"> split-</w:t>
      </w:r>
      <w:r w:rsidR="00251558">
        <w:t>half method</w:t>
      </w:r>
      <w:r w:rsidR="005C76F8">
        <w:t xml:space="preserve"> was </w:t>
      </w:r>
      <w:r w:rsidR="0074064E">
        <w:t>used d</w:t>
      </w:r>
      <w:r>
        <w:t>epend</w:t>
      </w:r>
      <w:r w:rsidR="00600E25">
        <w:t>ing</w:t>
      </w:r>
      <w:r>
        <w:t xml:space="preserve"> on </w:t>
      </w:r>
      <w:r w:rsidR="00FF41B2">
        <w:t xml:space="preserve">the </w:t>
      </w:r>
      <w:r w:rsidR="0074064E">
        <w:t>o</w:t>
      </w:r>
      <w:r>
        <w:t>utput</w:t>
      </w:r>
      <w:r w:rsidR="00FF41B2">
        <w:t>. F</w:t>
      </w:r>
      <w:r>
        <w:t xml:space="preserve">rom the EFA </w:t>
      </w:r>
      <w:r w:rsidR="00251558">
        <w:t>analysis</w:t>
      </w:r>
      <w:r w:rsidR="00FF41B2">
        <w:t>,</w:t>
      </w:r>
      <w:r w:rsidR="00251558">
        <w:t xml:space="preserve"> reliability</w:t>
      </w:r>
      <w:r>
        <w:t xml:space="preserve"> testing was applied </w:t>
      </w:r>
      <w:r w:rsidR="00FF41B2">
        <w:t>to</w:t>
      </w:r>
      <w:r w:rsidR="00AC7195">
        <w:t xml:space="preserve"> 16</w:t>
      </w:r>
      <w:r w:rsidR="00600E25">
        <w:t xml:space="preserve"> </w:t>
      </w:r>
      <w:r w:rsidR="00251558">
        <w:t>items. For</w:t>
      </w:r>
      <w:r>
        <w:t xml:space="preserve"> this</w:t>
      </w:r>
      <w:r w:rsidR="00251558">
        <w:t>,</w:t>
      </w:r>
      <w:r w:rsidR="00AC2688">
        <w:t xml:space="preserve"> test items were</w:t>
      </w:r>
      <w:r>
        <w:t xml:space="preserve"> divided </w:t>
      </w:r>
      <w:r w:rsidR="00FF41B2">
        <w:t>into</w:t>
      </w:r>
      <w:r>
        <w:t xml:space="preserve"> even and odd number</w:t>
      </w:r>
      <w:r w:rsidR="00600E25">
        <w:t xml:space="preserve"> group</w:t>
      </w:r>
      <w:r w:rsidR="00FF41B2">
        <w:t>s</w:t>
      </w:r>
      <w:r>
        <w:t xml:space="preserve">. </w:t>
      </w:r>
      <w:r w:rsidR="00FF41B2">
        <w:t xml:space="preserve">The </w:t>
      </w:r>
      <w:r w:rsidR="00AC2688">
        <w:t>result shows</w:t>
      </w:r>
      <w:r>
        <w:t xml:space="preserve"> that </w:t>
      </w:r>
      <w:r w:rsidRPr="00006EE1">
        <w:rPr>
          <w:rStyle w:val="Strong"/>
          <w:b w:val="0"/>
        </w:rPr>
        <w:t>Cronbach’s Alpha</w:t>
      </w:r>
      <w:r>
        <w:rPr>
          <w:rStyle w:val="Strong"/>
          <w:b w:val="0"/>
        </w:rPr>
        <w:t xml:space="preserve"> for </w:t>
      </w:r>
      <w:r w:rsidR="00FF41B2">
        <w:rPr>
          <w:rStyle w:val="Strong"/>
          <w:b w:val="0"/>
        </w:rPr>
        <w:t xml:space="preserve">the </w:t>
      </w:r>
      <w:r>
        <w:rPr>
          <w:rStyle w:val="Strong"/>
          <w:b w:val="0"/>
        </w:rPr>
        <w:t xml:space="preserve">two halves </w:t>
      </w:r>
      <w:r w:rsidR="00AC2688">
        <w:rPr>
          <w:rStyle w:val="Strong"/>
          <w:b w:val="0"/>
        </w:rPr>
        <w:t>are</w:t>
      </w:r>
      <w:r>
        <w:rPr>
          <w:rStyle w:val="Strong"/>
          <w:b w:val="0"/>
        </w:rPr>
        <w:t xml:space="preserve"> 0.825 and 0.759</w:t>
      </w:r>
      <w:r w:rsidR="00FF41B2">
        <w:rPr>
          <w:rStyle w:val="Strong"/>
          <w:b w:val="0"/>
        </w:rPr>
        <w:t>,</w:t>
      </w:r>
      <w:r>
        <w:rPr>
          <w:rStyle w:val="Strong"/>
          <w:b w:val="0"/>
        </w:rPr>
        <w:t xml:space="preserve"> indicat</w:t>
      </w:r>
      <w:r w:rsidR="00600E25">
        <w:rPr>
          <w:rStyle w:val="Strong"/>
          <w:b w:val="0"/>
        </w:rPr>
        <w:t>ing</w:t>
      </w:r>
      <w:r w:rsidR="00AC7195">
        <w:rPr>
          <w:rStyle w:val="Strong"/>
          <w:b w:val="0"/>
        </w:rPr>
        <w:t xml:space="preserve"> </w:t>
      </w:r>
      <w:r w:rsidR="00600E25">
        <w:rPr>
          <w:rStyle w:val="Strong"/>
          <w:b w:val="0"/>
        </w:rPr>
        <w:t xml:space="preserve">an </w:t>
      </w:r>
      <w:r w:rsidR="00AC7195">
        <w:rPr>
          <w:rStyle w:val="Strong"/>
          <w:b w:val="0"/>
        </w:rPr>
        <w:t xml:space="preserve">acceptable value for </w:t>
      </w:r>
      <w:r w:rsidR="00600E25">
        <w:rPr>
          <w:rStyle w:val="Strong"/>
          <w:b w:val="0"/>
        </w:rPr>
        <w:t xml:space="preserve">the </w:t>
      </w:r>
      <w:r w:rsidR="00AC7195">
        <w:rPr>
          <w:rStyle w:val="Strong"/>
          <w:b w:val="0"/>
        </w:rPr>
        <w:t xml:space="preserve">scale.  Table 06 </w:t>
      </w:r>
      <w:r w:rsidR="00567E72">
        <w:rPr>
          <w:rStyle w:val="Strong"/>
          <w:b w:val="0"/>
        </w:rPr>
        <w:t>represents</w:t>
      </w:r>
      <w:r w:rsidR="00AC7195">
        <w:rPr>
          <w:rStyle w:val="Strong"/>
          <w:b w:val="0"/>
        </w:rPr>
        <w:t xml:space="preserve"> Cronbach’s Alpha </w:t>
      </w:r>
      <w:proofErr w:type="gramStart"/>
      <w:r w:rsidR="00AC7195">
        <w:rPr>
          <w:rStyle w:val="Strong"/>
          <w:b w:val="0"/>
        </w:rPr>
        <w:t xml:space="preserve">value </w:t>
      </w:r>
      <w:r w:rsidR="008B0702" w:rsidRPr="005C76F8">
        <w:rPr>
          <w:rStyle w:val="Strong"/>
          <w:b w:val="0"/>
        </w:rPr>
        <w:t xml:space="preserve"> 0.875</w:t>
      </w:r>
      <w:proofErr w:type="gramEnd"/>
      <w:r w:rsidR="008B0702" w:rsidRPr="005C76F8">
        <w:rPr>
          <w:rStyle w:val="Strong"/>
          <w:b w:val="0"/>
        </w:rPr>
        <w:t xml:space="preserve"> </w:t>
      </w:r>
      <w:r w:rsidR="00AC7195">
        <w:rPr>
          <w:rStyle w:val="Strong"/>
          <w:b w:val="0"/>
        </w:rPr>
        <w:t xml:space="preserve"> for </w:t>
      </w:r>
      <w:r w:rsidR="00AC7195" w:rsidRPr="005C76F8">
        <w:rPr>
          <w:rStyle w:val="Strong"/>
          <w:b w:val="0"/>
        </w:rPr>
        <w:t xml:space="preserve">16 items </w:t>
      </w:r>
      <w:r w:rsidR="008B0702" w:rsidRPr="005C76F8">
        <w:rPr>
          <w:rStyle w:val="Strong"/>
          <w:b w:val="0"/>
        </w:rPr>
        <w:t>mean</w:t>
      </w:r>
      <w:r w:rsidR="00833398" w:rsidRPr="005C76F8">
        <w:rPr>
          <w:rStyle w:val="Strong"/>
          <w:b w:val="0"/>
        </w:rPr>
        <w:t>s</w:t>
      </w:r>
      <w:r w:rsidR="00AC7195">
        <w:rPr>
          <w:rStyle w:val="Strong"/>
          <w:b w:val="0"/>
        </w:rPr>
        <w:t xml:space="preserve"> acceptable reliability for </w:t>
      </w:r>
      <w:r w:rsidR="00600E25">
        <w:rPr>
          <w:rStyle w:val="Strong"/>
          <w:b w:val="0"/>
        </w:rPr>
        <w:t xml:space="preserve">the </w:t>
      </w:r>
      <w:r w:rsidR="00AC7195">
        <w:rPr>
          <w:rStyle w:val="Strong"/>
          <w:b w:val="0"/>
        </w:rPr>
        <w:t>overall scale items</w:t>
      </w:r>
      <w:r w:rsidR="008B0702" w:rsidRPr="005C76F8">
        <w:rPr>
          <w:rStyle w:val="Strong"/>
          <w:b w:val="0"/>
        </w:rPr>
        <w:t>.</w:t>
      </w:r>
      <w:r w:rsidR="00600E25">
        <w:rPr>
          <w:rStyle w:val="Strong"/>
          <w:b w:val="0"/>
        </w:rPr>
        <w:t xml:space="preserve"> </w:t>
      </w:r>
      <w:r w:rsidR="008B0702">
        <w:rPr>
          <w:rStyle w:val="Strong"/>
          <w:b w:val="0"/>
        </w:rPr>
        <w:t>The standardi</w:t>
      </w:r>
      <w:r w:rsidR="00FF41B2">
        <w:rPr>
          <w:rStyle w:val="Strong"/>
          <w:b w:val="0"/>
        </w:rPr>
        <w:t>s</w:t>
      </w:r>
      <w:r w:rsidR="008B0702">
        <w:rPr>
          <w:rStyle w:val="Strong"/>
          <w:b w:val="0"/>
        </w:rPr>
        <w:t>ed</w:t>
      </w:r>
      <w:r w:rsidR="005C76F8">
        <w:rPr>
          <w:rStyle w:val="Strong"/>
          <w:b w:val="0"/>
        </w:rPr>
        <w:t xml:space="preserve"> score</w:t>
      </w:r>
      <w:r w:rsidR="008B0702">
        <w:rPr>
          <w:rStyle w:val="Strong"/>
          <w:b w:val="0"/>
        </w:rPr>
        <w:t xml:space="preserve"> </w:t>
      </w:r>
      <w:r w:rsidR="00AC2688">
        <w:rPr>
          <w:rStyle w:val="Strong"/>
          <w:b w:val="0"/>
        </w:rPr>
        <w:t>is</w:t>
      </w:r>
      <w:r w:rsidR="008B0702">
        <w:rPr>
          <w:rStyle w:val="Strong"/>
          <w:b w:val="0"/>
        </w:rPr>
        <w:t xml:space="preserve"> increase</w:t>
      </w:r>
      <w:r w:rsidR="005C76F8">
        <w:rPr>
          <w:rStyle w:val="Strong"/>
          <w:b w:val="0"/>
        </w:rPr>
        <w:t xml:space="preserve">d </w:t>
      </w:r>
      <w:proofErr w:type="gramStart"/>
      <w:r w:rsidR="005C76F8">
        <w:rPr>
          <w:rStyle w:val="Strong"/>
          <w:b w:val="0"/>
        </w:rPr>
        <w:t xml:space="preserve">by </w:t>
      </w:r>
      <w:r w:rsidR="008B0702">
        <w:rPr>
          <w:rStyle w:val="Strong"/>
          <w:b w:val="0"/>
        </w:rPr>
        <w:t xml:space="preserve"> 0.881</w:t>
      </w:r>
      <w:proofErr w:type="gramEnd"/>
      <w:r w:rsidR="00600E25">
        <w:rPr>
          <w:rStyle w:val="Strong"/>
          <w:b w:val="0"/>
        </w:rPr>
        <w:t xml:space="preserve"> </w:t>
      </w:r>
      <w:r w:rsidR="00FF41B2">
        <w:rPr>
          <w:rStyle w:val="Strong"/>
          <w:b w:val="0"/>
        </w:rPr>
        <w:t>confirms that</w:t>
      </w:r>
      <w:r w:rsidR="008B0702">
        <w:rPr>
          <w:rStyle w:val="Strong"/>
          <w:b w:val="0"/>
        </w:rPr>
        <w:t xml:space="preserve"> scale items are reliable and consistent. After standardi</w:t>
      </w:r>
      <w:r w:rsidR="00FF41B2">
        <w:rPr>
          <w:rStyle w:val="Strong"/>
          <w:b w:val="0"/>
        </w:rPr>
        <w:t>sing</w:t>
      </w:r>
      <w:r w:rsidR="008B0702">
        <w:rPr>
          <w:rStyle w:val="Strong"/>
          <w:b w:val="0"/>
        </w:rPr>
        <w:t xml:space="preserve"> the scale alpha value increased</w:t>
      </w:r>
      <w:r w:rsidR="00600E25">
        <w:rPr>
          <w:rStyle w:val="Strong"/>
          <w:b w:val="0"/>
        </w:rPr>
        <w:t>,</w:t>
      </w:r>
      <w:r w:rsidR="008B0702">
        <w:rPr>
          <w:rStyle w:val="Strong"/>
          <w:b w:val="0"/>
        </w:rPr>
        <w:t xml:space="preserve"> </w:t>
      </w:r>
      <w:r w:rsidR="00FF41B2">
        <w:rPr>
          <w:rStyle w:val="Strong"/>
          <w:b w:val="0"/>
        </w:rPr>
        <w:t>which</w:t>
      </w:r>
      <w:r w:rsidR="008B0702">
        <w:rPr>
          <w:rStyle w:val="Strong"/>
          <w:b w:val="0"/>
        </w:rPr>
        <w:t xml:space="preserve"> means consistency</w:t>
      </w:r>
      <w:r w:rsidR="005C76F8">
        <w:rPr>
          <w:rStyle w:val="Strong"/>
          <w:b w:val="0"/>
        </w:rPr>
        <w:t xml:space="preserve"> has been</w:t>
      </w:r>
      <w:r w:rsidR="008B0702">
        <w:rPr>
          <w:rStyle w:val="Strong"/>
          <w:b w:val="0"/>
        </w:rPr>
        <w:t xml:space="preserve"> improved.</w:t>
      </w:r>
      <w:r w:rsidR="00600E25">
        <w:rPr>
          <w:rStyle w:val="Strong"/>
          <w:b w:val="0"/>
        </w:rPr>
        <w:t xml:space="preserve"> </w:t>
      </w:r>
      <w:r w:rsidR="008B0702">
        <w:rPr>
          <w:rStyle w:val="Strong"/>
          <w:b w:val="0"/>
        </w:rPr>
        <w:t xml:space="preserve">These </w:t>
      </w:r>
      <w:r w:rsidR="008B0702" w:rsidRPr="008B0702">
        <w:rPr>
          <w:rStyle w:val="Strong"/>
          <w:b w:val="0"/>
        </w:rPr>
        <w:t>Cronbach’s Alpha</w:t>
      </w:r>
      <w:r w:rsidR="008B0702">
        <w:rPr>
          <w:rStyle w:val="Strong"/>
          <w:b w:val="0"/>
        </w:rPr>
        <w:t xml:space="preserve"> value</w:t>
      </w:r>
      <w:r w:rsidR="00FF41B2">
        <w:rPr>
          <w:rStyle w:val="Strong"/>
          <w:b w:val="0"/>
        </w:rPr>
        <w:t>s</w:t>
      </w:r>
      <w:r w:rsidR="008B0702">
        <w:rPr>
          <w:rStyle w:val="Strong"/>
          <w:b w:val="0"/>
        </w:rPr>
        <w:t xml:space="preserve"> fall within the acceptable range for newly developed tools as delineated</w:t>
      </w:r>
      <w:r w:rsidR="005C76F8">
        <w:rPr>
          <w:rStyle w:val="Strong"/>
          <w:b w:val="0"/>
        </w:rPr>
        <w:t xml:space="preserve"> by </w:t>
      </w:r>
      <w:proofErr w:type="spellStart"/>
      <w:r w:rsidR="008B0702">
        <w:t>Tavakol</w:t>
      </w:r>
      <w:proofErr w:type="spellEnd"/>
      <w:r w:rsidR="008B0702">
        <w:t xml:space="preserve"> and </w:t>
      </w:r>
      <w:proofErr w:type="spellStart"/>
      <w:r w:rsidR="008B0702">
        <w:t>Dennick</w:t>
      </w:r>
      <w:proofErr w:type="spellEnd"/>
      <w:r w:rsidR="00A365CA">
        <w:t xml:space="preserve"> </w:t>
      </w:r>
      <w:r w:rsidR="005C76F8">
        <w:t>(</w:t>
      </w:r>
      <w:r w:rsidR="008B0702">
        <w:t>2011</w:t>
      </w:r>
      <w:r w:rsidR="005C76F8">
        <w:t>). It also suggests that</w:t>
      </w:r>
      <w:r w:rsidR="008B0702">
        <w:t xml:space="preserve"> </w:t>
      </w:r>
      <w:r w:rsidR="00600E25">
        <w:t xml:space="preserve">an </w:t>
      </w:r>
      <w:r w:rsidR="008B0702">
        <w:t xml:space="preserve">alpha value between </w:t>
      </w:r>
      <w:r w:rsidR="008B0702" w:rsidRPr="008B0702">
        <w:rPr>
          <w:rStyle w:val="Strong"/>
          <w:b w:val="0"/>
        </w:rPr>
        <w:t>0.70 and 0.90</w:t>
      </w:r>
      <w:r w:rsidR="008B0702">
        <w:rPr>
          <w:rStyle w:val="Strong"/>
          <w:b w:val="0"/>
        </w:rPr>
        <w:t xml:space="preserve"> </w:t>
      </w:r>
      <w:r w:rsidR="00600E25">
        <w:rPr>
          <w:rStyle w:val="Strong"/>
          <w:b w:val="0"/>
        </w:rPr>
        <w:t xml:space="preserve">is required </w:t>
      </w:r>
      <w:r w:rsidR="008B0702">
        <w:rPr>
          <w:rStyle w:val="Strong"/>
          <w:b w:val="0"/>
        </w:rPr>
        <w:t xml:space="preserve">for </w:t>
      </w:r>
      <w:r w:rsidR="008B0702">
        <w:t>newly established scales.</w:t>
      </w:r>
      <w:r w:rsidR="00AC7195">
        <w:t xml:space="preserve"> Table 05</w:t>
      </w:r>
      <w:r w:rsidR="00833398">
        <w:t xml:space="preserve"> represent</w:t>
      </w:r>
      <w:r w:rsidR="005C76F8">
        <w:t>s</w:t>
      </w:r>
      <w:r w:rsidR="00600E25">
        <w:t xml:space="preserve"> </w:t>
      </w:r>
      <w:r w:rsidR="00FF41B2">
        <w:t xml:space="preserve">the </w:t>
      </w:r>
      <w:r w:rsidR="00600E25">
        <w:t>correlation value of</w:t>
      </w:r>
      <w:r w:rsidR="00833398">
        <w:t xml:space="preserve"> two halves</w:t>
      </w:r>
      <w:r w:rsidR="00600E25">
        <w:t xml:space="preserve"> (</w:t>
      </w:r>
      <w:r w:rsidR="00AC7195">
        <w:t>r=0.698</w:t>
      </w:r>
      <w:r w:rsidR="00600E25">
        <w:t>)</w:t>
      </w:r>
      <w:r w:rsidR="00AC7195">
        <w:t xml:space="preserve"> means</w:t>
      </w:r>
      <w:r w:rsidR="00600E25">
        <w:t xml:space="preserve"> a moderate relationship</w:t>
      </w:r>
      <w:r w:rsidR="00833398">
        <w:t>.</w:t>
      </w:r>
      <w:r w:rsidR="00600E25">
        <w:t xml:space="preserve"> </w:t>
      </w:r>
      <w:r w:rsidR="00833398">
        <w:t>A</w:t>
      </w:r>
      <w:r w:rsidR="00600E25">
        <w:t>d</w:t>
      </w:r>
      <w:r w:rsidR="00833398">
        <w:t>ditionally,</w:t>
      </w:r>
      <w:r w:rsidR="00600E25">
        <w:t xml:space="preserve"> </w:t>
      </w:r>
      <w:r w:rsidR="00833398" w:rsidRPr="00833398">
        <w:rPr>
          <w:rStyle w:val="Strong"/>
          <w:b w:val="0"/>
        </w:rPr>
        <w:t>Spearman-Brown</w:t>
      </w:r>
      <w:r w:rsidR="00833398">
        <w:rPr>
          <w:b/>
        </w:rPr>
        <w:t xml:space="preserve"> </w:t>
      </w:r>
      <w:r w:rsidR="00833398" w:rsidRPr="005A2A44">
        <w:t>and</w:t>
      </w:r>
      <w:r w:rsidR="00600E25">
        <w:rPr>
          <w:b/>
        </w:rPr>
        <w:t xml:space="preserve"> </w:t>
      </w:r>
      <w:r w:rsidR="00833398" w:rsidRPr="00833398">
        <w:rPr>
          <w:rStyle w:val="Strong"/>
          <w:b w:val="0"/>
        </w:rPr>
        <w:t>Guttman split-half coefficient</w:t>
      </w:r>
      <w:r w:rsidR="00AC7195">
        <w:rPr>
          <w:rStyle w:val="Strong"/>
          <w:b w:val="0"/>
        </w:rPr>
        <w:t xml:space="preserve"> value is .822</w:t>
      </w:r>
      <w:r w:rsidR="00600E25">
        <w:rPr>
          <w:rStyle w:val="Strong"/>
          <w:b w:val="0"/>
        </w:rPr>
        <w:t>,</w:t>
      </w:r>
      <w:r w:rsidR="00AC7195">
        <w:rPr>
          <w:rStyle w:val="Strong"/>
          <w:b w:val="0"/>
        </w:rPr>
        <w:t xml:space="preserve"> is fall</w:t>
      </w:r>
      <w:r w:rsidR="00600E25">
        <w:rPr>
          <w:rStyle w:val="Strong"/>
          <w:b w:val="0"/>
        </w:rPr>
        <w:t>s</w:t>
      </w:r>
      <w:r w:rsidR="00AC7195">
        <w:rPr>
          <w:rStyle w:val="Strong"/>
          <w:b w:val="0"/>
        </w:rPr>
        <w:t xml:space="preserve"> in </w:t>
      </w:r>
      <w:r w:rsidR="00600E25">
        <w:rPr>
          <w:rStyle w:val="Strong"/>
          <w:b w:val="0"/>
        </w:rPr>
        <w:t xml:space="preserve">the </w:t>
      </w:r>
      <w:r w:rsidR="00AC7195">
        <w:t>acceptable range (Savage, 2017)</w:t>
      </w:r>
      <w:r w:rsidR="00833398">
        <w:rPr>
          <w:rStyle w:val="Strong"/>
          <w:b w:val="0"/>
        </w:rPr>
        <w:t>.</w:t>
      </w:r>
    </w:p>
    <w:p w14:paraId="0CEFE665" w14:textId="77777777" w:rsidR="00AC2688" w:rsidRDefault="00AC2688" w:rsidP="00CC49D4">
      <w:pPr>
        <w:pStyle w:val="NormalWeb"/>
        <w:jc w:val="both"/>
        <w:rPr>
          <w:rStyle w:val="Strong"/>
          <w:b w:val="0"/>
        </w:rPr>
      </w:pPr>
    </w:p>
    <w:p w14:paraId="6A6663B7" w14:textId="77777777" w:rsidR="00AC2688" w:rsidRDefault="00AC2688" w:rsidP="00CC49D4">
      <w:pPr>
        <w:pStyle w:val="NormalWeb"/>
        <w:jc w:val="both"/>
      </w:pPr>
    </w:p>
    <w:tbl>
      <w:tblPr>
        <w:tblStyle w:val="TableGrid"/>
        <w:tblpPr w:leftFromText="180" w:rightFromText="180" w:vertAnchor="text" w:horzAnchor="margin" w:tblpXSpec="center" w:tblpY="394"/>
        <w:tblW w:w="0" w:type="auto"/>
        <w:tblLayout w:type="fixed"/>
        <w:tblLook w:val="04A0" w:firstRow="1" w:lastRow="0" w:firstColumn="1" w:lastColumn="0" w:noHBand="0" w:noVBand="1"/>
      </w:tblPr>
      <w:tblGrid>
        <w:gridCol w:w="425"/>
        <w:gridCol w:w="567"/>
        <w:gridCol w:w="4156"/>
        <w:gridCol w:w="1231"/>
        <w:gridCol w:w="1134"/>
        <w:gridCol w:w="992"/>
      </w:tblGrid>
      <w:tr w:rsidR="00833398" w:rsidRPr="00BF6883" w14:paraId="759B764A" w14:textId="77777777" w:rsidTr="00833398">
        <w:trPr>
          <w:trHeight w:val="418"/>
        </w:trPr>
        <w:tc>
          <w:tcPr>
            <w:tcW w:w="8505" w:type="dxa"/>
            <w:gridSpan w:val="6"/>
            <w:noWrap/>
          </w:tcPr>
          <w:p w14:paraId="750C5811" w14:textId="7C42B554" w:rsidR="00833398" w:rsidRPr="00E87AAA" w:rsidRDefault="00AC7195" w:rsidP="00600E25">
            <w:pPr>
              <w:rPr>
                <w:rFonts w:ascii="Times New Roman" w:hAnsi="Times New Roman" w:cs="Times New Roman"/>
                <w:sz w:val="20"/>
                <w:szCs w:val="20"/>
              </w:rPr>
            </w:pPr>
            <w:r>
              <w:rPr>
                <w:rFonts w:ascii="Times New Roman" w:hAnsi="Times New Roman" w:cs="Times New Roman"/>
                <w:b/>
                <w:bCs/>
                <w:sz w:val="24"/>
                <w:szCs w:val="24"/>
              </w:rPr>
              <w:t xml:space="preserve">Table 7 </w:t>
            </w:r>
            <w:r w:rsidRPr="00AC7195">
              <w:rPr>
                <w:rFonts w:ascii="Times New Roman" w:hAnsi="Times New Roman" w:cs="Times New Roman"/>
                <w:b/>
                <w:bCs/>
                <w:sz w:val="24"/>
                <w:szCs w:val="24"/>
              </w:rPr>
              <w:t>Item</w:t>
            </w:r>
            <w:r w:rsidR="00600E25">
              <w:rPr>
                <w:rFonts w:ascii="Times New Roman" w:hAnsi="Times New Roman" w:cs="Times New Roman"/>
                <w:b/>
                <w:bCs/>
                <w:sz w:val="24"/>
                <w:szCs w:val="24"/>
              </w:rPr>
              <w:t>-</w:t>
            </w:r>
            <w:r w:rsidRPr="00AC7195">
              <w:rPr>
                <w:rFonts w:ascii="Times New Roman" w:hAnsi="Times New Roman" w:cs="Times New Roman"/>
                <w:b/>
                <w:bCs/>
                <w:sz w:val="24"/>
                <w:szCs w:val="24"/>
              </w:rPr>
              <w:t>wise relevancy for scale</w:t>
            </w:r>
          </w:p>
        </w:tc>
      </w:tr>
      <w:tr w:rsidR="00833398" w:rsidRPr="00BF6883" w14:paraId="7FDB7A46" w14:textId="77777777" w:rsidTr="00833398">
        <w:trPr>
          <w:trHeight w:val="809"/>
        </w:trPr>
        <w:tc>
          <w:tcPr>
            <w:tcW w:w="425" w:type="dxa"/>
            <w:noWrap/>
            <w:hideMark/>
          </w:tcPr>
          <w:p w14:paraId="6815E74C" w14:textId="77777777" w:rsidR="00833398" w:rsidRPr="00E87AAA" w:rsidRDefault="00833398" w:rsidP="00833398">
            <w:pPr>
              <w:rPr>
                <w:rFonts w:ascii="Times New Roman" w:hAnsi="Times New Roman" w:cs="Times New Roman"/>
                <w:sz w:val="20"/>
                <w:szCs w:val="20"/>
              </w:rPr>
            </w:pPr>
          </w:p>
        </w:tc>
        <w:tc>
          <w:tcPr>
            <w:tcW w:w="567" w:type="dxa"/>
            <w:noWrap/>
            <w:hideMark/>
          </w:tcPr>
          <w:p w14:paraId="2B573689"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 xml:space="preserve"> No.</w:t>
            </w:r>
          </w:p>
        </w:tc>
        <w:tc>
          <w:tcPr>
            <w:tcW w:w="4156" w:type="dxa"/>
          </w:tcPr>
          <w:p w14:paraId="4BD3FD23"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Statement</w:t>
            </w:r>
          </w:p>
        </w:tc>
        <w:tc>
          <w:tcPr>
            <w:tcW w:w="1231" w:type="dxa"/>
            <w:noWrap/>
            <w:hideMark/>
          </w:tcPr>
          <w:p w14:paraId="1EA2F99D" w14:textId="77777777" w:rsidR="00833398"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Corrected</w:t>
            </w:r>
          </w:p>
          <w:p w14:paraId="6D4EC3F7" w14:textId="77777777" w:rsidR="00833398"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 xml:space="preserve"> Item-Total </w:t>
            </w:r>
          </w:p>
          <w:p w14:paraId="01C0C2F6"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Correlation</w:t>
            </w:r>
          </w:p>
        </w:tc>
        <w:tc>
          <w:tcPr>
            <w:tcW w:w="1134" w:type="dxa"/>
            <w:noWrap/>
            <w:hideMark/>
          </w:tcPr>
          <w:p w14:paraId="5B03FDF4"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Cronbach's Alpha if Item Deleted</w:t>
            </w:r>
          </w:p>
        </w:tc>
        <w:tc>
          <w:tcPr>
            <w:tcW w:w="992" w:type="dxa"/>
            <w:noWrap/>
            <w:hideMark/>
          </w:tcPr>
          <w:p w14:paraId="43326863"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Remarks</w:t>
            </w:r>
          </w:p>
        </w:tc>
      </w:tr>
      <w:tr w:rsidR="00833398" w:rsidRPr="00BF6883" w14:paraId="6B5520BF" w14:textId="77777777" w:rsidTr="00833398">
        <w:trPr>
          <w:trHeight w:val="291"/>
        </w:trPr>
        <w:tc>
          <w:tcPr>
            <w:tcW w:w="425" w:type="dxa"/>
            <w:noWrap/>
            <w:hideMark/>
          </w:tcPr>
          <w:p w14:paraId="21EEC73E"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1</w:t>
            </w:r>
          </w:p>
        </w:tc>
        <w:tc>
          <w:tcPr>
            <w:tcW w:w="567" w:type="dxa"/>
            <w:noWrap/>
            <w:hideMark/>
          </w:tcPr>
          <w:p w14:paraId="605E5A15"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Q2</w:t>
            </w:r>
          </w:p>
        </w:tc>
        <w:tc>
          <w:tcPr>
            <w:tcW w:w="4156" w:type="dxa"/>
            <w:noWrap/>
            <w:hideMark/>
          </w:tcPr>
          <w:p w14:paraId="1EB2B930"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Agrochemicals can be harmful to human health</w:t>
            </w:r>
          </w:p>
        </w:tc>
        <w:tc>
          <w:tcPr>
            <w:tcW w:w="1231" w:type="dxa"/>
            <w:noWrap/>
            <w:hideMark/>
          </w:tcPr>
          <w:p w14:paraId="49772CF2"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0.263</w:t>
            </w:r>
          </w:p>
        </w:tc>
        <w:tc>
          <w:tcPr>
            <w:tcW w:w="1134" w:type="dxa"/>
            <w:noWrap/>
            <w:hideMark/>
          </w:tcPr>
          <w:p w14:paraId="7C0416D4"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0.876</w:t>
            </w:r>
          </w:p>
        </w:tc>
        <w:tc>
          <w:tcPr>
            <w:tcW w:w="992" w:type="dxa"/>
            <w:noWrap/>
            <w:hideMark/>
          </w:tcPr>
          <w:p w14:paraId="43ECB7D4"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75D48C2E" w14:textId="77777777" w:rsidTr="00833398">
        <w:trPr>
          <w:trHeight w:val="291"/>
        </w:trPr>
        <w:tc>
          <w:tcPr>
            <w:tcW w:w="425" w:type="dxa"/>
            <w:noWrap/>
            <w:hideMark/>
          </w:tcPr>
          <w:p w14:paraId="3BD62C55"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2</w:t>
            </w:r>
          </w:p>
        </w:tc>
        <w:tc>
          <w:tcPr>
            <w:tcW w:w="567" w:type="dxa"/>
            <w:noWrap/>
            <w:hideMark/>
          </w:tcPr>
          <w:p w14:paraId="226F96EB"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Q25</w:t>
            </w:r>
          </w:p>
        </w:tc>
        <w:tc>
          <w:tcPr>
            <w:tcW w:w="4156" w:type="dxa"/>
            <w:noWrap/>
            <w:hideMark/>
          </w:tcPr>
          <w:p w14:paraId="2DFD6746"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 xml:space="preserve">Inhaling agrochemicals during application can cause respiratory issues. </w:t>
            </w:r>
          </w:p>
        </w:tc>
        <w:tc>
          <w:tcPr>
            <w:tcW w:w="1231" w:type="dxa"/>
            <w:noWrap/>
            <w:hideMark/>
          </w:tcPr>
          <w:p w14:paraId="6D6FC138"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0.468</w:t>
            </w:r>
          </w:p>
        </w:tc>
        <w:tc>
          <w:tcPr>
            <w:tcW w:w="1134" w:type="dxa"/>
            <w:noWrap/>
            <w:hideMark/>
          </w:tcPr>
          <w:p w14:paraId="7354648C"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0.87</w:t>
            </w:r>
            <w:r>
              <w:rPr>
                <w:rFonts w:ascii="Times New Roman" w:hAnsi="Times New Roman" w:cs="Times New Roman"/>
                <w:sz w:val="20"/>
                <w:szCs w:val="20"/>
              </w:rPr>
              <w:t>0</w:t>
            </w:r>
          </w:p>
        </w:tc>
        <w:tc>
          <w:tcPr>
            <w:tcW w:w="992" w:type="dxa"/>
            <w:noWrap/>
            <w:hideMark/>
          </w:tcPr>
          <w:p w14:paraId="07A23B96"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3E87A428" w14:textId="77777777" w:rsidTr="00833398">
        <w:trPr>
          <w:trHeight w:val="291"/>
        </w:trPr>
        <w:tc>
          <w:tcPr>
            <w:tcW w:w="425" w:type="dxa"/>
            <w:noWrap/>
            <w:hideMark/>
          </w:tcPr>
          <w:p w14:paraId="7612C4BB"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3</w:t>
            </w:r>
          </w:p>
        </w:tc>
        <w:tc>
          <w:tcPr>
            <w:tcW w:w="567" w:type="dxa"/>
            <w:noWrap/>
            <w:hideMark/>
          </w:tcPr>
          <w:p w14:paraId="49123C3C"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Q28</w:t>
            </w:r>
          </w:p>
        </w:tc>
        <w:tc>
          <w:tcPr>
            <w:tcW w:w="4156" w:type="dxa"/>
            <w:noWrap/>
            <w:hideMark/>
          </w:tcPr>
          <w:p w14:paraId="5B9D9ED7"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Protective equipment is essential to prevent inhalation of agrochemicals during application.</w:t>
            </w:r>
          </w:p>
        </w:tc>
        <w:tc>
          <w:tcPr>
            <w:tcW w:w="1231" w:type="dxa"/>
            <w:noWrap/>
            <w:hideMark/>
          </w:tcPr>
          <w:p w14:paraId="48E37E2A"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0.501</w:t>
            </w:r>
          </w:p>
        </w:tc>
        <w:tc>
          <w:tcPr>
            <w:tcW w:w="1134" w:type="dxa"/>
            <w:noWrap/>
            <w:hideMark/>
          </w:tcPr>
          <w:p w14:paraId="5A6BE5DA"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0.868</w:t>
            </w:r>
          </w:p>
        </w:tc>
        <w:tc>
          <w:tcPr>
            <w:tcW w:w="992" w:type="dxa"/>
            <w:noWrap/>
            <w:hideMark/>
          </w:tcPr>
          <w:p w14:paraId="785DB8CE"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20767D80" w14:textId="77777777" w:rsidTr="00833398">
        <w:trPr>
          <w:trHeight w:val="291"/>
        </w:trPr>
        <w:tc>
          <w:tcPr>
            <w:tcW w:w="425" w:type="dxa"/>
            <w:noWrap/>
            <w:hideMark/>
          </w:tcPr>
          <w:p w14:paraId="74B16CF8"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4</w:t>
            </w:r>
          </w:p>
        </w:tc>
        <w:tc>
          <w:tcPr>
            <w:tcW w:w="567" w:type="dxa"/>
            <w:noWrap/>
            <w:hideMark/>
          </w:tcPr>
          <w:p w14:paraId="55AE4926"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Q49</w:t>
            </w:r>
          </w:p>
        </w:tc>
        <w:tc>
          <w:tcPr>
            <w:tcW w:w="4156" w:type="dxa"/>
            <w:noWrap/>
            <w:hideMark/>
          </w:tcPr>
          <w:p w14:paraId="1A3915BE"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Exposure to agrochemicals can cause immediate health effects such as nausea or dizziness.</w:t>
            </w:r>
          </w:p>
        </w:tc>
        <w:tc>
          <w:tcPr>
            <w:tcW w:w="1231" w:type="dxa"/>
            <w:noWrap/>
            <w:hideMark/>
          </w:tcPr>
          <w:p w14:paraId="1B03D2D2"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0.62</w:t>
            </w:r>
          </w:p>
        </w:tc>
        <w:tc>
          <w:tcPr>
            <w:tcW w:w="1134" w:type="dxa"/>
            <w:noWrap/>
            <w:hideMark/>
          </w:tcPr>
          <w:p w14:paraId="7CBB8FFC"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0.862</w:t>
            </w:r>
          </w:p>
        </w:tc>
        <w:tc>
          <w:tcPr>
            <w:tcW w:w="992" w:type="dxa"/>
            <w:noWrap/>
            <w:hideMark/>
          </w:tcPr>
          <w:p w14:paraId="428FC49C"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7A6DEB57" w14:textId="77777777" w:rsidTr="00833398">
        <w:trPr>
          <w:trHeight w:val="291"/>
        </w:trPr>
        <w:tc>
          <w:tcPr>
            <w:tcW w:w="425" w:type="dxa"/>
            <w:noWrap/>
            <w:hideMark/>
          </w:tcPr>
          <w:p w14:paraId="7CB94F65"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5</w:t>
            </w:r>
          </w:p>
        </w:tc>
        <w:tc>
          <w:tcPr>
            <w:tcW w:w="567" w:type="dxa"/>
            <w:noWrap/>
            <w:hideMark/>
          </w:tcPr>
          <w:p w14:paraId="6C27C2DC"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Q50</w:t>
            </w:r>
          </w:p>
        </w:tc>
        <w:tc>
          <w:tcPr>
            <w:tcW w:w="4156" w:type="dxa"/>
            <w:noWrap/>
            <w:hideMark/>
          </w:tcPr>
          <w:p w14:paraId="4C6B64C9"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Contact with agrochemicals can cause acute skin burns.</w:t>
            </w:r>
          </w:p>
        </w:tc>
        <w:tc>
          <w:tcPr>
            <w:tcW w:w="1231" w:type="dxa"/>
            <w:noWrap/>
            <w:hideMark/>
          </w:tcPr>
          <w:p w14:paraId="4F065E64"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0.633</w:t>
            </w:r>
          </w:p>
        </w:tc>
        <w:tc>
          <w:tcPr>
            <w:tcW w:w="1134" w:type="dxa"/>
            <w:noWrap/>
            <w:hideMark/>
          </w:tcPr>
          <w:p w14:paraId="42600755"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0.862</w:t>
            </w:r>
          </w:p>
        </w:tc>
        <w:tc>
          <w:tcPr>
            <w:tcW w:w="992" w:type="dxa"/>
            <w:noWrap/>
            <w:hideMark/>
          </w:tcPr>
          <w:p w14:paraId="79061C05"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41E57B22" w14:textId="77777777" w:rsidTr="00833398">
        <w:trPr>
          <w:trHeight w:val="291"/>
        </w:trPr>
        <w:tc>
          <w:tcPr>
            <w:tcW w:w="425" w:type="dxa"/>
            <w:noWrap/>
            <w:hideMark/>
          </w:tcPr>
          <w:p w14:paraId="65EA6ECD"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6</w:t>
            </w:r>
          </w:p>
        </w:tc>
        <w:tc>
          <w:tcPr>
            <w:tcW w:w="567" w:type="dxa"/>
            <w:noWrap/>
            <w:hideMark/>
          </w:tcPr>
          <w:p w14:paraId="6DA99499"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Q51</w:t>
            </w:r>
          </w:p>
        </w:tc>
        <w:tc>
          <w:tcPr>
            <w:tcW w:w="4156" w:type="dxa"/>
            <w:noWrap/>
            <w:hideMark/>
          </w:tcPr>
          <w:p w14:paraId="1DB6A187"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Splashing agrochemicals into the eyes can cause immediate eye irritation or damage.</w:t>
            </w:r>
          </w:p>
        </w:tc>
        <w:tc>
          <w:tcPr>
            <w:tcW w:w="1231" w:type="dxa"/>
            <w:noWrap/>
            <w:hideMark/>
          </w:tcPr>
          <w:p w14:paraId="025F79E9"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0.676</w:t>
            </w:r>
          </w:p>
        </w:tc>
        <w:tc>
          <w:tcPr>
            <w:tcW w:w="1134" w:type="dxa"/>
            <w:noWrap/>
            <w:hideMark/>
          </w:tcPr>
          <w:p w14:paraId="23D48629"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0.861</w:t>
            </w:r>
          </w:p>
        </w:tc>
        <w:tc>
          <w:tcPr>
            <w:tcW w:w="992" w:type="dxa"/>
            <w:noWrap/>
            <w:hideMark/>
          </w:tcPr>
          <w:p w14:paraId="2B2B9450"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3D1CC3F6" w14:textId="77777777" w:rsidTr="00833398">
        <w:trPr>
          <w:trHeight w:val="291"/>
        </w:trPr>
        <w:tc>
          <w:tcPr>
            <w:tcW w:w="425" w:type="dxa"/>
            <w:noWrap/>
            <w:hideMark/>
          </w:tcPr>
          <w:p w14:paraId="1BB1986D"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7</w:t>
            </w:r>
          </w:p>
        </w:tc>
        <w:tc>
          <w:tcPr>
            <w:tcW w:w="567" w:type="dxa"/>
            <w:noWrap/>
            <w:hideMark/>
          </w:tcPr>
          <w:p w14:paraId="0731559C"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Q52</w:t>
            </w:r>
          </w:p>
        </w:tc>
        <w:tc>
          <w:tcPr>
            <w:tcW w:w="4156" w:type="dxa"/>
            <w:noWrap/>
            <w:hideMark/>
          </w:tcPr>
          <w:p w14:paraId="0AADE424"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Skin contact with agrochemicals can lead to rashes or irritation.</w:t>
            </w:r>
          </w:p>
        </w:tc>
        <w:tc>
          <w:tcPr>
            <w:tcW w:w="1231" w:type="dxa"/>
            <w:noWrap/>
            <w:hideMark/>
          </w:tcPr>
          <w:p w14:paraId="4C1601D5"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0.651</w:t>
            </w:r>
          </w:p>
        </w:tc>
        <w:tc>
          <w:tcPr>
            <w:tcW w:w="1134" w:type="dxa"/>
            <w:noWrap/>
            <w:hideMark/>
          </w:tcPr>
          <w:p w14:paraId="03513089"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0.861</w:t>
            </w:r>
          </w:p>
        </w:tc>
        <w:tc>
          <w:tcPr>
            <w:tcW w:w="992" w:type="dxa"/>
            <w:noWrap/>
            <w:hideMark/>
          </w:tcPr>
          <w:p w14:paraId="5CBF9750"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6E55483D" w14:textId="77777777" w:rsidTr="00833398">
        <w:trPr>
          <w:trHeight w:val="291"/>
        </w:trPr>
        <w:tc>
          <w:tcPr>
            <w:tcW w:w="425" w:type="dxa"/>
            <w:noWrap/>
            <w:hideMark/>
          </w:tcPr>
          <w:p w14:paraId="1396946E"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8</w:t>
            </w:r>
          </w:p>
        </w:tc>
        <w:tc>
          <w:tcPr>
            <w:tcW w:w="567" w:type="dxa"/>
            <w:noWrap/>
            <w:hideMark/>
          </w:tcPr>
          <w:p w14:paraId="12C8EE32"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Q54</w:t>
            </w:r>
          </w:p>
        </w:tc>
        <w:tc>
          <w:tcPr>
            <w:tcW w:w="4156" w:type="dxa"/>
            <w:noWrap/>
            <w:hideMark/>
          </w:tcPr>
          <w:p w14:paraId="4166AA6A"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Consuming food with agrochemical residues can lead to gastrointestinal problems.</w:t>
            </w:r>
          </w:p>
        </w:tc>
        <w:tc>
          <w:tcPr>
            <w:tcW w:w="1231" w:type="dxa"/>
            <w:noWrap/>
            <w:hideMark/>
          </w:tcPr>
          <w:p w14:paraId="1AA46B78"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0.551</w:t>
            </w:r>
          </w:p>
        </w:tc>
        <w:tc>
          <w:tcPr>
            <w:tcW w:w="1134" w:type="dxa"/>
            <w:noWrap/>
            <w:hideMark/>
          </w:tcPr>
          <w:p w14:paraId="30BB8E98"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0.866</w:t>
            </w:r>
          </w:p>
        </w:tc>
        <w:tc>
          <w:tcPr>
            <w:tcW w:w="992" w:type="dxa"/>
            <w:noWrap/>
            <w:hideMark/>
          </w:tcPr>
          <w:p w14:paraId="265A394F"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43BC3DB3" w14:textId="77777777" w:rsidTr="00833398">
        <w:trPr>
          <w:trHeight w:val="291"/>
        </w:trPr>
        <w:tc>
          <w:tcPr>
            <w:tcW w:w="425" w:type="dxa"/>
            <w:noWrap/>
            <w:hideMark/>
          </w:tcPr>
          <w:p w14:paraId="58C1435F"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9</w:t>
            </w:r>
          </w:p>
        </w:tc>
        <w:tc>
          <w:tcPr>
            <w:tcW w:w="567" w:type="dxa"/>
            <w:noWrap/>
            <w:hideMark/>
          </w:tcPr>
          <w:p w14:paraId="09426D0E"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Q55</w:t>
            </w:r>
          </w:p>
        </w:tc>
        <w:tc>
          <w:tcPr>
            <w:tcW w:w="4156" w:type="dxa"/>
            <w:noWrap/>
            <w:hideMark/>
          </w:tcPr>
          <w:p w14:paraId="545E67E2"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Agrochemicals can cause headaches or migraines</w:t>
            </w:r>
          </w:p>
        </w:tc>
        <w:tc>
          <w:tcPr>
            <w:tcW w:w="1231" w:type="dxa"/>
            <w:noWrap/>
            <w:hideMark/>
          </w:tcPr>
          <w:p w14:paraId="44C432FA"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0.567</w:t>
            </w:r>
          </w:p>
        </w:tc>
        <w:tc>
          <w:tcPr>
            <w:tcW w:w="1134" w:type="dxa"/>
            <w:noWrap/>
            <w:hideMark/>
          </w:tcPr>
          <w:p w14:paraId="35E46D8C"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0.865</w:t>
            </w:r>
          </w:p>
        </w:tc>
        <w:tc>
          <w:tcPr>
            <w:tcW w:w="992" w:type="dxa"/>
            <w:noWrap/>
            <w:hideMark/>
          </w:tcPr>
          <w:p w14:paraId="174B6DB4"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0944CA01" w14:textId="77777777" w:rsidTr="00833398">
        <w:trPr>
          <w:trHeight w:val="291"/>
        </w:trPr>
        <w:tc>
          <w:tcPr>
            <w:tcW w:w="425" w:type="dxa"/>
            <w:noWrap/>
            <w:hideMark/>
          </w:tcPr>
          <w:p w14:paraId="2797D56B"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10</w:t>
            </w:r>
          </w:p>
        </w:tc>
        <w:tc>
          <w:tcPr>
            <w:tcW w:w="567" w:type="dxa"/>
            <w:noWrap/>
            <w:hideMark/>
          </w:tcPr>
          <w:p w14:paraId="06E3381A"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Q56</w:t>
            </w:r>
          </w:p>
        </w:tc>
        <w:tc>
          <w:tcPr>
            <w:tcW w:w="4156" w:type="dxa"/>
            <w:noWrap/>
            <w:hideMark/>
          </w:tcPr>
          <w:p w14:paraId="55EBE2D5"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Cancer rates are higher among people frequently exposed to agrochemicals.</w:t>
            </w:r>
          </w:p>
        </w:tc>
        <w:tc>
          <w:tcPr>
            <w:tcW w:w="1231" w:type="dxa"/>
            <w:noWrap/>
            <w:hideMark/>
          </w:tcPr>
          <w:p w14:paraId="5569F7B8"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0.283</w:t>
            </w:r>
          </w:p>
        </w:tc>
        <w:tc>
          <w:tcPr>
            <w:tcW w:w="1134" w:type="dxa"/>
            <w:noWrap/>
            <w:hideMark/>
          </w:tcPr>
          <w:p w14:paraId="5D512EB9"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0.881</w:t>
            </w:r>
          </w:p>
        </w:tc>
        <w:tc>
          <w:tcPr>
            <w:tcW w:w="992" w:type="dxa"/>
            <w:noWrap/>
            <w:hideMark/>
          </w:tcPr>
          <w:p w14:paraId="0E7A6A18"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07CE71A2" w14:textId="77777777" w:rsidTr="00833398">
        <w:trPr>
          <w:trHeight w:val="291"/>
        </w:trPr>
        <w:tc>
          <w:tcPr>
            <w:tcW w:w="425" w:type="dxa"/>
            <w:noWrap/>
            <w:hideMark/>
          </w:tcPr>
          <w:p w14:paraId="2F062D14"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11</w:t>
            </w:r>
          </w:p>
        </w:tc>
        <w:tc>
          <w:tcPr>
            <w:tcW w:w="567" w:type="dxa"/>
            <w:noWrap/>
            <w:hideMark/>
          </w:tcPr>
          <w:p w14:paraId="1AFC3242"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Q60</w:t>
            </w:r>
          </w:p>
        </w:tc>
        <w:tc>
          <w:tcPr>
            <w:tcW w:w="4156" w:type="dxa"/>
            <w:noWrap/>
            <w:hideMark/>
          </w:tcPr>
          <w:p w14:paraId="5820C738"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Agrochemicals can cause skin diseases or allergies.</w:t>
            </w:r>
          </w:p>
        </w:tc>
        <w:tc>
          <w:tcPr>
            <w:tcW w:w="1231" w:type="dxa"/>
            <w:noWrap/>
            <w:hideMark/>
          </w:tcPr>
          <w:p w14:paraId="7C87A6DA"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0.608</w:t>
            </w:r>
          </w:p>
        </w:tc>
        <w:tc>
          <w:tcPr>
            <w:tcW w:w="1134" w:type="dxa"/>
            <w:noWrap/>
            <w:hideMark/>
          </w:tcPr>
          <w:p w14:paraId="7B18EE88"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0.863</w:t>
            </w:r>
          </w:p>
        </w:tc>
        <w:tc>
          <w:tcPr>
            <w:tcW w:w="992" w:type="dxa"/>
            <w:noWrap/>
            <w:hideMark/>
          </w:tcPr>
          <w:p w14:paraId="0683C2A2"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43915324" w14:textId="77777777" w:rsidTr="00833398">
        <w:trPr>
          <w:trHeight w:val="291"/>
        </w:trPr>
        <w:tc>
          <w:tcPr>
            <w:tcW w:w="425" w:type="dxa"/>
            <w:noWrap/>
            <w:hideMark/>
          </w:tcPr>
          <w:p w14:paraId="15EA10D9"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12</w:t>
            </w:r>
          </w:p>
        </w:tc>
        <w:tc>
          <w:tcPr>
            <w:tcW w:w="567" w:type="dxa"/>
            <w:noWrap/>
            <w:hideMark/>
          </w:tcPr>
          <w:p w14:paraId="4F9502C3"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Q62</w:t>
            </w:r>
          </w:p>
        </w:tc>
        <w:tc>
          <w:tcPr>
            <w:tcW w:w="4156" w:type="dxa"/>
            <w:noWrap/>
            <w:hideMark/>
          </w:tcPr>
          <w:p w14:paraId="2297D9F1"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Agrochemical residues in drinking water pose a health risk</w:t>
            </w:r>
          </w:p>
        </w:tc>
        <w:tc>
          <w:tcPr>
            <w:tcW w:w="1231" w:type="dxa"/>
            <w:noWrap/>
            <w:hideMark/>
          </w:tcPr>
          <w:p w14:paraId="3690C9FE"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0.684</w:t>
            </w:r>
          </w:p>
        </w:tc>
        <w:tc>
          <w:tcPr>
            <w:tcW w:w="1134" w:type="dxa"/>
            <w:noWrap/>
            <w:hideMark/>
          </w:tcPr>
          <w:p w14:paraId="6BA1EE23"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0.86</w:t>
            </w:r>
            <w:r>
              <w:rPr>
                <w:rFonts w:ascii="Times New Roman" w:hAnsi="Times New Roman" w:cs="Times New Roman"/>
                <w:sz w:val="20"/>
                <w:szCs w:val="20"/>
              </w:rPr>
              <w:t>0</w:t>
            </w:r>
          </w:p>
        </w:tc>
        <w:tc>
          <w:tcPr>
            <w:tcW w:w="992" w:type="dxa"/>
            <w:noWrap/>
            <w:hideMark/>
          </w:tcPr>
          <w:p w14:paraId="3E399EE4"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6C0E9894" w14:textId="77777777" w:rsidTr="00833398">
        <w:trPr>
          <w:trHeight w:val="291"/>
        </w:trPr>
        <w:tc>
          <w:tcPr>
            <w:tcW w:w="425" w:type="dxa"/>
            <w:noWrap/>
            <w:hideMark/>
          </w:tcPr>
          <w:p w14:paraId="392F5C67"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13</w:t>
            </w:r>
          </w:p>
        </w:tc>
        <w:tc>
          <w:tcPr>
            <w:tcW w:w="567" w:type="dxa"/>
            <w:noWrap/>
            <w:hideMark/>
          </w:tcPr>
          <w:p w14:paraId="68F8AA77"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Q63</w:t>
            </w:r>
          </w:p>
        </w:tc>
        <w:tc>
          <w:tcPr>
            <w:tcW w:w="4156" w:type="dxa"/>
            <w:noWrap/>
            <w:hideMark/>
          </w:tcPr>
          <w:p w14:paraId="26B08946"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Long-term exposure to agrochemicals can lead to chronic health conditions.</w:t>
            </w:r>
          </w:p>
        </w:tc>
        <w:tc>
          <w:tcPr>
            <w:tcW w:w="1231" w:type="dxa"/>
            <w:noWrap/>
            <w:hideMark/>
          </w:tcPr>
          <w:p w14:paraId="5D8F0770"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0.571</w:t>
            </w:r>
          </w:p>
        </w:tc>
        <w:tc>
          <w:tcPr>
            <w:tcW w:w="1134" w:type="dxa"/>
            <w:noWrap/>
            <w:hideMark/>
          </w:tcPr>
          <w:p w14:paraId="531D38B1"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0.866</w:t>
            </w:r>
          </w:p>
        </w:tc>
        <w:tc>
          <w:tcPr>
            <w:tcW w:w="992" w:type="dxa"/>
            <w:noWrap/>
            <w:hideMark/>
          </w:tcPr>
          <w:p w14:paraId="2314B273"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66C6FD56" w14:textId="77777777" w:rsidTr="00833398">
        <w:trPr>
          <w:trHeight w:val="291"/>
        </w:trPr>
        <w:tc>
          <w:tcPr>
            <w:tcW w:w="425" w:type="dxa"/>
            <w:noWrap/>
            <w:hideMark/>
          </w:tcPr>
          <w:p w14:paraId="07004574"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14</w:t>
            </w:r>
          </w:p>
        </w:tc>
        <w:tc>
          <w:tcPr>
            <w:tcW w:w="567" w:type="dxa"/>
            <w:noWrap/>
            <w:hideMark/>
          </w:tcPr>
          <w:p w14:paraId="307524F8"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Q64</w:t>
            </w:r>
          </w:p>
        </w:tc>
        <w:tc>
          <w:tcPr>
            <w:tcW w:w="4156" w:type="dxa"/>
            <w:noWrap/>
            <w:hideMark/>
          </w:tcPr>
          <w:p w14:paraId="19180FEB"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Agrochemicals can have cumulative health effects over time.</w:t>
            </w:r>
          </w:p>
        </w:tc>
        <w:tc>
          <w:tcPr>
            <w:tcW w:w="1231" w:type="dxa"/>
            <w:noWrap/>
            <w:hideMark/>
          </w:tcPr>
          <w:p w14:paraId="4B276B55"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0.56</w:t>
            </w:r>
          </w:p>
        </w:tc>
        <w:tc>
          <w:tcPr>
            <w:tcW w:w="1134" w:type="dxa"/>
            <w:noWrap/>
            <w:hideMark/>
          </w:tcPr>
          <w:p w14:paraId="424D883A"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0.866</w:t>
            </w:r>
          </w:p>
        </w:tc>
        <w:tc>
          <w:tcPr>
            <w:tcW w:w="992" w:type="dxa"/>
            <w:noWrap/>
            <w:hideMark/>
          </w:tcPr>
          <w:p w14:paraId="336FE593"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031207B0" w14:textId="77777777" w:rsidTr="00833398">
        <w:trPr>
          <w:trHeight w:val="291"/>
        </w:trPr>
        <w:tc>
          <w:tcPr>
            <w:tcW w:w="425" w:type="dxa"/>
            <w:noWrap/>
            <w:hideMark/>
          </w:tcPr>
          <w:p w14:paraId="7AF1AA46"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15</w:t>
            </w:r>
          </w:p>
        </w:tc>
        <w:tc>
          <w:tcPr>
            <w:tcW w:w="567" w:type="dxa"/>
            <w:noWrap/>
            <w:hideMark/>
          </w:tcPr>
          <w:p w14:paraId="241E3E0F"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Q65</w:t>
            </w:r>
          </w:p>
        </w:tc>
        <w:tc>
          <w:tcPr>
            <w:tcW w:w="4156" w:type="dxa"/>
            <w:noWrap/>
            <w:hideMark/>
          </w:tcPr>
          <w:p w14:paraId="373F9E64"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More research is needed to understand the long-term health effects of agrochemicals.</w:t>
            </w:r>
          </w:p>
        </w:tc>
        <w:tc>
          <w:tcPr>
            <w:tcW w:w="1231" w:type="dxa"/>
            <w:noWrap/>
            <w:hideMark/>
          </w:tcPr>
          <w:p w14:paraId="1EAC2D1C"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0.561</w:t>
            </w:r>
          </w:p>
        </w:tc>
        <w:tc>
          <w:tcPr>
            <w:tcW w:w="1134" w:type="dxa"/>
            <w:noWrap/>
            <w:hideMark/>
          </w:tcPr>
          <w:p w14:paraId="4E4B4949"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0.866</w:t>
            </w:r>
          </w:p>
        </w:tc>
        <w:tc>
          <w:tcPr>
            <w:tcW w:w="992" w:type="dxa"/>
            <w:noWrap/>
            <w:hideMark/>
          </w:tcPr>
          <w:p w14:paraId="3947659D"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r w:rsidR="00833398" w:rsidRPr="00BF6883" w14:paraId="6D0B014D" w14:textId="77777777" w:rsidTr="00833398">
        <w:trPr>
          <w:trHeight w:val="291"/>
        </w:trPr>
        <w:tc>
          <w:tcPr>
            <w:tcW w:w="425" w:type="dxa"/>
            <w:noWrap/>
            <w:hideMark/>
          </w:tcPr>
          <w:p w14:paraId="65BDA1A2"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16</w:t>
            </w:r>
          </w:p>
        </w:tc>
        <w:tc>
          <w:tcPr>
            <w:tcW w:w="567" w:type="dxa"/>
            <w:noWrap/>
            <w:hideMark/>
          </w:tcPr>
          <w:p w14:paraId="36EEB49F"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Q66</w:t>
            </w:r>
          </w:p>
        </w:tc>
        <w:tc>
          <w:tcPr>
            <w:tcW w:w="4156" w:type="dxa"/>
            <w:noWrap/>
            <w:hideMark/>
          </w:tcPr>
          <w:p w14:paraId="7E941066"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Adopting safer agricultural practices can reduce health risks.</w:t>
            </w:r>
          </w:p>
        </w:tc>
        <w:tc>
          <w:tcPr>
            <w:tcW w:w="1231" w:type="dxa"/>
            <w:noWrap/>
            <w:hideMark/>
          </w:tcPr>
          <w:p w14:paraId="114614B1"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0.221</w:t>
            </w:r>
          </w:p>
        </w:tc>
        <w:tc>
          <w:tcPr>
            <w:tcW w:w="1134" w:type="dxa"/>
            <w:noWrap/>
            <w:hideMark/>
          </w:tcPr>
          <w:p w14:paraId="489472B0"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0.883</w:t>
            </w:r>
          </w:p>
        </w:tc>
        <w:tc>
          <w:tcPr>
            <w:tcW w:w="992" w:type="dxa"/>
            <w:noWrap/>
            <w:hideMark/>
          </w:tcPr>
          <w:p w14:paraId="0200A01C" w14:textId="77777777" w:rsidR="00833398" w:rsidRPr="00E87AAA" w:rsidRDefault="00833398" w:rsidP="00833398">
            <w:pPr>
              <w:rPr>
                <w:rFonts w:ascii="Times New Roman" w:hAnsi="Times New Roman" w:cs="Times New Roman"/>
                <w:sz w:val="20"/>
                <w:szCs w:val="20"/>
              </w:rPr>
            </w:pPr>
            <w:r w:rsidRPr="00E87AAA">
              <w:rPr>
                <w:rFonts w:ascii="Times New Roman" w:hAnsi="Times New Roman" w:cs="Times New Roman"/>
                <w:sz w:val="20"/>
                <w:szCs w:val="20"/>
              </w:rPr>
              <w:t>Retained</w:t>
            </w:r>
          </w:p>
        </w:tc>
      </w:tr>
    </w:tbl>
    <w:p w14:paraId="5A3DCA7A" w14:textId="77777777" w:rsidR="00006EE1" w:rsidRDefault="00006EE1" w:rsidP="00833398">
      <w:pPr>
        <w:pStyle w:val="NormalWeb"/>
        <w:jc w:val="both"/>
      </w:pPr>
    </w:p>
    <w:p w14:paraId="0F8DA3A2" w14:textId="26333FAB" w:rsidR="00006EE1" w:rsidRDefault="00AC7195" w:rsidP="00833398">
      <w:pPr>
        <w:pStyle w:val="NormalWeb"/>
        <w:jc w:val="both"/>
      </w:pPr>
      <w:r>
        <w:t>Table 7</w:t>
      </w:r>
      <w:r w:rsidR="00833398">
        <w:t xml:space="preserve"> represents </w:t>
      </w:r>
      <w:r w:rsidR="00600E25">
        <w:t xml:space="preserve">the </w:t>
      </w:r>
      <w:r w:rsidR="00833398">
        <w:t xml:space="preserve">item total correlation value, and </w:t>
      </w:r>
      <w:r w:rsidR="00FF41B2">
        <w:t xml:space="preserve">the </w:t>
      </w:r>
      <w:r w:rsidR="00833398">
        <w:t>C</w:t>
      </w:r>
      <w:r w:rsidR="00600E25">
        <w:t>ronbach's</w:t>
      </w:r>
      <w:r w:rsidR="00833398">
        <w:t xml:space="preserve"> values if the particular item </w:t>
      </w:r>
      <w:r w:rsidR="00AC2688">
        <w:t>is</w:t>
      </w:r>
      <w:r w:rsidR="00FF41B2">
        <w:t xml:space="preserve"> </w:t>
      </w:r>
      <w:r w:rsidR="00833398">
        <w:t>deleted.</w:t>
      </w:r>
      <w:r w:rsidR="00600E25">
        <w:t xml:space="preserve"> </w:t>
      </w:r>
      <w:r w:rsidR="00833398">
        <w:t>Hence</w:t>
      </w:r>
      <w:r w:rsidR="00600E25">
        <w:t>,</w:t>
      </w:r>
      <w:r w:rsidR="00833398">
        <w:t xml:space="preserve"> correlated value</w:t>
      </w:r>
      <w:r w:rsidR="00600E25">
        <w:t>s</w:t>
      </w:r>
      <w:r w:rsidR="00833398">
        <w:t xml:space="preserve"> </w:t>
      </w:r>
      <w:r w:rsidR="00FF41B2">
        <w:t>that</w:t>
      </w:r>
      <w:r w:rsidR="00833398">
        <w:t xml:space="preserve"> are </w:t>
      </w:r>
      <w:proofErr w:type="gramStart"/>
      <w:r w:rsidR="00833398">
        <w:t>above  0.20</w:t>
      </w:r>
      <w:proofErr w:type="gramEnd"/>
      <w:r w:rsidR="00833398">
        <w:t xml:space="preserve"> ar</w:t>
      </w:r>
      <w:r w:rsidR="00600E25">
        <w:t>e retained for the scale. So, 16</w:t>
      </w:r>
      <w:r w:rsidR="00833398">
        <w:t xml:space="preserve"> items that are refined from EFA analysis are reliable from </w:t>
      </w:r>
      <w:r w:rsidR="00FF41B2">
        <w:t xml:space="preserve">the </w:t>
      </w:r>
      <w:r w:rsidR="00833398">
        <w:t>item total correlat</w:t>
      </w:r>
      <w:r w:rsidR="00FF41B2">
        <w:t>ion</w:t>
      </w:r>
      <w:r w:rsidR="00833398">
        <w:t xml:space="preserve"> value. According </w:t>
      </w:r>
      <w:r w:rsidR="00FF41B2">
        <w:t xml:space="preserve">to </w:t>
      </w:r>
      <w:r w:rsidR="00833398">
        <w:t>C</w:t>
      </w:r>
      <w:r w:rsidR="00600E25">
        <w:t>ronbach's</w:t>
      </w:r>
      <w:r w:rsidR="00833398">
        <w:t xml:space="preserve"> values, if </w:t>
      </w:r>
      <w:r w:rsidR="00AC2688">
        <w:t>a specific item is</w:t>
      </w:r>
      <w:r w:rsidR="00600E25">
        <w:t xml:space="preserve"> </w:t>
      </w:r>
      <w:r w:rsidR="00FF41B2">
        <w:t>delete</w:t>
      </w:r>
      <w:r w:rsidR="0074064E">
        <w:t>d</w:t>
      </w:r>
      <w:r w:rsidR="00FF41B2">
        <w:t>,</w:t>
      </w:r>
      <w:r w:rsidR="00833398">
        <w:t xml:space="preserve"> the overall value for each item show</w:t>
      </w:r>
      <w:r w:rsidR="00FF41B2">
        <w:t>s</w:t>
      </w:r>
      <w:r w:rsidR="00600E25">
        <w:t xml:space="preserve"> </w:t>
      </w:r>
      <w:r w:rsidR="00FF41B2">
        <w:t>a reliability.</w:t>
      </w:r>
      <w:r w:rsidR="00600E25">
        <w:t xml:space="preserve"> T</w:t>
      </w:r>
      <w:r w:rsidR="000963B1">
        <w:t xml:space="preserve">he total value also suggests that all items of the scale equally contribute </w:t>
      </w:r>
      <w:r w:rsidR="00FF41B2">
        <w:t>to making</w:t>
      </w:r>
      <w:r w:rsidR="000963B1">
        <w:t xml:space="preserve"> it reliable</w:t>
      </w:r>
      <w:r w:rsidR="00833398">
        <w:t>.</w:t>
      </w:r>
      <w:r w:rsidR="00600E25">
        <w:t xml:space="preserve"> </w:t>
      </w:r>
      <w:r w:rsidR="00833398">
        <w:t>Therefore</w:t>
      </w:r>
      <w:r w:rsidR="00FF41B2">
        <w:t>,</w:t>
      </w:r>
      <w:r w:rsidR="00833398">
        <w:t xml:space="preserve"> all 16 items are retained for the scale.</w:t>
      </w:r>
    </w:p>
    <w:tbl>
      <w:tblPr>
        <w:tblStyle w:val="TableGrid"/>
        <w:tblpPr w:leftFromText="180" w:rightFromText="180" w:vertAnchor="text" w:horzAnchor="margin" w:tblpXSpec="center" w:tblpY="287"/>
        <w:tblW w:w="5689" w:type="dxa"/>
        <w:tblLook w:val="04A0" w:firstRow="1" w:lastRow="0" w:firstColumn="1" w:lastColumn="0" w:noHBand="0" w:noVBand="1"/>
      </w:tblPr>
      <w:tblGrid>
        <w:gridCol w:w="631"/>
        <w:gridCol w:w="1462"/>
        <w:gridCol w:w="1134"/>
        <w:gridCol w:w="551"/>
        <w:gridCol w:w="725"/>
        <w:gridCol w:w="1186"/>
      </w:tblGrid>
      <w:tr w:rsidR="00833398" w:rsidRPr="00A43AFF" w14:paraId="59A05024" w14:textId="77777777" w:rsidTr="00854FFF">
        <w:trPr>
          <w:trHeight w:val="421"/>
        </w:trPr>
        <w:tc>
          <w:tcPr>
            <w:tcW w:w="5689" w:type="dxa"/>
            <w:gridSpan w:val="6"/>
            <w:tcBorders>
              <w:bottom w:val="single" w:sz="4" w:space="0" w:color="auto"/>
            </w:tcBorders>
            <w:noWrap/>
          </w:tcPr>
          <w:p w14:paraId="47CB3440" w14:textId="7FEA3D2D" w:rsidR="00833398" w:rsidRPr="00854FFF" w:rsidRDefault="00AC7195" w:rsidP="00854FFF">
            <w:pPr>
              <w:rPr>
                <w:rFonts w:ascii="Calibri" w:eastAsia="Times New Roman" w:hAnsi="Calibri" w:cs="Calibri"/>
                <w:b/>
                <w:bCs/>
                <w:color w:val="000000"/>
                <w:lang w:eastAsia="en-IN"/>
              </w:rPr>
            </w:pPr>
            <w:r>
              <w:rPr>
                <w:rFonts w:ascii="Calibri" w:eastAsia="Times New Roman" w:hAnsi="Calibri" w:cs="Calibri"/>
                <w:b/>
                <w:bCs/>
                <w:color w:val="000000"/>
                <w:lang w:eastAsia="en-IN"/>
              </w:rPr>
              <w:t>Table:8</w:t>
            </w:r>
            <w:r w:rsidR="00162686">
              <w:rPr>
                <w:rFonts w:ascii="Calibri" w:eastAsia="Times New Roman" w:hAnsi="Calibri" w:cs="Calibri"/>
                <w:b/>
                <w:bCs/>
                <w:color w:val="000000"/>
                <w:lang w:eastAsia="en-IN"/>
              </w:rPr>
              <w:t xml:space="preserve"> </w:t>
            </w:r>
            <w:r w:rsidR="00854FFF" w:rsidRPr="00A43AFF">
              <w:rPr>
                <w:rFonts w:ascii="Calibri" w:eastAsia="Times New Roman" w:hAnsi="Calibri" w:cs="Calibri"/>
                <w:color w:val="000000"/>
                <w:lang w:eastAsia="en-IN"/>
              </w:rPr>
              <w:t>Correlations</w:t>
            </w:r>
          </w:p>
        </w:tc>
      </w:tr>
      <w:tr w:rsidR="00833398" w:rsidRPr="00A43AFF" w14:paraId="1572639C" w14:textId="77777777" w:rsidTr="00833398">
        <w:trPr>
          <w:trHeight w:val="291"/>
        </w:trPr>
        <w:tc>
          <w:tcPr>
            <w:tcW w:w="631" w:type="dxa"/>
            <w:noWrap/>
            <w:hideMark/>
          </w:tcPr>
          <w:p w14:paraId="762F6D8F"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Item</w:t>
            </w:r>
          </w:p>
        </w:tc>
        <w:tc>
          <w:tcPr>
            <w:tcW w:w="1462" w:type="dxa"/>
            <w:noWrap/>
            <w:hideMark/>
          </w:tcPr>
          <w:p w14:paraId="148B0A27"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Item Total Correlation Value (Pearson Correlation)</w:t>
            </w:r>
          </w:p>
        </w:tc>
        <w:tc>
          <w:tcPr>
            <w:tcW w:w="1134" w:type="dxa"/>
            <w:noWrap/>
            <w:hideMark/>
          </w:tcPr>
          <w:p w14:paraId="35112FBE"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Sig. (2-tailed)</w:t>
            </w:r>
          </w:p>
        </w:tc>
        <w:tc>
          <w:tcPr>
            <w:tcW w:w="551" w:type="dxa"/>
            <w:noWrap/>
            <w:hideMark/>
          </w:tcPr>
          <w:p w14:paraId="6F6160FD"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N</w:t>
            </w:r>
          </w:p>
        </w:tc>
        <w:tc>
          <w:tcPr>
            <w:tcW w:w="725" w:type="dxa"/>
            <w:noWrap/>
            <w:hideMark/>
          </w:tcPr>
          <w:p w14:paraId="05D2C95E"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Df</w:t>
            </w:r>
          </w:p>
        </w:tc>
        <w:tc>
          <w:tcPr>
            <w:tcW w:w="1186" w:type="dxa"/>
            <w:noWrap/>
            <w:hideMark/>
          </w:tcPr>
          <w:p w14:paraId="0283CD94"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Minimum Coefficient Value at 95% C.I</w:t>
            </w:r>
          </w:p>
        </w:tc>
      </w:tr>
      <w:tr w:rsidR="00833398" w:rsidRPr="00A43AFF" w14:paraId="6E2C2E5E" w14:textId="77777777" w:rsidTr="00833398">
        <w:trPr>
          <w:trHeight w:val="291"/>
        </w:trPr>
        <w:tc>
          <w:tcPr>
            <w:tcW w:w="631" w:type="dxa"/>
            <w:noWrap/>
            <w:hideMark/>
          </w:tcPr>
          <w:p w14:paraId="60641E08"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Q2</w:t>
            </w:r>
          </w:p>
        </w:tc>
        <w:tc>
          <w:tcPr>
            <w:tcW w:w="1462" w:type="dxa"/>
            <w:noWrap/>
            <w:hideMark/>
          </w:tcPr>
          <w:p w14:paraId="7BE0F8E3"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0.332**</w:t>
            </w:r>
          </w:p>
        </w:tc>
        <w:tc>
          <w:tcPr>
            <w:tcW w:w="1134" w:type="dxa"/>
            <w:noWrap/>
            <w:hideMark/>
          </w:tcPr>
          <w:p w14:paraId="00B91075" w14:textId="77777777" w:rsidR="00833398" w:rsidRPr="00A43AFF" w:rsidRDefault="00833398" w:rsidP="00833398">
            <w:pPr>
              <w:jc w:val="right"/>
              <w:rPr>
                <w:rFonts w:ascii="Calibri" w:eastAsia="Times New Roman" w:hAnsi="Calibri" w:cs="Calibri"/>
                <w:color w:val="000000"/>
                <w:lang w:eastAsia="en-IN"/>
              </w:rPr>
            </w:pPr>
            <w:r>
              <w:rPr>
                <w:rFonts w:ascii="Calibri" w:eastAsia="Times New Roman" w:hAnsi="Calibri" w:cs="Calibri"/>
                <w:color w:val="000000"/>
                <w:lang w:eastAsia="en-IN"/>
              </w:rPr>
              <w:t>.</w:t>
            </w:r>
            <w:r w:rsidRPr="00A43AFF">
              <w:rPr>
                <w:rFonts w:ascii="Calibri" w:eastAsia="Times New Roman" w:hAnsi="Calibri" w:cs="Calibri"/>
                <w:color w:val="000000"/>
                <w:lang w:eastAsia="en-IN"/>
              </w:rPr>
              <w:t>0</w:t>
            </w:r>
            <w:r>
              <w:rPr>
                <w:rFonts w:ascii="Calibri" w:eastAsia="Times New Roman" w:hAnsi="Calibri" w:cs="Calibri"/>
                <w:color w:val="000000"/>
                <w:lang w:eastAsia="en-IN"/>
              </w:rPr>
              <w:t>00</w:t>
            </w:r>
          </w:p>
        </w:tc>
        <w:tc>
          <w:tcPr>
            <w:tcW w:w="551" w:type="dxa"/>
            <w:vMerge w:val="restart"/>
            <w:noWrap/>
            <w:hideMark/>
          </w:tcPr>
          <w:p w14:paraId="56B912DF" w14:textId="77777777" w:rsidR="00833398" w:rsidRPr="00A43AFF" w:rsidRDefault="00833398" w:rsidP="00833398">
            <w:pPr>
              <w:jc w:val="right"/>
              <w:rPr>
                <w:rFonts w:ascii="Calibri" w:eastAsia="Times New Roman" w:hAnsi="Calibri" w:cs="Calibri"/>
                <w:color w:val="000000"/>
                <w:lang w:eastAsia="en-IN"/>
              </w:rPr>
            </w:pPr>
            <w:r w:rsidRPr="00A43AFF">
              <w:rPr>
                <w:rFonts w:ascii="Calibri" w:eastAsia="Times New Roman" w:hAnsi="Calibri" w:cs="Calibri"/>
                <w:color w:val="000000"/>
                <w:lang w:eastAsia="en-IN"/>
              </w:rPr>
              <w:t>190</w:t>
            </w:r>
          </w:p>
        </w:tc>
        <w:tc>
          <w:tcPr>
            <w:tcW w:w="725" w:type="dxa"/>
            <w:vMerge w:val="restart"/>
            <w:noWrap/>
            <w:hideMark/>
          </w:tcPr>
          <w:p w14:paraId="1515E1F6" w14:textId="77777777" w:rsidR="00833398" w:rsidRPr="00A43AFF" w:rsidRDefault="00833398" w:rsidP="00833398">
            <w:pPr>
              <w:jc w:val="right"/>
              <w:rPr>
                <w:rFonts w:ascii="Calibri" w:eastAsia="Times New Roman" w:hAnsi="Calibri" w:cs="Calibri"/>
                <w:color w:val="000000"/>
                <w:lang w:eastAsia="en-IN"/>
              </w:rPr>
            </w:pPr>
            <w:r w:rsidRPr="00A43AFF">
              <w:rPr>
                <w:rFonts w:ascii="Calibri" w:eastAsia="Times New Roman" w:hAnsi="Calibri" w:cs="Calibri"/>
                <w:color w:val="000000"/>
                <w:lang w:eastAsia="en-IN"/>
              </w:rPr>
              <w:t>188</w:t>
            </w:r>
          </w:p>
        </w:tc>
        <w:tc>
          <w:tcPr>
            <w:tcW w:w="1186" w:type="dxa"/>
            <w:vMerge w:val="restart"/>
            <w:noWrap/>
            <w:hideMark/>
          </w:tcPr>
          <w:p w14:paraId="038A5D5B" w14:textId="77777777" w:rsidR="00833398" w:rsidRPr="00A43AFF" w:rsidRDefault="00F23678" w:rsidP="00833398">
            <w:pPr>
              <w:rPr>
                <w:rFonts w:ascii="Calibri" w:eastAsia="Times New Roman" w:hAnsi="Calibri" w:cs="Calibri"/>
                <w:color w:val="000000"/>
                <w:lang w:eastAsia="en-IN"/>
              </w:rPr>
            </w:pPr>
            <w:r>
              <w:rPr>
                <w:rFonts w:ascii="Calibri" w:eastAsia="Times New Roman" w:hAnsi="Calibri" w:cs="Calibri"/>
                <w:color w:val="000000"/>
                <w:lang w:eastAsia="en-IN"/>
              </w:rPr>
              <w:t>0.1593</w:t>
            </w:r>
          </w:p>
        </w:tc>
      </w:tr>
      <w:tr w:rsidR="00833398" w:rsidRPr="00A43AFF" w14:paraId="33303ED9" w14:textId="77777777" w:rsidTr="00833398">
        <w:trPr>
          <w:trHeight w:val="291"/>
        </w:trPr>
        <w:tc>
          <w:tcPr>
            <w:tcW w:w="631" w:type="dxa"/>
            <w:noWrap/>
            <w:hideMark/>
          </w:tcPr>
          <w:p w14:paraId="2FFBC2D6"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Q26</w:t>
            </w:r>
          </w:p>
        </w:tc>
        <w:tc>
          <w:tcPr>
            <w:tcW w:w="1462" w:type="dxa"/>
            <w:noWrap/>
            <w:hideMark/>
          </w:tcPr>
          <w:p w14:paraId="686E5ACA"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0.534**</w:t>
            </w:r>
          </w:p>
        </w:tc>
        <w:tc>
          <w:tcPr>
            <w:tcW w:w="1134" w:type="dxa"/>
            <w:noWrap/>
            <w:hideMark/>
          </w:tcPr>
          <w:p w14:paraId="6C9DE96C" w14:textId="77777777" w:rsidR="00833398" w:rsidRPr="00A43AFF" w:rsidRDefault="00833398" w:rsidP="00833398">
            <w:pPr>
              <w:jc w:val="right"/>
              <w:rPr>
                <w:rFonts w:ascii="Calibri" w:eastAsia="Times New Roman" w:hAnsi="Calibri" w:cs="Calibri"/>
                <w:color w:val="000000"/>
                <w:lang w:eastAsia="en-IN"/>
              </w:rPr>
            </w:pPr>
            <w:r w:rsidRPr="00A43AFF">
              <w:rPr>
                <w:rFonts w:ascii="Calibri" w:eastAsia="Times New Roman" w:hAnsi="Calibri" w:cs="Calibri"/>
                <w:color w:val="000000"/>
                <w:lang w:eastAsia="en-IN"/>
              </w:rPr>
              <w:t>.000</w:t>
            </w:r>
          </w:p>
        </w:tc>
        <w:tc>
          <w:tcPr>
            <w:tcW w:w="551" w:type="dxa"/>
            <w:vMerge/>
            <w:noWrap/>
            <w:hideMark/>
          </w:tcPr>
          <w:p w14:paraId="0110BF9C"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7A938262"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07FDEB15" w14:textId="77777777" w:rsidR="00833398" w:rsidRPr="00A43AFF" w:rsidRDefault="00833398" w:rsidP="00833398">
            <w:pPr>
              <w:rPr>
                <w:rFonts w:ascii="Calibri" w:eastAsia="Times New Roman" w:hAnsi="Calibri" w:cs="Calibri"/>
                <w:color w:val="000000"/>
                <w:lang w:eastAsia="en-IN"/>
              </w:rPr>
            </w:pPr>
          </w:p>
        </w:tc>
      </w:tr>
      <w:tr w:rsidR="00833398" w:rsidRPr="00A43AFF" w14:paraId="3237E7B3" w14:textId="77777777" w:rsidTr="00833398">
        <w:trPr>
          <w:trHeight w:val="291"/>
        </w:trPr>
        <w:tc>
          <w:tcPr>
            <w:tcW w:w="631" w:type="dxa"/>
            <w:noWrap/>
            <w:hideMark/>
          </w:tcPr>
          <w:p w14:paraId="5CE7E9D7"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Q28</w:t>
            </w:r>
          </w:p>
        </w:tc>
        <w:tc>
          <w:tcPr>
            <w:tcW w:w="1462" w:type="dxa"/>
            <w:noWrap/>
            <w:hideMark/>
          </w:tcPr>
          <w:p w14:paraId="4802C33C"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0.569**</w:t>
            </w:r>
          </w:p>
        </w:tc>
        <w:tc>
          <w:tcPr>
            <w:tcW w:w="1134" w:type="dxa"/>
            <w:noWrap/>
            <w:hideMark/>
          </w:tcPr>
          <w:p w14:paraId="2D089E61" w14:textId="77777777" w:rsidR="00833398" w:rsidRPr="00A43AFF" w:rsidRDefault="00833398" w:rsidP="00833398">
            <w:pPr>
              <w:jc w:val="right"/>
              <w:rPr>
                <w:rFonts w:ascii="Calibri" w:eastAsia="Times New Roman" w:hAnsi="Calibri" w:cs="Calibri"/>
                <w:color w:val="000000"/>
                <w:lang w:eastAsia="en-IN"/>
              </w:rPr>
            </w:pPr>
            <w:r w:rsidRPr="00A43AFF">
              <w:rPr>
                <w:rFonts w:ascii="Calibri" w:eastAsia="Times New Roman" w:hAnsi="Calibri" w:cs="Calibri"/>
                <w:color w:val="000000"/>
                <w:lang w:eastAsia="en-IN"/>
              </w:rPr>
              <w:t>.000</w:t>
            </w:r>
          </w:p>
        </w:tc>
        <w:tc>
          <w:tcPr>
            <w:tcW w:w="551" w:type="dxa"/>
            <w:vMerge/>
            <w:noWrap/>
            <w:hideMark/>
          </w:tcPr>
          <w:p w14:paraId="3EB0B0F3"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1B813F95"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487100C9" w14:textId="77777777" w:rsidR="00833398" w:rsidRPr="00A43AFF" w:rsidRDefault="00833398" w:rsidP="00833398">
            <w:pPr>
              <w:rPr>
                <w:rFonts w:ascii="Calibri" w:eastAsia="Times New Roman" w:hAnsi="Calibri" w:cs="Calibri"/>
                <w:color w:val="000000"/>
                <w:lang w:eastAsia="en-IN"/>
              </w:rPr>
            </w:pPr>
          </w:p>
        </w:tc>
      </w:tr>
      <w:tr w:rsidR="00833398" w:rsidRPr="00A43AFF" w14:paraId="434DCC10" w14:textId="77777777" w:rsidTr="00833398">
        <w:trPr>
          <w:trHeight w:val="291"/>
        </w:trPr>
        <w:tc>
          <w:tcPr>
            <w:tcW w:w="631" w:type="dxa"/>
            <w:noWrap/>
            <w:hideMark/>
          </w:tcPr>
          <w:p w14:paraId="25C09F36"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Q49</w:t>
            </w:r>
          </w:p>
        </w:tc>
        <w:tc>
          <w:tcPr>
            <w:tcW w:w="1462" w:type="dxa"/>
            <w:noWrap/>
            <w:hideMark/>
          </w:tcPr>
          <w:p w14:paraId="69A8A4A5"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0.696**</w:t>
            </w:r>
          </w:p>
        </w:tc>
        <w:tc>
          <w:tcPr>
            <w:tcW w:w="1134" w:type="dxa"/>
            <w:noWrap/>
            <w:hideMark/>
          </w:tcPr>
          <w:p w14:paraId="05C13978" w14:textId="77777777" w:rsidR="00833398" w:rsidRPr="00A43AFF" w:rsidRDefault="00833398" w:rsidP="00833398">
            <w:pPr>
              <w:jc w:val="right"/>
              <w:rPr>
                <w:rFonts w:ascii="Calibri" w:eastAsia="Times New Roman" w:hAnsi="Calibri" w:cs="Calibri"/>
                <w:color w:val="000000"/>
                <w:lang w:eastAsia="en-IN"/>
              </w:rPr>
            </w:pPr>
            <w:r>
              <w:rPr>
                <w:rFonts w:ascii="Calibri" w:eastAsia="Times New Roman" w:hAnsi="Calibri" w:cs="Calibri"/>
                <w:color w:val="000000"/>
                <w:lang w:eastAsia="en-IN"/>
              </w:rPr>
              <w:t>.</w:t>
            </w:r>
            <w:r w:rsidRPr="00A43AFF">
              <w:rPr>
                <w:rFonts w:ascii="Calibri" w:eastAsia="Times New Roman" w:hAnsi="Calibri" w:cs="Calibri"/>
                <w:color w:val="000000"/>
                <w:lang w:eastAsia="en-IN"/>
              </w:rPr>
              <w:t>0</w:t>
            </w:r>
            <w:r>
              <w:rPr>
                <w:rFonts w:ascii="Calibri" w:eastAsia="Times New Roman" w:hAnsi="Calibri" w:cs="Calibri"/>
                <w:color w:val="000000"/>
                <w:lang w:eastAsia="en-IN"/>
              </w:rPr>
              <w:t>00</w:t>
            </w:r>
          </w:p>
        </w:tc>
        <w:tc>
          <w:tcPr>
            <w:tcW w:w="551" w:type="dxa"/>
            <w:vMerge/>
            <w:noWrap/>
            <w:hideMark/>
          </w:tcPr>
          <w:p w14:paraId="60C656CE"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33FD0F1A"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0E39325D" w14:textId="77777777" w:rsidR="00833398" w:rsidRPr="00A43AFF" w:rsidRDefault="00833398" w:rsidP="00833398">
            <w:pPr>
              <w:rPr>
                <w:rFonts w:ascii="Calibri" w:eastAsia="Times New Roman" w:hAnsi="Calibri" w:cs="Calibri"/>
                <w:color w:val="000000"/>
                <w:lang w:eastAsia="en-IN"/>
              </w:rPr>
            </w:pPr>
          </w:p>
        </w:tc>
      </w:tr>
      <w:tr w:rsidR="00833398" w:rsidRPr="00A43AFF" w14:paraId="0D2EE223" w14:textId="77777777" w:rsidTr="00833398">
        <w:trPr>
          <w:trHeight w:val="291"/>
        </w:trPr>
        <w:tc>
          <w:tcPr>
            <w:tcW w:w="631" w:type="dxa"/>
            <w:noWrap/>
            <w:hideMark/>
          </w:tcPr>
          <w:p w14:paraId="1A9A5715"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Q50</w:t>
            </w:r>
          </w:p>
        </w:tc>
        <w:tc>
          <w:tcPr>
            <w:tcW w:w="1462" w:type="dxa"/>
            <w:noWrap/>
            <w:hideMark/>
          </w:tcPr>
          <w:p w14:paraId="2E0B8F3B"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0.701**</w:t>
            </w:r>
          </w:p>
        </w:tc>
        <w:tc>
          <w:tcPr>
            <w:tcW w:w="1134" w:type="dxa"/>
            <w:noWrap/>
            <w:hideMark/>
          </w:tcPr>
          <w:p w14:paraId="0C8292AB" w14:textId="77777777" w:rsidR="00833398" w:rsidRPr="00A43AFF" w:rsidRDefault="00833398" w:rsidP="00833398">
            <w:pPr>
              <w:jc w:val="right"/>
              <w:rPr>
                <w:rFonts w:ascii="Calibri" w:eastAsia="Times New Roman" w:hAnsi="Calibri" w:cs="Calibri"/>
                <w:color w:val="000000"/>
                <w:lang w:eastAsia="en-IN"/>
              </w:rPr>
            </w:pPr>
            <w:r w:rsidRPr="00A43AFF">
              <w:rPr>
                <w:rFonts w:ascii="Calibri" w:eastAsia="Times New Roman" w:hAnsi="Calibri" w:cs="Calibri"/>
                <w:color w:val="000000"/>
                <w:lang w:eastAsia="en-IN"/>
              </w:rPr>
              <w:t>.000</w:t>
            </w:r>
          </w:p>
        </w:tc>
        <w:tc>
          <w:tcPr>
            <w:tcW w:w="551" w:type="dxa"/>
            <w:vMerge/>
            <w:noWrap/>
            <w:hideMark/>
          </w:tcPr>
          <w:p w14:paraId="0841617F"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4F460187"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4BB58151" w14:textId="77777777" w:rsidR="00833398" w:rsidRPr="00A43AFF" w:rsidRDefault="00833398" w:rsidP="00833398">
            <w:pPr>
              <w:rPr>
                <w:rFonts w:ascii="Calibri" w:eastAsia="Times New Roman" w:hAnsi="Calibri" w:cs="Calibri"/>
                <w:color w:val="000000"/>
                <w:lang w:eastAsia="en-IN"/>
              </w:rPr>
            </w:pPr>
          </w:p>
        </w:tc>
      </w:tr>
      <w:tr w:rsidR="00833398" w:rsidRPr="00A43AFF" w14:paraId="3390FDE9" w14:textId="77777777" w:rsidTr="00833398">
        <w:trPr>
          <w:trHeight w:val="291"/>
        </w:trPr>
        <w:tc>
          <w:tcPr>
            <w:tcW w:w="631" w:type="dxa"/>
            <w:noWrap/>
            <w:hideMark/>
          </w:tcPr>
          <w:p w14:paraId="5AA606CB"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lastRenderedPageBreak/>
              <w:t>Q51</w:t>
            </w:r>
          </w:p>
        </w:tc>
        <w:tc>
          <w:tcPr>
            <w:tcW w:w="1462" w:type="dxa"/>
            <w:noWrap/>
            <w:hideMark/>
          </w:tcPr>
          <w:p w14:paraId="2E5F8EC9"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0.726**</w:t>
            </w:r>
          </w:p>
        </w:tc>
        <w:tc>
          <w:tcPr>
            <w:tcW w:w="1134" w:type="dxa"/>
            <w:noWrap/>
            <w:hideMark/>
          </w:tcPr>
          <w:p w14:paraId="22F58439" w14:textId="77777777" w:rsidR="00833398" w:rsidRPr="00A43AFF" w:rsidRDefault="00833398" w:rsidP="00833398">
            <w:pPr>
              <w:jc w:val="right"/>
              <w:rPr>
                <w:rFonts w:ascii="Calibri" w:eastAsia="Times New Roman" w:hAnsi="Calibri" w:cs="Calibri"/>
                <w:color w:val="000000"/>
                <w:lang w:eastAsia="en-IN"/>
              </w:rPr>
            </w:pPr>
            <w:r w:rsidRPr="00A43AFF">
              <w:rPr>
                <w:rFonts w:ascii="Calibri" w:eastAsia="Times New Roman" w:hAnsi="Calibri" w:cs="Calibri"/>
                <w:color w:val="000000"/>
                <w:lang w:eastAsia="en-IN"/>
              </w:rPr>
              <w:t>.000</w:t>
            </w:r>
          </w:p>
        </w:tc>
        <w:tc>
          <w:tcPr>
            <w:tcW w:w="551" w:type="dxa"/>
            <w:vMerge/>
            <w:noWrap/>
            <w:hideMark/>
          </w:tcPr>
          <w:p w14:paraId="3FDE31F5"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4A2F6722"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1794691B" w14:textId="77777777" w:rsidR="00833398" w:rsidRPr="00A43AFF" w:rsidRDefault="00833398" w:rsidP="00833398">
            <w:pPr>
              <w:rPr>
                <w:rFonts w:ascii="Calibri" w:eastAsia="Times New Roman" w:hAnsi="Calibri" w:cs="Calibri"/>
                <w:color w:val="000000"/>
                <w:lang w:eastAsia="en-IN"/>
              </w:rPr>
            </w:pPr>
          </w:p>
        </w:tc>
      </w:tr>
      <w:tr w:rsidR="00833398" w:rsidRPr="00A43AFF" w14:paraId="67B6722B" w14:textId="77777777" w:rsidTr="00833398">
        <w:trPr>
          <w:trHeight w:val="291"/>
        </w:trPr>
        <w:tc>
          <w:tcPr>
            <w:tcW w:w="631" w:type="dxa"/>
            <w:noWrap/>
            <w:hideMark/>
          </w:tcPr>
          <w:p w14:paraId="5C69A9F6"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Q52</w:t>
            </w:r>
          </w:p>
        </w:tc>
        <w:tc>
          <w:tcPr>
            <w:tcW w:w="1462" w:type="dxa"/>
            <w:noWrap/>
            <w:hideMark/>
          </w:tcPr>
          <w:p w14:paraId="5CAA25CC"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0.719**</w:t>
            </w:r>
          </w:p>
        </w:tc>
        <w:tc>
          <w:tcPr>
            <w:tcW w:w="1134" w:type="dxa"/>
            <w:noWrap/>
            <w:hideMark/>
          </w:tcPr>
          <w:p w14:paraId="0678DE60" w14:textId="77777777" w:rsidR="00833398" w:rsidRPr="00A43AFF" w:rsidRDefault="00833398" w:rsidP="00833398">
            <w:pPr>
              <w:jc w:val="right"/>
              <w:rPr>
                <w:rFonts w:ascii="Calibri" w:eastAsia="Times New Roman" w:hAnsi="Calibri" w:cs="Calibri"/>
                <w:color w:val="000000"/>
                <w:lang w:eastAsia="en-IN"/>
              </w:rPr>
            </w:pPr>
            <w:r>
              <w:rPr>
                <w:rFonts w:ascii="Calibri" w:eastAsia="Times New Roman" w:hAnsi="Calibri" w:cs="Calibri"/>
                <w:color w:val="000000"/>
                <w:lang w:eastAsia="en-IN"/>
              </w:rPr>
              <w:t>.</w:t>
            </w:r>
            <w:r w:rsidRPr="00A43AFF">
              <w:rPr>
                <w:rFonts w:ascii="Calibri" w:eastAsia="Times New Roman" w:hAnsi="Calibri" w:cs="Calibri"/>
                <w:color w:val="000000"/>
                <w:lang w:eastAsia="en-IN"/>
              </w:rPr>
              <w:t>0</w:t>
            </w:r>
            <w:r>
              <w:rPr>
                <w:rFonts w:ascii="Calibri" w:eastAsia="Times New Roman" w:hAnsi="Calibri" w:cs="Calibri"/>
                <w:color w:val="000000"/>
                <w:lang w:eastAsia="en-IN"/>
              </w:rPr>
              <w:t>00</w:t>
            </w:r>
          </w:p>
        </w:tc>
        <w:tc>
          <w:tcPr>
            <w:tcW w:w="551" w:type="dxa"/>
            <w:vMerge/>
            <w:noWrap/>
            <w:hideMark/>
          </w:tcPr>
          <w:p w14:paraId="65F7C57D"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6D604A96"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221A5833" w14:textId="77777777" w:rsidR="00833398" w:rsidRPr="00A43AFF" w:rsidRDefault="00833398" w:rsidP="00833398">
            <w:pPr>
              <w:rPr>
                <w:rFonts w:ascii="Calibri" w:eastAsia="Times New Roman" w:hAnsi="Calibri" w:cs="Calibri"/>
                <w:color w:val="000000"/>
                <w:lang w:eastAsia="en-IN"/>
              </w:rPr>
            </w:pPr>
          </w:p>
        </w:tc>
      </w:tr>
      <w:tr w:rsidR="00833398" w:rsidRPr="00A43AFF" w14:paraId="30D07C6E" w14:textId="77777777" w:rsidTr="00833398">
        <w:trPr>
          <w:trHeight w:val="291"/>
        </w:trPr>
        <w:tc>
          <w:tcPr>
            <w:tcW w:w="631" w:type="dxa"/>
            <w:noWrap/>
            <w:hideMark/>
          </w:tcPr>
          <w:p w14:paraId="5D46CD10"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Q54</w:t>
            </w:r>
          </w:p>
        </w:tc>
        <w:tc>
          <w:tcPr>
            <w:tcW w:w="1462" w:type="dxa"/>
            <w:noWrap/>
            <w:hideMark/>
          </w:tcPr>
          <w:p w14:paraId="0035B8CE"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0.621**</w:t>
            </w:r>
          </w:p>
        </w:tc>
        <w:tc>
          <w:tcPr>
            <w:tcW w:w="1134" w:type="dxa"/>
            <w:noWrap/>
            <w:hideMark/>
          </w:tcPr>
          <w:p w14:paraId="27FF7015" w14:textId="77777777" w:rsidR="00833398" w:rsidRPr="00A43AFF" w:rsidRDefault="00833398" w:rsidP="00833398">
            <w:pPr>
              <w:jc w:val="right"/>
              <w:rPr>
                <w:rFonts w:ascii="Calibri" w:eastAsia="Times New Roman" w:hAnsi="Calibri" w:cs="Calibri"/>
                <w:color w:val="000000"/>
                <w:lang w:eastAsia="en-IN"/>
              </w:rPr>
            </w:pPr>
            <w:r w:rsidRPr="00A43AFF">
              <w:rPr>
                <w:rFonts w:ascii="Calibri" w:eastAsia="Times New Roman" w:hAnsi="Calibri" w:cs="Calibri"/>
                <w:color w:val="000000"/>
                <w:lang w:eastAsia="en-IN"/>
              </w:rPr>
              <w:t>.000</w:t>
            </w:r>
          </w:p>
        </w:tc>
        <w:tc>
          <w:tcPr>
            <w:tcW w:w="551" w:type="dxa"/>
            <w:vMerge/>
            <w:noWrap/>
            <w:hideMark/>
          </w:tcPr>
          <w:p w14:paraId="0D7BA6C8"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5BB9FDA7"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0944D5F3" w14:textId="77777777" w:rsidR="00833398" w:rsidRPr="00A43AFF" w:rsidRDefault="00833398" w:rsidP="00833398">
            <w:pPr>
              <w:rPr>
                <w:rFonts w:ascii="Calibri" w:eastAsia="Times New Roman" w:hAnsi="Calibri" w:cs="Calibri"/>
                <w:color w:val="000000"/>
                <w:lang w:eastAsia="en-IN"/>
              </w:rPr>
            </w:pPr>
          </w:p>
        </w:tc>
      </w:tr>
      <w:tr w:rsidR="00833398" w:rsidRPr="00A43AFF" w14:paraId="64C2319F" w14:textId="77777777" w:rsidTr="00833398">
        <w:trPr>
          <w:trHeight w:val="291"/>
        </w:trPr>
        <w:tc>
          <w:tcPr>
            <w:tcW w:w="631" w:type="dxa"/>
            <w:noWrap/>
            <w:hideMark/>
          </w:tcPr>
          <w:p w14:paraId="494267CB"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Q55</w:t>
            </w:r>
          </w:p>
        </w:tc>
        <w:tc>
          <w:tcPr>
            <w:tcW w:w="1462" w:type="dxa"/>
            <w:noWrap/>
            <w:hideMark/>
          </w:tcPr>
          <w:p w14:paraId="1394BCCD"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0.634**</w:t>
            </w:r>
          </w:p>
        </w:tc>
        <w:tc>
          <w:tcPr>
            <w:tcW w:w="1134" w:type="dxa"/>
            <w:noWrap/>
            <w:hideMark/>
          </w:tcPr>
          <w:p w14:paraId="4C1BC715" w14:textId="77777777" w:rsidR="00833398" w:rsidRPr="00A43AFF" w:rsidRDefault="00833398" w:rsidP="00833398">
            <w:pPr>
              <w:jc w:val="right"/>
              <w:rPr>
                <w:rFonts w:ascii="Calibri" w:eastAsia="Times New Roman" w:hAnsi="Calibri" w:cs="Calibri"/>
                <w:color w:val="000000"/>
                <w:lang w:eastAsia="en-IN"/>
              </w:rPr>
            </w:pPr>
            <w:r w:rsidRPr="00A43AFF">
              <w:rPr>
                <w:rFonts w:ascii="Calibri" w:eastAsia="Times New Roman" w:hAnsi="Calibri" w:cs="Calibri"/>
                <w:color w:val="000000"/>
                <w:lang w:eastAsia="en-IN"/>
              </w:rPr>
              <w:t>.000</w:t>
            </w:r>
          </w:p>
        </w:tc>
        <w:tc>
          <w:tcPr>
            <w:tcW w:w="551" w:type="dxa"/>
            <w:vMerge/>
            <w:noWrap/>
            <w:hideMark/>
          </w:tcPr>
          <w:p w14:paraId="60B15CD3"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0F42EF96"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15EDF44F" w14:textId="77777777" w:rsidR="00833398" w:rsidRPr="00A43AFF" w:rsidRDefault="00833398" w:rsidP="00833398">
            <w:pPr>
              <w:rPr>
                <w:rFonts w:ascii="Calibri" w:eastAsia="Times New Roman" w:hAnsi="Calibri" w:cs="Calibri"/>
                <w:color w:val="000000"/>
                <w:lang w:eastAsia="en-IN"/>
              </w:rPr>
            </w:pPr>
          </w:p>
        </w:tc>
      </w:tr>
      <w:tr w:rsidR="00833398" w:rsidRPr="00A43AFF" w14:paraId="59078CF7" w14:textId="77777777" w:rsidTr="00833398">
        <w:trPr>
          <w:trHeight w:val="291"/>
        </w:trPr>
        <w:tc>
          <w:tcPr>
            <w:tcW w:w="631" w:type="dxa"/>
            <w:noWrap/>
            <w:hideMark/>
          </w:tcPr>
          <w:p w14:paraId="08F68013"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Q56</w:t>
            </w:r>
          </w:p>
        </w:tc>
        <w:tc>
          <w:tcPr>
            <w:tcW w:w="1462" w:type="dxa"/>
            <w:noWrap/>
            <w:hideMark/>
          </w:tcPr>
          <w:p w14:paraId="739C0E2C"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0.408**</w:t>
            </w:r>
          </w:p>
        </w:tc>
        <w:tc>
          <w:tcPr>
            <w:tcW w:w="1134" w:type="dxa"/>
            <w:noWrap/>
            <w:hideMark/>
          </w:tcPr>
          <w:p w14:paraId="44D8B3CE" w14:textId="77777777" w:rsidR="00833398" w:rsidRPr="00A43AFF" w:rsidRDefault="00833398" w:rsidP="00833398">
            <w:pPr>
              <w:jc w:val="right"/>
              <w:rPr>
                <w:rFonts w:ascii="Calibri" w:eastAsia="Times New Roman" w:hAnsi="Calibri" w:cs="Calibri"/>
                <w:color w:val="000000"/>
                <w:lang w:eastAsia="en-IN"/>
              </w:rPr>
            </w:pPr>
            <w:r>
              <w:rPr>
                <w:rFonts w:ascii="Calibri" w:eastAsia="Times New Roman" w:hAnsi="Calibri" w:cs="Calibri"/>
                <w:color w:val="000000"/>
                <w:lang w:eastAsia="en-IN"/>
              </w:rPr>
              <w:t>.</w:t>
            </w:r>
            <w:r w:rsidRPr="00A43AFF">
              <w:rPr>
                <w:rFonts w:ascii="Calibri" w:eastAsia="Times New Roman" w:hAnsi="Calibri" w:cs="Calibri"/>
                <w:color w:val="000000"/>
                <w:lang w:eastAsia="en-IN"/>
              </w:rPr>
              <w:t>0</w:t>
            </w:r>
            <w:r>
              <w:rPr>
                <w:rFonts w:ascii="Calibri" w:eastAsia="Times New Roman" w:hAnsi="Calibri" w:cs="Calibri"/>
                <w:color w:val="000000"/>
                <w:lang w:eastAsia="en-IN"/>
              </w:rPr>
              <w:t>00</w:t>
            </w:r>
          </w:p>
        </w:tc>
        <w:tc>
          <w:tcPr>
            <w:tcW w:w="551" w:type="dxa"/>
            <w:vMerge/>
            <w:noWrap/>
            <w:hideMark/>
          </w:tcPr>
          <w:p w14:paraId="4876CF8F"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1105861B"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1BF67587" w14:textId="77777777" w:rsidR="00833398" w:rsidRPr="00A43AFF" w:rsidRDefault="00833398" w:rsidP="00833398">
            <w:pPr>
              <w:rPr>
                <w:rFonts w:ascii="Calibri" w:eastAsia="Times New Roman" w:hAnsi="Calibri" w:cs="Calibri"/>
                <w:color w:val="000000"/>
                <w:lang w:eastAsia="en-IN"/>
              </w:rPr>
            </w:pPr>
          </w:p>
        </w:tc>
      </w:tr>
      <w:tr w:rsidR="00833398" w:rsidRPr="00A43AFF" w14:paraId="3D86D53F" w14:textId="77777777" w:rsidTr="00833398">
        <w:trPr>
          <w:trHeight w:val="291"/>
        </w:trPr>
        <w:tc>
          <w:tcPr>
            <w:tcW w:w="631" w:type="dxa"/>
            <w:noWrap/>
            <w:hideMark/>
          </w:tcPr>
          <w:p w14:paraId="11B7C02B"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Q60</w:t>
            </w:r>
          </w:p>
        </w:tc>
        <w:tc>
          <w:tcPr>
            <w:tcW w:w="1462" w:type="dxa"/>
            <w:noWrap/>
            <w:hideMark/>
          </w:tcPr>
          <w:p w14:paraId="5153DC54"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0.672**</w:t>
            </w:r>
          </w:p>
        </w:tc>
        <w:tc>
          <w:tcPr>
            <w:tcW w:w="1134" w:type="dxa"/>
            <w:noWrap/>
            <w:hideMark/>
          </w:tcPr>
          <w:p w14:paraId="193870E3" w14:textId="77777777" w:rsidR="00833398" w:rsidRPr="00A43AFF" w:rsidRDefault="00833398" w:rsidP="00833398">
            <w:pPr>
              <w:jc w:val="right"/>
              <w:rPr>
                <w:rFonts w:ascii="Calibri" w:eastAsia="Times New Roman" w:hAnsi="Calibri" w:cs="Calibri"/>
                <w:color w:val="000000"/>
                <w:lang w:eastAsia="en-IN"/>
              </w:rPr>
            </w:pPr>
            <w:r w:rsidRPr="00A43AFF">
              <w:rPr>
                <w:rFonts w:ascii="Calibri" w:eastAsia="Times New Roman" w:hAnsi="Calibri" w:cs="Calibri"/>
                <w:color w:val="000000"/>
                <w:lang w:eastAsia="en-IN"/>
              </w:rPr>
              <w:t>.000</w:t>
            </w:r>
          </w:p>
        </w:tc>
        <w:tc>
          <w:tcPr>
            <w:tcW w:w="551" w:type="dxa"/>
            <w:vMerge/>
            <w:noWrap/>
            <w:hideMark/>
          </w:tcPr>
          <w:p w14:paraId="254F7D4C"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7586955D"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471CF8EF" w14:textId="77777777" w:rsidR="00833398" w:rsidRPr="00A43AFF" w:rsidRDefault="00833398" w:rsidP="00833398">
            <w:pPr>
              <w:rPr>
                <w:rFonts w:ascii="Calibri" w:eastAsia="Times New Roman" w:hAnsi="Calibri" w:cs="Calibri"/>
                <w:color w:val="000000"/>
                <w:lang w:eastAsia="en-IN"/>
              </w:rPr>
            </w:pPr>
          </w:p>
        </w:tc>
      </w:tr>
      <w:tr w:rsidR="00833398" w:rsidRPr="00A43AFF" w14:paraId="48E0F7A6" w14:textId="77777777" w:rsidTr="00833398">
        <w:trPr>
          <w:trHeight w:val="291"/>
        </w:trPr>
        <w:tc>
          <w:tcPr>
            <w:tcW w:w="631" w:type="dxa"/>
            <w:noWrap/>
            <w:hideMark/>
          </w:tcPr>
          <w:p w14:paraId="78AFA55B"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Q62</w:t>
            </w:r>
          </w:p>
        </w:tc>
        <w:tc>
          <w:tcPr>
            <w:tcW w:w="1462" w:type="dxa"/>
            <w:noWrap/>
            <w:hideMark/>
          </w:tcPr>
          <w:p w14:paraId="05677B3D"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0.737**</w:t>
            </w:r>
          </w:p>
        </w:tc>
        <w:tc>
          <w:tcPr>
            <w:tcW w:w="1134" w:type="dxa"/>
            <w:noWrap/>
            <w:hideMark/>
          </w:tcPr>
          <w:p w14:paraId="6DEF8B47" w14:textId="77777777" w:rsidR="00833398" w:rsidRPr="00A43AFF" w:rsidRDefault="00833398" w:rsidP="00833398">
            <w:pPr>
              <w:jc w:val="right"/>
              <w:rPr>
                <w:rFonts w:ascii="Calibri" w:eastAsia="Times New Roman" w:hAnsi="Calibri" w:cs="Calibri"/>
                <w:color w:val="000000"/>
                <w:lang w:eastAsia="en-IN"/>
              </w:rPr>
            </w:pPr>
            <w:r w:rsidRPr="00A43AFF">
              <w:rPr>
                <w:rFonts w:ascii="Calibri" w:eastAsia="Times New Roman" w:hAnsi="Calibri" w:cs="Calibri"/>
                <w:color w:val="000000"/>
                <w:lang w:eastAsia="en-IN"/>
              </w:rPr>
              <w:t>.000</w:t>
            </w:r>
          </w:p>
        </w:tc>
        <w:tc>
          <w:tcPr>
            <w:tcW w:w="551" w:type="dxa"/>
            <w:vMerge/>
            <w:noWrap/>
            <w:hideMark/>
          </w:tcPr>
          <w:p w14:paraId="19BF24DF"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54F63F13"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05DEA15C" w14:textId="77777777" w:rsidR="00833398" w:rsidRPr="00A43AFF" w:rsidRDefault="00833398" w:rsidP="00833398">
            <w:pPr>
              <w:rPr>
                <w:rFonts w:ascii="Calibri" w:eastAsia="Times New Roman" w:hAnsi="Calibri" w:cs="Calibri"/>
                <w:color w:val="000000"/>
                <w:lang w:eastAsia="en-IN"/>
              </w:rPr>
            </w:pPr>
          </w:p>
        </w:tc>
      </w:tr>
      <w:tr w:rsidR="00833398" w:rsidRPr="00A43AFF" w14:paraId="454D3AF3" w14:textId="77777777" w:rsidTr="00833398">
        <w:trPr>
          <w:trHeight w:val="291"/>
        </w:trPr>
        <w:tc>
          <w:tcPr>
            <w:tcW w:w="631" w:type="dxa"/>
            <w:noWrap/>
            <w:hideMark/>
          </w:tcPr>
          <w:p w14:paraId="7989821A"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Q63</w:t>
            </w:r>
          </w:p>
        </w:tc>
        <w:tc>
          <w:tcPr>
            <w:tcW w:w="1462" w:type="dxa"/>
            <w:noWrap/>
            <w:hideMark/>
          </w:tcPr>
          <w:p w14:paraId="2B5127BE"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0.631**</w:t>
            </w:r>
          </w:p>
        </w:tc>
        <w:tc>
          <w:tcPr>
            <w:tcW w:w="1134" w:type="dxa"/>
            <w:noWrap/>
            <w:hideMark/>
          </w:tcPr>
          <w:p w14:paraId="636E6715" w14:textId="77777777" w:rsidR="00833398" w:rsidRPr="00A43AFF" w:rsidRDefault="00833398" w:rsidP="00833398">
            <w:pPr>
              <w:jc w:val="right"/>
              <w:rPr>
                <w:rFonts w:ascii="Calibri" w:eastAsia="Times New Roman" w:hAnsi="Calibri" w:cs="Calibri"/>
                <w:color w:val="000000"/>
                <w:lang w:eastAsia="en-IN"/>
              </w:rPr>
            </w:pPr>
            <w:r w:rsidRPr="00A43AFF">
              <w:rPr>
                <w:rFonts w:ascii="Calibri" w:eastAsia="Times New Roman" w:hAnsi="Calibri" w:cs="Calibri"/>
                <w:color w:val="000000"/>
                <w:lang w:eastAsia="en-IN"/>
              </w:rPr>
              <w:t>.000</w:t>
            </w:r>
          </w:p>
        </w:tc>
        <w:tc>
          <w:tcPr>
            <w:tcW w:w="551" w:type="dxa"/>
            <w:vMerge/>
            <w:noWrap/>
            <w:hideMark/>
          </w:tcPr>
          <w:p w14:paraId="1D758046"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3FC6C9A2"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48321B46" w14:textId="77777777" w:rsidR="00833398" w:rsidRPr="00A43AFF" w:rsidRDefault="00833398" w:rsidP="00833398">
            <w:pPr>
              <w:rPr>
                <w:rFonts w:ascii="Calibri" w:eastAsia="Times New Roman" w:hAnsi="Calibri" w:cs="Calibri"/>
                <w:color w:val="000000"/>
                <w:lang w:eastAsia="en-IN"/>
              </w:rPr>
            </w:pPr>
          </w:p>
        </w:tc>
      </w:tr>
      <w:tr w:rsidR="00833398" w:rsidRPr="00A43AFF" w14:paraId="747A0AD7" w14:textId="77777777" w:rsidTr="00833398">
        <w:trPr>
          <w:trHeight w:val="291"/>
        </w:trPr>
        <w:tc>
          <w:tcPr>
            <w:tcW w:w="631" w:type="dxa"/>
            <w:noWrap/>
            <w:hideMark/>
          </w:tcPr>
          <w:p w14:paraId="3EDB530B"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Q64</w:t>
            </w:r>
          </w:p>
        </w:tc>
        <w:tc>
          <w:tcPr>
            <w:tcW w:w="1462" w:type="dxa"/>
            <w:noWrap/>
            <w:hideMark/>
          </w:tcPr>
          <w:p w14:paraId="7F0DB3DE"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0.626**</w:t>
            </w:r>
          </w:p>
        </w:tc>
        <w:tc>
          <w:tcPr>
            <w:tcW w:w="1134" w:type="dxa"/>
            <w:noWrap/>
            <w:hideMark/>
          </w:tcPr>
          <w:p w14:paraId="4BBA5AE9" w14:textId="77777777" w:rsidR="00833398" w:rsidRPr="00A43AFF" w:rsidRDefault="00833398" w:rsidP="00833398">
            <w:pPr>
              <w:jc w:val="right"/>
              <w:rPr>
                <w:rFonts w:ascii="Calibri" w:eastAsia="Times New Roman" w:hAnsi="Calibri" w:cs="Calibri"/>
                <w:color w:val="000000"/>
                <w:lang w:eastAsia="en-IN"/>
              </w:rPr>
            </w:pPr>
            <w:r w:rsidRPr="00A43AFF">
              <w:rPr>
                <w:rFonts w:ascii="Calibri" w:eastAsia="Times New Roman" w:hAnsi="Calibri" w:cs="Calibri"/>
                <w:color w:val="000000"/>
                <w:lang w:eastAsia="en-IN"/>
              </w:rPr>
              <w:t>.000</w:t>
            </w:r>
          </w:p>
        </w:tc>
        <w:tc>
          <w:tcPr>
            <w:tcW w:w="551" w:type="dxa"/>
            <w:vMerge/>
            <w:noWrap/>
            <w:hideMark/>
          </w:tcPr>
          <w:p w14:paraId="473E81DF"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44093110"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2FABFF9E" w14:textId="77777777" w:rsidR="00833398" w:rsidRPr="00A43AFF" w:rsidRDefault="00833398" w:rsidP="00833398">
            <w:pPr>
              <w:rPr>
                <w:rFonts w:ascii="Calibri" w:eastAsia="Times New Roman" w:hAnsi="Calibri" w:cs="Calibri"/>
                <w:color w:val="000000"/>
                <w:lang w:eastAsia="en-IN"/>
              </w:rPr>
            </w:pPr>
          </w:p>
        </w:tc>
      </w:tr>
      <w:tr w:rsidR="00833398" w:rsidRPr="00A43AFF" w14:paraId="6C3CB389" w14:textId="77777777" w:rsidTr="00833398">
        <w:trPr>
          <w:trHeight w:val="291"/>
        </w:trPr>
        <w:tc>
          <w:tcPr>
            <w:tcW w:w="631" w:type="dxa"/>
            <w:noWrap/>
            <w:hideMark/>
          </w:tcPr>
          <w:p w14:paraId="08FECE06"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Q65</w:t>
            </w:r>
          </w:p>
        </w:tc>
        <w:tc>
          <w:tcPr>
            <w:tcW w:w="1462" w:type="dxa"/>
            <w:noWrap/>
            <w:hideMark/>
          </w:tcPr>
          <w:p w14:paraId="32326FA8"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0.618**</w:t>
            </w:r>
          </w:p>
        </w:tc>
        <w:tc>
          <w:tcPr>
            <w:tcW w:w="1134" w:type="dxa"/>
            <w:noWrap/>
            <w:hideMark/>
          </w:tcPr>
          <w:p w14:paraId="53F251B4" w14:textId="77777777" w:rsidR="00833398" w:rsidRPr="00A43AFF" w:rsidRDefault="00833398" w:rsidP="00833398">
            <w:pPr>
              <w:jc w:val="right"/>
              <w:rPr>
                <w:rFonts w:ascii="Calibri" w:eastAsia="Times New Roman" w:hAnsi="Calibri" w:cs="Calibri"/>
                <w:color w:val="000000"/>
                <w:lang w:eastAsia="en-IN"/>
              </w:rPr>
            </w:pPr>
            <w:r w:rsidRPr="00A43AFF">
              <w:rPr>
                <w:rFonts w:ascii="Calibri" w:eastAsia="Times New Roman" w:hAnsi="Calibri" w:cs="Calibri"/>
                <w:color w:val="000000"/>
                <w:lang w:eastAsia="en-IN"/>
              </w:rPr>
              <w:t>.000</w:t>
            </w:r>
          </w:p>
        </w:tc>
        <w:tc>
          <w:tcPr>
            <w:tcW w:w="551" w:type="dxa"/>
            <w:vMerge/>
            <w:noWrap/>
            <w:hideMark/>
          </w:tcPr>
          <w:p w14:paraId="12353FC8" w14:textId="77777777" w:rsidR="00833398" w:rsidRPr="00A43AFF" w:rsidRDefault="00833398" w:rsidP="00833398">
            <w:pPr>
              <w:rPr>
                <w:rFonts w:ascii="Calibri" w:eastAsia="Times New Roman" w:hAnsi="Calibri" w:cs="Calibri"/>
                <w:color w:val="000000"/>
                <w:lang w:eastAsia="en-IN"/>
              </w:rPr>
            </w:pPr>
          </w:p>
        </w:tc>
        <w:tc>
          <w:tcPr>
            <w:tcW w:w="725" w:type="dxa"/>
            <w:vMerge/>
            <w:noWrap/>
            <w:hideMark/>
          </w:tcPr>
          <w:p w14:paraId="1FDCA9E2" w14:textId="77777777" w:rsidR="00833398" w:rsidRPr="00A43AFF" w:rsidRDefault="00833398" w:rsidP="00833398">
            <w:pPr>
              <w:rPr>
                <w:rFonts w:ascii="Calibri" w:eastAsia="Times New Roman" w:hAnsi="Calibri" w:cs="Calibri"/>
                <w:color w:val="000000"/>
                <w:lang w:eastAsia="en-IN"/>
              </w:rPr>
            </w:pPr>
          </w:p>
        </w:tc>
        <w:tc>
          <w:tcPr>
            <w:tcW w:w="1186" w:type="dxa"/>
            <w:vMerge/>
            <w:noWrap/>
            <w:hideMark/>
          </w:tcPr>
          <w:p w14:paraId="6F6E0EDA" w14:textId="77777777" w:rsidR="00833398" w:rsidRPr="00A43AFF" w:rsidRDefault="00833398" w:rsidP="00833398">
            <w:pPr>
              <w:rPr>
                <w:rFonts w:ascii="Calibri" w:eastAsia="Times New Roman" w:hAnsi="Calibri" w:cs="Calibri"/>
                <w:color w:val="000000"/>
                <w:lang w:eastAsia="en-IN"/>
              </w:rPr>
            </w:pPr>
          </w:p>
        </w:tc>
      </w:tr>
      <w:tr w:rsidR="00833398" w:rsidRPr="00A43AFF" w14:paraId="0A772896" w14:textId="77777777" w:rsidTr="00833398">
        <w:trPr>
          <w:trHeight w:val="291"/>
        </w:trPr>
        <w:tc>
          <w:tcPr>
            <w:tcW w:w="631" w:type="dxa"/>
            <w:noWrap/>
            <w:hideMark/>
          </w:tcPr>
          <w:p w14:paraId="6FC06FCD"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Q66</w:t>
            </w:r>
          </w:p>
        </w:tc>
        <w:tc>
          <w:tcPr>
            <w:tcW w:w="1462" w:type="dxa"/>
            <w:noWrap/>
            <w:hideMark/>
          </w:tcPr>
          <w:p w14:paraId="448DEE01"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0.344**</w:t>
            </w:r>
          </w:p>
        </w:tc>
        <w:tc>
          <w:tcPr>
            <w:tcW w:w="1134" w:type="dxa"/>
            <w:noWrap/>
            <w:hideMark/>
          </w:tcPr>
          <w:p w14:paraId="13F070CF" w14:textId="77777777" w:rsidR="00833398" w:rsidRPr="00A43AFF" w:rsidRDefault="00833398" w:rsidP="00833398">
            <w:pPr>
              <w:jc w:val="center"/>
              <w:rPr>
                <w:rFonts w:ascii="Calibri" w:eastAsia="Times New Roman" w:hAnsi="Calibri" w:cs="Calibri"/>
                <w:color w:val="000000"/>
                <w:lang w:eastAsia="en-IN"/>
              </w:rPr>
            </w:pPr>
            <w:r w:rsidRPr="00A43AFF">
              <w:rPr>
                <w:rFonts w:ascii="Calibri" w:eastAsia="Times New Roman" w:hAnsi="Calibri" w:cs="Calibri"/>
                <w:color w:val="000000"/>
                <w:lang w:eastAsia="en-IN"/>
              </w:rPr>
              <w:t>.000</w:t>
            </w:r>
          </w:p>
        </w:tc>
        <w:tc>
          <w:tcPr>
            <w:tcW w:w="551" w:type="dxa"/>
            <w:vMerge/>
            <w:tcBorders>
              <w:bottom w:val="nil"/>
            </w:tcBorders>
            <w:noWrap/>
            <w:hideMark/>
          </w:tcPr>
          <w:p w14:paraId="0A2483E1" w14:textId="77777777" w:rsidR="00833398" w:rsidRPr="00A43AFF" w:rsidRDefault="00833398" w:rsidP="00833398">
            <w:pPr>
              <w:rPr>
                <w:rFonts w:ascii="Calibri" w:eastAsia="Times New Roman" w:hAnsi="Calibri" w:cs="Calibri"/>
                <w:color w:val="000000"/>
                <w:lang w:eastAsia="en-IN"/>
              </w:rPr>
            </w:pPr>
          </w:p>
        </w:tc>
        <w:tc>
          <w:tcPr>
            <w:tcW w:w="725" w:type="dxa"/>
            <w:vMerge/>
            <w:tcBorders>
              <w:bottom w:val="nil"/>
            </w:tcBorders>
            <w:noWrap/>
            <w:hideMark/>
          </w:tcPr>
          <w:p w14:paraId="35E3F793" w14:textId="77777777" w:rsidR="00833398" w:rsidRPr="00A43AFF" w:rsidRDefault="00833398" w:rsidP="00833398">
            <w:pPr>
              <w:rPr>
                <w:rFonts w:ascii="Calibri" w:eastAsia="Times New Roman" w:hAnsi="Calibri" w:cs="Calibri"/>
                <w:color w:val="000000"/>
                <w:lang w:eastAsia="en-IN"/>
              </w:rPr>
            </w:pPr>
          </w:p>
        </w:tc>
        <w:tc>
          <w:tcPr>
            <w:tcW w:w="1186" w:type="dxa"/>
            <w:vMerge/>
            <w:tcBorders>
              <w:bottom w:val="nil"/>
            </w:tcBorders>
            <w:noWrap/>
            <w:hideMark/>
          </w:tcPr>
          <w:p w14:paraId="059D9C05" w14:textId="77777777" w:rsidR="00833398" w:rsidRPr="00A43AFF" w:rsidRDefault="00833398" w:rsidP="00833398">
            <w:pPr>
              <w:rPr>
                <w:rFonts w:ascii="Calibri" w:eastAsia="Times New Roman" w:hAnsi="Calibri" w:cs="Calibri"/>
                <w:color w:val="000000"/>
                <w:lang w:eastAsia="en-IN"/>
              </w:rPr>
            </w:pPr>
          </w:p>
        </w:tc>
      </w:tr>
      <w:tr w:rsidR="00833398" w:rsidRPr="00A43AFF" w14:paraId="02BB4936" w14:textId="77777777" w:rsidTr="00833398">
        <w:trPr>
          <w:trHeight w:val="291"/>
        </w:trPr>
        <w:tc>
          <w:tcPr>
            <w:tcW w:w="5689" w:type="dxa"/>
            <w:gridSpan w:val="6"/>
            <w:noWrap/>
          </w:tcPr>
          <w:p w14:paraId="185CC1E2"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 Correlation is significant at the 0.05 level (2-tailed).</w:t>
            </w:r>
          </w:p>
          <w:p w14:paraId="3986C834" w14:textId="77777777" w:rsidR="00833398" w:rsidRPr="00A43AFF" w:rsidRDefault="00833398" w:rsidP="00833398">
            <w:pPr>
              <w:rPr>
                <w:rFonts w:ascii="Calibri" w:eastAsia="Times New Roman" w:hAnsi="Calibri" w:cs="Calibri"/>
                <w:color w:val="000000"/>
                <w:lang w:eastAsia="en-IN"/>
              </w:rPr>
            </w:pPr>
            <w:r w:rsidRPr="00A43AFF">
              <w:rPr>
                <w:rFonts w:ascii="Calibri" w:eastAsia="Times New Roman" w:hAnsi="Calibri" w:cs="Calibri"/>
                <w:color w:val="000000"/>
                <w:lang w:eastAsia="en-IN"/>
              </w:rPr>
              <w:t>**. Correlation is significant at the 0.01 level (2-tailed).</w:t>
            </w:r>
          </w:p>
        </w:tc>
      </w:tr>
    </w:tbl>
    <w:p w14:paraId="65F459AF" w14:textId="77777777" w:rsidR="00006EE1" w:rsidRDefault="00006EE1" w:rsidP="00006EE1">
      <w:pPr>
        <w:pStyle w:val="NormalWeb"/>
      </w:pPr>
    </w:p>
    <w:p w14:paraId="6A2169D6" w14:textId="77777777" w:rsidR="00006EE1" w:rsidRPr="00926AB6" w:rsidRDefault="00006EE1" w:rsidP="00926AB6">
      <w:pPr>
        <w:autoSpaceDE w:val="0"/>
        <w:autoSpaceDN w:val="0"/>
        <w:adjustRightInd w:val="0"/>
        <w:spacing w:after="0" w:line="240" w:lineRule="auto"/>
        <w:rPr>
          <w:rFonts w:ascii="Times New Roman" w:hAnsi="Times New Roman" w:cs="Times New Roman"/>
          <w:sz w:val="24"/>
          <w:szCs w:val="24"/>
        </w:rPr>
      </w:pPr>
    </w:p>
    <w:p w14:paraId="1EE630BA" w14:textId="77777777" w:rsidR="00926AB6" w:rsidRPr="00926AB6" w:rsidRDefault="00926AB6" w:rsidP="00926AB6">
      <w:pPr>
        <w:autoSpaceDE w:val="0"/>
        <w:autoSpaceDN w:val="0"/>
        <w:adjustRightInd w:val="0"/>
        <w:spacing w:after="0" w:line="400" w:lineRule="atLeast"/>
        <w:rPr>
          <w:rFonts w:ascii="Times New Roman" w:hAnsi="Times New Roman" w:cs="Times New Roman"/>
          <w:sz w:val="24"/>
          <w:szCs w:val="24"/>
        </w:rPr>
      </w:pPr>
    </w:p>
    <w:p w14:paraId="7FE81E51" w14:textId="77777777" w:rsidR="0020030F" w:rsidRDefault="00E87AAA" w:rsidP="0020030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br w:type="textWrapping" w:clear="all"/>
      </w:r>
    </w:p>
    <w:p w14:paraId="06E005F6" w14:textId="7E0F6FBD" w:rsidR="00854FFF" w:rsidRPr="0020030F" w:rsidRDefault="00854FFF" w:rsidP="00854F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analyse how each item </w:t>
      </w:r>
      <w:r w:rsidR="000235FE">
        <w:rPr>
          <w:rFonts w:ascii="Times New Roman" w:hAnsi="Times New Roman" w:cs="Times New Roman"/>
          <w:sz w:val="24"/>
          <w:szCs w:val="24"/>
        </w:rPr>
        <w:t xml:space="preserve">is </w:t>
      </w:r>
      <w:r>
        <w:rPr>
          <w:rFonts w:ascii="Times New Roman" w:hAnsi="Times New Roman" w:cs="Times New Roman"/>
          <w:sz w:val="24"/>
          <w:szCs w:val="24"/>
        </w:rPr>
        <w:t xml:space="preserve">associated with </w:t>
      </w:r>
      <w:r w:rsidR="000235FE">
        <w:rPr>
          <w:rFonts w:ascii="Times New Roman" w:hAnsi="Times New Roman" w:cs="Times New Roman"/>
          <w:sz w:val="24"/>
          <w:szCs w:val="24"/>
        </w:rPr>
        <w:t xml:space="preserve">the </w:t>
      </w:r>
      <w:r>
        <w:rPr>
          <w:rFonts w:ascii="Times New Roman" w:hAnsi="Times New Roman" w:cs="Times New Roman"/>
          <w:sz w:val="24"/>
          <w:szCs w:val="24"/>
        </w:rPr>
        <w:t>total scale,</w:t>
      </w:r>
      <w:r w:rsidR="000235FE">
        <w:rPr>
          <w:rFonts w:ascii="Times New Roman" w:hAnsi="Times New Roman" w:cs="Times New Roman"/>
          <w:sz w:val="24"/>
          <w:szCs w:val="24"/>
        </w:rPr>
        <w:t xml:space="preserve"> P</w:t>
      </w:r>
      <w:r>
        <w:rPr>
          <w:rFonts w:ascii="Times New Roman" w:hAnsi="Times New Roman" w:cs="Times New Roman"/>
          <w:sz w:val="24"/>
          <w:szCs w:val="24"/>
        </w:rPr>
        <w:t>earson product</w:t>
      </w:r>
      <w:r w:rsidR="000235FE">
        <w:rPr>
          <w:rFonts w:ascii="Times New Roman" w:hAnsi="Times New Roman" w:cs="Times New Roman"/>
          <w:sz w:val="24"/>
          <w:szCs w:val="24"/>
        </w:rPr>
        <w:t>-</w:t>
      </w:r>
      <w:r>
        <w:rPr>
          <w:rFonts w:ascii="Times New Roman" w:hAnsi="Times New Roman" w:cs="Times New Roman"/>
          <w:sz w:val="24"/>
          <w:szCs w:val="24"/>
        </w:rPr>
        <w:t>moment correlation was calculated.</w:t>
      </w:r>
      <w:r w:rsidR="00600E25">
        <w:rPr>
          <w:rFonts w:ascii="Times New Roman" w:hAnsi="Times New Roman" w:cs="Times New Roman"/>
          <w:sz w:val="24"/>
          <w:szCs w:val="24"/>
        </w:rPr>
        <w:t xml:space="preserve"> </w:t>
      </w:r>
      <w:r>
        <w:rPr>
          <w:rFonts w:ascii="Times New Roman" w:hAnsi="Times New Roman" w:cs="Times New Roman"/>
          <w:sz w:val="24"/>
          <w:szCs w:val="24"/>
        </w:rPr>
        <w:t xml:space="preserve">Table 8 </w:t>
      </w:r>
      <w:proofErr w:type="spellStart"/>
      <w:r>
        <w:rPr>
          <w:rFonts w:ascii="Times New Roman" w:hAnsi="Times New Roman" w:cs="Times New Roman"/>
          <w:sz w:val="24"/>
          <w:szCs w:val="24"/>
        </w:rPr>
        <w:t>elastrates</w:t>
      </w:r>
      <w:proofErr w:type="spellEnd"/>
      <w:r>
        <w:rPr>
          <w:rFonts w:ascii="Times New Roman" w:hAnsi="Times New Roman" w:cs="Times New Roman"/>
          <w:sz w:val="24"/>
          <w:szCs w:val="24"/>
        </w:rPr>
        <w:t xml:space="preserve"> </w:t>
      </w:r>
      <w:r w:rsidR="007664C4">
        <w:rPr>
          <w:rFonts w:ascii="Times New Roman" w:hAnsi="Times New Roman" w:cs="Times New Roman"/>
          <w:sz w:val="24"/>
          <w:szCs w:val="24"/>
        </w:rPr>
        <w:t xml:space="preserve">based on the </w:t>
      </w:r>
      <w:r>
        <w:rPr>
          <w:rFonts w:ascii="Times New Roman" w:hAnsi="Times New Roman" w:cs="Times New Roman"/>
          <w:sz w:val="24"/>
          <w:szCs w:val="24"/>
        </w:rPr>
        <w:t>sample size 190,</w:t>
      </w:r>
      <w:r w:rsidR="00600E25">
        <w:rPr>
          <w:rFonts w:ascii="Times New Roman" w:hAnsi="Times New Roman" w:cs="Times New Roman"/>
          <w:sz w:val="24"/>
          <w:szCs w:val="24"/>
        </w:rPr>
        <w:t xml:space="preserve"> </w:t>
      </w:r>
      <w:r>
        <w:rPr>
          <w:rFonts w:ascii="Times New Roman" w:hAnsi="Times New Roman" w:cs="Times New Roman"/>
          <w:sz w:val="24"/>
          <w:szCs w:val="24"/>
        </w:rPr>
        <w:t xml:space="preserve">degree of freedom </w:t>
      </w:r>
      <w:proofErr w:type="gramStart"/>
      <w:r>
        <w:rPr>
          <w:rFonts w:ascii="Times New Roman" w:hAnsi="Times New Roman" w:cs="Times New Roman"/>
          <w:sz w:val="24"/>
          <w:szCs w:val="24"/>
        </w:rPr>
        <w:t>( df</w:t>
      </w:r>
      <w:proofErr w:type="gramEnd"/>
      <w:r>
        <w:rPr>
          <w:rFonts w:ascii="Times New Roman" w:hAnsi="Times New Roman" w:cs="Times New Roman"/>
          <w:sz w:val="24"/>
          <w:szCs w:val="24"/>
        </w:rPr>
        <w:t>) 188.</w:t>
      </w:r>
      <w:r w:rsidR="00600E25">
        <w:rPr>
          <w:rFonts w:ascii="Times New Roman" w:hAnsi="Times New Roman" w:cs="Times New Roman"/>
          <w:sz w:val="24"/>
          <w:szCs w:val="24"/>
        </w:rPr>
        <w:t xml:space="preserve"> </w:t>
      </w:r>
      <w:r>
        <w:rPr>
          <w:rFonts w:ascii="Times New Roman" w:hAnsi="Times New Roman" w:cs="Times New Roman"/>
          <w:sz w:val="24"/>
          <w:szCs w:val="24"/>
        </w:rPr>
        <w:t>For 188 df</w:t>
      </w:r>
      <w:r w:rsidR="00AC2688">
        <w:rPr>
          <w:rFonts w:ascii="Times New Roman" w:hAnsi="Times New Roman" w:cs="Times New Roman"/>
          <w:sz w:val="24"/>
          <w:szCs w:val="24"/>
        </w:rPr>
        <w:t xml:space="preserve"> </w:t>
      </w:r>
      <w:r w:rsidR="000235FE">
        <w:rPr>
          <w:rFonts w:ascii="Times New Roman" w:hAnsi="Times New Roman" w:cs="Times New Roman"/>
          <w:sz w:val="24"/>
          <w:szCs w:val="24"/>
        </w:rPr>
        <w:t>P</w:t>
      </w:r>
      <w:r>
        <w:rPr>
          <w:rFonts w:ascii="Times New Roman" w:hAnsi="Times New Roman" w:cs="Times New Roman"/>
          <w:sz w:val="24"/>
          <w:szCs w:val="24"/>
        </w:rPr>
        <w:t xml:space="preserve">earson value </w:t>
      </w:r>
      <w:r w:rsidR="00AC2688">
        <w:rPr>
          <w:rFonts w:ascii="Times New Roman" w:hAnsi="Times New Roman" w:cs="Times New Roman"/>
          <w:sz w:val="24"/>
          <w:szCs w:val="24"/>
        </w:rPr>
        <w:t>has</w:t>
      </w:r>
      <w:r w:rsidR="000235FE">
        <w:rPr>
          <w:rFonts w:ascii="Times New Roman" w:hAnsi="Times New Roman" w:cs="Times New Roman"/>
          <w:sz w:val="24"/>
          <w:szCs w:val="24"/>
        </w:rPr>
        <w:t xml:space="preserve"> </w:t>
      </w:r>
      <w:r>
        <w:rPr>
          <w:rFonts w:ascii="Times New Roman" w:hAnsi="Times New Roman" w:cs="Times New Roman"/>
          <w:sz w:val="24"/>
          <w:szCs w:val="24"/>
        </w:rPr>
        <w:t>not</w:t>
      </w:r>
      <w:r w:rsidR="00AC2688">
        <w:rPr>
          <w:rFonts w:ascii="Times New Roman" w:hAnsi="Times New Roman" w:cs="Times New Roman"/>
          <w:sz w:val="24"/>
          <w:szCs w:val="24"/>
        </w:rPr>
        <w:t xml:space="preserve"> been</w:t>
      </w:r>
      <w:r>
        <w:rPr>
          <w:rFonts w:ascii="Times New Roman" w:hAnsi="Times New Roman" w:cs="Times New Roman"/>
          <w:sz w:val="24"/>
          <w:szCs w:val="24"/>
        </w:rPr>
        <w:t xml:space="preserve"> mention</w:t>
      </w:r>
      <w:r w:rsidR="000235FE">
        <w:rPr>
          <w:rFonts w:ascii="Times New Roman" w:hAnsi="Times New Roman" w:cs="Times New Roman"/>
          <w:sz w:val="24"/>
          <w:szCs w:val="24"/>
        </w:rPr>
        <w:t>ed;</w:t>
      </w:r>
      <w:r>
        <w:rPr>
          <w:rFonts w:ascii="Times New Roman" w:hAnsi="Times New Roman" w:cs="Times New Roman"/>
          <w:sz w:val="24"/>
          <w:szCs w:val="24"/>
        </w:rPr>
        <w:t xml:space="preserve">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nearest value</w:t>
      </w:r>
      <w:r w:rsidR="000235FE">
        <w:rPr>
          <w:rFonts w:ascii="Times New Roman" w:hAnsi="Times New Roman" w:cs="Times New Roman"/>
          <w:sz w:val="24"/>
          <w:szCs w:val="24"/>
        </w:rPr>
        <w:t>,</w:t>
      </w:r>
      <w:r>
        <w:rPr>
          <w:rFonts w:ascii="Times New Roman" w:hAnsi="Times New Roman" w:cs="Times New Roman"/>
          <w:sz w:val="24"/>
          <w:szCs w:val="24"/>
        </w:rPr>
        <w:t xml:space="preserve"> 0.1593</w:t>
      </w:r>
      <w:r w:rsidR="000235FE">
        <w:rPr>
          <w:rFonts w:ascii="Times New Roman" w:hAnsi="Times New Roman" w:cs="Times New Roman"/>
          <w:sz w:val="24"/>
          <w:szCs w:val="24"/>
        </w:rPr>
        <w:t>,</w:t>
      </w:r>
      <w:r>
        <w:rPr>
          <w:rFonts w:ascii="Times New Roman" w:hAnsi="Times New Roman" w:cs="Times New Roman"/>
          <w:sz w:val="24"/>
          <w:szCs w:val="24"/>
        </w:rPr>
        <w:t xml:space="preserve"> has been consider</w:t>
      </w:r>
      <w:r w:rsidR="000235FE">
        <w:rPr>
          <w:rFonts w:ascii="Times New Roman" w:hAnsi="Times New Roman" w:cs="Times New Roman"/>
          <w:sz w:val="24"/>
          <w:szCs w:val="24"/>
        </w:rPr>
        <w:t>ed</w:t>
      </w:r>
      <w:r>
        <w:rPr>
          <w:rFonts w:ascii="Times New Roman" w:hAnsi="Times New Roman" w:cs="Times New Roman"/>
          <w:sz w:val="24"/>
          <w:szCs w:val="24"/>
        </w:rPr>
        <w:t xml:space="preserve"> at </w:t>
      </w:r>
      <w:r w:rsidR="000235FE">
        <w:rPr>
          <w:rFonts w:ascii="Times New Roman" w:hAnsi="Times New Roman" w:cs="Times New Roman"/>
          <w:sz w:val="24"/>
          <w:szCs w:val="24"/>
        </w:rPr>
        <w:t xml:space="preserve">a </w:t>
      </w:r>
      <w:r>
        <w:rPr>
          <w:rFonts w:ascii="Times New Roman" w:hAnsi="Times New Roman" w:cs="Times New Roman"/>
          <w:sz w:val="24"/>
          <w:szCs w:val="24"/>
        </w:rPr>
        <w:t>95% confidence interval at df 150</w:t>
      </w:r>
      <w:r w:rsidR="00600E25">
        <w:rPr>
          <w:rFonts w:ascii="Times New Roman" w:hAnsi="Times New Roman" w:cs="Times New Roman"/>
          <w:sz w:val="24"/>
          <w:szCs w:val="24"/>
        </w:rPr>
        <w:t xml:space="preserve"> </w:t>
      </w:r>
      <w:r w:rsidRPr="00854FFF">
        <w:rPr>
          <w:rFonts w:ascii="Times New Roman" w:hAnsi="Times New Roman" w:cs="Times New Roman"/>
          <w:sz w:val="24"/>
          <w:szCs w:val="24"/>
        </w:rPr>
        <w:t>(Bert et al., 2012).</w:t>
      </w:r>
      <w:r w:rsidR="000235FE">
        <w:rPr>
          <w:rFonts w:ascii="Times New Roman" w:hAnsi="Times New Roman" w:cs="Times New Roman"/>
          <w:sz w:val="24"/>
          <w:szCs w:val="24"/>
        </w:rPr>
        <w:t xml:space="preserve"> The r</w:t>
      </w:r>
      <w:r>
        <w:rPr>
          <w:rFonts w:ascii="Times New Roman" w:hAnsi="Times New Roman" w:cs="Times New Roman"/>
          <w:sz w:val="24"/>
          <w:szCs w:val="24"/>
        </w:rPr>
        <w:t>esult shows t</w:t>
      </w:r>
      <w:r w:rsidR="00F23678">
        <w:rPr>
          <w:rFonts w:ascii="Times New Roman" w:hAnsi="Times New Roman" w:cs="Times New Roman"/>
          <w:sz w:val="24"/>
          <w:szCs w:val="24"/>
        </w:rPr>
        <w:t>hat all 16</w:t>
      </w:r>
      <w:r>
        <w:rPr>
          <w:rFonts w:ascii="Times New Roman" w:hAnsi="Times New Roman" w:cs="Times New Roman"/>
          <w:sz w:val="24"/>
          <w:szCs w:val="24"/>
        </w:rPr>
        <w:t xml:space="preserve"> items are significant at </w:t>
      </w:r>
      <w:r w:rsidR="000235FE">
        <w:rPr>
          <w:rFonts w:ascii="Times New Roman" w:hAnsi="Times New Roman" w:cs="Times New Roman"/>
          <w:sz w:val="24"/>
          <w:szCs w:val="24"/>
        </w:rPr>
        <w:t xml:space="preserve">a </w:t>
      </w:r>
      <w:r>
        <w:rPr>
          <w:rFonts w:ascii="Times New Roman" w:hAnsi="Times New Roman" w:cs="Times New Roman"/>
          <w:sz w:val="24"/>
          <w:szCs w:val="24"/>
        </w:rPr>
        <w:t>99% confidence interval.</w:t>
      </w:r>
      <w:r w:rsidR="00600E25">
        <w:rPr>
          <w:rFonts w:ascii="Times New Roman" w:hAnsi="Times New Roman" w:cs="Times New Roman"/>
          <w:sz w:val="24"/>
          <w:szCs w:val="24"/>
        </w:rPr>
        <w:t xml:space="preserve"> </w:t>
      </w:r>
      <w:r>
        <w:rPr>
          <w:rFonts w:ascii="Times New Roman" w:hAnsi="Times New Roman" w:cs="Times New Roman"/>
          <w:sz w:val="24"/>
          <w:szCs w:val="24"/>
        </w:rPr>
        <w:t>These analys</w:t>
      </w:r>
      <w:r w:rsidR="000235FE">
        <w:rPr>
          <w:rFonts w:ascii="Times New Roman" w:hAnsi="Times New Roman" w:cs="Times New Roman"/>
          <w:sz w:val="24"/>
          <w:szCs w:val="24"/>
        </w:rPr>
        <w:t>e</w:t>
      </w:r>
      <w:r>
        <w:rPr>
          <w:rFonts w:ascii="Times New Roman" w:hAnsi="Times New Roman" w:cs="Times New Roman"/>
          <w:sz w:val="24"/>
          <w:szCs w:val="24"/>
        </w:rPr>
        <w:t xml:space="preserve">s explain that </w:t>
      </w:r>
      <w:r w:rsidR="000235FE">
        <w:rPr>
          <w:rFonts w:ascii="Times New Roman" w:hAnsi="Times New Roman" w:cs="Times New Roman"/>
          <w:sz w:val="24"/>
          <w:szCs w:val="24"/>
        </w:rPr>
        <w:t xml:space="preserve">the </w:t>
      </w:r>
      <w:r>
        <w:rPr>
          <w:rFonts w:ascii="Times New Roman" w:hAnsi="Times New Roman" w:cs="Times New Roman"/>
          <w:sz w:val="24"/>
          <w:szCs w:val="24"/>
        </w:rPr>
        <w:t>scale validate</w:t>
      </w:r>
      <w:r w:rsidR="000235FE">
        <w:rPr>
          <w:rFonts w:ascii="Times New Roman" w:hAnsi="Times New Roman" w:cs="Times New Roman"/>
          <w:sz w:val="24"/>
          <w:szCs w:val="24"/>
        </w:rPr>
        <w:t>s</w:t>
      </w:r>
      <w:r>
        <w:rPr>
          <w:rFonts w:ascii="Times New Roman" w:hAnsi="Times New Roman" w:cs="Times New Roman"/>
          <w:sz w:val="24"/>
          <w:szCs w:val="24"/>
        </w:rPr>
        <w:t xml:space="preserve"> and support</w:t>
      </w:r>
      <w:r w:rsidR="000235FE">
        <w:rPr>
          <w:rFonts w:ascii="Times New Roman" w:hAnsi="Times New Roman" w:cs="Times New Roman"/>
          <w:sz w:val="24"/>
          <w:szCs w:val="24"/>
        </w:rPr>
        <w:t>s</w:t>
      </w:r>
      <w:r w:rsidR="00600E25">
        <w:rPr>
          <w:rFonts w:ascii="Times New Roman" w:hAnsi="Times New Roman" w:cs="Times New Roman"/>
          <w:sz w:val="24"/>
          <w:szCs w:val="24"/>
        </w:rPr>
        <w:t xml:space="preserve"> </w:t>
      </w:r>
      <w:r w:rsidR="000235FE">
        <w:rPr>
          <w:rFonts w:ascii="Times New Roman" w:hAnsi="Times New Roman" w:cs="Times New Roman"/>
          <w:sz w:val="24"/>
          <w:szCs w:val="24"/>
        </w:rPr>
        <w:t xml:space="preserve">the </w:t>
      </w:r>
      <w:r>
        <w:rPr>
          <w:rFonts w:ascii="Times New Roman" w:hAnsi="Times New Roman" w:cs="Times New Roman"/>
          <w:sz w:val="24"/>
          <w:szCs w:val="24"/>
        </w:rPr>
        <w:t>internal consistency of items.</w:t>
      </w:r>
    </w:p>
    <w:p w14:paraId="5B515DA5" w14:textId="77777777" w:rsidR="0020030F" w:rsidRDefault="0020030F" w:rsidP="002F6F1E"/>
    <w:p w14:paraId="5B827462" w14:textId="77777777" w:rsidR="00A43AFF" w:rsidRDefault="00A43AFF" w:rsidP="002F6F1E"/>
    <w:p w14:paraId="36B7AD97" w14:textId="77777777" w:rsidR="002F6F1E" w:rsidRDefault="002F6F1E" w:rsidP="002F6F1E">
      <w:pPr>
        <w:rPr>
          <w:rFonts w:ascii="Times New Roman" w:hAnsi="Times New Roman" w:cs="Times New Roman"/>
          <w:sz w:val="24"/>
          <w:szCs w:val="24"/>
        </w:rPr>
      </w:pPr>
      <w:r w:rsidRPr="000235FE">
        <w:rPr>
          <w:rFonts w:ascii="Times New Roman" w:hAnsi="Times New Roman" w:cs="Times New Roman"/>
          <w:sz w:val="24"/>
          <w:szCs w:val="24"/>
        </w:rPr>
        <w:t>CONCLUSION</w:t>
      </w:r>
    </w:p>
    <w:p w14:paraId="3F8B5977" w14:textId="77777777" w:rsidR="00922C7B" w:rsidRDefault="00922C7B" w:rsidP="00887B54">
      <w:pPr>
        <w:jc w:val="both"/>
        <w:rPr>
          <w:rFonts w:ascii="Times New Roman" w:hAnsi="Times New Roman" w:cs="Times New Roman"/>
          <w:sz w:val="24"/>
          <w:szCs w:val="24"/>
        </w:rPr>
      </w:pPr>
      <w:r>
        <w:rPr>
          <w:rFonts w:ascii="Times New Roman" w:hAnsi="Times New Roman" w:cs="Times New Roman"/>
          <w:sz w:val="24"/>
          <w:szCs w:val="24"/>
        </w:rPr>
        <w:t>In this research paper</w:t>
      </w:r>
      <w:r w:rsidR="00887B54" w:rsidRPr="00BD3A5E">
        <w:rPr>
          <w:rFonts w:ascii="Times New Roman" w:hAnsi="Times New Roman" w:cs="Times New Roman"/>
          <w:sz w:val="24"/>
          <w:szCs w:val="24"/>
        </w:rPr>
        <w:t xml:space="preserve">, </w:t>
      </w:r>
      <w:r w:rsidR="00AC2688">
        <w:rPr>
          <w:rFonts w:ascii="Times New Roman" w:hAnsi="Times New Roman" w:cs="Times New Roman"/>
          <w:sz w:val="24"/>
          <w:szCs w:val="24"/>
        </w:rPr>
        <w:t>initially, an initiative has been</w:t>
      </w:r>
      <w:r>
        <w:rPr>
          <w:rFonts w:ascii="Times New Roman" w:hAnsi="Times New Roman" w:cs="Times New Roman"/>
          <w:sz w:val="24"/>
          <w:szCs w:val="24"/>
        </w:rPr>
        <w:t xml:space="preserve"> taken to portray farmer perception, specifically use of agrochemicals impacts on health. Agrochemicals are mainly used by farmers; therefore, their perception of well-being is very crucial. A different statistical approach was taken to ensure content, scale validity and reliability. Items were also administered by the farmers across three different agroclimatic regions of West Bengal. (EFA) Expl</w:t>
      </w:r>
      <w:r w:rsidR="00AC2688">
        <w:rPr>
          <w:rFonts w:ascii="Times New Roman" w:hAnsi="Times New Roman" w:cs="Times New Roman"/>
          <w:sz w:val="24"/>
          <w:szCs w:val="24"/>
        </w:rPr>
        <w:t>oratory factor analysis confirmed</w:t>
      </w:r>
      <w:r>
        <w:rPr>
          <w:rFonts w:ascii="Times New Roman" w:hAnsi="Times New Roman" w:cs="Times New Roman"/>
          <w:sz w:val="24"/>
          <w:szCs w:val="24"/>
        </w:rPr>
        <w:t xml:space="preserve"> data adequacy and factor loadings of items. Through split-half reliability and Cronbach's alpha value, scale reliability was tested, and both values confirm</w:t>
      </w:r>
      <w:r w:rsidR="00AC2688">
        <w:rPr>
          <w:rFonts w:ascii="Times New Roman" w:hAnsi="Times New Roman" w:cs="Times New Roman"/>
          <w:sz w:val="24"/>
          <w:szCs w:val="24"/>
        </w:rPr>
        <w:t>ed</w:t>
      </w:r>
      <w:r>
        <w:rPr>
          <w:rFonts w:ascii="Times New Roman" w:hAnsi="Times New Roman" w:cs="Times New Roman"/>
          <w:sz w:val="24"/>
          <w:szCs w:val="24"/>
        </w:rPr>
        <w:t xml:space="preserve"> an acceptable range. At la</w:t>
      </w:r>
      <w:r w:rsidR="00AC2688">
        <w:rPr>
          <w:rFonts w:ascii="Times New Roman" w:hAnsi="Times New Roman" w:cs="Times New Roman"/>
          <w:sz w:val="24"/>
          <w:szCs w:val="24"/>
        </w:rPr>
        <w:t>st, Pearson correlation approved</w:t>
      </w:r>
      <w:r>
        <w:rPr>
          <w:rFonts w:ascii="Times New Roman" w:hAnsi="Times New Roman" w:cs="Times New Roman"/>
          <w:sz w:val="24"/>
          <w:szCs w:val="24"/>
        </w:rPr>
        <w:t xml:space="preserve"> that the overall scale items </w:t>
      </w:r>
      <w:r w:rsidR="00AC2688">
        <w:rPr>
          <w:rFonts w:ascii="Times New Roman" w:hAnsi="Times New Roman" w:cs="Times New Roman"/>
          <w:sz w:val="24"/>
          <w:szCs w:val="24"/>
        </w:rPr>
        <w:t>validity</w:t>
      </w:r>
      <w:r>
        <w:rPr>
          <w:rFonts w:ascii="Times New Roman" w:hAnsi="Times New Roman" w:cs="Times New Roman"/>
          <w:sz w:val="24"/>
          <w:szCs w:val="24"/>
        </w:rPr>
        <w:t xml:space="preserve">.  </w:t>
      </w:r>
    </w:p>
    <w:p w14:paraId="5FF3FB60" w14:textId="77777777" w:rsidR="000235FE" w:rsidRDefault="00887B54" w:rsidP="00922C7B">
      <w:pPr>
        <w:jc w:val="both"/>
        <w:rPr>
          <w:rFonts w:ascii="Times New Roman" w:hAnsi="Times New Roman" w:cs="Times New Roman"/>
          <w:sz w:val="24"/>
          <w:szCs w:val="24"/>
          <w:lang w:val="en-US"/>
        </w:rPr>
      </w:pPr>
      <w:r>
        <w:rPr>
          <w:rFonts w:ascii="Times New Roman" w:hAnsi="Times New Roman" w:cs="Times New Roman"/>
          <w:sz w:val="24"/>
          <w:szCs w:val="24"/>
          <w:lang w:val="en-US"/>
        </w:rPr>
        <w:t>In conclusion</w:t>
      </w:r>
      <w:r w:rsidR="00922C7B">
        <w:rPr>
          <w:rFonts w:ascii="Times New Roman" w:hAnsi="Times New Roman" w:cs="Times New Roman"/>
          <w:sz w:val="24"/>
          <w:szCs w:val="24"/>
          <w:lang w:val="en-US"/>
        </w:rPr>
        <w:t>,</w:t>
      </w:r>
      <w:r>
        <w:rPr>
          <w:rFonts w:ascii="Times New Roman" w:hAnsi="Times New Roman" w:cs="Times New Roman"/>
          <w:sz w:val="24"/>
          <w:szCs w:val="24"/>
          <w:lang w:val="en-US"/>
        </w:rPr>
        <w:t xml:space="preserve"> farmer</w:t>
      </w:r>
      <w:r w:rsidR="00922C7B">
        <w:rPr>
          <w:rFonts w:ascii="Times New Roman" w:hAnsi="Times New Roman" w:cs="Times New Roman"/>
          <w:sz w:val="24"/>
          <w:szCs w:val="24"/>
          <w:lang w:val="en-US"/>
        </w:rPr>
        <w:t>s'</w:t>
      </w:r>
      <w:r w:rsidR="00600E25">
        <w:rPr>
          <w:rFonts w:ascii="Times New Roman" w:hAnsi="Times New Roman" w:cs="Times New Roman"/>
          <w:sz w:val="24"/>
          <w:szCs w:val="24"/>
          <w:lang w:val="en-US"/>
        </w:rPr>
        <w:t xml:space="preserve"> </w:t>
      </w:r>
      <w:r w:rsidR="000235FE">
        <w:rPr>
          <w:rFonts w:ascii="Times New Roman" w:hAnsi="Times New Roman" w:cs="Times New Roman"/>
          <w:sz w:val="24"/>
          <w:szCs w:val="24"/>
          <w:lang w:val="en-US"/>
        </w:rPr>
        <w:t xml:space="preserve">perception regarding </w:t>
      </w:r>
      <w:r w:rsidR="00922C7B">
        <w:rPr>
          <w:rFonts w:ascii="Times New Roman" w:hAnsi="Times New Roman" w:cs="Times New Roman"/>
          <w:sz w:val="24"/>
          <w:szCs w:val="24"/>
          <w:lang w:val="en-US"/>
        </w:rPr>
        <w:t xml:space="preserve">the </w:t>
      </w:r>
      <w:r w:rsidR="000235FE">
        <w:rPr>
          <w:rFonts w:ascii="Times New Roman" w:hAnsi="Times New Roman" w:cs="Times New Roman"/>
          <w:sz w:val="24"/>
          <w:szCs w:val="24"/>
          <w:lang w:val="en-US"/>
        </w:rPr>
        <w:t xml:space="preserve">health impact due to agrochemical use </w:t>
      </w:r>
      <w:r>
        <w:rPr>
          <w:rFonts w:ascii="Times New Roman" w:hAnsi="Times New Roman" w:cs="Times New Roman"/>
          <w:sz w:val="24"/>
          <w:szCs w:val="24"/>
          <w:lang w:val="en-US"/>
        </w:rPr>
        <w:t>is very important</w:t>
      </w:r>
      <w:r w:rsidR="000235FE">
        <w:rPr>
          <w:rFonts w:ascii="Times New Roman" w:hAnsi="Times New Roman" w:cs="Times New Roman"/>
          <w:sz w:val="24"/>
          <w:szCs w:val="24"/>
          <w:lang w:val="en-US"/>
        </w:rPr>
        <w:t>.</w:t>
      </w:r>
      <w:r w:rsidR="00600E25">
        <w:rPr>
          <w:rFonts w:ascii="Times New Roman" w:hAnsi="Times New Roman" w:cs="Times New Roman"/>
          <w:sz w:val="24"/>
          <w:szCs w:val="24"/>
          <w:lang w:val="en-US"/>
        </w:rPr>
        <w:t xml:space="preserve"> </w:t>
      </w:r>
      <w:r>
        <w:rPr>
          <w:rFonts w:ascii="Times New Roman" w:hAnsi="Times New Roman" w:cs="Times New Roman"/>
          <w:sz w:val="24"/>
          <w:szCs w:val="24"/>
          <w:lang w:val="en-US"/>
        </w:rPr>
        <w:t>Through different step</w:t>
      </w:r>
      <w:r w:rsidR="00922C7B">
        <w:rPr>
          <w:rFonts w:ascii="Times New Roman" w:hAnsi="Times New Roman" w:cs="Times New Roman"/>
          <w:sz w:val="24"/>
          <w:szCs w:val="24"/>
          <w:lang w:val="en-US"/>
        </w:rPr>
        <w:t>s</w:t>
      </w:r>
      <w:r>
        <w:rPr>
          <w:rFonts w:ascii="Times New Roman" w:hAnsi="Times New Roman" w:cs="Times New Roman"/>
          <w:sz w:val="24"/>
          <w:szCs w:val="24"/>
          <w:lang w:val="en-US"/>
        </w:rPr>
        <w:t xml:space="preserve"> of analysis</w:t>
      </w:r>
      <w:r w:rsidR="00922C7B">
        <w:rPr>
          <w:rFonts w:ascii="Times New Roman" w:hAnsi="Times New Roman" w:cs="Times New Roman"/>
          <w:sz w:val="24"/>
          <w:szCs w:val="24"/>
          <w:lang w:val="en-US"/>
        </w:rPr>
        <w:t>,</w:t>
      </w:r>
      <w:r w:rsidR="00600E25">
        <w:rPr>
          <w:rFonts w:ascii="Times New Roman" w:hAnsi="Times New Roman" w:cs="Times New Roman"/>
          <w:sz w:val="24"/>
          <w:szCs w:val="24"/>
          <w:lang w:val="en-US"/>
        </w:rPr>
        <w:t xml:space="preserve"> </w:t>
      </w:r>
      <w:r w:rsidR="007664C4">
        <w:rPr>
          <w:rFonts w:ascii="Times New Roman" w:hAnsi="Times New Roman" w:cs="Times New Roman"/>
          <w:sz w:val="24"/>
          <w:szCs w:val="24"/>
          <w:lang w:val="en-US"/>
        </w:rPr>
        <w:t>we finally got the</w:t>
      </w:r>
      <w:r w:rsidR="00922C7B">
        <w:rPr>
          <w:rFonts w:ascii="Times New Roman" w:hAnsi="Times New Roman" w:cs="Times New Roman"/>
          <w:sz w:val="24"/>
          <w:szCs w:val="24"/>
          <w:lang w:val="en-US"/>
        </w:rPr>
        <w:t xml:space="preserve">se </w:t>
      </w:r>
      <w:r w:rsidR="0074064E">
        <w:rPr>
          <w:rFonts w:ascii="Times New Roman" w:hAnsi="Times New Roman" w:cs="Times New Roman"/>
          <w:sz w:val="24"/>
          <w:szCs w:val="24"/>
          <w:lang w:val="en-US"/>
        </w:rPr>
        <w:t xml:space="preserve">16 </w:t>
      </w:r>
      <w:r w:rsidR="00922C7B">
        <w:rPr>
          <w:rFonts w:ascii="Times New Roman" w:hAnsi="Times New Roman" w:cs="Times New Roman"/>
          <w:sz w:val="24"/>
          <w:szCs w:val="24"/>
          <w:lang w:val="en-US"/>
        </w:rPr>
        <w:t>items that can perfectly describe the perception of farmers related to agrochemical use. Additionally, it also acts as a helpful tool for creating awareness and policy-making.</w:t>
      </w:r>
      <w:r w:rsidR="00600E25">
        <w:rPr>
          <w:rFonts w:ascii="Times New Roman" w:hAnsi="Times New Roman" w:cs="Times New Roman"/>
          <w:sz w:val="24"/>
          <w:szCs w:val="24"/>
          <w:lang w:val="en-US"/>
        </w:rPr>
        <w:t xml:space="preserve"> </w:t>
      </w:r>
      <w:r w:rsidR="0074064E">
        <w:rPr>
          <w:rFonts w:ascii="Times New Roman" w:hAnsi="Times New Roman" w:cs="Times New Roman"/>
          <w:sz w:val="24"/>
          <w:szCs w:val="24"/>
          <w:lang w:val="en-US"/>
        </w:rPr>
        <w:t>The scale developed is statistically reliable to measure the farmer perception level in different</w:t>
      </w:r>
      <w:r w:rsidR="00600E25">
        <w:rPr>
          <w:rFonts w:ascii="Times New Roman" w:hAnsi="Times New Roman" w:cs="Times New Roman"/>
          <w:sz w:val="24"/>
          <w:szCs w:val="24"/>
          <w:lang w:val="en-US"/>
        </w:rPr>
        <w:t xml:space="preserve"> similar</w:t>
      </w:r>
      <w:r w:rsidR="0074064E">
        <w:rPr>
          <w:rFonts w:ascii="Times New Roman" w:hAnsi="Times New Roman" w:cs="Times New Roman"/>
          <w:sz w:val="24"/>
          <w:szCs w:val="24"/>
          <w:lang w:val="en-US"/>
        </w:rPr>
        <w:t xml:space="preserve"> </w:t>
      </w:r>
      <w:r w:rsidR="00600E25">
        <w:rPr>
          <w:rFonts w:ascii="Times New Roman" w:hAnsi="Times New Roman" w:cs="Times New Roman"/>
          <w:sz w:val="24"/>
          <w:szCs w:val="24"/>
          <w:lang w:val="en-US"/>
        </w:rPr>
        <w:t>socio-economic</w:t>
      </w:r>
      <w:r w:rsidR="0074064E">
        <w:rPr>
          <w:rFonts w:ascii="Times New Roman" w:hAnsi="Times New Roman" w:cs="Times New Roman"/>
          <w:sz w:val="24"/>
          <w:szCs w:val="24"/>
          <w:lang w:val="en-US"/>
        </w:rPr>
        <w:t xml:space="preserve"> setting</w:t>
      </w:r>
      <w:r w:rsidR="00600E25">
        <w:rPr>
          <w:rFonts w:ascii="Times New Roman" w:hAnsi="Times New Roman" w:cs="Times New Roman"/>
          <w:sz w:val="24"/>
          <w:szCs w:val="24"/>
          <w:lang w:val="en-US"/>
        </w:rPr>
        <w:t>s</w:t>
      </w:r>
      <w:r w:rsidR="0074064E">
        <w:rPr>
          <w:rFonts w:ascii="Times New Roman" w:hAnsi="Times New Roman" w:cs="Times New Roman"/>
          <w:sz w:val="24"/>
          <w:szCs w:val="24"/>
          <w:lang w:val="en-US"/>
        </w:rPr>
        <w:t>.</w:t>
      </w:r>
      <w:r w:rsidR="00922C7B">
        <w:rPr>
          <w:rFonts w:ascii="Times New Roman" w:hAnsi="Times New Roman" w:cs="Times New Roman"/>
          <w:sz w:val="24"/>
          <w:szCs w:val="24"/>
          <w:lang w:val="en-US"/>
        </w:rPr>
        <w:t xml:space="preserve"> In future studies, </w:t>
      </w:r>
      <w:r w:rsidR="007664C4">
        <w:rPr>
          <w:rFonts w:ascii="Times New Roman" w:hAnsi="Times New Roman" w:cs="Times New Roman"/>
          <w:sz w:val="24"/>
          <w:szCs w:val="24"/>
          <w:lang w:val="en-US"/>
        </w:rPr>
        <w:t>detailed zone wise perception study can be performed using the these newly developed valid and reliable scale.</w:t>
      </w:r>
    </w:p>
    <w:p w14:paraId="2DFF8737" w14:textId="77777777" w:rsidR="002F6F1E" w:rsidRPr="0036217D" w:rsidRDefault="002F6F1E" w:rsidP="002F6F1E">
      <w:pPr>
        <w:jc w:val="center"/>
        <w:rPr>
          <w:rFonts w:ascii="Times New Roman" w:hAnsi="Times New Roman" w:cs="Times New Roman"/>
          <w:sz w:val="36"/>
          <w:szCs w:val="36"/>
          <w:lang w:val="en-US"/>
        </w:rPr>
      </w:pPr>
      <w:bookmarkStart w:id="0" w:name="_GoBack"/>
      <w:bookmarkEnd w:id="0"/>
    </w:p>
    <w:p w14:paraId="3EF30DB1" w14:textId="77777777" w:rsidR="002F6F1E" w:rsidRDefault="00006EE1">
      <w:r>
        <w:t>References</w:t>
      </w:r>
    </w:p>
    <w:p w14:paraId="0D61086F" w14:textId="77777777" w:rsidR="00293597" w:rsidRDefault="00293597" w:rsidP="00293597">
      <w:pPr>
        <w:spacing w:line="240" w:lineRule="auto"/>
        <w:ind w:left="720" w:hanging="720"/>
        <w:jc w:val="both"/>
        <w:rPr>
          <w:rFonts w:ascii="Times New Roman" w:hAnsi="Times New Roman" w:cs="Times New Roman"/>
          <w:color w:val="000000" w:themeColor="text1"/>
        </w:rPr>
      </w:pPr>
      <w:r w:rsidRPr="00861FBA">
        <w:rPr>
          <w:rFonts w:ascii="Times New Roman" w:hAnsi="Times New Roman" w:cs="Times New Roman"/>
          <w:color w:val="000000" w:themeColor="text1"/>
        </w:rPr>
        <w:lastRenderedPageBreak/>
        <w:t>Ali, Q., Parveen, S., Yaacob, H., &amp;Zaini, Z. (2021). Cardless Banking System in Malaysia: An Extended TAM. Risks, 9(2), 41.</w:t>
      </w:r>
      <w:r w:rsidRPr="00293597">
        <w:rPr>
          <w:rFonts w:ascii="Times New Roman" w:hAnsi="Times New Roman" w:cs="Times New Roman"/>
          <w:color w:val="000000" w:themeColor="text1"/>
        </w:rPr>
        <w:t>https://doi.org/10.3390/risks</w:t>
      </w:r>
      <w:r>
        <w:rPr>
          <w:rFonts w:ascii="Times New Roman" w:hAnsi="Times New Roman" w:cs="Times New Roman"/>
          <w:color w:val="000000" w:themeColor="text1"/>
        </w:rPr>
        <w:t>902004</w:t>
      </w:r>
    </w:p>
    <w:p w14:paraId="5E8D4897" w14:textId="77777777" w:rsidR="00293597" w:rsidRPr="00293597" w:rsidRDefault="006B7223" w:rsidP="00293597">
      <w:pPr>
        <w:spacing w:line="240" w:lineRule="auto"/>
        <w:ind w:left="720" w:hanging="720"/>
        <w:jc w:val="both"/>
        <w:rPr>
          <w:rFonts w:ascii="Times New Roman" w:hAnsi="Times New Roman" w:cs="Times New Roman"/>
          <w:color w:val="000000" w:themeColor="text1"/>
        </w:rPr>
      </w:pPr>
      <w:r w:rsidRPr="00293597">
        <w:rPr>
          <w:rFonts w:ascii="Times New Roman" w:hAnsi="Times New Roman" w:cs="Times New Roman"/>
          <w:color w:val="000000" w:themeColor="text1"/>
        </w:rPr>
        <w:t>Allen, I. E., &amp; Seaman, C. A. (2007). Likert scales and data analyses. </w:t>
      </w:r>
      <w:r w:rsidRPr="00293597">
        <w:rPr>
          <w:rFonts w:ascii="Times New Roman" w:hAnsi="Times New Roman" w:cs="Times New Roman"/>
          <w:i/>
          <w:iCs/>
          <w:color w:val="000000" w:themeColor="text1"/>
        </w:rPr>
        <w:t>Quality progress</w:t>
      </w:r>
      <w:r w:rsidRPr="00293597">
        <w:rPr>
          <w:rFonts w:ascii="Times New Roman" w:hAnsi="Times New Roman" w:cs="Times New Roman"/>
          <w:color w:val="000000" w:themeColor="text1"/>
        </w:rPr>
        <w:t>, </w:t>
      </w:r>
      <w:r w:rsidRPr="00293597">
        <w:rPr>
          <w:rFonts w:ascii="Times New Roman" w:hAnsi="Times New Roman" w:cs="Times New Roman"/>
          <w:i/>
          <w:iCs/>
          <w:color w:val="000000" w:themeColor="text1"/>
        </w:rPr>
        <w:t>40</w:t>
      </w:r>
      <w:r w:rsidRPr="00293597">
        <w:rPr>
          <w:rFonts w:ascii="Times New Roman" w:hAnsi="Times New Roman" w:cs="Times New Roman"/>
          <w:color w:val="000000" w:themeColor="text1"/>
        </w:rPr>
        <w:t>(7), 64-65.https://www.bayviewanalytics.com/reports/asq/likert-scales-and-data-analyses.pdf</w:t>
      </w:r>
    </w:p>
    <w:p w14:paraId="6D26A085" w14:textId="77777777" w:rsidR="00293597" w:rsidRDefault="00293597" w:rsidP="00293597">
      <w:pPr>
        <w:spacing w:line="240" w:lineRule="auto"/>
        <w:ind w:left="720" w:hanging="720"/>
        <w:jc w:val="both"/>
        <w:rPr>
          <w:rFonts w:ascii="Times New Roman" w:hAnsi="Times New Roman" w:cs="Times New Roman"/>
          <w:color w:val="000000" w:themeColor="text1"/>
        </w:rPr>
      </w:pPr>
    </w:p>
    <w:p w14:paraId="7DE8FC15" w14:textId="77777777" w:rsidR="00293597" w:rsidRDefault="00293597" w:rsidP="00293597">
      <w:pPr>
        <w:spacing w:line="240" w:lineRule="auto"/>
        <w:ind w:left="720" w:hanging="720"/>
        <w:jc w:val="both"/>
        <w:rPr>
          <w:rFonts w:ascii="Times New Roman" w:hAnsi="Times New Roman" w:cs="Times New Roman"/>
          <w:color w:val="000000" w:themeColor="text1"/>
        </w:rPr>
      </w:pPr>
      <w:r w:rsidRPr="00293597">
        <w:rPr>
          <w:rFonts w:ascii="Arial" w:hAnsi="Arial" w:cs="Arial"/>
          <w:color w:val="222222"/>
          <w:sz w:val="20"/>
          <w:szCs w:val="20"/>
          <w:shd w:val="clear" w:color="auto" w:fill="FFFFFF"/>
        </w:rPr>
        <w:t>Suhr, D. D. (2006). </w:t>
      </w:r>
      <w:r w:rsidRPr="00293597">
        <w:rPr>
          <w:rFonts w:ascii="Arial" w:hAnsi="Arial" w:cs="Arial"/>
          <w:i/>
          <w:iCs/>
          <w:color w:val="222222"/>
          <w:sz w:val="20"/>
          <w:szCs w:val="20"/>
          <w:shd w:val="clear" w:color="auto" w:fill="FFFFFF"/>
        </w:rPr>
        <w:t>Exploratory or confirmatory factor analysis?</w:t>
      </w:r>
      <w:r w:rsidRPr="00293597">
        <w:rPr>
          <w:rFonts w:ascii="Arial" w:hAnsi="Arial" w:cs="Arial"/>
          <w:color w:val="222222"/>
          <w:sz w:val="20"/>
          <w:szCs w:val="20"/>
          <w:shd w:val="clear" w:color="auto" w:fill="FFFFFF"/>
        </w:rPr>
        <w:t> (Vol. 17). Cary: SaS institute.</w:t>
      </w:r>
    </w:p>
    <w:p w14:paraId="6E1BB5E0" w14:textId="77777777" w:rsidR="00293597" w:rsidRDefault="006B7223" w:rsidP="00293597">
      <w:pPr>
        <w:spacing w:line="240" w:lineRule="auto"/>
        <w:ind w:left="720" w:hanging="720"/>
        <w:jc w:val="both"/>
        <w:rPr>
          <w:rFonts w:ascii="Times New Roman" w:hAnsi="Times New Roman" w:cs="Times New Roman"/>
          <w:color w:val="000000" w:themeColor="text1"/>
        </w:rPr>
      </w:pPr>
      <w:r w:rsidRPr="006B7223">
        <w:t>Kaiser, H. F. (1974). An index of factorial simplicity. </w:t>
      </w:r>
      <w:r w:rsidRPr="00293597">
        <w:rPr>
          <w:i/>
          <w:iCs/>
        </w:rPr>
        <w:t>psychometrika</w:t>
      </w:r>
      <w:r w:rsidRPr="006B7223">
        <w:t>, </w:t>
      </w:r>
      <w:r w:rsidRPr="00293597">
        <w:rPr>
          <w:i/>
          <w:iCs/>
        </w:rPr>
        <w:t>39</w:t>
      </w:r>
      <w:r w:rsidRPr="006B7223">
        <w:t>(1), 31-</w:t>
      </w:r>
      <w:proofErr w:type="gramStart"/>
      <w:r w:rsidRPr="006B7223">
        <w:t>36.https://doi.org/10.1007/BF02291575</w:t>
      </w:r>
      <w:proofErr w:type="gramEnd"/>
    </w:p>
    <w:p w14:paraId="381D4325" w14:textId="77777777" w:rsidR="00293597" w:rsidRDefault="006B7223" w:rsidP="00293597">
      <w:pPr>
        <w:spacing w:line="240" w:lineRule="auto"/>
        <w:ind w:left="720" w:hanging="720"/>
        <w:jc w:val="both"/>
        <w:rPr>
          <w:rFonts w:ascii="Times New Roman" w:hAnsi="Times New Roman" w:cs="Times New Roman"/>
          <w:color w:val="000000" w:themeColor="text1"/>
        </w:rPr>
      </w:pPr>
      <w:r w:rsidRPr="006B7223">
        <w:t>Weathington, B. L., Cunningham, C. J., &amp;Pittenger, D. J. (2012). </w:t>
      </w:r>
      <w:r w:rsidRPr="00293597">
        <w:rPr>
          <w:i/>
          <w:iCs/>
        </w:rPr>
        <w:t xml:space="preserve">Understanding business </w:t>
      </w:r>
      <w:proofErr w:type="spellStart"/>
      <w:r w:rsidRPr="00293597">
        <w:rPr>
          <w:i/>
          <w:iCs/>
        </w:rPr>
        <w:t>research</w:t>
      </w:r>
      <w:r w:rsidRPr="006B7223">
        <w:t>.John</w:t>
      </w:r>
      <w:proofErr w:type="spellEnd"/>
      <w:r w:rsidRPr="006B7223">
        <w:t xml:space="preserve"> Wiley &amp;</w:t>
      </w:r>
      <w:proofErr w:type="spellStart"/>
      <w:r w:rsidRPr="006B7223">
        <w:t>Sons.Download</w:t>
      </w:r>
      <w:proofErr w:type="spellEnd"/>
      <w:r w:rsidRPr="006B7223">
        <w:t xml:space="preserve"> from </w:t>
      </w:r>
      <w:hyperlink r:id="rId8" w:history="1">
        <w:r w:rsidR="00293597" w:rsidRPr="00DC0C49">
          <w:rPr>
            <w:rStyle w:val="Hyperlink"/>
          </w:rPr>
          <w:t>https://onlinelibrary.wiley.com/doi/pdf/10.1002/9781118342978.app2</w:t>
        </w:r>
      </w:hyperlink>
    </w:p>
    <w:p w14:paraId="55A5A427" w14:textId="77777777" w:rsidR="00293597" w:rsidRDefault="00CC49D4" w:rsidP="00293597">
      <w:pPr>
        <w:spacing w:line="240" w:lineRule="auto"/>
        <w:ind w:left="720" w:hanging="720"/>
        <w:jc w:val="both"/>
        <w:rPr>
          <w:rFonts w:ascii="Times New Roman" w:hAnsi="Times New Roman" w:cs="Times New Roman"/>
          <w:color w:val="000000" w:themeColor="text1"/>
        </w:rPr>
      </w:pPr>
      <w:proofErr w:type="spellStart"/>
      <w:r w:rsidRPr="00CC49D4">
        <w:t>Tavakol</w:t>
      </w:r>
      <w:proofErr w:type="spellEnd"/>
      <w:r w:rsidRPr="00CC49D4">
        <w:t>, M., &amp;Dennick, R. (2011).Making sense of Cronbach's alpha. </w:t>
      </w:r>
      <w:r w:rsidRPr="00293597">
        <w:rPr>
          <w:i/>
          <w:iCs/>
        </w:rPr>
        <w:t>International journal of medical education</w:t>
      </w:r>
      <w:r w:rsidRPr="00CC49D4">
        <w:t>, </w:t>
      </w:r>
      <w:r w:rsidRPr="00293597">
        <w:rPr>
          <w:i/>
          <w:iCs/>
        </w:rPr>
        <w:t>2</w:t>
      </w:r>
      <w:r w:rsidRPr="00CC49D4">
        <w:t>, 53.doi: </w:t>
      </w:r>
      <w:hyperlink r:id="rId9" w:tgtFrame="_blank" w:history="1">
        <w:r w:rsidRPr="00CC49D4">
          <w:rPr>
            <w:rStyle w:val="Hyperlink"/>
          </w:rPr>
          <w:t>10.5116/ijme.4dfb.8dfd</w:t>
        </w:r>
      </w:hyperlink>
    </w:p>
    <w:p w14:paraId="4E975178" w14:textId="77777777" w:rsidR="00293597" w:rsidRDefault="002A76BE" w:rsidP="00293597">
      <w:pPr>
        <w:spacing w:line="240" w:lineRule="auto"/>
        <w:ind w:left="720" w:hanging="720"/>
        <w:jc w:val="both"/>
        <w:rPr>
          <w:rFonts w:ascii="Times New Roman" w:hAnsi="Times New Roman" w:cs="Times New Roman"/>
          <w:color w:val="000000" w:themeColor="text1"/>
        </w:rPr>
      </w:pPr>
      <w:r w:rsidRPr="002A76BE">
        <w:t xml:space="preserve">Mancini, F., Van Bruggen, A. H. C., </w:t>
      </w:r>
      <w:proofErr w:type="spellStart"/>
      <w:r w:rsidRPr="002A76BE">
        <w:t>Jiggins</w:t>
      </w:r>
      <w:proofErr w:type="spellEnd"/>
      <w:r w:rsidRPr="002A76BE">
        <w:t xml:space="preserve">, J. L. S., </w:t>
      </w:r>
      <w:proofErr w:type="spellStart"/>
      <w:r w:rsidRPr="002A76BE">
        <w:t>Ambatipudi</w:t>
      </w:r>
      <w:proofErr w:type="spellEnd"/>
      <w:r w:rsidRPr="002A76BE">
        <w:t>, A. C., &amp; Murphy, H. (2005). Acute Pesticide Poisoning among Female and Male Cotton Growers in India. </w:t>
      </w:r>
      <w:r w:rsidRPr="00293597">
        <w:rPr>
          <w:i/>
          <w:iCs/>
        </w:rPr>
        <w:t>International Journal of Occupational and Environmental Health</w:t>
      </w:r>
      <w:r w:rsidRPr="002A76BE">
        <w:t>, </w:t>
      </w:r>
      <w:r w:rsidRPr="00293597">
        <w:rPr>
          <w:i/>
          <w:iCs/>
        </w:rPr>
        <w:t>11</w:t>
      </w:r>
      <w:r w:rsidRPr="002A76BE">
        <w:t xml:space="preserve">(3), 221–232. </w:t>
      </w:r>
      <w:hyperlink r:id="rId10" w:history="1">
        <w:r w:rsidRPr="004A579A">
          <w:rPr>
            <w:rStyle w:val="Hyperlink"/>
          </w:rPr>
          <w:t>https://doi.org/10.1179/107735205800246064</w:t>
        </w:r>
      </w:hyperlink>
    </w:p>
    <w:p w14:paraId="1E1D589D" w14:textId="77777777" w:rsidR="00293597" w:rsidRDefault="002A76BE" w:rsidP="00293597">
      <w:pPr>
        <w:spacing w:line="240" w:lineRule="auto"/>
        <w:ind w:left="720" w:hanging="720"/>
        <w:jc w:val="both"/>
        <w:rPr>
          <w:rFonts w:ascii="Times New Roman" w:hAnsi="Times New Roman" w:cs="Times New Roman"/>
          <w:color w:val="000000" w:themeColor="text1"/>
        </w:rPr>
      </w:pPr>
      <w:r w:rsidRPr="002A76BE">
        <w:t>Damalas, C. A., &amp;</w:t>
      </w:r>
      <w:proofErr w:type="spellStart"/>
      <w:r w:rsidRPr="002A76BE">
        <w:t>Koutroubas</w:t>
      </w:r>
      <w:proofErr w:type="spellEnd"/>
      <w:r w:rsidRPr="002A76BE">
        <w:t xml:space="preserve">, S. D. (2017). Farmers' Training on Pesticide Use Is Associated with Elevated Safety </w:t>
      </w:r>
      <w:proofErr w:type="spellStart"/>
      <w:r w:rsidRPr="002A76BE">
        <w:t>Behavior</w:t>
      </w:r>
      <w:proofErr w:type="spellEnd"/>
      <w:r w:rsidRPr="002A76BE">
        <w:t>. </w:t>
      </w:r>
      <w:r w:rsidRPr="00293597">
        <w:rPr>
          <w:i/>
          <w:iCs/>
        </w:rPr>
        <w:t>Toxics</w:t>
      </w:r>
      <w:r w:rsidRPr="002A76BE">
        <w:t>, </w:t>
      </w:r>
      <w:r w:rsidRPr="00293597">
        <w:rPr>
          <w:i/>
          <w:iCs/>
        </w:rPr>
        <w:t>5</w:t>
      </w:r>
      <w:r w:rsidRPr="002A76BE">
        <w:t xml:space="preserve">(3), 19. </w:t>
      </w:r>
      <w:hyperlink r:id="rId11" w:history="1">
        <w:r w:rsidRPr="004A579A">
          <w:rPr>
            <w:rStyle w:val="Hyperlink"/>
          </w:rPr>
          <w:t>https://doi.org/10.3390/toxics5030019</w:t>
        </w:r>
      </w:hyperlink>
    </w:p>
    <w:p w14:paraId="66DD47B7" w14:textId="77777777" w:rsidR="00293597" w:rsidRDefault="00597913" w:rsidP="00293597">
      <w:pPr>
        <w:spacing w:line="240" w:lineRule="auto"/>
        <w:ind w:left="720" w:hanging="720"/>
        <w:jc w:val="both"/>
        <w:rPr>
          <w:rFonts w:ascii="Times New Roman" w:hAnsi="Times New Roman" w:cs="Times New Roman"/>
          <w:color w:val="000000" w:themeColor="text1"/>
        </w:rPr>
      </w:pPr>
      <w:r w:rsidRPr="00293597">
        <w:rPr>
          <w:rFonts w:ascii="Segoe UI" w:hAnsi="Segoe UI" w:cs="Segoe UI"/>
          <w:color w:val="212121"/>
          <w:shd w:val="clear" w:color="auto" w:fill="FFFFFF"/>
        </w:rPr>
        <w:t>Ye, M., Beach, J., Martin, J. W., &amp;</w:t>
      </w:r>
      <w:proofErr w:type="spellStart"/>
      <w:r w:rsidRPr="00293597">
        <w:rPr>
          <w:rFonts w:ascii="Segoe UI" w:hAnsi="Segoe UI" w:cs="Segoe UI"/>
          <w:color w:val="212121"/>
          <w:shd w:val="clear" w:color="auto" w:fill="FFFFFF"/>
        </w:rPr>
        <w:t>Senthilselvan</w:t>
      </w:r>
      <w:proofErr w:type="spellEnd"/>
      <w:r w:rsidRPr="00293597">
        <w:rPr>
          <w:rFonts w:ascii="Segoe UI" w:hAnsi="Segoe UI" w:cs="Segoe UI"/>
          <w:color w:val="212121"/>
          <w:shd w:val="clear" w:color="auto" w:fill="FFFFFF"/>
        </w:rPr>
        <w:t>, A. (2013). Occupational pesticide exposures and respiratory health. </w:t>
      </w:r>
      <w:r w:rsidRPr="00293597">
        <w:rPr>
          <w:rFonts w:ascii="Segoe UI" w:hAnsi="Segoe UI" w:cs="Segoe UI"/>
          <w:i/>
          <w:iCs/>
          <w:color w:val="212121"/>
          <w:shd w:val="clear" w:color="auto" w:fill="FFFFFF"/>
        </w:rPr>
        <w:t>International journal of environmental research and public health</w:t>
      </w:r>
      <w:r w:rsidRPr="00293597">
        <w:rPr>
          <w:rFonts w:ascii="Segoe UI" w:hAnsi="Segoe UI" w:cs="Segoe UI"/>
          <w:color w:val="212121"/>
          <w:shd w:val="clear" w:color="auto" w:fill="FFFFFF"/>
        </w:rPr>
        <w:t>, </w:t>
      </w:r>
      <w:r w:rsidRPr="00293597">
        <w:rPr>
          <w:rFonts w:ascii="Segoe UI" w:hAnsi="Segoe UI" w:cs="Segoe UI"/>
          <w:i/>
          <w:iCs/>
          <w:color w:val="212121"/>
          <w:shd w:val="clear" w:color="auto" w:fill="FFFFFF"/>
        </w:rPr>
        <w:t>10</w:t>
      </w:r>
      <w:r w:rsidRPr="00293597">
        <w:rPr>
          <w:rFonts w:ascii="Segoe UI" w:hAnsi="Segoe UI" w:cs="Segoe UI"/>
          <w:color w:val="212121"/>
          <w:shd w:val="clear" w:color="auto" w:fill="FFFFFF"/>
        </w:rPr>
        <w:t xml:space="preserve">(12), 6442–6471. </w:t>
      </w:r>
      <w:hyperlink r:id="rId12" w:history="1">
        <w:r w:rsidRPr="00293597">
          <w:rPr>
            <w:rStyle w:val="Hyperlink"/>
            <w:rFonts w:ascii="Segoe UI" w:hAnsi="Segoe UI" w:cs="Segoe UI"/>
            <w:shd w:val="clear" w:color="auto" w:fill="FFFFFF"/>
          </w:rPr>
          <w:t>https://doi.org/10.3390/ijerph10126442</w:t>
        </w:r>
      </w:hyperlink>
    </w:p>
    <w:p w14:paraId="521518A9" w14:textId="77777777" w:rsidR="00293597" w:rsidRDefault="00597913" w:rsidP="00293597">
      <w:pPr>
        <w:spacing w:line="240" w:lineRule="auto"/>
        <w:ind w:left="720" w:hanging="720"/>
        <w:jc w:val="both"/>
        <w:rPr>
          <w:rFonts w:ascii="Times New Roman" w:hAnsi="Times New Roman" w:cs="Times New Roman"/>
          <w:color w:val="000000" w:themeColor="text1"/>
        </w:rPr>
      </w:pPr>
      <w:r w:rsidRPr="00293597">
        <w:rPr>
          <w:rFonts w:ascii="Segoe UI" w:hAnsi="Segoe UI" w:cs="Segoe UI"/>
          <w:color w:val="212121"/>
          <w:shd w:val="clear" w:color="auto" w:fill="FFFFFF"/>
        </w:rPr>
        <w:t>Jallow, M. F., Awadh, D. G., Albaho, M. S., Devi, V. Y., &amp; Thomas, B. M. (2017). Pesticide Knowledge and Safety Practices among Farm Workers in Kuwait: Results of a Survey. </w:t>
      </w:r>
      <w:r w:rsidRPr="00293597">
        <w:rPr>
          <w:rFonts w:ascii="Segoe UI" w:hAnsi="Segoe UI" w:cs="Segoe UI"/>
          <w:i/>
          <w:iCs/>
          <w:color w:val="212121"/>
          <w:shd w:val="clear" w:color="auto" w:fill="FFFFFF"/>
        </w:rPr>
        <w:t>International journal of environmental research and public health</w:t>
      </w:r>
      <w:r w:rsidRPr="00293597">
        <w:rPr>
          <w:rFonts w:ascii="Segoe UI" w:hAnsi="Segoe UI" w:cs="Segoe UI"/>
          <w:color w:val="212121"/>
          <w:shd w:val="clear" w:color="auto" w:fill="FFFFFF"/>
        </w:rPr>
        <w:t>, </w:t>
      </w:r>
      <w:r w:rsidRPr="00293597">
        <w:rPr>
          <w:rFonts w:ascii="Segoe UI" w:hAnsi="Segoe UI" w:cs="Segoe UI"/>
          <w:i/>
          <w:iCs/>
          <w:color w:val="212121"/>
          <w:shd w:val="clear" w:color="auto" w:fill="FFFFFF"/>
        </w:rPr>
        <w:t>14</w:t>
      </w:r>
      <w:r w:rsidRPr="00293597">
        <w:rPr>
          <w:rFonts w:ascii="Segoe UI" w:hAnsi="Segoe UI" w:cs="Segoe UI"/>
          <w:color w:val="212121"/>
          <w:shd w:val="clear" w:color="auto" w:fill="FFFFFF"/>
        </w:rPr>
        <w:t xml:space="preserve">(4), 340. </w:t>
      </w:r>
      <w:hyperlink r:id="rId13" w:history="1">
        <w:r w:rsidR="00293597" w:rsidRPr="00DC0C49">
          <w:rPr>
            <w:rStyle w:val="Hyperlink"/>
            <w:rFonts w:ascii="Segoe UI" w:hAnsi="Segoe UI" w:cs="Segoe UI"/>
            <w:shd w:val="clear" w:color="auto" w:fill="FFFFFF"/>
          </w:rPr>
          <w:t>https://doi.org/10.3390/ijerph14040340</w:t>
        </w:r>
      </w:hyperlink>
    </w:p>
    <w:p w14:paraId="0E5FFBCA" w14:textId="77777777" w:rsidR="00293597" w:rsidRDefault="008A7F4E" w:rsidP="00293597">
      <w:pPr>
        <w:spacing w:line="240" w:lineRule="auto"/>
        <w:ind w:left="720" w:hanging="720"/>
        <w:jc w:val="both"/>
        <w:rPr>
          <w:rFonts w:ascii="Times New Roman" w:hAnsi="Times New Roman" w:cs="Times New Roman"/>
          <w:color w:val="000000" w:themeColor="text1"/>
        </w:rPr>
      </w:pPr>
      <w:proofErr w:type="spellStart"/>
      <w:r w:rsidRPr="008A7F4E">
        <w:t>Apeh</w:t>
      </w:r>
      <w:proofErr w:type="spellEnd"/>
      <w:r w:rsidRPr="008A7F4E">
        <w:t xml:space="preserve">, C. C. (2018). Farmers' perception of the health effects of agrochemicals in </w:t>
      </w:r>
      <w:proofErr w:type="spellStart"/>
      <w:r w:rsidRPr="008A7F4E">
        <w:t>SouthEast</w:t>
      </w:r>
      <w:proofErr w:type="spellEnd"/>
      <w:r w:rsidRPr="008A7F4E">
        <w:t xml:space="preserve"> Nigeria. </w:t>
      </w:r>
      <w:r w:rsidRPr="00293597">
        <w:rPr>
          <w:i/>
          <w:iCs/>
        </w:rPr>
        <w:t>Journal of Health and Pollution</w:t>
      </w:r>
      <w:r w:rsidRPr="008A7F4E">
        <w:t>, </w:t>
      </w:r>
      <w:r w:rsidRPr="00293597">
        <w:rPr>
          <w:i/>
          <w:iCs/>
        </w:rPr>
        <w:t>8</w:t>
      </w:r>
      <w:r w:rsidRPr="008A7F4E">
        <w:t xml:space="preserve">(19), 180901. </w:t>
      </w:r>
      <w:hyperlink r:id="rId14" w:history="1">
        <w:r w:rsidR="00293597" w:rsidRPr="00DC0C49">
          <w:rPr>
            <w:rStyle w:val="Hyperlink"/>
          </w:rPr>
          <w:t>https://doi.org/10.5696/2156-9614-8.19.180901</w:t>
        </w:r>
      </w:hyperlink>
    </w:p>
    <w:p w14:paraId="134B398B" w14:textId="77777777" w:rsidR="00293597" w:rsidRDefault="008A7F4E" w:rsidP="00293597">
      <w:pPr>
        <w:spacing w:line="240" w:lineRule="auto"/>
        <w:ind w:left="720" w:hanging="720"/>
        <w:jc w:val="both"/>
        <w:rPr>
          <w:rFonts w:ascii="Times New Roman" w:hAnsi="Times New Roman" w:cs="Times New Roman"/>
          <w:color w:val="000000" w:themeColor="text1"/>
        </w:rPr>
      </w:pPr>
      <w:r w:rsidRPr="008A7F4E">
        <w:t>Bhandari, G., Atreya, K., Yang, X., Fan, L., &amp;</w:t>
      </w:r>
      <w:proofErr w:type="spellStart"/>
      <w:r w:rsidRPr="008A7F4E">
        <w:t>Geissen</w:t>
      </w:r>
      <w:proofErr w:type="spellEnd"/>
      <w:r w:rsidRPr="008A7F4E">
        <w:t>, V. (2018). Factors affecting pesticide safety behaviour: The perceptions of Nepalese farmers and retailers. </w:t>
      </w:r>
      <w:r w:rsidRPr="00293597">
        <w:rPr>
          <w:i/>
          <w:iCs/>
        </w:rPr>
        <w:t>Science of the total environment</w:t>
      </w:r>
      <w:r w:rsidRPr="008A7F4E">
        <w:t>, </w:t>
      </w:r>
      <w:r w:rsidRPr="00293597">
        <w:rPr>
          <w:i/>
          <w:iCs/>
        </w:rPr>
        <w:t>631</w:t>
      </w:r>
      <w:r w:rsidRPr="008A7F4E">
        <w:t xml:space="preserve">, 1560-1571. </w:t>
      </w:r>
      <w:hyperlink r:id="rId15" w:history="1">
        <w:r w:rsidRPr="009630D5">
          <w:rPr>
            <w:rStyle w:val="Hyperlink"/>
          </w:rPr>
          <w:t>https://doi.org/10.1016/j.scitotenv.2018.03.144</w:t>
        </w:r>
      </w:hyperlink>
    </w:p>
    <w:p w14:paraId="47EB5613" w14:textId="77777777" w:rsidR="00293597" w:rsidRDefault="004C3F8F" w:rsidP="00293597">
      <w:pPr>
        <w:spacing w:line="240" w:lineRule="auto"/>
        <w:ind w:left="720" w:hanging="720"/>
        <w:jc w:val="both"/>
        <w:rPr>
          <w:rFonts w:ascii="Times New Roman" w:hAnsi="Times New Roman" w:cs="Times New Roman"/>
          <w:color w:val="000000" w:themeColor="text1"/>
        </w:rPr>
      </w:pPr>
      <w:r w:rsidRPr="00293597">
        <w:rPr>
          <w:rFonts w:ascii="Arial" w:hAnsi="Arial" w:cs="Arial"/>
          <w:color w:val="222222"/>
          <w:sz w:val="20"/>
          <w:szCs w:val="20"/>
          <w:shd w:val="clear" w:color="auto" w:fill="FFFFFF"/>
        </w:rPr>
        <w:t>Khan, M., Mahmood, H. Z., &amp;Damalas, C. A. (2015). Pesticide use and risk perceptions among farmers in the cotton belt of Punjab, Pakistan. </w:t>
      </w:r>
      <w:r w:rsidRPr="00293597">
        <w:rPr>
          <w:rFonts w:ascii="Arial" w:hAnsi="Arial" w:cs="Arial"/>
          <w:i/>
          <w:iCs/>
          <w:color w:val="222222"/>
          <w:sz w:val="20"/>
          <w:szCs w:val="20"/>
          <w:shd w:val="clear" w:color="auto" w:fill="FFFFFF"/>
        </w:rPr>
        <w:t>Crop Protection</w:t>
      </w:r>
      <w:r w:rsidRPr="00293597">
        <w:rPr>
          <w:rFonts w:ascii="Arial" w:hAnsi="Arial" w:cs="Arial"/>
          <w:color w:val="222222"/>
          <w:sz w:val="20"/>
          <w:szCs w:val="20"/>
          <w:shd w:val="clear" w:color="auto" w:fill="FFFFFF"/>
        </w:rPr>
        <w:t>, </w:t>
      </w:r>
      <w:r w:rsidRPr="00293597">
        <w:rPr>
          <w:rFonts w:ascii="Arial" w:hAnsi="Arial" w:cs="Arial"/>
          <w:i/>
          <w:iCs/>
          <w:color w:val="222222"/>
          <w:sz w:val="20"/>
          <w:szCs w:val="20"/>
          <w:shd w:val="clear" w:color="auto" w:fill="FFFFFF"/>
        </w:rPr>
        <w:t>67</w:t>
      </w:r>
      <w:r w:rsidRPr="00293597">
        <w:rPr>
          <w:rFonts w:ascii="Arial" w:hAnsi="Arial" w:cs="Arial"/>
          <w:color w:val="222222"/>
          <w:sz w:val="20"/>
          <w:szCs w:val="20"/>
          <w:shd w:val="clear" w:color="auto" w:fill="FFFFFF"/>
        </w:rPr>
        <w:t>, 184-190.</w:t>
      </w:r>
      <w:hyperlink r:id="rId16" w:history="1">
        <w:r w:rsidRPr="00293597">
          <w:rPr>
            <w:rStyle w:val="Hyperlink"/>
            <w:rFonts w:ascii="Arial" w:hAnsi="Arial" w:cs="Arial"/>
            <w:sz w:val="20"/>
            <w:szCs w:val="20"/>
            <w:shd w:val="clear" w:color="auto" w:fill="FFFFFF"/>
          </w:rPr>
          <w:t>https://doi.org/10.1016/j.cropro.2014.10.013</w:t>
        </w:r>
      </w:hyperlink>
    </w:p>
    <w:p w14:paraId="2A51E2CE" w14:textId="77777777" w:rsidR="00293597" w:rsidRDefault="004C3F8F" w:rsidP="00293597">
      <w:pPr>
        <w:spacing w:line="240" w:lineRule="auto"/>
        <w:ind w:left="720" w:hanging="720"/>
        <w:jc w:val="both"/>
        <w:rPr>
          <w:rFonts w:ascii="Times New Roman" w:hAnsi="Times New Roman" w:cs="Times New Roman"/>
          <w:color w:val="000000" w:themeColor="text1"/>
        </w:rPr>
      </w:pPr>
      <w:r w:rsidRPr="00293597">
        <w:rPr>
          <w:rFonts w:ascii="Arial" w:hAnsi="Arial" w:cs="Arial"/>
          <w:color w:val="222222"/>
          <w:sz w:val="20"/>
          <w:szCs w:val="20"/>
          <w:shd w:val="clear" w:color="auto" w:fill="FFFFFF"/>
        </w:rPr>
        <w:t xml:space="preserve">Chitra, G. A., </w:t>
      </w:r>
      <w:proofErr w:type="spellStart"/>
      <w:r w:rsidRPr="00293597">
        <w:rPr>
          <w:rFonts w:ascii="Arial" w:hAnsi="Arial" w:cs="Arial"/>
          <w:color w:val="222222"/>
          <w:sz w:val="20"/>
          <w:szCs w:val="20"/>
          <w:shd w:val="clear" w:color="auto" w:fill="FFFFFF"/>
        </w:rPr>
        <w:t>Muraleedharan</w:t>
      </w:r>
      <w:proofErr w:type="spellEnd"/>
      <w:r w:rsidRPr="00293597">
        <w:rPr>
          <w:rFonts w:ascii="Arial" w:hAnsi="Arial" w:cs="Arial"/>
          <w:color w:val="222222"/>
          <w:sz w:val="20"/>
          <w:szCs w:val="20"/>
          <w:shd w:val="clear" w:color="auto" w:fill="FFFFFF"/>
        </w:rPr>
        <w:t>, V. R., Swaminathan, T., &amp;Veeraraghavan, D. (2006). Use of pesticides and its impact on health of farmers in South India. </w:t>
      </w:r>
      <w:r w:rsidRPr="00293597">
        <w:rPr>
          <w:rFonts w:ascii="Arial" w:hAnsi="Arial" w:cs="Arial"/>
          <w:i/>
          <w:iCs/>
          <w:color w:val="222222"/>
          <w:sz w:val="20"/>
          <w:szCs w:val="20"/>
          <w:shd w:val="clear" w:color="auto" w:fill="FFFFFF"/>
        </w:rPr>
        <w:t>International journal of occupational and environmental health</w:t>
      </w:r>
      <w:r w:rsidRPr="00293597">
        <w:rPr>
          <w:rFonts w:ascii="Arial" w:hAnsi="Arial" w:cs="Arial"/>
          <w:color w:val="222222"/>
          <w:sz w:val="20"/>
          <w:szCs w:val="20"/>
          <w:shd w:val="clear" w:color="auto" w:fill="FFFFFF"/>
        </w:rPr>
        <w:t>, </w:t>
      </w:r>
      <w:r w:rsidRPr="00293597">
        <w:rPr>
          <w:rFonts w:ascii="Arial" w:hAnsi="Arial" w:cs="Arial"/>
          <w:i/>
          <w:iCs/>
          <w:color w:val="222222"/>
          <w:sz w:val="20"/>
          <w:szCs w:val="20"/>
          <w:shd w:val="clear" w:color="auto" w:fill="FFFFFF"/>
        </w:rPr>
        <w:t>12</w:t>
      </w:r>
      <w:r w:rsidRPr="00293597">
        <w:rPr>
          <w:rFonts w:ascii="Arial" w:hAnsi="Arial" w:cs="Arial"/>
          <w:color w:val="222222"/>
          <w:sz w:val="20"/>
          <w:szCs w:val="20"/>
          <w:shd w:val="clear" w:color="auto" w:fill="FFFFFF"/>
        </w:rPr>
        <w:t>(3), 228-233.</w:t>
      </w:r>
      <w:hyperlink r:id="rId17" w:history="1">
        <w:r w:rsidRPr="00293597">
          <w:rPr>
            <w:rStyle w:val="Hyperlink"/>
            <w:rFonts w:ascii="Arial" w:hAnsi="Arial" w:cs="Arial"/>
            <w:sz w:val="20"/>
            <w:szCs w:val="20"/>
            <w:shd w:val="clear" w:color="auto" w:fill="FFFFFF"/>
          </w:rPr>
          <w:t>https://doi.org/10.1179/oeh.2006.12.3.228</w:t>
        </w:r>
      </w:hyperlink>
    </w:p>
    <w:p w14:paraId="2276D2C1" w14:textId="77777777" w:rsidR="00293597" w:rsidRDefault="004C3F8F" w:rsidP="00293597">
      <w:pPr>
        <w:spacing w:line="240" w:lineRule="auto"/>
        <w:ind w:left="720" w:hanging="720"/>
        <w:jc w:val="both"/>
        <w:rPr>
          <w:rFonts w:ascii="Times New Roman" w:hAnsi="Times New Roman" w:cs="Times New Roman"/>
          <w:color w:val="000000" w:themeColor="text1"/>
        </w:rPr>
      </w:pPr>
      <w:r w:rsidRPr="00293597">
        <w:rPr>
          <w:rFonts w:ascii="Arial" w:hAnsi="Arial" w:cs="Arial"/>
          <w:color w:val="222222"/>
          <w:sz w:val="20"/>
          <w:szCs w:val="20"/>
          <w:shd w:val="clear" w:color="auto" w:fill="FFFFFF"/>
        </w:rPr>
        <w:t>Devi, P. I. (2009). Health risk perceptions, awareness and handling behaviour of pesticides by farm workers. </w:t>
      </w:r>
      <w:r w:rsidRPr="00293597">
        <w:rPr>
          <w:rFonts w:ascii="Arial" w:hAnsi="Arial" w:cs="Arial"/>
          <w:i/>
          <w:iCs/>
          <w:color w:val="222222"/>
          <w:sz w:val="20"/>
          <w:szCs w:val="20"/>
          <w:shd w:val="clear" w:color="auto" w:fill="FFFFFF"/>
        </w:rPr>
        <w:t>Agricultural Economics Research Review</w:t>
      </w:r>
      <w:r w:rsidRPr="00293597">
        <w:rPr>
          <w:rFonts w:ascii="Arial" w:hAnsi="Arial" w:cs="Arial"/>
          <w:color w:val="222222"/>
          <w:sz w:val="20"/>
          <w:szCs w:val="20"/>
          <w:shd w:val="clear" w:color="auto" w:fill="FFFFFF"/>
        </w:rPr>
        <w:t>, </w:t>
      </w:r>
      <w:r w:rsidRPr="00293597">
        <w:rPr>
          <w:rFonts w:ascii="Arial" w:hAnsi="Arial" w:cs="Arial"/>
          <w:i/>
          <w:iCs/>
          <w:color w:val="222222"/>
          <w:sz w:val="20"/>
          <w:szCs w:val="20"/>
          <w:shd w:val="clear" w:color="auto" w:fill="FFFFFF"/>
        </w:rPr>
        <w:t>22</w:t>
      </w:r>
      <w:r w:rsidRPr="00293597">
        <w:rPr>
          <w:rFonts w:ascii="Arial" w:hAnsi="Arial" w:cs="Arial"/>
          <w:color w:val="222222"/>
          <w:sz w:val="20"/>
          <w:szCs w:val="20"/>
          <w:shd w:val="clear" w:color="auto" w:fill="FFFFFF"/>
        </w:rPr>
        <w:t>(2), 263-268.</w:t>
      </w:r>
      <w:hyperlink r:id="rId18" w:tgtFrame="_blank" w:tooltip="DOI" w:history="1">
        <w:r w:rsidRPr="00293597">
          <w:rPr>
            <w:rStyle w:val="Hyperlink"/>
            <w:rFonts w:ascii="Arial" w:hAnsi="Arial" w:cs="Arial"/>
            <w:sz w:val="20"/>
            <w:szCs w:val="20"/>
            <w:shd w:val="clear" w:color="auto" w:fill="FFFFFF"/>
          </w:rPr>
          <w:t>https://doi.org/10.22004/ag.econ.57410</w:t>
        </w:r>
      </w:hyperlink>
    </w:p>
    <w:p w14:paraId="437FE864" w14:textId="77777777" w:rsidR="00293597" w:rsidRDefault="00765096" w:rsidP="00293597">
      <w:pPr>
        <w:spacing w:line="240" w:lineRule="auto"/>
        <w:ind w:left="720" w:hanging="720"/>
        <w:jc w:val="both"/>
        <w:rPr>
          <w:rFonts w:ascii="Times New Roman" w:hAnsi="Times New Roman" w:cs="Times New Roman"/>
          <w:color w:val="000000" w:themeColor="text1"/>
        </w:rPr>
      </w:pPr>
      <w:r w:rsidRPr="00293597">
        <w:rPr>
          <w:rFonts w:ascii="Arial" w:hAnsi="Arial" w:cs="Arial"/>
          <w:color w:val="222222"/>
          <w:sz w:val="20"/>
          <w:szCs w:val="20"/>
          <w:shd w:val="clear" w:color="auto" w:fill="FFFFFF"/>
        </w:rPr>
        <w:lastRenderedPageBreak/>
        <w:t>Shetty, P. K., Murugan, M., Hiremath, M. B., &amp;Sreeja, K. G. (2010). Farmers’ education and perception on pesticide use and crop economies in Indian agriculture. </w:t>
      </w:r>
      <w:r w:rsidRPr="00293597">
        <w:rPr>
          <w:rFonts w:ascii="Arial" w:hAnsi="Arial" w:cs="Arial"/>
          <w:i/>
          <w:iCs/>
          <w:color w:val="222222"/>
          <w:sz w:val="20"/>
          <w:szCs w:val="20"/>
          <w:shd w:val="clear" w:color="auto" w:fill="FFFFFF"/>
        </w:rPr>
        <w:t>Journal of Experimental Sciences</w:t>
      </w:r>
      <w:r w:rsidRPr="00293597">
        <w:rPr>
          <w:rFonts w:ascii="Arial" w:hAnsi="Arial" w:cs="Arial"/>
          <w:color w:val="222222"/>
          <w:sz w:val="20"/>
          <w:szCs w:val="20"/>
          <w:shd w:val="clear" w:color="auto" w:fill="FFFFFF"/>
        </w:rPr>
        <w:t>, </w:t>
      </w:r>
      <w:r w:rsidRPr="00293597">
        <w:rPr>
          <w:rFonts w:ascii="Arial" w:hAnsi="Arial" w:cs="Arial"/>
          <w:i/>
          <w:iCs/>
          <w:color w:val="222222"/>
          <w:sz w:val="20"/>
          <w:szCs w:val="20"/>
          <w:shd w:val="clear" w:color="auto" w:fill="FFFFFF"/>
        </w:rPr>
        <w:t>1</w:t>
      </w:r>
      <w:r w:rsidRPr="00293597">
        <w:rPr>
          <w:rFonts w:ascii="Arial" w:hAnsi="Arial" w:cs="Arial"/>
          <w:color w:val="222222"/>
          <w:sz w:val="20"/>
          <w:szCs w:val="20"/>
          <w:shd w:val="clear" w:color="auto" w:fill="FFFFFF"/>
        </w:rPr>
        <w:t>(1), 3-8.</w:t>
      </w:r>
      <w:hyperlink r:id="rId19" w:history="1">
        <w:r w:rsidRPr="00293597">
          <w:rPr>
            <w:rStyle w:val="Hyperlink"/>
            <w:rFonts w:ascii="Arial" w:hAnsi="Arial" w:cs="Arial"/>
            <w:sz w:val="20"/>
            <w:szCs w:val="20"/>
            <w:shd w:val="clear" w:color="auto" w:fill="FFFFFF"/>
          </w:rPr>
          <w:t>http://eprints.nias.res.in/id/eprint/201</w:t>
        </w:r>
      </w:hyperlink>
    </w:p>
    <w:p w14:paraId="1D031999" w14:textId="77777777" w:rsidR="00293597" w:rsidRDefault="00765096" w:rsidP="00293597">
      <w:pPr>
        <w:spacing w:line="240" w:lineRule="auto"/>
        <w:ind w:left="720" w:hanging="720"/>
        <w:jc w:val="both"/>
        <w:rPr>
          <w:rFonts w:ascii="Times New Roman" w:hAnsi="Times New Roman" w:cs="Times New Roman"/>
          <w:color w:val="000000" w:themeColor="text1"/>
        </w:rPr>
      </w:pPr>
      <w:r w:rsidRPr="00765096">
        <w:t>Mohanty, M. K., Behera, B. K., Jena, S. K., Srikanth, S., Mogane, C., Samal, S., &amp;Behera, A. A. (2013). Knowledge attitude and practice of pesticide use among agricultural workers in Puducherry, South India. </w:t>
      </w:r>
      <w:r w:rsidRPr="00293597">
        <w:rPr>
          <w:i/>
          <w:iCs/>
        </w:rPr>
        <w:t>Journal of forensic and legal medicine</w:t>
      </w:r>
      <w:r w:rsidRPr="00765096">
        <w:t>, </w:t>
      </w:r>
      <w:r w:rsidRPr="00293597">
        <w:rPr>
          <w:i/>
          <w:iCs/>
        </w:rPr>
        <w:t>20</w:t>
      </w:r>
      <w:r w:rsidRPr="00765096">
        <w:t xml:space="preserve">(8), 1028-1031. </w:t>
      </w:r>
      <w:hyperlink r:id="rId20" w:history="1">
        <w:r w:rsidR="007916FB" w:rsidRPr="009630D5">
          <w:rPr>
            <w:rStyle w:val="Hyperlink"/>
          </w:rPr>
          <w:t>https://doi.org/10.1016/j.jflm.2013.09.030</w:t>
        </w:r>
      </w:hyperlink>
    </w:p>
    <w:p w14:paraId="1AF9D12F" w14:textId="77777777" w:rsidR="00293597" w:rsidRDefault="007916FB" w:rsidP="00293597">
      <w:pPr>
        <w:spacing w:line="240" w:lineRule="auto"/>
        <w:ind w:left="720" w:hanging="720"/>
        <w:jc w:val="both"/>
        <w:rPr>
          <w:rFonts w:ascii="Times New Roman" w:hAnsi="Times New Roman" w:cs="Times New Roman"/>
          <w:color w:val="000000" w:themeColor="text1"/>
        </w:rPr>
      </w:pPr>
      <w:proofErr w:type="spellStart"/>
      <w:r w:rsidRPr="007916FB">
        <w:t>Mostafalou</w:t>
      </w:r>
      <w:proofErr w:type="spellEnd"/>
      <w:r w:rsidRPr="007916FB">
        <w:t>, S., &amp;Abdollahi, M. (2017). Pesticides: an update of human exposure and toxicity. </w:t>
      </w:r>
      <w:r w:rsidRPr="00293597">
        <w:rPr>
          <w:i/>
          <w:iCs/>
        </w:rPr>
        <w:t>Archives of toxicology</w:t>
      </w:r>
      <w:r w:rsidRPr="007916FB">
        <w:t>, </w:t>
      </w:r>
      <w:r w:rsidRPr="00293597">
        <w:rPr>
          <w:i/>
          <w:iCs/>
        </w:rPr>
        <w:t>91</w:t>
      </w:r>
      <w:r w:rsidRPr="007916FB">
        <w:t>(2), 549-599.DOI 10.1007/s00204-016-1849-x</w:t>
      </w:r>
    </w:p>
    <w:p w14:paraId="7CDAC04D" w14:textId="77777777" w:rsidR="00431DB6" w:rsidRDefault="00B6251E" w:rsidP="00293597">
      <w:pPr>
        <w:spacing w:line="240" w:lineRule="auto"/>
        <w:ind w:left="720" w:hanging="720"/>
        <w:jc w:val="both"/>
      </w:pPr>
      <w:r w:rsidRPr="00B6251E">
        <w:t xml:space="preserve">World Health Organization. (2022, September 15). </w:t>
      </w:r>
      <w:r w:rsidRPr="00B6251E">
        <w:rPr>
          <w:i/>
          <w:iCs/>
        </w:rPr>
        <w:t>Pesticide residues in food</w:t>
      </w:r>
      <w:r>
        <w:t>. World Health Organization.</w:t>
      </w:r>
      <w:hyperlink r:id="rId21" w:history="1">
        <w:r w:rsidRPr="00DC0C49">
          <w:rPr>
            <w:rStyle w:val="Hyperlink"/>
          </w:rPr>
          <w:t>https://www.who.int/news-room/fact-sheets/detail/pesticide-residues-in-food</w:t>
        </w:r>
      </w:hyperlink>
    </w:p>
    <w:p w14:paraId="6F104E12" w14:textId="77777777" w:rsidR="00B6251E" w:rsidRPr="00861FBA" w:rsidRDefault="00B6251E" w:rsidP="00B6251E">
      <w:pPr>
        <w:spacing w:line="240" w:lineRule="auto"/>
        <w:ind w:left="720" w:hanging="720"/>
        <w:jc w:val="both"/>
        <w:rPr>
          <w:rFonts w:ascii="Times New Roman" w:hAnsi="Times New Roman" w:cs="Times New Roman"/>
          <w:color w:val="000000" w:themeColor="text1"/>
          <w:shd w:val="clear" w:color="auto" w:fill="FFFFFF"/>
        </w:rPr>
      </w:pPr>
      <w:r w:rsidRPr="00861FBA">
        <w:rPr>
          <w:rFonts w:ascii="Times New Roman" w:hAnsi="Times New Roman" w:cs="Times New Roman"/>
          <w:color w:val="000000" w:themeColor="text1"/>
          <w:shd w:val="clear" w:color="auto" w:fill="FFFFFF"/>
        </w:rPr>
        <w:t xml:space="preserve">India Meteorological </w:t>
      </w:r>
      <w:proofErr w:type="gramStart"/>
      <w:r w:rsidRPr="00861FBA">
        <w:rPr>
          <w:rFonts w:ascii="Times New Roman" w:hAnsi="Times New Roman" w:cs="Times New Roman"/>
          <w:color w:val="000000" w:themeColor="text1"/>
          <w:shd w:val="clear" w:color="auto" w:fill="FFFFFF"/>
        </w:rPr>
        <w:t>Department.(</w:t>
      </w:r>
      <w:proofErr w:type="gramEnd"/>
      <w:r w:rsidRPr="00861FBA">
        <w:rPr>
          <w:rFonts w:ascii="Times New Roman" w:hAnsi="Times New Roman" w:cs="Times New Roman"/>
          <w:color w:val="000000" w:themeColor="text1"/>
          <w:shd w:val="clear" w:color="auto" w:fill="FFFFFF"/>
        </w:rPr>
        <w:t>2025, July 12).</w:t>
      </w:r>
      <w:proofErr w:type="spellStart"/>
      <w:r w:rsidRPr="00861FBA">
        <w:rPr>
          <w:rFonts w:ascii="Times New Roman" w:hAnsi="Times New Roman" w:cs="Times New Roman"/>
          <w:i/>
          <w:iCs/>
          <w:color w:val="000000" w:themeColor="text1"/>
          <w:shd w:val="clear" w:color="auto" w:fill="FFFFFF"/>
        </w:rPr>
        <w:t>Agro</w:t>
      </w:r>
      <w:proofErr w:type="spellEnd"/>
      <w:r w:rsidRPr="00861FBA">
        <w:rPr>
          <w:rFonts w:ascii="Times New Roman" w:hAnsi="Times New Roman" w:cs="Times New Roman"/>
          <w:i/>
          <w:iCs/>
          <w:color w:val="000000" w:themeColor="text1"/>
          <w:shd w:val="clear" w:color="auto" w:fill="FFFFFF"/>
        </w:rPr>
        <w:t>-climatic zone</w:t>
      </w:r>
      <w:r w:rsidRPr="00861FBA">
        <w:rPr>
          <w:rFonts w:ascii="Times New Roman" w:hAnsi="Times New Roman" w:cs="Times New Roman"/>
          <w:i/>
          <w:iCs/>
          <w:color w:val="000000" w:themeColor="text1"/>
          <w:shd w:val="clear" w:color="auto" w:fill="FFFFFF"/>
        </w:rPr>
        <w:noBreakHyphen/>
        <w:t>wise agricultural/agrometeorological advisories: Northern Hill Zone – Darjeeling &amp;</w:t>
      </w:r>
      <w:proofErr w:type="spellStart"/>
      <w:r w:rsidRPr="00861FBA">
        <w:rPr>
          <w:rFonts w:ascii="Times New Roman" w:hAnsi="Times New Roman" w:cs="Times New Roman"/>
          <w:i/>
          <w:iCs/>
          <w:color w:val="000000" w:themeColor="text1"/>
          <w:shd w:val="clear" w:color="auto" w:fill="FFFFFF"/>
        </w:rPr>
        <w:t>Kalimpong</w:t>
      </w:r>
      <w:proofErr w:type="spellEnd"/>
      <w:r w:rsidRPr="00861FBA">
        <w:rPr>
          <w:rFonts w:ascii="Times New Roman" w:hAnsi="Times New Roman" w:cs="Times New Roman"/>
          <w:i/>
          <w:iCs/>
          <w:color w:val="000000" w:themeColor="text1"/>
          <w:shd w:val="clear" w:color="auto" w:fill="FFFFFF"/>
        </w:rPr>
        <w:t xml:space="preserve"> District</w:t>
      </w:r>
      <w:r w:rsidRPr="00861FBA">
        <w:rPr>
          <w:rFonts w:ascii="Times New Roman" w:hAnsi="Times New Roman" w:cs="Times New Roman"/>
          <w:color w:val="000000" w:themeColor="text1"/>
          <w:shd w:val="clear" w:color="auto" w:fill="FFFFFF"/>
        </w:rPr>
        <w:t xml:space="preserve">. </w:t>
      </w:r>
      <w:hyperlink r:id="rId22" w:tgtFrame="_new" w:history="1">
        <w:r w:rsidRPr="00861FBA">
          <w:rPr>
            <w:rStyle w:val="Hyperlink"/>
            <w:rFonts w:ascii="Times New Roman" w:hAnsi="Times New Roman" w:cs="Times New Roman"/>
            <w:color w:val="000000" w:themeColor="text1"/>
            <w:shd w:val="clear" w:color="auto" w:fill="FFFFFF"/>
          </w:rPr>
          <w:t>https://mausam.imd.gov.in/kolkata/mcdata/aas.pdf</w:t>
        </w:r>
      </w:hyperlink>
    </w:p>
    <w:p w14:paraId="5F8FEB5E" w14:textId="77777777" w:rsidR="00B6251E" w:rsidRPr="00293597" w:rsidRDefault="00B6251E" w:rsidP="00293597">
      <w:pPr>
        <w:spacing w:line="240" w:lineRule="auto"/>
        <w:ind w:left="720" w:hanging="720"/>
        <w:jc w:val="both"/>
        <w:rPr>
          <w:rFonts w:ascii="Times New Roman" w:hAnsi="Times New Roman" w:cs="Times New Roman"/>
          <w:color w:val="000000" w:themeColor="text1"/>
        </w:rPr>
      </w:pPr>
    </w:p>
    <w:p w14:paraId="2F456578" w14:textId="77777777" w:rsidR="008A7F4E" w:rsidRDefault="008A7F4E"/>
    <w:sectPr w:rsidR="008A7F4E" w:rsidSect="00D27CB9">
      <w:headerReference w:type="even" r:id="rId23"/>
      <w:headerReference w:type="default" r:id="rId24"/>
      <w:footerReference w:type="even" r:id="rId25"/>
      <w:footerReference w:type="default" r:id="rId26"/>
      <w:headerReference w:type="first" r:id="rId27"/>
      <w:footerReference w:type="first" r:id="rId2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039A9" w14:textId="77777777" w:rsidR="00DC786A" w:rsidRDefault="00DC786A" w:rsidP="00256414">
      <w:pPr>
        <w:spacing w:after="0" w:line="240" w:lineRule="auto"/>
      </w:pPr>
      <w:r>
        <w:separator/>
      </w:r>
    </w:p>
  </w:endnote>
  <w:endnote w:type="continuationSeparator" w:id="0">
    <w:p w14:paraId="5F839EC0" w14:textId="77777777" w:rsidR="00DC786A" w:rsidRDefault="00DC786A" w:rsidP="0025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RWPalladioL-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05A1" w14:textId="77777777" w:rsidR="00256414" w:rsidRDefault="00256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87A1" w14:textId="77777777" w:rsidR="00256414" w:rsidRDefault="00256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10D5" w14:textId="77777777" w:rsidR="00256414" w:rsidRDefault="00256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ED696" w14:textId="77777777" w:rsidR="00DC786A" w:rsidRDefault="00DC786A" w:rsidP="00256414">
      <w:pPr>
        <w:spacing w:after="0" w:line="240" w:lineRule="auto"/>
      </w:pPr>
      <w:r>
        <w:separator/>
      </w:r>
    </w:p>
  </w:footnote>
  <w:footnote w:type="continuationSeparator" w:id="0">
    <w:p w14:paraId="5DA6F34E" w14:textId="77777777" w:rsidR="00DC786A" w:rsidRDefault="00DC786A" w:rsidP="0025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F280" w14:textId="559B36A3" w:rsidR="00256414" w:rsidRDefault="00256414">
    <w:pPr>
      <w:pStyle w:val="Header"/>
    </w:pPr>
    <w:r>
      <w:rPr>
        <w:noProof/>
      </w:rPr>
      <w:pict w14:anchorId="5A284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17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E7A81" w14:textId="60EAC0F2" w:rsidR="00256414" w:rsidRDefault="00256414">
    <w:pPr>
      <w:pStyle w:val="Header"/>
    </w:pPr>
    <w:r>
      <w:rPr>
        <w:noProof/>
      </w:rPr>
      <w:pict w14:anchorId="737B6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17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C45CA" w14:textId="60B69588" w:rsidR="00256414" w:rsidRDefault="00256414">
    <w:pPr>
      <w:pStyle w:val="Header"/>
    </w:pPr>
    <w:r>
      <w:rPr>
        <w:noProof/>
      </w:rPr>
      <w:pict w14:anchorId="0BAC0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17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4113"/>
    <w:multiLevelType w:val="hybridMultilevel"/>
    <w:tmpl w:val="8B828D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54BBF"/>
    <w:multiLevelType w:val="hybridMultilevel"/>
    <w:tmpl w:val="5516C4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B279F4"/>
    <w:multiLevelType w:val="multilevel"/>
    <w:tmpl w:val="ADAE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80C4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M0MDA0M7MwtDA3MjBQ0lEKTi0uzszPAykwNKoFAM4qxlMtAAAA"/>
  </w:docVars>
  <w:rsids>
    <w:rsidRoot w:val="002F6F1E"/>
    <w:rsid w:val="00006EE1"/>
    <w:rsid w:val="000235FE"/>
    <w:rsid w:val="00025E8E"/>
    <w:rsid w:val="00062B77"/>
    <w:rsid w:val="000666DD"/>
    <w:rsid w:val="00090775"/>
    <w:rsid w:val="000963B1"/>
    <w:rsid w:val="000B619E"/>
    <w:rsid w:val="000D549E"/>
    <w:rsid w:val="000E363C"/>
    <w:rsid w:val="00110C27"/>
    <w:rsid w:val="00162686"/>
    <w:rsid w:val="00195006"/>
    <w:rsid w:val="00195345"/>
    <w:rsid w:val="001B4CBF"/>
    <w:rsid w:val="001D3A86"/>
    <w:rsid w:val="0020030F"/>
    <w:rsid w:val="00213B15"/>
    <w:rsid w:val="00243568"/>
    <w:rsid w:val="00251558"/>
    <w:rsid w:val="00256414"/>
    <w:rsid w:val="0026089E"/>
    <w:rsid w:val="0027164F"/>
    <w:rsid w:val="002828FF"/>
    <w:rsid w:val="002842A6"/>
    <w:rsid w:val="00290015"/>
    <w:rsid w:val="00293597"/>
    <w:rsid w:val="002A76BE"/>
    <w:rsid w:val="002C0A4D"/>
    <w:rsid w:val="002D0B90"/>
    <w:rsid w:val="002F6F1E"/>
    <w:rsid w:val="00306AB0"/>
    <w:rsid w:val="003224D0"/>
    <w:rsid w:val="0032345F"/>
    <w:rsid w:val="003456AA"/>
    <w:rsid w:val="00346E5A"/>
    <w:rsid w:val="0036060D"/>
    <w:rsid w:val="00367CE7"/>
    <w:rsid w:val="00373CC9"/>
    <w:rsid w:val="00383000"/>
    <w:rsid w:val="00384944"/>
    <w:rsid w:val="003A30FC"/>
    <w:rsid w:val="003D025E"/>
    <w:rsid w:val="003F3282"/>
    <w:rsid w:val="00424B54"/>
    <w:rsid w:val="00431DB6"/>
    <w:rsid w:val="00432B6D"/>
    <w:rsid w:val="00434A86"/>
    <w:rsid w:val="004379A5"/>
    <w:rsid w:val="004503E8"/>
    <w:rsid w:val="00480321"/>
    <w:rsid w:val="0049603A"/>
    <w:rsid w:val="004C3F8F"/>
    <w:rsid w:val="004C4404"/>
    <w:rsid w:val="004C6455"/>
    <w:rsid w:val="004C7A62"/>
    <w:rsid w:val="004E6F01"/>
    <w:rsid w:val="004E728B"/>
    <w:rsid w:val="00507920"/>
    <w:rsid w:val="0053299A"/>
    <w:rsid w:val="00554EC8"/>
    <w:rsid w:val="00567E72"/>
    <w:rsid w:val="00570AA5"/>
    <w:rsid w:val="00597913"/>
    <w:rsid w:val="005A11C1"/>
    <w:rsid w:val="005A2A44"/>
    <w:rsid w:val="005B1AB3"/>
    <w:rsid w:val="005B423A"/>
    <w:rsid w:val="005B7689"/>
    <w:rsid w:val="005C76F8"/>
    <w:rsid w:val="005D2350"/>
    <w:rsid w:val="005D4A3D"/>
    <w:rsid w:val="005E66CB"/>
    <w:rsid w:val="005F0FCE"/>
    <w:rsid w:val="005F505E"/>
    <w:rsid w:val="00600E25"/>
    <w:rsid w:val="00651F5B"/>
    <w:rsid w:val="00664A3B"/>
    <w:rsid w:val="0067767F"/>
    <w:rsid w:val="0068082B"/>
    <w:rsid w:val="00687C49"/>
    <w:rsid w:val="00690D77"/>
    <w:rsid w:val="006B7223"/>
    <w:rsid w:val="006B7813"/>
    <w:rsid w:val="006C771E"/>
    <w:rsid w:val="006E470E"/>
    <w:rsid w:val="00703423"/>
    <w:rsid w:val="0074064E"/>
    <w:rsid w:val="007520BE"/>
    <w:rsid w:val="00765096"/>
    <w:rsid w:val="007664C4"/>
    <w:rsid w:val="007916FB"/>
    <w:rsid w:val="007A2D47"/>
    <w:rsid w:val="007C2197"/>
    <w:rsid w:val="0080186E"/>
    <w:rsid w:val="008078C7"/>
    <w:rsid w:val="00833398"/>
    <w:rsid w:val="00850875"/>
    <w:rsid w:val="00854FFF"/>
    <w:rsid w:val="00863AF6"/>
    <w:rsid w:val="00871F80"/>
    <w:rsid w:val="00877ACE"/>
    <w:rsid w:val="00887B54"/>
    <w:rsid w:val="008978DA"/>
    <w:rsid w:val="008A7F4E"/>
    <w:rsid w:val="008B0702"/>
    <w:rsid w:val="008C1873"/>
    <w:rsid w:val="008C66EA"/>
    <w:rsid w:val="008D2D8B"/>
    <w:rsid w:val="008D68A2"/>
    <w:rsid w:val="008F38FD"/>
    <w:rsid w:val="008F7A4E"/>
    <w:rsid w:val="00922C7B"/>
    <w:rsid w:val="00926AB6"/>
    <w:rsid w:val="00930BFB"/>
    <w:rsid w:val="009524E4"/>
    <w:rsid w:val="0096638E"/>
    <w:rsid w:val="00976A36"/>
    <w:rsid w:val="009E3E91"/>
    <w:rsid w:val="009E54F5"/>
    <w:rsid w:val="00A365CA"/>
    <w:rsid w:val="00A41891"/>
    <w:rsid w:val="00A43AFF"/>
    <w:rsid w:val="00A446CA"/>
    <w:rsid w:val="00A7217E"/>
    <w:rsid w:val="00AC2688"/>
    <w:rsid w:val="00AC7195"/>
    <w:rsid w:val="00AF6F40"/>
    <w:rsid w:val="00B3139E"/>
    <w:rsid w:val="00B622A9"/>
    <w:rsid w:val="00B6251E"/>
    <w:rsid w:val="00B71FF4"/>
    <w:rsid w:val="00B9771F"/>
    <w:rsid w:val="00BB035F"/>
    <w:rsid w:val="00BB6235"/>
    <w:rsid w:val="00BB6F3D"/>
    <w:rsid w:val="00BC595F"/>
    <w:rsid w:val="00BD0CAB"/>
    <w:rsid w:val="00BD6E15"/>
    <w:rsid w:val="00BF0FC6"/>
    <w:rsid w:val="00BF6883"/>
    <w:rsid w:val="00C00C95"/>
    <w:rsid w:val="00C14481"/>
    <w:rsid w:val="00C32CE5"/>
    <w:rsid w:val="00C47146"/>
    <w:rsid w:val="00C6765D"/>
    <w:rsid w:val="00C70551"/>
    <w:rsid w:val="00C87222"/>
    <w:rsid w:val="00CC49D4"/>
    <w:rsid w:val="00CE1AEF"/>
    <w:rsid w:val="00D14768"/>
    <w:rsid w:val="00D27CB9"/>
    <w:rsid w:val="00D51EF2"/>
    <w:rsid w:val="00D640EC"/>
    <w:rsid w:val="00D83C79"/>
    <w:rsid w:val="00D9419B"/>
    <w:rsid w:val="00D97FC5"/>
    <w:rsid w:val="00DB1F05"/>
    <w:rsid w:val="00DB647B"/>
    <w:rsid w:val="00DC786A"/>
    <w:rsid w:val="00DD57C9"/>
    <w:rsid w:val="00E00C3C"/>
    <w:rsid w:val="00E25788"/>
    <w:rsid w:val="00E3165C"/>
    <w:rsid w:val="00E71E07"/>
    <w:rsid w:val="00E87AAA"/>
    <w:rsid w:val="00ED7ECA"/>
    <w:rsid w:val="00F012A0"/>
    <w:rsid w:val="00F23678"/>
    <w:rsid w:val="00F2618D"/>
    <w:rsid w:val="00F40057"/>
    <w:rsid w:val="00F50656"/>
    <w:rsid w:val="00F518F1"/>
    <w:rsid w:val="00F52F50"/>
    <w:rsid w:val="00F53577"/>
    <w:rsid w:val="00F63353"/>
    <w:rsid w:val="00FA0F2D"/>
    <w:rsid w:val="00FA424F"/>
    <w:rsid w:val="00FB2117"/>
    <w:rsid w:val="00FB46F0"/>
    <w:rsid w:val="00FC6A45"/>
    <w:rsid w:val="00FD1291"/>
    <w:rsid w:val="00FF41B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E41FD6"/>
  <w15:docId w15:val="{C3AC71F3-A2C7-4FDB-AFB0-A96ED3EC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765D"/>
    <w:rPr>
      <w:b/>
      <w:bCs/>
    </w:rPr>
  </w:style>
  <w:style w:type="paragraph" w:styleId="NormalWeb">
    <w:name w:val="Normal (Web)"/>
    <w:basedOn w:val="Normal"/>
    <w:uiPriority w:val="99"/>
    <w:semiHidden/>
    <w:unhideWhenUsed/>
    <w:rsid w:val="00006EE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27164F"/>
    <w:pPr>
      <w:ind w:left="720"/>
      <w:contextualSpacing/>
    </w:pPr>
  </w:style>
  <w:style w:type="character" w:styleId="Hyperlink">
    <w:name w:val="Hyperlink"/>
    <w:basedOn w:val="DefaultParagraphFont"/>
    <w:uiPriority w:val="99"/>
    <w:unhideWhenUsed/>
    <w:rsid w:val="00CC49D4"/>
    <w:rPr>
      <w:color w:val="0000FF" w:themeColor="hyperlink"/>
      <w:u w:val="single"/>
    </w:rPr>
  </w:style>
  <w:style w:type="character" w:styleId="UnresolvedMention">
    <w:name w:val="Unresolved Mention"/>
    <w:basedOn w:val="DefaultParagraphFont"/>
    <w:uiPriority w:val="99"/>
    <w:semiHidden/>
    <w:unhideWhenUsed/>
    <w:rsid w:val="00690D77"/>
    <w:rPr>
      <w:color w:val="605E5C"/>
      <w:shd w:val="clear" w:color="auto" w:fill="E1DFDD"/>
    </w:rPr>
  </w:style>
  <w:style w:type="paragraph" w:styleId="Header">
    <w:name w:val="header"/>
    <w:basedOn w:val="Normal"/>
    <w:link w:val="HeaderChar"/>
    <w:uiPriority w:val="99"/>
    <w:unhideWhenUsed/>
    <w:rsid w:val="00256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414"/>
  </w:style>
  <w:style w:type="paragraph" w:styleId="Footer">
    <w:name w:val="footer"/>
    <w:basedOn w:val="Normal"/>
    <w:link w:val="FooterChar"/>
    <w:uiPriority w:val="99"/>
    <w:unhideWhenUsed/>
    <w:rsid w:val="00256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56899">
      <w:bodyDiv w:val="1"/>
      <w:marLeft w:val="0"/>
      <w:marRight w:val="0"/>
      <w:marTop w:val="0"/>
      <w:marBottom w:val="0"/>
      <w:divBdr>
        <w:top w:val="none" w:sz="0" w:space="0" w:color="auto"/>
        <w:left w:val="none" w:sz="0" w:space="0" w:color="auto"/>
        <w:bottom w:val="none" w:sz="0" w:space="0" w:color="auto"/>
        <w:right w:val="none" w:sz="0" w:space="0" w:color="auto"/>
      </w:divBdr>
    </w:div>
    <w:div w:id="592738670">
      <w:bodyDiv w:val="1"/>
      <w:marLeft w:val="0"/>
      <w:marRight w:val="0"/>
      <w:marTop w:val="0"/>
      <w:marBottom w:val="0"/>
      <w:divBdr>
        <w:top w:val="none" w:sz="0" w:space="0" w:color="auto"/>
        <w:left w:val="none" w:sz="0" w:space="0" w:color="auto"/>
        <w:bottom w:val="none" w:sz="0" w:space="0" w:color="auto"/>
        <w:right w:val="none" w:sz="0" w:space="0" w:color="auto"/>
      </w:divBdr>
    </w:div>
    <w:div w:id="980812302">
      <w:bodyDiv w:val="1"/>
      <w:marLeft w:val="0"/>
      <w:marRight w:val="0"/>
      <w:marTop w:val="0"/>
      <w:marBottom w:val="0"/>
      <w:divBdr>
        <w:top w:val="none" w:sz="0" w:space="0" w:color="auto"/>
        <w:left w:val="none" w:sz="0" w:space="0" w:color="auto"/>
        <w:bottom w:val="none" w:sz="0" w:space="0" w:color="auto"/>
        <w:right w:val="none" w:sz="0" w:space="0" w:color="auto"/>
      </w:divBdr>
    </w:div>
    <w:div w:id="1416971129">
      <w:bodyDiv w:val="1"/>
      <w:marLeft w:val="0"/>
      <w:marRight w:val="0"/>
      <w:marTop w:val="0"/>
      <w:marBottom w:val="0"/>
      <w:divBdr>
        <w:top w:val="none" w:sz="0" w:space="0" w:color="auto"/>
        <w:left w:val="none" w:sz="0" w:space="0" w:color="auto"/>
        <w:bottom w:val="none" w:sz="0" w:space="0" w:color="auto"/>
        <w:right w:val="none" w:sz="0" w:space="0" w:color="auto"/>
      </w:divBdr>
    </w:div>
    <w:div w:id="1480225953">
      <w:bodyDiv w:val="1"/>
      <w:marLeft w:val="0"/>
      <w:marRight w:val="0"/>
      <w:marTop w:val="0"/>
      <w:marBottom w:val="0"/>
      <w:divBdr>
        <w:top w:val="none" w:sz="0" w:space="0" w:color="auto"/>
        <w:left w:val="none" w:sz="0" w:space="0" w:color="auto"/>
        <w:bottom w:val="none" w:sz="0" w:space="0" w:color="auto"/>
        <w:right w:val="none" w:sz="0" w:space="0" w:color="auto"/>
      </w:divBdr>
    </w:div>
    <w:div w:id="1516189972">
      <w:bodyDiv w:val="1"/>
      <w:marLeft w:val="0"/>
      <w:marRight w:val="0"/>
      <w:marTop w:val="0"/>
      <w:marBottom w:val="0"/>
      <w:divBdr>
        <w:top w:val="none" w:sz="0" w:space="0" w:color="auto"/>
        <w:left w:val="none" w:sz="0" w:space="0" w:color="auto"/>
        <w:bottom w:val="none" w:sz="0" w:space="0" w:color="auto"/>
        <w:right w:val="none" w:sz="0" w:space="0" w:color="auto"/>
      </w:divBdr>
    </w:div>
    <w:div w:id="2020229326">
      <w:bodyDiv w:val="1"/>
      <w:marLeft w:val="0"/>
      <w:marRight w:val="0"/>
      <w:marTop w:val="0"/>
      <w:marBottom w:val="0"/>
      <w:divBdr>
        <w:top w:val="none" w:sz="0" w:space="0" w:color="auto"/>
        <w:left w:val="none" w:sz="0" w:space="0" w:color="auto"/>
        <w:bottom w:val="none" w:sz="0" w:space="0" w:color="auto"/>
        <w:right w:val="none" w:sz="0" w:space="0" w:color="auto"/>
      </w:divBdr>
    </w:div>
    <w:div w:id="20351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pdf/10.1002/9781118342978.app2" TargetMode="External"/><Relationship Id="rId13" Type="http://schemas.openxmlformats.org/officeDocument/2006/relationships/hyperlink" Target="https://doi.org/10.3390/ijerph14040340" TargetMode="External"/><Relationship Id="rId18" Type="http://schemas.openxmlformats.org/officeDocument/2006/relationships/hyperlink" Target="https://doi.org/10.22004/ag.econ.5741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ho.int/news-room/fact-sheets/detail/pesticide-residues-in-food" TargetMode="External"/><Relationship Id="rId7" Type="http://schemas.openxmlformats.org/officeDocument/2006/relationships/endnotes" Target="endnotes.xml"/><Relationship Id="rId12" Type="http://schemas.openxmlformats.org/officeDocument/2006/relationships/hyperlink" Target="https://doi.org/10.3390/ijerph10126442" TargetMode="External"/><Relationship Id="rId17" Type="http://schemas.openxmlformats.org/officeDocument/2006/relationships/hyperlink" Target="https://doi.org/10.1179/oeh.2006.12.3.22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cropro.2014.10.013" TargetMode="External"/><Relationship Id="rId20" Type="http://schemas.openxmlformats.org/officeDocument/2006/relationships/hyperlink" Target="https://doi.org/10.1016/j.jflm.2013.09.0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toxics503001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scitotenv.2018.03.14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79/107735205800246064" TargetMode="External"/><Relationship Id="rId19" Type="http://schemas.openxmlformats.org/officeDocument/2006/relationships/hyperlink" Target="http://eprints.nias.res.in/id/eprint/201" TargetMode="External"/><Relationship Id="rId4" Type="http://schemas.openxmlformats.org/officeDocument/2006/relationships/settings" Target="settings.xml"/><Relationship Id="rId9" Type="http://schemas.openxmlformats.org/officeDocument/2006/relationships/hyperlink" Target="https://doi.org/10.5116/ijme.4dfb.8dfd" TargetMode="External"/><Relationship Id="rId14" Type="http://schemas.openxmlformats.org/officeDocument/2006/relationships/hyperlink" Target="https://doi.org/10.5696/2156-9614-8.19.180901" TargetMode="External"/><Relationship Id="rId22" Type="http://schemas.openxmlformats.org/officeDocument/2006/relationships/hyperlink" Target="https://mausam.imd.gov.in/kolkata/mcdata/aas.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31FDC-B9A8-4338-BCE2-C64D7EA9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8294</TotalTime>
  <Pages>11</Pages>
  <Words>3678</Words>
  <Characters>20966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susmita</dc:creator>
  <cp:lastModifiedBy>SDI PC 1170</cp:lastModifiedBy>
  <cp:revision>121</cp:revision>
  <dcterms:created xsi:type="dcterms:W3CDTF">2025-06-30T16:05:00Z</dcterms:created>
  <dcterms:modified xsi:type="dcterms:W3CDTF">2026-01-14T11:17:00Z</dcterms:modified>
</cp:coreProperties>
</file>