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D6270" w14:textId="47F598DC" w:rsidR="00357A73" w:rsidRDefault="00357A73" w:rsidP="00357A73">
      <w:pPr>
        <w:spacing w:line="360" w:lineRule="auto"/>
        <w:jc w:val="right"/>
        <w:rPr>
          <w:rFonts w:ascii="Arial" w:eastAsia="Times New Roman" w:hAnsi="Arial" w:cs="Arial"/>
          <w:b/>
          <w:bCs/>
          <w:sz w:val="36"/>
          <w:szCs w:val="36"/>
          <w:lang w:eastAsia="pt-BR"/>
        </w:rPr>
      </w:pPr>
      <w:r w:rsidRPr="00357A73">
        <w:rPr>
          <w:rFonts w:ascii="Arial" w:eastAsia="Times New Roman" w:hAnsi="Arial" w:cs="Arial"/>
          <w:b/>
          <w:bCs/>
          <w:sz w:val="36"/>
          <w:szCs w:val="36"/>
          <w:lang w:eastAsia="pt-BR"/>
        </w:rPr>
        <w:t xml:space="preserve">Molecular and Therapeutic Advances in Langerhans Cell Histiocytosis: A Systematic Review of the Evidence </w:t>
      </w:r>
    </w:p>
    <w:p w14:paraId="7F9789F7" w14:textId="77777777" w:rsidR="00C25F6E" w:rsidRDefault="00C25F6E" w:rsidP="00357A73">
      <w:pPr>
        <w:spacing w:line="360" w:lineRule="auto"/>
        <w:jc w:val="right"/>
        <w:rPr>
          <w:rFonts w:ascii="Arial" w:eastAsia="Times New Roman" w:hAnsi="Arial" w:cs="Arial"/>
          <w:b/>
          <w:bCs/>
          <w:sz w:val="36"/>
          <w:szCs w:val="36"/>
          <w:lang w:eastAsia="pt-BR"/>
        </w:rPr>
      </w:pPr>
    </w:p>
    <w:p w14:paraId="094916F2" w14:textId="1B127A28" w:rsidR="00FE4212" w:rsidRPr="002079EA" w:rsidRDefault="00FE4212" w:rsidP="002079EA">
      <w:pPr>
        <w:spacing w:line="360" w:lineRule="auto"/>
        <w:jc w:val="right"/>
        <w:rPr>
          <w:rFonts w:ascii="Arial" w:eastAsia="Times New Roman" w:hAnsi="Arial" w:cs="Arial"/>
          <w:i/>
          <w:iCs/>
          <w:sz w:val="20"/>
          <w:szCs w:val="20"/>
          <w:lang w:eastAsia="pt-BR"/>
        </w:rPr>
      </w:pPr>
      <w:bookmarkStart w:id="0" w:name="_GoBack"/>
      <w:bookmarkEnd w:id="0"/>
      <w:r>
        <w:rPr>
          <w:rFonts w:ascii="Arial" w:eastAsia="Times New Roman" w:hAnsi="Arial" w:cs="Arial"/>
          <w:i/>
          <w:iCs/>
          <w:sz w:val="20"/>
          <w:szCs w:val="20"/>
          <w:lang w:eastAsia="pt-BR"/>
        </w:rPr>
        <w:t xml:space="preserve"> </w:t>
      </w:r>
    </w:p>
    <w:p w14:paraId="06FBE42F" w14:textId="71852F41" w:rsidR="00357A73" w:rsidRPr="00AC378D" w:rsidRDefault="00357A73" w:rsidP="00357A73">
      <w:pPr>
        <w:spacing w:line="360" w:lineRule="auto"/>
        <w:jc w:val="both"/>
        <w:rPr>
          <w:rFonts w:ascii="Arial" w:hAnsi="Arial" w:cs="Arial"/>
          <w:b/>
          <w:bCs/>
          <w:sz w:val="20"/>
          <w:szCs w:val="20"/>
        </w:rPr>
      </w:pPr>
      <w:r w:rsidRPr="00AC378D">
        <w:rPr>
          <w:rFonts w:ascii="Arial" w:hAnsi="Arial" w:cs="Arial"/>
          <w:b/>
          <w:bCs/>
          <w:sz w:val="20"/>
          <w:szCs w:val="20"/>
        </w:rPr>
        <w:t>ABSTRACT</w:t>
      </w:r>
    </w:p>
    <w:p w14:paraId="0FE32B17" w14:textId="05EEB1CA" w:rsidR="001D3EAC" w:rsidRPr="001D3EAC" w:rsidRDefault="001D3EAC" w:rsidP="001D3EAC">
      <w:pPr>
        <w:spacing w:line="360" w:lineRule="auto"/>
        <w:jc w:val="both"/>
        <w:rPr>
          <w:rFonts w:ascii="Arial" w:hAnsi="Arial" w:cs="Arial"/>
          <w:sz w:val="20"/>
          <w:szCs w:val="20"/>
        </w:rPr>
      </w:pPr>
      <w:r w:rsidRPr="001D3EAC">
        <w:rPr>
          <w:rFonts w:ascii="Arial" w:hAnsi="Arial" w:cs="Arial"/>
          <w:b/>
          <w:bCs/>
          <w:sz w:val="20"/>
          <w:szCs w:val="20"/>
        </w:rPr>
        <w:t>Introduction:</w:t>
      </w:r>
      <w:r>
        <w:rPr>
          <w:rFonts w:ascii="Arial" w:hAnsi="Arial" w:cs="Arial"/>
          <w:b/>
          <w:bCs/>
          <w:sz w:val="20"/>
          <w:szCs w:val="20"/>
        </w:rPr>
        <w:t xml:space="preserve"> </w:t>
      </w:r>
      <w:r w:rsidRPr="001D3EAC">
        <w:rPr>
          <w:rFonts w:ascii="Arial" w:hAnsi="Arial" w:cs="Arial"/>
          <w:sz w:val="20"/>
          <w:szCs w:val="20"/>
        </w:rPr>
        <w:t xml:space="preserve">Langerhans Cell Histiocytosis (LCH) is a rare myeloid neoplasm characterized by the clonal proliferation of immature dendritic cells, primarily driven by constitutive activation of the MAPK signaling pathway, involving mutations in </w:t>
      </w:r>
      <w:r w:rsidRPr="001D3EAC">
        <w:rPr>
          <w:rFonts w:ascii="Arial" w:hAnsi="Arial" w:cs="Arial"/>
          <w:i/>
          <w:iCs/>
          <w:sz w:val="20"/>
          <w:szCs w:val="20"/>
        </w:rPr>
        <w:t>BRAFV600E</w:t>
      </w:r>
      <w:r w:rsidRPr="001D3EAC">
        <w:rPr>
          <w:rFonts w:ascii="Arial" w:hAnsi="Arial" w:cs="Arial"/>
          <w:sz w:val="20"/>
          <w:szCs w:val="20"/>
        </w:rPr>
        <w:t xml:space="preserve">, </w:t>
      </w:r>
      <w:r w:rsidRPr="001D3EAC">
        <w:rPr>
          <w:rFonts w:ascii="Arial" w:hAnsi="Arial" w:cs="Arial"/>
          <w:i/>
          <w:iCs/>
          <w:sz w:val="20"/>
          <w:szCs w:val="20"/>
        </w:rPr>
        <w:t>MAP2K1</w:t>
      </w:r>
      <w:r w:rsidRPr="001D3EAC">
        <w:rPr>
          <w:rFonts w:ascii="Arial" w:hAnsi="Arial" w:cs="Arial"/>
          <w:sz w:val="20"/>
          <w:szCs w:val="20"/>
        </w:rPr>
        <w:t xml:space="preserve">, and </w:t>
      </w:r>
      <w:r w:rsidRPr="001D3EAC">
        <w:rPr>
          <w:rFonts w:ascii="Arial" w:hAnsi="Arial" w:cs="Arial"/>
          <w:i/>
          <w:iCs/>
          <w:sz w:val="20"/>
          <w:szCs w:val="20"/>
        </w:rPr>
        <w:t>ARAF</w:t>
      </w:r>
      <w:r w:rsidRPr="001D3EAC">
        <w:rPr>
          <w:rFonts w:ascii="Arial" w:hAnsi="Arial" w:cs="Arial"/>
          <w:sz w:val="20"/>
          <w:szCs w:val="20"/>
        </w:rPr>
        <w:t>. This pathway regulates cell differentiation, inflammation, and survival, influencing both tumor behavior and immune response. In recent years, genomic and therapeutic advances have reshaped the understanding of LCH pathophysiology, revealing marked differences between pediatric and adult presentations, particularly regarding skeletal involvement and prognosis.</w:t>
      </w:r>
    </w:p>
    <w:p w14:paraId="18F8BD6B" w14:textId="4C9434CD" w:rsidR="001D3EAC" w:rsidRPr="001D3EAC" w:rsidRDefault="001D3EAC" w:rsidP="001D3EAC">
      <w:pPr>
        <w:spacing w:line="360" w:lineRule="auto"/>
        <w:jc w:val="both"/>
        <w:rPr>
          <w:rFonts w:ascii="Arial" w:hAnsi="Arial" w:cs="Arial"/>
          <w:sz w:val="20"/>
          <w:szCs w:val="20"/>
        </w:rPr>
      </w:pPr>
      <w:r w:rsidRPr="001D3EAC">
        <w:rPr>
          <w:rFonts w:ascii="Arial" w:hAnsi="Arial" w:cs="Arial"/>
          <w:b/>
          <w:bCs/>
          <w:sz w:val="20"/>
          <w:szCs w:val="20"/>
        </w:rPr>
        <w:t>Aim:</w:t>
      </w:r>
      <w:r>
        <w:rPr>
          <w:rFonts w:ascii="Arial" w:hAnsi="Arial" w:cs="Arial"/>
          <w:b/>
          <w:bCs/>
          <w:sz w:val="20"/>
          <w:szCs w:val="20"/>
        </w:rPr>
        <w:t xml:space="preserve"> </w:t>
      </w:r>
      <w:r w:rsidRPr="001D3EAC">
        <w:rPr>
          <w:rFonts w:ascii="Arial" w:hAnsi="Arial" w:cs="Arial"/>
          <w:sz w:val="20"/>
          <w:szCs w:val="20"/>
        </w:rPr>
        <w:t>To systematically review scientific literature published between 2015 and 2025 to identify and compare evidence on genetic alterations, immunopathogenic mechanisms, orthopedic manifestations, and targeted therapies in Langerhans Cell Histiocytosis across pediatric and adult populations.</w:t>
      </w:r>
    </w:p>
    <w:p w14:paraId="19875DDB" w14:textId="4A944306" w:rsidR="001D3EAC" w:rsidRPr="001D3EAC" w:rsidRDefault="001D3EAC" w:rsidP="001D3EAC">
      <w:pPr>
        <w:spacing w:line="360" w:lineRule="auto"/>
        <w:jc w:val="both"/>
        <w:rPr>
          <w:rFonts w:ascii="Arial" w:hAnsi="Arial" w:cs="Arial"/>
          <w:sz w:val="20"/>
          <w:szCs w:val="20"/>
        </w:rPr>
      </w:pPr>
      <w:r w:rsidRPr="001D3EAC">
        <w:rPr>
          <w:rFonts w:ascii="Arial" w:hAnsi="Arial" w:cs="Arial"/>
          <w:b/>
          <w:bCs/>
          <w:sz w:val="20"/>
          <w:szCs w:val="20"/>
        </w:rPr>
        <w:t>Methodology:</w:t>
      </w:r>
      <w:r>
        <w:rPr>
          <w:rFonts w:ascii="Arial" w:hAnsi="Arial" w:cs="Arial"/>
          <w:b/>
          <w:bCs/>
          <w:sz w:val="20"/>
          <w:szCs w:val="20"/>
        </w:rPr>
        <w:t xml:space="preserve"> </w:t>
      </w:r>
      <w:r w:rsidRPr="001D3EAC">
        <w:rPr>
          <w:rFonts w:ascii="Arial" w:hAnsi="Arial" w:cs="Arial"/>
          <w:sz w:val="20"/>
          <w:szCs w:val="20"/>
        </w:rPr>
        <w:t>This is a systematic review conducted according to PRISMA 2020 guidelines. Searches were performed in PubMed, MEDLINE, SciELO, and the Virtual Health Library (BVS) between January 2015 and October 2025, using MeSH descriptors related to “Langerhans Cell Histiocytosis,” “Genetics,” “MAPK pathway,” and “Targeted Therapy.” Inclusion criteria comprised original studies, systematic reviews, and peer-reviewed clinical cohorts available in English, Portuguese, or Spanish. Exclusion criteria included letters, editorials, single case reports, and in vitro experimental studies. After screening and duplicate removal, 38 studies met the eligibility criteria and were included in the qualitative synthesis.</w:t>
      </w:r>
    </w:p>
    <w:p w14:paraId="792865EF" w14:textId="7DBEC634" w:rsidR="001D3EAC" w:rsidRPr="001D3EAC" w:rsidRDefault="001D3EAC" w:rsidP="001D3EAC">
      <w:pPr>
        <w:spacing w:line="360" w:lineRule="auto"/>
        <w:jc w:val="both"/>
        <w:rPr>
          <w:rFonts w:ascii="Arial" w:hAnsi="Arial" w:cs="Arial"/>
          <w:sz w:val="20"/>
          <w:szCs w:val="20"/>
        </w:rPr>
      </w:pPr>
      <w:r w:rsidRPr="001D3EAC">
        <w:rPr>
          <w:rFonts w:ascii="Arial" w:hAnsi="Arial" w:cs="Arial"/>
          <w:b/>
          <w:bCs/>
          <w:sz w:val="20"/>
          <w:szCs w:val="20"/>
        </w:rPr>
        <w:t>Results:</w:t>
      </w:r>
      <w:r>
        <w:rPr>
          <w:rFonts w:ascii="Arial" w:hAnsi="Arial" w:cs="Arial"/>
          <w:b/>
          <w:bCs/>
          <w:sz w:val="20"/>
          <w:szCs w:val="20"/>
        </w:rPr>
        <w:t xml:space="preserve"> </w:t>
      </w:r>
      <w:r w:rsidRPr="001D3EAC">
        <w:rPr>
          <w:rFonts w:ascii="Arial" w:hAnsi="Arial" w:cs="Arial"/>
          <w:sz w:val="20"/>
          <w:szCs w:val="20"/>
        </w:rPr>
        <w:t xml:space="preserve">The review identified a predominance of </w:t>
      </w:r>
      <w:r w:rsidRPr="001D3EAC">
        <w:rPr>
          <w:rFonts w:ascii="Arial" w:hAnsi="Arial" w:cs="Arial"/>
          <w:i/>
          <w:iCs/>
          <w:sz w:val="20"/>
          <w:szCs w:val="20"/>
        </w:rPr>
        <w:t>BRAFV600E</w:t>
      </w:r>
      <w:r w:rsidRPr="001D3EAC">
        <w:rPr>
          <w:rFonts w:ascii="Arial" w:hAnsi="Arial" w:cs="Arial"/>
          <w:sz w:val="20"/>
          <w:szCs w:val="20"/>
        </w:rPr>
        <w:t xml:space="preserve"> mutations (52–65%) and </w:t>
      </w:r>
      <w:r w:rsidRPr="001D3EAC">
        <w:rPr>
          <w:rFonts w:ascii="Arial" w:hAnsi="Arial" w:cs="Arial"/>
          <w:i/>
          <w:iCs/>
          <w:sz w:val="20"/>
          <w:szCs w:val="20"/>
        </w:rPr>
        <w:t>MAP2K1</w:t>
      </w:r>
      <w:r w:rsidRPr="001D3EAC">
        <w:rPr>
          <w:rFonts w:ascii="Arial" w:hAnsi="Arial" w:cs="Arial"/>
          <w:sz w:val="20"/>
          <w:szCs w:val="20"/>
        </w:rPr>
        <w:t xml:space="preserve"> mutations (15–25%) in LCH samples. These alterations were correlated with sustained MAPK pathway activation, leading to clonal proliferation and persistent inflammation. In children, skeletal involvement was more frequent, affecting the skull, mandible, spine, and long bones, while adults predominantly presented unifocal forms with favorable prognosis. Treatment with BRAF inhibitors (vemurafenib, dabrafenib) and MEK inhibitors (cobimetinib, trametinib) demonstrated overall response rates between 78% and 92%, with radiological regression and functional improvement. However, relapses following treatment discontinuation occurred in up to 30% of cases. Multisystem disease with risk-organ involvement remained associated with higher </w:t>
      </w:r>
      <w:r w:rsidRPr="001D3EAC">
        <w:rPr>
          <w:rFonts w:ascii="Arial" w:hAnsi="Arial" w:cs="Arial"/>
          <w:sz w:val="20"/>
          <w:szCs w:val="20"/>
        </w:rPr>
        <w:lastRenderedPageBreak/>
        <w:t xml:space="preserve">morbidity and mortality, whereas patients with isolated </w:t>
      </w:r>
      <w:r w:rsidRPr="001D3EAC">
        <w:rPr>
          <w:rFonts w:ascii="Arial" w:hAnsi="Arial" w:cs="Arial"/>
          <w:i/>
          <w:iCs/>
          <w:sz w:val="20"/>
          <w:szCs w:val="20"/>
        </w:rPr>
        <w:t>MAP2K1</w:t>
      </w:r>
      <w:r w:rsidRPr="001D3EAC">
        <w:rPr>
          <w:rFonts w:ascii="Arial" w:hAnsi="Arial" w:cs="Arial"/>
          <w:sz w:val="20"/>
          <w:szCs w:val="20"/>
        </w:rPr>
        <w:t xml:space="preserve"> mutations exhibited more favorable outcomes.</w:t>
      </w:r>
    </w:p>
    <w:p w14:paraId="1DDB77B0" w14:textId="55D152CA" w:rsidR="001D3EAC" w:rsidRPr="001D3EAC" w:rsidRDefault="001D3EAC" w:rsidP="001D3EAC">
      <w:pPr>
        <w:spacing w:line="360" w:lineRule="auto"/>
        <w:jc w:val="both"/>
        <w:rPr>
          <w:rFonts w:ascii="Arial" w:hAnsi="Arial" w:cs="Arial"/>
          <w:sz w:val="20"/>
          <w:szCs w:val="20"/>
        </w:rPr>
      </w:pPr>
      <w:r w:rsidRPr="001D3EAC">
        <w:rPr>
          <w:rFonts w:ascii="Arial" w:hAnsi="Arial" w:cs="Arial"/>
          <w:b/>
          <w:bCs/>
          <w:sz w:val="20"/>
          <w:szCs w:val="20"/>
        </w:rPr>
        <w:t>Conclusion:</w:t>
      </w:r>
      <w:r>
        <w:rPr>
          <w:rFonts w:ascii="Arial" w:hAnsi="Arial" w:cs="Arial"/>
          <w:b/>
          <w:bCs/>
          <w:sz w:val="20"/>
          <w:szCs w:val="20"/>
        </w:rPr>
        <w:t xml:space="preserve"> </w:t>
      </w:r>
      <w:r w:rsidRPr="001D3EAC">
        <w:rPr>
          <w:rFonts w:ascii="Arial" w:hAnsi="Arial" w:cs="Arial"/>
          <w:sz w:val="20"/>
          <w:szCs w:val="20"/>
        </w:rPr>
        <w:t>The MAPK pathway constitutes the main molecular axis in LCH pathogenesis, defining both clinical phenotype and disease behavior. Integration of genetic profiling into clinical diagnosis enables more precise therapeutic strategies, particularly through the use of BRAF and MEK inhibitors. Orthopedic manifestations, predominant in pediatric patients, require conservative management and multidisciplinary follow-up. Despite recent advances, well-designed randomized clinical trials and standardized treatment protocols are still needed to establish the optimal duration of targeted therapies and reduce relapse risk.</w:t>
      </w:r>
    </w:p>
    <w:p w14:paraId="5F6451EA" w14:textId="5A6201DF" w:rsidR="00357A73" w:rsidRPr="001D3EAC" w:rsidRDefault="001D3EAC" w:rsidP="001D3EAC">
      <w:pPr>
        <w:spacing w:line="360" w:lineRule="auto"/>
        <w:jc w:val="both"/>
        <w:rPr>
          <w:rFonts w:ascii="Arial" w:hAnsi="Arial" w:cs="Arial"/>
          <w:sz w:val="20"/>
          <w:szCs w:val="20"/>
        </w:rPr>
      </w:pPr>
      <w:r w:rsidRPr="001D3EAC">
        <w:rPr>
          <w:rFonts w:ascii="Arial" w:hAnsi="Arial" w:cs="Arial"/>
          <w:b/>
          <w:bCs/>
          <w:sz w:val="20"/>
          <w:szCs w:val="20"/>
        </w:rPr>
        <w:t xml:space="preserve">Keywords: </w:t>
      </w:r>
      <w:r w:rsidRPr="001D3EAC">
        <w:rPr>
          <w:rFonts w:ascii="Arial" w:hAnsi="Arial" w:cs="Arial"/>
          <w:sz w:val="20"/>
          <w:szCs w:val="20"/>
        </w:rPr>
        <w:t xml:space="preserve">Langerhans Cell Histiocytosis; MAPK pathway; </w:t>
      </w:r>
      <w:r w:rsidRPr="001D3EAC">
        <w:rPr>
          <w:rFonts w:ascii="Arial" w:hAnsi="Arial" w:cs="Arial"/>
          <w:i/>
          <w:iCs/>
          <w:sz w:val="20"/>
          <w:szCs w:val="20"/>
        </w:rPr>
        <w:t>BRAFV600E</w:t>
      </w:r>
      <w:r w:rsidRPr="001D3EAC">
        <w:rPr>
          <w:rFonts w:ascii="Arial" w:hAnsi="Arial" w:cs="Arial"/>
          <w:sz w:val="20"/>
          <w:szCs w:val="20"/>
        </w:rPr>
        <w:t>; targeted therapy; systematic review.</w:t>
      </w:r>
    </w:p>
    <w:p w14:paraId="26A778E4" w14:textId="275A90DB" w:rsidR="00357A73" w:rsidRDefault="00357A73" w:rsidP="00357A73">
      <w:pPr>
        <w:pStyle w:val="ListParagraph"/>
        <w:numPr>
          <w:ilvl w:val="0"/>
          <w:numId w:val="1"/>
        </w:numPr>
        <w:spacing w:line="360" w:lineRule="auto"/>
        <w:rPr>
          <w:rFonts w:ascii="Arial" w:hAnsi="Arial" w:cs="Arial"/>
          <w:b/>
          <w:bCs/>
        </w:rPr>
      </w:pPr>
      <w:r w:rsidRPr="008C3E1C">
        <w:rPr>
          <w:rFonts w:ascii="Arial" w:hAnsi="Arial" w:cs="Arial"/>
          <w:b/>
          <w:bCs/>
        </w:rPr>
        <w:t>INTRODUCTION</w:t>
      </w:r>
    </w:p>
    <w:p w14:paraId="726F8B70"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Langerhans Cell Histiocytosis (LCH) is a rare inflammatory myeloid neoplasm that predominantly affects children between one and ten years of age, with an estimated incidence of three to nine cases per million per year (1,2). Skeletal involvement is the most frequent clinical manifestation, occurring in up to eighty percent of pediatric cases, and represents a major diagnostic and therapeutic challenge in pediatric orthopedics (3,4).</w:t>
      </w:r>
    </w:p>
    <w:p w14:paraId="40505CB1"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Lytic bone lesions are among the defining features of the disease and most commonly affect the skull, long bones, ribs, mandible, and pelvis (5,6). In children, these lesions often present with localized pain, swelling, or pathologic fractures and can easily mimic primary bone tumors or osteomyelitis (7). Spinal involvement may lead to vertebral collapse, known as vertebra plana, and requires multidisciplinary management involving orthopedic surgeons, pediatric oncologists, and neurosurgeons (8,9).</w:t>
      </w:r>
    </w:p>
    <w:p w14:paraId="7060EDCB"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From a biological standpoint, LCH is characterized by the clonal proliferation of CD1a</w:t>
      </w:r>
      <w:r w:rsidRPr="00357A73">
        <w:rPr>
          <w:rFonts w:ascii="Cambria Math" w:hAnsi="Cambria Math" w:cs="Cambria Math"/>
          <w:sz w:val="20"/>
          <w:szCs w:val="20"/>
        </w:rPr>
        <w:t>⁺</w:t>
      </w:r>
      <w:r w:rsidRPr="00357A73">
        <w:rPr>
          <w:rFonts w:ascii="Arial" w:hAnsi="Arial" w:cs="Arial"/>
          <w:sz w:val="20"/>
          <w:szCs w:val="20"/>
        </w:rPr>
        <w:t xml:space="preserve"> and CD207</w:t>
      </w:r>
      <w:r w:rsidRPr="00357A73">
        <w:rPr>
          <w:rFonts w:ascii="Cambria Math" w:hAnsi="Cambria Math" w:cs="Cambria Math"/>
          <w:sz w:val="20"/>
          <w:szCs w:val="20"/>
        </w:rPr>
        <w:t>⁺</w:t>
      </w:r>
      <w:r w:rsidRPr="00357A73">
        <w:rPr>
          <w:rFonts w:ascii="Arial" w:hAnsi="Arial" w:cs="Arial"/>
          <w:sz w:val="20"/>
          <w:szCs w:val="20"/>
        </w:rPr>
        <w:t xml:space="preserve"> dendritic cells derived from myeloid precursors harboring activating mutations in the MAPK signaling pathway, including RAS, RAF, MEK, and ERK (10,11). The BRAFV600E mutation is the most common, occurring in approximately fifty to sixty-five percent of cases, followed by alterations in MAP2K1, ARAF, NRAS, and KRAS (12,13). These mutations promote constitutive activation of the MAPK pathway, leading to abnormal cell proliferation, chronic inflammation, and bone destruction, which explain the persistence and recurrence of certain skeletal lesions (14).</w:t>
      </w:r>
    </w:p>
    <w:p w14:paraId="141B90A3"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In pediatric orthopedics, LCH remains one of the leading causes of noninfectious osteolytic bone lesions (3). Solitary bone lesions may be managed with curettage, intralesional corticosteroid injection, or clinical observation, achieving high rates of spontaneous regression (15). However, multifocal or multisystem disease may involve risk organs such as the liver, spleen, and bone marrow, requiring systemic therapy with chemotherapy and, more recently, targeted molecular therapy (16,17).</w:t>
      </w:r>
    </w:p>
    <w:p w14:paraId="1061D305"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lastRenderedPageBreak/>
        <w:t>The introduction of BRAF and MEK inhibitors, such as vemurafenib, dabrafenib, and cobimetinib, has revolutionized the management of refractory and relapsed LCH in both children and adults (18). Clinical studies have reported overall response rates exceeding eighty-five percent, accompanied by significant reductions in bone pain and radiological improvement of lesions (19,20).</w:t>
      </w:r>
    </w:p>
    <w:p w14:paraId="112B30B7"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Prognostically, children with disease confined to the skeleton show near-complete overall survival, although approximately thirty percent experience late reactivation, particularly in craniofacial and vertebral sites (21,22). In contrast, adult patients demonstrate lower rates of spontaneous remission and higher recurrence of bone disease (23).</w:t>
      </w:r>
    </w:p>
    <w:p w14:paraId="5873E598" w14:textId="72CBD805"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Understanding the molecular mechanisms and radiologic–histopathologic characteristics of osseous LCH is essential for accurate diagnosis, individualized therapy, and optimization of long-term functional outcomes in pediatric orthopedic practice. This systematic review synthesizes the current evidence published between 2015 and 2025 regarding the molecular pathogenesis, skeletal manifestations, and targeted therapies of LCH, emphasizing pediatric populations and the orthopedic implications of modern disease management.</w:t>
      </w:r>
    </w:p>
    <w:p w14:paraId="3E77ECFD" w14:textId="77777777" w:rsidR="00357A73" w:rsidRDefault="00357A73" w:rsidP="00357A73">
      <w:pPr>
        <w:pStyle w:val="ListParagraph"/>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1EE946B6"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2.1 Study Design</w:t>
      </w:r>
    </w:p>
    <w:p w14:paraId="764A7F1E" w14:textId="45F4F734"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 xml:space="preserve">This study was conducted as a systematic review following the Preferred Reporting Items for Systematic Reviews and Meta-Analyses (PRISMA 2020) guidelines. </w:t>
      </w:r>
    </w:p>
    <w:p w14:paraId="22FB9B49"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2.2 Data Sources and Search Strategy</w:t>
      </w:r>
    </w:p>
    <w:p w14:paraId="5472613D" w14:textId="1BB9A455"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A comprehensive search was performed in the databases PubMed/MEDLINE, SciELO, and the Biblioteca Virtual em Saúde (BVS). The search strategy was developed using Medical Subject Headings (MeSH) and Boolean operators, applying the following string:</w:t>
      </w:r>
      <w:r>
        <w:rPr>
          <w:rFonts w:ascii="Arial" w:hAnsi="Arial" w:cs="Arial"/>
          <w:sz w:val="20"/>
          <w:szCs w:val="20"/>
        </w:rPr>
        <w:t xml:space="preserve"> </w:t>
      </w:r>
      <w:r w:rsidRPr="00357A73">
        <w:rPr>
          <w:rFonts w:ascii="Arial" w:hAnsi="Arial" w:cs="Arial"/>
          <w:sz w:val="20"/>
          <w:szCs w:val="20"/>
        </w:rPr>
        <w:t>("Langerhans Cell Histiocytosis"[MeSH]) AND ("Systematic Review" OR "Meta-Analysis" OR "Clinical Trial" OR "Case Reports") AND ("2015/01/01"[Date - Publication] : "2025/12/31"[Date - Publication])</w:t>
      </w:r>
    </w:p>
    <w:p w14:paraId="430933A8"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Only peer-reviewed articles were included. Preprints, conference abstracts, letters, and editorials were excluded. The reference lists of included studies were manually screened to identify additional relevant publications.</w:t>
      </w:r>
    </w:p>
    <w:p w14:paraId="530F8D58"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The initial search retrieved 432 records, which were screened using the Rayyan QCRI platform for deduplication and relevance assessment.</w:t>
      </w:r>
    </w:p>
    <w:p w14:paraId="16AE5697"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2.3 Eligibility Criteria</w:t>
      </w:r>
    </w:p>
    <w:p w14:paraId="393CAEBB" w14:textId="77777777" w:rsidR="00357A73" w:rsidRPr="00357A73" w:rsidRDefault="00357A73" w:rsidP="00357A73">
      <w:pPr>
        <w:spacing w:line="360" w:lineRule="auto"/>
        <w:jc w:val="both"/>
        <w:rPr>
          <w:rFonts w:ascii="Arial" w:hAnsi="Arial" w:cs="Arial"/>
          <w:sz w:val="20"/>
          <w:szCs w:val="20"/>
        </w:rPr>
      </w:pPr>
      <w:r w:rsidRPr="00357A73">
        <w:rPr>
          <w:rFonts w:ascii="Arial" w:hAnsi="Arial" w:cs="Arial"/>
          <w:sz w:val="20"/>
          <w:szCs w:val="20"/>
        </w:rPr>
        <w:t>Studies were selected according to the PICOS framework:</w:t>
      </w:r>
    </w:p>
    <w:p w14:paraId="68080789"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Population (P): Pediatric and adult patients diagnosed with Langerhans Cell Histiocytosis confirmed by histopathology (CD1a</w:t>
      </w:r>
      <w:r w:rsidRPr="00357A73">
        <w:rPr>
          <w:rFonts w:ascii="Cambria Math" w:hAnsi="Cambria Math" w:cs="Cambria Math"/>
          <w:sz w:val="20"/>
          <w:szCs w:val="20"/>
        </w:rPr>
        <w:t>⁺</w:t>
      </w:r>
      <w:r w:rsidRPr="00357A73">
        <w:rPr>
          <w:rFonts w:ascii="Arial" w:hAnsi="Arial" w:cs="Arial"/>
          <w:sz w:val="20"/>
          <w:szCs w:val="20"/>
        </w:rPr>
        <w:t>/CD207</w:t>
      </w:r>
      <w:r w:rsidRPr="00357A73">
        <w:rPr>
          <w:rFonts w:ascii="Cambria Math" w:hAnsi="Cambria Math" w:cs="Cambria Math"/>
          <w:sz w:val="20"/>
          <w:szCs w:val="20"/>
        </w:rPr>
        <w:t>⁺</w:t>
      </w:r>
      <w:r w:rsidRPr="00357A73">
        <w:rPr>
          <w:rFonts w:ascii="Arial" w:hAnsi="Arial" w:cs="Arial"/>
          <w:sz w:val="20"/>
          <w:szCs w:val="20"/>
        </w:rPr>
        <w:t>) and/or molecular testing.</w:t>
      </w:r>
    </w:p>
    <w:p w14:paraId="1715F72D"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lastRenderedPageBreak/>
        <w:t>Intervention (I): Conventional chemotherapy (vinblastine, prednisone, mercaptopurine), targeted therapies (BRAF and MEK inhibitors), or surgical/orthopedic interventions for bone lesions.</w:t>
      </w:r>
    </w:p>
    <w:p w14:paraId="40B83C1C"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Comparison (C): Control groups receiving standard care, historical cohorts, or single-arm analyses.</w:t>
      </w:r>
    </w:p>
    <w:p w14:paraId="76E6D1F0"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Outcomes (O): Genetic alterations (BRAF, MAP2K1, ARAF, NRAS, KRAS), skeletal involvement patterns, radiologic features, therapeutic response, recurrence rates, and survival outcomes.</w:t>
      </w:r>
    </w:p>
    <w:p w14:paraId="1010E73E"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Study design (S): Clinical trials, observational studies (cohort or case-control), and systematic reviews published in peer-reviewed journals between 2015 and 2025.</w:t>
      </w:r>
    </w:p>
    <w:p w14:paraId="7383DD28" w14:textId="77777777" w:rsidR="00357A73" w:rsidRPr="00357A73" w:rsidRDefault="00357A73" w:rsidP="00357A73">
      <w:pPr>
        <w:spacing w:line="360" w:lineRule="auto"/>
        <w:jc w:val="both"/>
        <w:rPr>
          <w:rFonts w:ascii="Arial" w:hAnsi="Arial" w:cs="Arial"/>
          <w:sz w:val="20"/>
          <w:szCs w:val="20"/>
        </w:rPr>
      </w:pPr>
      <w:r w:rsidRPr="00357A73">
        <w:rPr>
          <w:rFonts w:ascii="Arial" w:hAnsi="Arial" w:cs="Arial"/>
          <w:sz w:val="20"/>
          <w:szCs w:val="20"/>
        </w:rPr>
        <w:t>Only studies published in English, Portuguese, or Spanish and involving human subjects were included.</w:t>
      </w:r>
    </w:p>
    <w:p w14:paraId="24C84B1B"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2.4 Study Selection and Data Extraction</w:t>
      </w:r>
    </w:p>
    <w:p w14:paraId="32F62326"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Two independent reviewers screened the titles and abstracts of all retrieved studies. Full-text articles were evaluated to confirm eligibility. Discrepancies were resolved through consensus or adjudication by a third reviewer.</w:t>
      </w:r>
    </w:p>
    <w:p w14:paraId="27AF4891"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For each included study, the following information was extracted: author, year of publication, study design, population characteristics, genetic findings (e.g., prevalence of BRAFV600E, MAP2K1), pattern of skeletal involvement, therapeutic modality, response rate, and follow-up duration. Data were entered into a standardized extraction form built in Microsoft Excel 365.</w:t>
      </w:r>
    </w:p>
    <w:p w14:paraId="0A7F9B66"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2.5 Risk of Bias Assessment</w:t>
      </w:r>
    </w:p>
    <w:p w14:paraId="5C795EC9"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The methodological quality and risk of bias were assessed independently by two reviewers using appropriate tools according to study type:</w:t>
      </w:r>
    </w:p>
    <w:p w14:paraId="373630D8" w14:textId="77777777" w:rsidR="00357A73" w:rsidRPr="00357A73" w:rsidRDefault="00357A73" w:rsidP="00357A73">
      <w:pPr>
        <w:numPr>
          <w:ilvl w:val="0"/>
          <w:numId w:val="4"/>
        </w:numPr>
        <w:spacing w:line="360" w:lineRule="auto"/>
        <w:jc w:val="both"/>
        <w:rPr>
          <w:rFonts w:ascii="Arial" w:hAnsi="Arial" w:cs="Arial"/>
          <w:sz w:val="20"/>
          <w:szCs w:val="20"/>
        </w:rPr>
      </w:pPr>
      <w:r w:rsidRPr="00357A73">
        <w:rPr>
          <w:rFonts w:ascii="Arial" w:hAnsi="Arial" w:cs="Arial"/>
          <w:sz w:val="20"/>
          <w:szCs w:val="20"/>
        </w:rPr>
        <w:t>Cohort and case-control studies: Newcastle–Ottawa Scale (NOS).</w:t>
      </w:r>
    </w:p>
    <w:p w14:paraId="34FC908E" w14:textId="77777777" w:rsidR="00357A73" w:rsidRPr="00357A73" w:rsidRDefault="00357A73" w:rsidP="00357A73">
      <w:pPr>
        <w:numPr>
          <w:ilvl w:val="0"/>
          <w:numId w:val="4"/>
        </w:numPr>
        <w:spacing w:line="360" w:lineRule="auto"/>
        <w:jc w:val="both"/>
        <w:rPr>
          <w:rFonts w:ascii="Arial" w:hAnsi="Arial" w:cs="Arial"/>
          <w:sz w:val="20"/>
          <w:szCs w:val="20"/>
        </w:rPr>
      </w:pPr>
      <w:r w:rsidRPr="00357A73">
        <w:rPr>
          <w:rFonts w:ascii="Arial" w:hAnsi="Arial" w:cs="Arial"/>
          <w:sz w:val="20"/>
          <w:szCs w:val="20"/>
        </w:rPr>
        <w:t>Clinical trials: Cochrane Collaboration’s Risk of Bias Tool (RoB 2).</w:t>
      </w:r>
    </w:p>
    <w:p w14:paraId="5842795E" w14:textId="77777777" w:rsidR="00357A73" w:rsidRPr="00357A73" w:rsidRDefault="00357A73" w:rsidP="00357A73">
      <w:pPr>
        <w:numPr>
          <w:ilvl w:val="0"/>
          <w:numId w:val="4"/>
        </w:numPr>
        <w:spacing w:line="360" w:lineRule="auto"/>
        <w:jc w:val="both"/>
        <w:rPr>
          <w:rFonts w:ascii="Arial" w:hAnsi="Arial" w:cs="Arial"/>
          <w:sz w:val="20"/>
          <w:szCs w:val="20"/>
        </w:rPr>
      </w:pPr>
      <w:r w:rsidRPr="00357A73">
        <w:rPr>
          <w:rFonts w:ascii="Arial" w:hAnsi="Arial" w:cs="Arial"/>
          <w:sz w:val="20"/>
          <w:szCs w:val="20"/>
        </w:rPr>
        <w:t>Systematic reviews: AMSTAR 2 (A Measurement Tool to Assess Systematic Reviews).</w:t>
      </w:r>
    </w:p>
    <w:p w14:paraId="0936E691"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Studies were classified as low, moderate, or high risk of bias based on consensus. Any disagreements were resolved through discussion.</w:t>
      </w:r>
    </w:p>
    <w:p w14:paraId="1A37ECDE"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2.6 Data Synthesis and Evidence Grading</w:t>
      </w:r>
    </w:p>
    <w:p w14:paraId="6E86D038"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Extracted data were analyzed through qualitative synthesis due to the heterogeneity of genetic and clinical outcomes across studies. Findings were summarized according to thematic categories:</w:t>
      </w:r>
    </w:p>
    <w:p w14:paraId="44EEF0CD"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lastRenderedPageBreak/>
        <w:t>Molecular and genetic findings (BRAF, MAP2K1, ARAF, KRAS, NRAS mutations)</w:t>
      </w:r>
    </w:p>
    <w:p w14:paraId="1D98B713"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Skeletal and orthopedic manifestations (bone lesion distribution, radiologic features, complications)</w:t>
      </w:r>
    </w:p>
    <w:p w14:paraId="06B41C23"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Therapeutic strategies (chemotherapy, targeted therapy, surgical management)</w:t>
      </w:r>
    </w:p>
    <w:p w14:paraId="46A82216"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Pediatric versus adult prognostic differences</w:t>
      </w:r>
    </w:p>
    <w:p w14:paraId="3B3088C0"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The Oxford Centre for Evidence-Based Medicine (OCEBM) classification was applied to each group of studies to determine the level of evidence (from level 1: systematic reviews and randomized trials, to level 5: expert opinion and case reports).</w:t>
      </w:r>
    </w:p>
    <w:p w14:paraId="4FFAF0A9"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2.7 Ethics and Registration</w:t>
      </w:r>
    </w:p>
    <w:p w14:paraId="68EF6519"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As this research exclusively involved secondary analysis of published data, ethical approval and informed consent were not required. The review protocol was prospectively registered in the International Prospective Register of Systematic Reviews (PROSPERO) under the identifier CRD42025217984.</w:t>
      </w:r>
    </w:p>
    <w:p w14:paraId="1E5A0A33" w14:textId="77777777" w:rsidR="00357A73" w:rsidRPr="009B6582" w:rsidRDefault="00357A73" w:rsidP="00357A73">
      <w:pPr>
        <w:spacing w:line="360" w:lineRule="auto"/>
        <w:jc w:val="both"/>
        <w:rPr>
          <w:rFonts w:ascii="Arial" w:hAnsi="Arial" w:cs="Arial"/>
          <w:b/>
          <w:bCs/>
          <w:sz w:val="20"/>
          <w:szCs w:val="20"/>
          <w:lang w:val="en-US"/>
        </w:rPr>
      </w:pPr>
      <w:r w:rsidRPr="009B6582">
        <w:rPr>
          <w:rFonts w:ascii="Arial" w:hAnsi="Arial" w:cs="Arial"/>
          <w:b/>
          <w:bCs/>
          <w:sz w:val="20"/>
          <w:szCs w:val="20"/>
          <w:lang w:val="en-US"/>
        </w:rPr>
        <w:t>PRISMA flowchart</w:t>
      </w:r>
    </w:p>
    <w:p w14:paraId="64AB068C"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The database search in PubMed/MEDLINE, SciELO, and the Virtual Health Library (BVS) yielded 432 records published between 2015 and 2025. After the removal of 91 duplicates using Rayyan QCRI, a total of 341 unique records remained for title and abstract screening.</w:t>
      </w:r>
    </w:p>
    <w:p w14:paraId="102722B2"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Of these, 249 studies were excluded for not meeting the eligibility criteria, including narrative reviews, letters to the editor, experimental studies in animal models, and papers lacking clinical data on LCH.</w:t>
      </w:r>
    </w:p>
    <w:p w14:paraId="486AC77A"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The 92 remaining studies underwent full-text review. After this assessment, 54 articles were excluded for the following reasons: absence of relevant genetic data (n=21), lack of description of skeletal manifestations (n=19), or methodological duplication among multicenter cohorts (n=14).</w:t>
      </w:r>
    </w:p>
    <w:p w14:paraId="437371BB"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Finally, 38 studies met all inclusion criteria and were incorporated into the final qualitative synthesis. These studies covered key aspects such as MAPK pathway mutations (BRAF, MAP2K1, ARAF, KRAS, NRAS), pediatric skeletal manifestations, conventional and targeted therapeutic strategies, and comparative analyses between pediatric and adult populations.</w:t>
      </w:r>
    </w:p>
    <w:p w14:paraId="3EDEE7AE" w14:textId="67E2C946" w:rsid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A quantitative meta-analysis was not performed due to the methodological heterogeneity of the included studies and the absence of standardized outcome measures for treatment response and survival.</w:t>
      </w:r>
    </w:p>
    <w:p w14:paraId="0250614B" w14:textId="614D32A7" w:rsidR="008B2960" w:rsidRDefault="0068287B" w:rsidP="008B2960">
      <w:pPr>
        <w:spacing w:line="360" w:lineRule="auto"/>
        <w:ind w:firstLine="708"/>
        <w:jc w:val="both"/>
        <w:rPr>
          <w:rFonts w:ascii="Arial" w:hAnsi="Arial" w:cs="Arial"/>
          <w:sz w:val="20"/>
          <w:szCs w:val="20"/>
        </w:rPr>
      </w:pPr>
      <w:r>
        <w:rPr>
          <w:rFonts w:ascii="Arial" w:hAnsi="Arial" w:cs="Arial"/>
          <w:sz w:val="20"/>
          <w:szCs w:val="20"/>
        </w:rPr>
        <w:t>Fig 1-</w:t>
      </w:r>
      <w:r w:rsidR="007B6577">
        <w:rPr>
          <w:rFonts w:ascii="Arial" w:hAnsi="Arial" w:cs="Arial"/>
          <w:sz w:val="20"/>
          <w:szCs w:val="20"/>
        </w:rPr>
        <w:t xml:space="preserve"> </w:t>
      </w:r>
      <w:r w:rsidR="004F3A00">
        <w:rPr>
          <w:rFonts w:ascii="Arial" w:hAnsi="Arial" w:cs="Arial"/>
          <w:sz w:val="20"/>
          <w:szCs w:val="20"/>
        </w:rPr>
        <w:t xml:space="preserve">PRISMA </w:t>
      </w:r>
      <w:r w:rsidR="007B6577">
        <w:rPr>
          <w:rFonts w:ascii="Arial" w:hAnsi="Arial" w:cs="Arial"/>
          <w:sz w:val="20"/>
          <w:szCs w:val="20"/>
        </w:rPr>
        <w:t xml:space="preserve">chart showing </w:t>
      </w:r>
      <w:r w:rsidR="00542D4F" w:rsidRPr="00542D4F">
        <w:rPr>
          <w:rFonts w:ascii="Arial" w:hAnsi="Arial" w:cs="Arial"/>
          <w:sz w:val="20"/>
          <w:szCs w:val="20"/>
        </w:rPr>
        <w:t>the selection of studies for the review</w:t>
      </w:r>
    </w:p>
    <w:p w14:paraId="07F4A6BB" w14:textId="4FAD0589" w:rsidR="008B2960" w:rsidRDefault="008B2960" w:rsidP="008B2960">
      <w:pPr>
        <w:spacing w:line="360" w:lineRule="auto"/>
        <w:ind w:firstLine="708"/>
        <w:jc w:val="both"/>
        <w:rPr>
          <w:rFonts w:ascii="Arial" w:hAnsi="Arial" w:cs="Arial"/>
          <w:sz w:val="20"/>
          <w:szCs w:val="20"/>
        </w:rPr>
      </w:pPr>
    </w:p>
    <w:p w14:paraId="27691A24" w14:textId="77777777" w:rsidR="00357A73" w:rsidRPr="00825BE9" w:rsidRDefault="00357A73" w:rsidP="00357A73">
      <w:pPr>
        <w:rPr>
          <w:rFonts w:ascii="Times New Roman" w:hAnsi="Times New Roman" w:cs="Times New Roman"/>
        </w:rPr>
      </w:pPr>
      <w:r w:rsidRPr="00825BE9">
        <w:rPr>
          <w:rFonts w:ascii="Times New Roman" w:hAnsi="Times New Roman" w:cs="Times New Roman"/>
          <w:noProof/>
          <w:lang w:val="en-US"/>
        </w:rPr>
        <w:lastRenderedPageBreak/>
        <mc:AlternateContent>
          <mc:Choice Requires="wps">
            <w:drawing>
              <wp:anchor distT="45720" distB="45720" distL="114300" distR="114300" simplePos="0" relativeHeight="251674624" behindDoc="0" locked="0" layoutInCell="1" allowOverlap="1" wp14:anchorId="494483D3" wp14:editId="648219C1">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6E362DB1" w14:textId="77777777" w:rsidR="00B93FEC" w:rsidRDefault="00B93FEC" w:rsidP="00357A73">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483D3"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6E362DB1" w14:textId="77777777" w:rsidR="00B93FEC" w:rsidRDefault="00B93FEC" w:rsidP="00357A73">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2576" behindDoc="0" locked="0" layoutInCell="1" allowOverlap="1" wp14:anchorId="6E22F4BA" wp14:editId="4E1367D3">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D25B772"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5AFB6EF9" w14:textId="7083CA2D"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p w14:paraId="7ADD2949" w14:textId="77777777" w:rsidR="00B93FEC" w:rsidRDefault="00B93FEC"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2F4BA"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6D25B772"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5AFB6EF9" w14:textId="7083CA2D"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p w14:paraId="7ADD2949" w14:textId="77777777" w:rsidR="00B93FEC" w:rsidRDefault="00B93FEC" w:rsidP="00357A73"/>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982E4FD" wp14:editId="0D97A7DD">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36030D"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0E0F769F" wp14:editId="0246611F">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AE4D2D"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8480" behindDoc="0" locked="0" layoutInCell="1" allowOverlap="1" wp14:anchorId="61088DF1" wp14:editId="203A52C9">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5400A793"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8299529" w14:textId="4F18F50C"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88DF1"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5400A793"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8299529" w14:textId="4F18F50C"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7886B9A4" wp14:editId="638CB380">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5B0530"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7CF1722" wp14:editId="4EB740D4">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7EAC24"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73ED7CF" wp14:editId="70EA1562">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B060A8"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4384" behindDoc="0" locked="0" layoutInCell="1" allowOverlap="1" wp14:anchorId="5F435419" wp14:editId="34FE3AE5">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35FAA88B"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6C20B0F0" w14:textId="3C3D8940"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35419"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35FAA88B"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6C20B0F0" w14:textId="3C3D8940"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92</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82627AE" wp14:editId="0ACCF271">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627E5B"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737D7D50" wp14:editId="303D62F8">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C1911"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2336" behindDoc="0" locked="0" layoutInCell="1" allowOverlap="1" wp14:anchorId="3E0A9624" wp14:editId="372EB8F2">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67D6C6C"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64B52C6C" w14:textId="10C47937"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341</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A9624"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167D6C6C"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64B52C6C" w14:textId="10C47937"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341</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59264" behindDoc="0" locked="0" layoutInCell="1" allowOverlap="1" wp14:anchorId="1679FBE6" wp14:editId="60C1742E">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BD5B9C3"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1445A44" w14:textId="0E9C5B62"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432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FBE6"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6BD5B9C3"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1445A44" w14:textId="0E9C5B62"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432</w:t>
                      </w:r>
                      <w:r w:rsidRPr="009B6582">
                        <w:rPr>
                          <w:rFonts w:ascii="Times New Roman" w:hAnsi="Times New Roman" w:cs="Times New Roman"/>
                          <w:sz w:val="24"/>
                          <w:szCs w:val="24"/>
                        </w:rPr>
                        <w:t>)</w:t>
                      </w:r>
                    </w:p>
                  </w:txbxContent>
                </v:textbox>
                <w10:wrap type="square"/>
              </v:shape>
            </w:pict>
          </mc:Fallback>
        </mc:AlternateContent>
      </w:r>
    </w:p>
    <w:p w14:paraId="061C8F47" w14:textId="77777777" w:rsidR="00357A73" w:rsidRPr="00825BE9" w:rsidRDefault="00357A73" w:rsidP="00357A73">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7892E971" wp14:editId="371280FF">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7267BF3F"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120B9A4" w14:textId="38A22C81"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91</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2E971"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7267BF3F"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120B9A4" w14:textId="38A22C81"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91</w:t>
                      </w:r>
                      <w:r w:rsidRPr="009B6582">
                        <w:rPr>
                          <w:rFonts w:ascii="Times New Roman" w:hAnsi="Times New Roman" w:cs="Times New Roman"/>
                          <w:sz w:val="24"/>
                          <w:szCs w:val="24"/>
                        </w:rPr>
                        <w:t>)</w:t>
                      </w:r>
                    </w:p>
                  </w:txbxContent>
                </v:textbox>
                <w10:wrap type="square"/>
              </v:shape>
            </w:pict>
          </mc:Fallback>
        </mc:AlternateContent>
      </w:r>
    </w:p>
    <w:p w14:paraId="10B1531D" w14:textId="77777777" w:rsidR="00357A73" w:rsidRPr="00825BE9" w:rsidRDefault="00357A73" w:rsidP="00357A73">
      <w:pPr>
        <w:spacing w:line="480" w:lineRule="auto"/>
        <w:jc w:val="both"/>
        <w:rPr>
          <w:rFonts w:ascii="Times New Roman" w:hAnsi="Times New Roman" w:cs="Times New Roman"/>
          <w:sz w:val="24"/>
          <w:szCs w:val="24"/>
        </w:rPr>
      </w:pPr>
    </w:p>
    <w:p w14:paraId="7DCE3B79" w14:textId="77777777" w:rsidR="00357A73" w:rsidRPr="00825BE9" w:rsidRDefault="00357A73" w:rsidP="00357A73">
      <w:pPr>
        <w:spacing w:line="480" w:lineRule="auto"/>
        <w:jc w:val="both"/>
        <w:rPr>
          <w:rFonts w:ascii="Times New Roman" w:hAnsi="Times New Roman" w:cs="Times New Roman"/>
          <w:sz w:val="24"/>
          <w:szCs w:val="24"/>
        </w:rPr>
      </w:pPr>
    </w:p>
    <w:p w14:paraId="6BCC9D25" w14:textId="77777777" w:rsidR="00357A73" w:rsidRPr="00825BE9" w:rsidRDefault="00357A73" w:rsidP="00357A73">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75648" behindDoc="0" locked="0" layoutInCell="1" allowOverlap="1" wp14:anchorId="5BEB94AC" wp14:editId="77B362BF">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2646CA46" w14:textId="77777777" w:rsidR="00B93FEC" w:rsidRDefault="00B93FEC" w:rsidP="00357A73">
                            <w:pPr>
                              <w:jc w:val="center"/>
                            </w:pPr>
                            <w:r w:rsidRPr="006E5539">
                              <w:rPr>
                                <w:rFonts w:ascii="Times New Roman" w:hAnsi="Times New Roman" w:cs="Times New Roman"/>
                                <w:b/>
                                <w:bCs/>
                                <w:sz w:val="24"/>
                                <w:szCs w:val="24"/>
                              </w:rPr>
                              <w:t>Selection</w:t>
                            </w:r>
                          </w:p>
                          <w:p w14:paraId="04CA9442" w14:textId="77777777" w:rsidR="00B93FEC" w:rsidRDefault="00B93FEC"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B94AC"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2646CA46" w14:textId="77777777" w:rsidR="00B93FEC" w:rsidRDefault="00B93FEC" w:rsidP="00357A73">
                      <w:pPr>
                        <w:jc w:val="center"/>
                      </w:pPr>
                      <w:r w:rsidRPr="006E5539">
                        <w:rPr>
                          <w:rFonts w:ascii="Times New Roman" w:hAnsi="Times New Roman" w:cs="Times New Roman"/>
                          <w:b/>
                          <w:bCs/>
                          <w:sz w:val="24"/>
                          <w:szCs w:val="24"/>
                        </w:rPr>
                        <w:t>Selection</w:t>
                      </w:r>
                    </w:p>
                    <w:p w14:paraId="04CA9442" w14:textId="77777777" w:rsidR="00B93FEC" w:rsidRDefault="00B93FEC" w:rsidP="00357A73"/>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7456" behindDoc="0" locked="0" layoutInCell="1" allowOverlap="1" wp14:anchorId="37E0388A" wp14:editId="2FE5E96A">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0B629F11"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617CFDC8" w14:textId="62C3DD9D"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249</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0388A"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0B629F11"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617CFDC8" w14:textId="62C3DD9D"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249</w:t>
                      </w:r>
                      <w:r w:rsidRPr="009B6582">
                        <w:rPr>
                          <w:rFonts w:ascii="Times New Roman" w:hAnsi="Times New Roman" w:cs="Times New Roman"/>
                          <w:sz w:val="24"/>
                          <w:szCs w:val="24"/>
                        </w:rPr>
                        <w:t>)</w:t>
                      </w:r>
                    </w:p>
                  </w:txbxContent>
                </v:textbox>
                <w10:wrap type="square"/>
              </v:shape>
            </w:pict>
          </mc:Fallback>
        </mc:AlternateContent>
      </w:r>
    </w:p>
    <w:p w14:paraId="23B58EF4" w14:textId="77777777" w:rsidR="00357A73" w:rsidRPr="00825BE9" w:rsidRDefault="00357A73" w:rsidP="00357A73">
      <w:pPr>
        <w:spacing w:line="36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77696" behindDoc="0" locked="0" layoutInCell="1" allowOverlap="1" wp14:anchorId="223854D6" wp14:editId="661B5A99">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69A90A19" w14:textId="77777777" w:rsidR="00B93FEC" w:rsidRDefault="00B93FEC" w:rsidP="00357A73">
                            <w:r w:rsidRPr="006E5539">
                              <w:rPr>
                                <w:rFonts w:ascii="Times New Roman" w:hAnsi="Times New Roman" w:cs="Times New Roman"/>
                                <w:b/>
                                <w:bCs/>
                                <w:sz w:val="24"/>
                                <w:szCs w:val="24"/>
                              </w:rPr>
                              <w:t>Inclusion</w:t>
                            </w:r>
                          </w:p>
                          <w:p w14:paraId="14F563AF" w14:textId="77777777" w:rsidR="00B93FEC" w:rsidRDefault="00B93FEC"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854D6"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69A90A19" w14:textId="77777777" w:rsidR="00B93FEC" w:rsidRDefault="00B93FEC" w:rsidP="00357A73">
                      <w:r w:rsidRPr="006E5539">
                        <w:rPr>
                          <w:rFonts w:ascii="Times New Roman" w:hAnsi="Times New Roman" w:cs="Times New Roman"/>
                          <w:b/>
                          <w:bCs/>
                          <w:sz w:val="24"/>
                          <w:szCs w:val="24"/>
                        </w:rPr>
                        <w:t>Inclusion</w:t>
                      </w:r>
                    </w:p>
                    <w:p w14:paraId="14F563AF" w14:textId="77777777" w:rsidR="00B93FEC" w:rsidRDefault="00B93FEC" w:rsidP="00357A73"/>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6672" behindDoc="0" locked="0" layoutInCell="1" allowOverlap="1" wp14:anchorId="426F9D03" wp14:editId="4EE7587A">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3E9510B1" w14:textId="77777777" w:rsidR="00B93FEC" w:rsidRDefault="00B93FEC" w:rsidP="00357A73">
                            <w:r w:rsidRPr="006E5539">
                              <w:rPr>
                                <w:rFonts w:ascii="Times New Roman" w:hAnsi="Times New Roman" w:cs="Times New Roman"/>
                                <w:b/>
                                <w:bCs/>
                                <w:sz w:val="24"/>
                                <w:szCs w:val="24"/>
                              </w:rPr>
                              <w:t>Eligibility</w:t>
                            </w:r>
                          </w:p>
                          <w:p w14:paraId="77AE3083" w14:textId="77777777" w:rsidR="00B93FEC" w:rsidRDefault="00B93FEC"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F9D03"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3E9510B1" w14:textId="77777777" w:rsidR="00B93FEC" w:rsidRDefault="00B93FEC" w:rsidP="00357A73">
                      <w:r w:rsidRPr="006E5539">
                        <w:rPr>
                          <w:rFonts w:ascii="Times New Roman" w:hAnsi="Times New Roman" w:cs="Times New Roman"/>
                          <w:b/>
                          <w:bCs/>
                          <w:sz w:val="24"/>
                          <w:szCs w:val="24"/>
                        </w:rPr>
                        <w:t>Eligibility</w:t>
                      </w:r>
                    </w:p>
                    <w:p w14:paraId="77AE3083" w14:textId="77777777" w:rsidR="00B93FEC" w:rsidRDefault="00B93FEC" w:rsidP="00357A73"/>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1552" behindDoc="0" locked="0" layoutInCell="1" allowOverlap="1" wp14:anchorId="1C3A18BD" wp14:editId="7BD3CB05">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2D5EFEAB"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305CBD44" w14:textId="6354CF98"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74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A18BD"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2D5EFEAB" w14:textId="77777777" w:rsidR="00B93FEC" w:rsidRPr="009B6582" w:rsidRDefault="00B93FEC"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305CBD44" w14:textId="6354CF98" w:rsidR="00B93FEC" w:rsidRDefault="00B93FEC"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74</w:t>
                      </w:r>
                      <w:r w:rsidRPr="009B6582">
                        <w:rPr>
                          <w:rFonts w:ascii="Times New Roman" w:hAnsi="Times New Roman" w:cs="Times New Roman"/>
                          <w:sz w:val="24"/>
                          <w:szCs w:val="24"/>
                        </w:rPr>
                        <w:t>)</w:t>
                      </w:r>
                    </w:p>
                  </w:txbxContent>
                </v:textbox>
                <w10:wrap type="square"/>
              </v:shape>
            </w:pict>
          </mc:Fallback>
        </mc:AlternateContent>
      </w:r>
    </w:p>
    <w:p w14:paraId="0739D985" w14:textId="77777777" w:rsidR="00357A73" w:rsidRDefault="00357A73" w:rsidP="00357A73">
      <w:pPr>
        <w:spacing w:line="360" w:lineRule="auto"/>
        <w:rPr>
          <w:rFonts w:ascii="Arial" w:hAnsi="Arial" w:cs="Arial"/>
          <w:b/>
          <w:bCs/>
          <w:lang w:val="en-US"/>
        </w:rPr>
      </w:pPr>
    </w:p>
    <w:p w14:paraId="515A839B" w14:textId="77777777" w:rsidR="00357A73" w:rsidRDefault="00357A73" w:rsidP="00357A73">
      <w:pPr>
        <w:spacing w:line="360" w:lineRule="auto"/>
        <w:rPr>
          <w:rFonts w:ascii="Arial" w:hAnsi="Arial" w:cs="Arial"/>
          <w:b/>
          <w:bCs/>
          <w:lang w:val="en-US"/>
        </w:rPr>
      </w:pPr>
    </w:p>
    <w:p w14:paraId="1877A54E" w14:textId="77777777" w:rsidR="00357A73" w:rsidRDefault="00357A73" w:rsidP="00357A73">
      <w:pPr>
        <w:spacing w:line="360" w:lineRule="auto"/>
        <w:rPr>
          <w:rFonts w:ascii="Arial" w:hAnsi="Arial" w:cs="Arial"/>
          <w:b/>
          <w:bCs/>
          <w:lang w:val="en-US"/>
        </w:rPr>
      </w:pPr>
    </w:p>
    <w:p w14:paraId="410D6C90" w14:textId="77777777" w:rsidR="00357A73" w:rsidRDefault="00357A73" w:rsidP="00357A73">
      <w:pPr>
        <w:spacing w:line="360" w:lineRule="auto"/>
        <w:rPr>
          <w:rFonts w:ascii="Arial" w:hAnsi="Arial" w:cs="Arial"/>
          <w:b/>
          <w:bCs/>
          <w:lang w:val="en-US"/>
        </w:rPr>
      </w:pPr>
    </w:p>
    <w:p w14:paraId="3B0AB83D" w14:textId="77777777" w:rsidR="00357A73" w:rsidRDefault="00357A73" w:rsidP="00357A73">
      <w:pPr>
        <w:spacing w:line="360" w:lineRule="auto"/>
        <w:rPr>
          <w:rFonts w:ascii="Arial" w:hAnsi="Arial" w:cs="Arial"/>
          <w:b/>
          <w:bCs/>
          <w:lang w:val="en-US"/>
        </w:rPr>
      </w:pPr>
    </w:p>
    <w:p w14:paraId="254AD387" w14:textId="77777777" w:rsidR="00357A73" w:rsidRDefault="00357A73" w:rsidP="00357A73">
      <w:pPr>
        <w:spacing w:line="360" w:lineRule="auto"/>
        <w:rPr>
          <w:rFonts w:ascii="Arial" w:hAnsi="Arial" w:cs="Arial"/>
          <w:b/>
          <w:bCs/>
          <w:lang w:val="en-US"/>
        </w:rPr>
      </w:pPr>
    </w:p>
    <w:p w14:paraId="42A1B3F1" w14:textId="77777777" w:rsidR="00357A73" w:rsidRDefault="00357A73" w:rsidP="00357A73">
      <w:pPr>
        <w:spacing w:line="360" w:lineRule="auto"/>
        <w:rPr>
          <w:rFonts w:ascii="Arial" w:hAnsi="Arial" w:cs="Arial"/>
          <w:b/>
          <w:bCs/>
          <w:lang w:val="en-US"/>
        </w:rPr>
      </w:pPr>
    </w:p>
    <w:p w14:paraId="5080EC7B" w14:textId="77777777" w:rsidR="00357A73" w:rsidRDefault="00357A73" w:rsidP="00357A73">
      <w:pPr>
        <w:spacing w:line="360" w:lineRule="auto"/>
        <w:rPr>
          <w:rFonts w:ascii="Arial" w:hAnsi="Arial" w:cs="Arial"/>
          <w:b/>
          <w:bCs/>
          <w:lang w:val="en-US"/>
        </w:rPr>
      </w:pPr>
    </w:p>
    <w:p w14:paraId="7CFD12E8" w14:textId="77777777" w:rsidR="00357A73" w:rsidRDefault="00357A73" w:rsidP="00357A73">
      <w:pPr>
        <w:spacing w:line="360" w:lineRule="auto"/>
        <w:rPr>
          <w:rFonts w:ascii="Arial" w:hAnsi="Arial" w:cs="Arial"/>
          <w:b/>
          <w:bCs/>
          <w:lang w:val="en-US"/>
        </w:rPr>
      </w:pPr>
    </w:p>
    <w:p w14:paraId="13CB4186" w14:textId="77777777" w:rsidR="00357A73" w:rsidRDefault="00357A73" w:rsidP="00357A73">
      <w:pPr>
        <w:spacing w:line="360" w:lineRule="auto"/>
        <w:rPr>
          <w:rFonts w:ascii="Arial" w:hAnsi="Arial" w:cs="Arial"/>
          <w:b/>
          <w:bCs/>
          <w:lang w:val="en-US"/>
        </w:rPr>
      </w:pPr>
    </w:p>
    <w:p w14:paraId="779D733D" w14:textId="77777777" w:rsidR="00357A73" w:rsidRPr="005A6CA1" w:rsidRDefault="00357A73" w:rsidP="00357A73">
      <w:pPr>
        <w:spacing w:line="360" w:lineRule="auto"/>
        <w:rPr>
          <w:rFonts w:ascii="Arial" w:hAnsi="Arial" w:cs="Arial"/>
          <w:b/>
          <w:bCs/>
          <w:lang w:val="en-US"/>
        </w:rPr>
      </w:pPr>
    </w:p>
    <w:p w14:paraId="6E5AE8E3" w14:textId="470CA272" w:rsidR="00357A73" w:rsidRPr="008B2960" w:rsidRDefault="00357A73" w:rsidP="00357A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09FC8012" w14:textId="4214C303"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3.1 Characteristics of the Included Studies</w:t>
      </w:r>
    </w:p>
    <w:p w14:paraId="07096876"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 total of 38 studies published between 2015 and 2025 were included in this systematic review, encompassing research from 16 countries, most notably the United States (n=9), China (n=7), Germany (n=4), the United Kingdom (n=3), and Brazil (n=2). The studies appeared in leading hematology, oncology, immunology, and pediatric journals such as Blood, Cancer Medicine, Frontiers in Immunology, Orphanet Journal of Rare Diseases, and International Journal of Hematology.</w:t>
      </w:r>
    </w:p>
    <w:p w14:paraId="68D11D85"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Regarding methodological design, 17 (44.7%) were cohort studies (retrospective or prospective), 9 (23.7%) were clinical or multicenter series, 8 (21.0%) were systematic reviews or meta-analyses, and 4 (10.6%) were detailed case series describing rare skeletal or neurodegenerative LCH presentations.</w:t>
      </w:r>
    </w:p>
    <w:p w14:paraId="37A3A7FB"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Across all included articles, more than 2,900 patients were analyzed, ranging from single-patient case reports to large multicenter cohorts exceeding 300 participants. The pediatric population accounted for approximately 65% of the total sample, consistent with the higher incidence of LCH in children, whereas 35% were adults.</w:t>
      </w:r>
    </w:p>
    <w:p w14:paraId="40EC81F6" w14:textId="22E9F309"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Several studies demonstrated correlations between mutation type and clinical presentation: BRAFV600E was associated with multisystem, aggressive disease, while MAP2K1 and ARAF mutations were mainly linked to localized osseous forms.</w:t>
      </w:r>
    </w:p>
    <w:p w14:paraId="6C062065"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Among the included publications, 23 (60.5%) addressed skeletal involvement as a primary outcome, with the skull, spine, femur, and mandible being the most affected sites. Nine studies compared pediatric and adult populations, showing higher recurrence rates in adults but greater systemic severity in children.</w:t>
      </w:r>
    </w:p>
    <w:p w14:paraId="4AC0DC36" w14:textId="4215C49E" w:rsidR="008B2960"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 terms of therapy, 12 studies evaluated MAPK pathway inhibitors (vemurafenib, dabrafenib, cobimetinib, and trametinib), reporting overall response rates between 78% and 92% in refractory cases, with radiological regression of lesions and significant reduction in bone pain.</w:t>
      </w:r>
    </w:p>
    <w:p w14:paraId="5824BA0A" w14:textId="2EED8CE7" w:rsid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 xml:space="preserve">Table </w:t>
      </w:r>
      <w:r w:rsidR="0068287B">
        <w:rPr>
          <w:rFonts w:ascii="Arial" w:eastAsia="Times New Roman" w:hAnsi="Arial" w:cs="Arial"/>
          <w:sz w:val="20"/>
          <w:szCs w:val="20"/>
          <w:lang w:eastAsia="pt-BR"/>
        </w:rPr>
        <w:t>1</w:t>
      </w:r>
      <w:r w:rsidRPr="00753FA6">
        <w:rPr>
          <w:rFonts w:ascii="Arial" w:eastAsia="Times New Roman" w:hAnsi="Arial" w:cs="Arial"/>
          <w:sz w:val="20"/>
          <w:szCs w:val="20"/>
          <w:lang w:eastAsia="pt-BR"/>
        </w:rPr>
        <w:t>. Included studies on Langerhans Cell Histiocytosis (2015–2025)</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20"/>
        <w:gridCol w:w="975"/>
        <w:gridCol w:w="1097"/>
        <w:gridCol w:w="664"/>
        <w:gridCol w:w="984"/>
        <w:gridCol w:w="1503"/>
        <w:gridCol w:w="1961"/>
      </w:tblGrid>
      <w:tr w:rsidR="00753FA6" w:rsidRPr="00753FA6" w14:paraId="514C070F" w14:textId="77777777" w:rsidTr="00753FA6">
        <w:trPr>
          <w:tblHeader/>
          <w:tblCellSpacing w:w="15" w:type="dxa"/>
        </w:trPr>
        <w:tc>
          <w:tcPr>
            <w:tcW w:w="0" w:type="auto"/>
            <w:vAlign w:val="center"/>
            <w:hideMark/>
          </w:tcPr>
          <w:p w14:paraId="4FBAE966"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Author / Year</w:t>
            </w:r>
          </w:p>
        </w:tc>
        <w:tc>
          <w:tcPr>
            <w:tcW w:w="0" w:type="auto"/>
            <w:vAlign w:val="center"/>
            <w:hideMark/>
          </w:tcPr>
          <w:p w14:paraId="5098BCF4"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Country</w:t>
            </w:r>
          </w:p>
        </w:tc>
        <w:tc>
          <w:tcPr>
            <w:tcW w:w="0" w:type="auto"/>
            <w:vAlign w:val="center"/>
            <w:hideMark/>
          </w:tcPr>
          <w:p w14:paraId="0E95C0C0"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Study Type</w:t>
            </w:r>
          </w:p>
        </w:tc>
        <w:tc>
          <w:tcPr>
            <w:tcW w:w="0" w:type="auto"/>
            <w:vAlign w:val="center"/>
            <w:hideMark/>
          </w:tcPr>
          <w:p w14:paraId="22102CA4"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Sample (n)</w:t>
            </w:r>
          </w:p>
        </w:tc>
        <w:tc>
          <w:tcPr>
            <w:tcW w:w="0" w:type="auto"/>
            <w:vAlign w:val="center"/>
            <w:hideMark/>
          </w:tcPr>
          <w:p w14:paraId="618D4D78"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Population / Age Group</w:t>
            </w:r>
          </w:p>
        </w:tc>
        <w:tc>
          <w:tcPr>
            <w:tcW w:w="0" w:type="auto"/>
            <w:vAlign w:val="center"/>
            <w:hideMark/>
          </w:tcPr>
          <w:p w14:paraId="04E1CFC9"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Main Focus</w:t>
            </w:r>
          </w:p>
        </w:tc>
        <w:tc>
          <w:tcPr>
            <w:tcW w:w="0" w:type="auto"/>
            <w:vAlign w:val="center"/>
            <w:hideMark/>
          </w:tcPr>
          <w:p w14:paraId="65ED07AB"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Key Findings</w:t>
            </w:r>
          </w:p>
        </w:tc>
      </w:tr>
      <w:tr w:rsidR="00753FA6" w:rsidRPr="00753FA6" w14:paraId="1765426D" w14:textId="77777777" w:rsidTr="00753FA6">
        <w:trPr>
          <w:tblCellSpacing w:w="15" w:type="dxa"/>
        </w:trPr>
        <w:tc>
          <w:tcPr>
            <w:tcW w:w="0" w:type="auto"/>
            <w:vAlign w:val="center"/>
            <w:hideMark/>
          </w:tcPr>
          <w:p w14:paraId="6CB79F6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Bielamowicz K et al., 2024 (</w:t>
            </w:r>
            <w:r w:rsidRPr="00753FA6">
              <w:rPr>
                <w:rFonts w:ascii="Arial" w:eastAsia="Times New Roman" w:hAnsi="Arial" w:cs="Arial"/>
                <w:i/>
                <w:iCs/>
                <w:sz w:val="20"/>
                <w:szCs w:val="20"/>
                <w:lang w:eastAsia="pt-BR"/>
              </w:rPr>
              <w:t>Cancer</w:t>
            </w:r>
            <w:r w:rsidRPr="00753FA6">
              <w:rPr>
                <w:rFonts w:ascii="Arial" w:eastAsia="Times New Roman" w:hAnsi="Arial" w:cs="Arial"/>
                <w:sz w:val="20"/>
                <w:szCs w:val="20"/>
                <w:lang w:eastAsia="pt-BR"/>
              </w:rPr>
              <w:t>)</w:t>
            </w:r>
          </w:p>
        </w:tc>
        <w:tc>
          <w:tcPr>
            <w:tcW w:w="0" w:type="auto"/>
            <w:vAlign w:val="center"/>
            <w:hideMark/>
          </w:tcPr>
          <w:p w14:paraId="5B6BA4F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 / UK</w:t>
            </w:r>
          </w:p>
        </w:tc>
        <w:tc>
          <w:tcPr>
            <w:tcW w:w="0" w:type="auto"/>
            <w:vAlign w:val="center"/>
            <w:hideMark/>
          </w:tcPr>
          <w:p w14:paraId="4BA44A2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Multicenter Cohort (NACHO)</w:t>
            </w:r>
          </w:p>
        </w:tc>
        <w:tc>
          <w:tcPr>
            <w:tcW w:w="0" w:type="auto"/>
            <w:vAlign w:val="center"/>
            <w:hideMark/>
          </w:tcPr>
          <w:p w14:paraId="78BDC3B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356</w:t>
            </w:r>
          </w:p>
        </w:tc>
        <w:tc>
          <w:tcPr>
            <w:tcW w:w="0" w:type="auto"/>
            <w:vAlign w:val="center"/>
            <w:hideMark/>
          </w:tcPr>
          <w:p w14:paraId="230AF00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75A6B8D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Biology and Therapy</w:t>
            </w:r>
          </w:p>
        </w:tc>
        <w:tc>
          <w:tcPr>
            <w:tcW w:w="0" w:type="auto"/>
            <w:vAlign w:val="center"/>
            <w:hideMark/>
          </w:tcPr>
          <w:p w14:paraId="180F20A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mutation defines LCH as a myeloid neoplasm; need for coordinated clinical trials.</w:t>
            </w:r>
          </w:p>
        </w:tc>
      </w:tr>
      <w:tr w:rsidR="00753FA6" w:rsidRPr="00753FA6" w14:paraId="270262F7" w14:textId="77777777" w:rsidTr="00753FA6">
        <w:trPr>
          <w:tblCellSpacing w:w="15" w:type="dxa"/>
        </w:trPr>
        <w:tc>
          <w:tcPr>
            <w:tcW w:w="0" w:type="auto"/>
            <w:vAlign w:val="center"/>
            <w:hideMark/>
          </w:tcPr>
          <w:p w14:paraId="22B1FE3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Eckstein OS et al., 2019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2171E9F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 / UK</w:t>
            </w:r>
          </w:p>
        </w:tc>
        <w:tc>
          <w:tcPr>
            <w:tcW w:w="0" w:type="auto"/>
            <w:vAlign w:val="center"/>
            <w:hideMark/>
          </w:tcPr>
          <w:p w14:paraId="2A2A1AE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 Cohort</w:t>
            </w:r>
          </w:p>
        </w:tc>
        <w:tc>
          <w:tcPr>
            <w:tcW w:w="0" w:type="auto"/>
            <w:vAlign w:val="center"/>
            <w:hideMark/>
          </w:tcPr>
          <w:p w14:paraId="2C56C5C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21</w:t>
            </w:r>
          </w:p>
        </w:tc>
        <w:tc>
          <w:tcPr>
            <w:tcW w:w="0" w:type="auto"/>
            <w:vAlign w:val="center"/>
            <w:hideMark/>
          </w:tcPr>
          <w:p w14:paraId="17EEC73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E5DC4A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 (MAPK)</w:t>
            </w:r>
          </w:p>
        </w:tc>
        <w:tc>
          <w:tcPr>
            <w:tcW w:w="0" w:type="auto"/>
            <w:vAlign w:val="center"/>
            <w:hideMark/>
          </w:tcPr>
          <w:p w14:paraId="2E4EFB1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86% response to BRAF/MEK inhibitors in refractory LCH.</w:t>
            </w:r>
          </w:p>
        </w:tc>
      </w:tr>
      <w:tr w:rsidR="00753FA6" w:rsidRPr="00753FA6" w14:paraId="5C623AFD" w14:textId="77777777" w:rsidTr="00753FA6">
        <w:trPr>
          <w:tblCellSpacing w:w="15" w:type="dxa"/>
        </w:trPr>
        <w:tc>
          <w:tcPr>
            <w:tcW w:w="0" w:type="auto"/>
            <w:vAlign w:val="center"/>
            <w:hideMark/>
          </w:tcPr>
          <w:p w14:paraId="219B628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Tang X et al., 2024 (</w:t>
            </w:r>
            <w:r w:rsidRPr="00753FA6">
              <w:rPr>
                <w:rFonts w:ascii="Arial" w:eastAsia="Times New Roman" w:hAnsi="Arial" w:cs="Arial"/>
                <w:i/>
                <w:iCs/>
                <w:sz w:val="20"/>
                <w:szCs w:val="20"/>
                <w:lang w:eastAsia="pt-BR"/>
              </w:rPr>
              <w:t>Cancer Medicine</w:t>
            </w:r>
            <w:r w:rsidRPr="00753FA6">
              <w:rPr>
                <w:rFonts w:ascii="Arial" w:eastAsia="Times New Roman" w:hAnsi="Arial" w:cs="Arial"/>
                <w:sz w:val="20"/>
                <w:szCs w:val="20"/>
                <w:lang w:eastAsia="pt-BR"/>
              </w:rPr>
              <w:t>)</w:t>
            </w:r>
          </w:p>
        </w:tc>
        <w:tc>
          <w:tcPr>
            <w:tcW w:w="0" w:type="auto"/>
            <w:vAlign w:val="center"/>
            <w:hideMark/>
          </w:tcPr>
          <w:p w14:paraId="611F320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04CFFD3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3A32987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33</w:t>
            </w:r>
          </w:p>
        </w:tc>
        <w:tc>
          <w:tcPr>
            <w:tcW w:w="0" w:type="auto"/>
            <w:vAlign w:val="center"/>
            <w:hideMark/>
          </w:tcPr>
          <w:p w14:paraId="4210443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05156E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Genetics (non-BRAFV600E)</w:t>
            </w:r>
          </w:p>
        </w:tc>
        <w:tc>
          <w:tcPr>
            <w:tcW w:w="0" w:type="auto"/>
            <w:vAlign w:val="center"/>
            <w:hideMark/>
          </w:tcPr>
          <w:p w14:paraId="223B6A1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 xml:space="preserve">MAP2K1 mutations associated with isolated bone </w:t>
            </w:r>
            <w:r w:rsidRPr="00753FA6">
              <w:rPr>
                <w:rFonts w:ascii="Arial" w:eastAsia="Times New Roman" w:hAnsi="Arial" w:cs="Arial"/>
                <w:sz w:val="20"/>
                <w:szCs w:val="20"/>
                <w:lang w:eastAsia="pt-BR"/>
              </w:rPr>
              <w:lastRenderedPageBreak/>
              <w:t>disease and better prognosis.</w:t>
            </w:r>
          </w:p>
        </w:tc>
      </w:tr>
      <w:tr w:rsidR="00753FA6" w:rsidRPr="00753FA6" w14:paraId="79D10450" w14:textId="77777777" w:rsidTr="00753FA6">
        <w:trPr>
          <w:tblCellSpacing w:w="15" w:type="dxa"/>
        </w:trPr>
        <w:tc>
          <w:tcPr>
            <w:tcW w:w="0" w:type="auto"/>
            <w:vAlign w:val="center"/>
            <w:hideMark/>
          </w:tcPr>
          <w:p w14:paraId="3F7DEA0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Lang M et al., 2023 (</w:t>
            </w:r>
            <w:r w:rsidRPr="00753FA6">
              <w:rPr>
                <w:rFonts w:ascii="Arial" w:eastAsia="Times New Roman" w:hAnsi="Arial" w:cs="Arial"/>
                <w:i/>
                <w:iCs/>
                <w:sz w:val="20"/>
                <w:szCs w:val="20"/>
                <w:lang w:eastAsia="pt-BR"/>
              </w:rPr>
              <w:t>Orphanet J Rare Dis</w:t>
            </w:r>
            <w:r w:rsidRPr="00753FA6">
              <w:rPr>
                <w:rFonts w:ascii="Arial" w:eastAsia="Times New Roman" w:hAnsi="Arial" w:cs="Arial"/>
                <w:sz w:val="20"/>
                <w:szCs w:val="20"/>
                <w:lang w:eastAsia="pt-BR"/>
              </w:rPr>
              <w:t>)</w:t>
            </w:r>
          </w:p>
        </w:tc>
        <w:tc>
          <w:tcPr>
            <w:tcW w:w="0" w:type="auto"/>
            <w:vAlign w:val="center"/>
            <w:hideMark/>
          </w:tcPr>
          <w:p w14:paraId="5C88F56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0D3A38F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0DA94F4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70</w:t>
            </w:r>
          </w:p>
        </w:tc>
        <w:tc>
          <w:tcPr>
            <w:tcW w:w="0" w:type="auto"/>
            <w:vAlign w:val="center"/>
            <w:hideMark/>
          </w:tcPr>
          <w:p w14:paraId="33540D7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3A94AB6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Unifocal LCH</w:t>
            </w:r>
          </w:p>
        </w:tc>
        <w:tc>
          <w:tcPr>
            <w:tcW w:w="0" w:type="auto"/>
            <w:vAlign w:val="center"/>
            <w:hideMark/>
          </w:tcPr>
          <w:p w14:paraId="748051D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MAPK/PI3K mutations in 78.1%; overall survival 100%.</w:t>
            </w:r>
          </w:p>
        </w:tc>
      </w:tr>
      <w:tr w:rsidR="00753FA6" w:rsidRPr="00753FA6" w14:paraId="14C7580A" w14:textId="77777777" w:rsidTr="00753FA6">
        <w:trPr>
          <w:tblCellSpacing w:w="15" w:type="dxa"/>
        </w:trPr>
        <w:tc>
          <w:tcPr>
            <w:tcW w:w="0" w:type="auto"/>
            <w:vAlign w:val="center"/>
            <w:hideMark/>
          </w:tcPr>
          <w:p w14:paraId="629F75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Goyal G et al., 2022 (</w:t>
            </w:r>
            <w:r w:rsidRPr="00753FA6">
              <w:rPr>
                <w:rFonts w:ascii="Arial" w:eastAsia="Times New Roman" w:hAnsi="Arial" w:cs="Arial"/>
                <w:i/>
                <w:iCs/>
                <w:sz w:val="20"/>
                <w:szCs w:val="20"/>
                <w:lang w:eastAsia="pt-BR"/>
              </w:rPr>
              <w:t>Blood Cancer J</w:t>
            </w:r>
            <w:r w:rsidRPr="00753FA6">
              <w:rPr>
                <w:rFonts w:ascii="Arial" w:eastAsia="Times New Roman" w:hAnsi="Arial" w:cs="Arial"/>
                <w:sz w:val="20"/>
                <w:szCs w:val="20"/>
                <w:lang w:eastAsia="pt-BR"/>
              </w:rPr>
              <w:t>)</w:t>
            </w:r>
          </w:p>
        </w:tc>
        <w:tc>
          <w:tcPr>
            <w:tcW w:w="0" w:type="auto"/>
            <w:vAlign w:val="center"/>
            <w:hideMark/>
          </w:tcPr>
          <w:p w14:paraId="1A6A083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70C9B90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05CB872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44</w:t>
            </w:r>
          </w:p>
        </w:tc>
        <w:tc>
          <w:tcPr>
            <w:tcW w:w="0" w:type="auto"/>
            <w:vAlign w:val="center"/>
            <w:hideMark/>
          </w:tcPr>
          <w:p w14:paraId="6C0D902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5F601AF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Non-pulmonary Unifocal LCH</w:t>
            </w:r>
          </w:p>
        </w:tc>
        <w:tc>
          <w:tcPr>
            <w:tcW w:w="0" w:type="auto"/>
            <w:vAlign w:val="center"/>
            <w:hideMark/>
          </w:tcPr>
          <w:p w14:paraId="04F70D5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Bone and skin most affected; 5-year OS = 94%.</w:t>
            </w:r>
          </w:p>
        </w:tc>
      </w:tr>
      <w:tr w:rsidR="00753FA6" w:rsidRPr="00753FA6" w14:paraId="39E6CAB4" w14:textId="77777777" w:rsidTr="00753FA6">
        <w:trPr>
          <w:tblCellSpacing w:w="15" w:type="dxa"/>
        </w:trPr>
        <w:tc>
          <w:tcPr>
            <w:tcW w:w="0" w:type="auto"/>
            <w:vAlign w:val="center"/>
            <w:hideMark/>
          </w:tcPr>
          <w:p w14:paraId="3E89292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Maia RC et al., 2015 (</w:t>
            </w:r>
            <w:r w:rsidRPr="00753FA6">
              <w:rPr>
                <w:rFonts w:ascii="Arial" w:eastAsia="Times New Roman" w:hAnsi="Arial" w:cs="Arial"/>
                <w:i/>
                <w:iCs/>
                <w:sz w:val="20"/>
                <w:szCs w:val="20"/>
                <w:lang w:eastAsia="pt-BR"/>
              </w:rPr>
              <w:t>Hematology</w:t>
            </w:r>
            <w:r w:rsidRPr="00753FA6">
              <w:rPr>
                <w:rFonts w:ascii="Arial" w:eastAsia="Times New Roman" w:hAnsi="Arial" w:cs="Arial"/>
                <w:sz w:val="20"/>
                <w:szCs w:val="20"/>
                <w:lang w:eastAsia="pt-BR"/>
              </w:rPr>
              <w:t>)</w:t>
            </w:r>
          </w:p>
        </w:tc>
        <w:tc>
          <w:tcPr>
            <w:tcW w:w="0" w:type="auto"/>
            <w:vAlign w:val="center"/>
            <w:hideMark/>
          </w:tcPr>
          <w:p w14:paraId="2EFCE63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Brazil</w:t>
            </w:r>
          </w:p>
        </w:tc>
        <w:tc>
          <w:tcPr>
            <w:tcW w:w="0" w:type="auto"/>
            <w:vAlign w:val="center"/>
            <w:hideMark/>
          </w:tcPr>
          <w:p w14:paraId="371850B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Institutional Retrospective</w:t>
            </w:r>
          </w:p>
        </w:tc>
        <w:tc>
          <w:tcPr>
            <w:tcW w:w="0" w:type="auto"/>
            <w:vAlign w:val="center"/>
            <w:hideMark/>
          </w:tcPr>
          <w:p w14:paraId="3ADCCDE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95</w:t>
            </w:r>
          </w:p>
        </w:tc>
        <w:tc>
          <w:tcPr>
            <w:tcW w:w="0" w:type="auto"/>
            <w:vAlign w:val="center"/>
            <w:hideMark/>
          </w:tcPr>
          <w:p w14:paraId="43D2E4F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0CA6A25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Age Comparison</w:t>
            </w:r>
          </w:p>
        </w:tc>
        <w:tc>
          <w:tcPr>
            <w:tcW w:w="0" w:type="auto"/>
            <w:vAlign w:val="center"/>
            <w:hideMark/>
          </w:tcPr>
          <w:p w14:paraId="6FAF79F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Children more multifocal; adults with higher recurrence rates.</w:t>
            </w:r>
          </w:p>
        </w:tc>
      </w:tr>
      <w:tr w:rsidR="00753FA6" w:rsidRPr="00753FA6" w14:paraId="1B4852B1" w14:textId="77777777" w:rsidTr="00753FA6">
        <w:trPr>
          <w:tblCellSpacing w:w="15" w:type="dxa"/>
        </w:trPr>
        <w:tc>
          <w:tcPr>
            <w:tcW w:w="0" w:type="auto"/>
            <w:vAlign w:val="center"/>
            <w:hideMark/>
          </w:tcPr>
          <w:p w14:paraId="65FB2A7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Buhtoiarov IN et al., 2025 (</w:t>
            </w:r>
            <w:r w:rsidRPr="00753FA6">
              <w:rPr>
                <w:rFonts w:ascii="Arial" w:eastAsia="Times New Roman" w:hAnsi="Arial" w:cs="Arial"/>
                <w:i/>
                <w:iCs/>
                <w:sz w:val="20"/>
                <w:szCs w:val="20"/>
                <w:lang w:eastAsia="pt-BR"/>
              </w:rPr>
              <w:t>Int J Hematol</w:t>
            </w:r>
            <w:r w:rsidRPr="00753FA6">
              <w:rPr>
                <w:rFonts w:ascii="Arial" w:eastAsia="Times New Roman" w:hAnsi="Arial" w:cs="Arial"/>
                <w:sz w:val="20"/>
                <w:szCs w:val="20"/>
                <w:lang w:eastAsia="pt-BR"/>
              </w:rPr>
              <w:t>)</w:t>
            </w:r>
          </w:p>
        </w:tc>
        <w:tc>
          <w:tcPr>
            <w:tcW w:w="0" w:type="auto"/>
            <w:vAlign w:val="center"/>
            <w:hideMark/>
          </w:tcPr>
          <w:p w14:paraId="6F97FCB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Global</w:t>
            </w:r>
          </w:p>
        </w:tc>
        <w:tc>
          <w:tcPr>
            <w:tcW w:w="0" w:type="auto"/>
            <w:vAlign w:val="center"/>
            <w:hideMark/>
          </w:tcPr>
          <w:p w14:paraId="34C756F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Guidelines</w:t>
            </w:r>
          </w:p>
        </w:tc>
        <w:tc>
          <w:tcPr>
            <w:tcW w:w="0" w:type="auto"/>
            <w:vAlign w:val="center"/>
            <w:hideMark/>
          </w:tcPr>
          <w:p w14:paraId="5E5F40A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073F3B9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1FDE57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Response Criteria</w:t>
            </w:r>
          </w:p>
        </w:tc>
        <w:tc>
          <w:tcPr>
            <w:tcW w:w="0" w:type="auto"/>
            <w:vAlign w:val="center"/>
            <w:hideMark/>
          </w:tcPr>
          <w:p w14:paraId="2FE264F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Proposes harmonized global LCH response assessment.</w:t>
            </w:r>
          </w:p>
        </w:tc>
      </w:tr>
      <w:tr w:rsidR="00753FA6" w:rsidRPr="00753FA6" w14:paraId="7A6BE3E2" w14:textId="77777777" w:rsidTr="00753FA6">
        <w:trPr>
          <w:tblCellSpacing w:w="15" w:type="dxa"/>
        </w:trPr>
        <w:tc>
          <w:tcPr>
            <w:tcW w:w="0" w:type="auto"/>
            <w:vAlign w:val="center"/>
            <w:hideMark/>
          </w:tcPr>
          <w:p w14:paraId="4099068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Sconocchia T et al., 2023 (</w:t>
            </w:r>
            <w:r w:rsidRPr="00753FA6">
              <w:rPr>
                <w:rFonts w:ascii="Arial" w:eastAsia="Times New Roman" w:hAnsi="Arial" w:cs="Arial"/>
                <w:i/>
                <w:iCs/>
                <w:sz w:val="20"/>
                <w:szCs w:val="20"/>
                <w:lang w:eastAsia="pt-BR"/>
              </w:rPr>
              <w:t>Front Immunol</w:t>
            </w:r>
            <w:r w:rsidRPr="00753FA6">
              <w:rPr>
                <w:rFonts w:ascii="Arial" w:eastAsia="Times New Roman" w:hAnsi="Arial" w:cs="Arial"/>
                <w:sz w:val="20"/>
                <w:szCs w:val="20"/>
                <w:lang w:eastAsia="pt-BR"/>
              </w:rPr>
              <w:t>)</w:t>
            </w:r>
          </w:p>
        </w:tc>
        <w:tc>
          <w:tcPr>
            <w:tcW w:w="0" w:type="auto"/>
            <w:vAlign w:val="center"/>
            <w:hideMark/>
          </w:tcPr>
          <w:p w14:paraId="499D162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Austria</w:t>
            </w:r>
          </w:p>
        </w:tc>
        <w:tc>
          <w:tcPr>
            <w:tcW w:w="0" w:type="auto"/>
            <w:vAlign w:val="center"/>
            <w:hideMark/>
          </w:tcPr>
          <w:p w14:paraId="2A68BD1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Mechanistic Review</w:t>
            </w:r>
          </w:p>
        </w:tc>
        <w:tc>
          <w:tcPr>
            <w:tcW w:w="0" w:type="auto"/>
            <w:vAlign w:val="center"/>
            <w:hideMark/>
          </w:tcPr>
          <w:p w14:paraId="0F2A5D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676495D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18D443C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Molecular Pathophysiology</w:t>
            </w:r>
          </w:p>
        </w:tc>
        <w:tc>
          <w:tcPr>
            <w:tcW w:w="0" w:type="auto"/>
            <w:vAlign w:val="center"/>
            <w:hideMark/>
          </w:tcPr>
          <w:p w14:paraId="2238DC6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Describes the “misguided myeloid model” in LCH pathogenesis.</w:t>
            </w:r>
          </w:p>
        </w:tc>
      </w:tr>
      <w:tr w:rsidR="00753FA6" w:rsidRPr="00753FA6" w14:paraId="60E5FA5C" w14:textId="77777777" w:rsidTr="00753FA6">
        <w:trPr>
          <w:tblCellSpacing w:w="15" w:type="dxa"/>
        </w:trPr>
        <w:tc>
          <w:tcPr>
            <w:tcW w:w="0" w:type="auto"/>
            <w:vAlign w:val="center"/>
            <w:hideMark/>
          </w:tcPr>
          <w:p w14:paraId="181243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Kemps PG et al., 2024 (</w:t>
            </w:r>
            <w:r w:rsidRPr="00753FA6">
              <w:rPr>
                <w:rFonts w:ascii="Arial" w:eastAsia="Times New Roman" w:hAnsi="Arial" w:cs="Arial"/>
                <w:i/>
                <w:iCs/>
                <w:sz w:val="20"/>
                <w:szCs w:val="20"/>
                <w:lang w:eastAsia="pt-BR"/>
              </w:rPr>
              <w:t>Blood Neoplasia</w:t>
            </w:r>
            <w:r w:rsidRPr="00753FA6">
              <w:rPr>
                <w:rFonts w:ascii="Arial" w:eastAsia="Times New Roman" w:hAnsi="Arial" w:cs="Arial"/>
                <w:sz w:val="20"/>
                <w:szCs w:val="20"/>
                <w:lang w:eastAsia="pt-BR"/>
              </w:rPr>
              <w:t>)</w:t>
            </w:r>
          </w:p>
        </w:tc>
        <w:tc>
          <w:tcPr>
            <w:tcW w:w="0" w:type="auto"/>
            <w:vAlign w:val="center"/>
            <w:hideMark/>
          </w:tcPr>
          <w:p w14:paraId="0FA4E27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Belgium / Netherlands</w:t>
            </w:r>
          </w:p>
        </w:tc>
        <w:tc>
          <w:tcPr>
            <w:tcW w:w="0" w:type="auto"/>
            <w:vAlign w:val="center"/>
            <w:hideMark/>
          </w:tcPr>
          <w:p w14:paraId="438F99A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 Registry</w:t>
            </w:r>
          </w:p>
        </w:tc>
        <w:tc>
          <w:tcPr>
            <w:tcW w:w="0" w:type="auto"/>
            <w:vAlign w:val="center"/>
            <w:hideMark/>
          </w:tcPr>
          <w:p w14:paraId="7707B4D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42</w:t>
            </w:r>
          </w:p>
        </w:tc>
        <w:tc>
          <w:tcPr>
            <w:tcW w:w="0" w:type="auto"/>
            <w:vAlign w:val="center"/>
            <w:hideMark/>
          </w:tcPr>
          <w:p w14:paraId="7DB1E6B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Adolescents &amp; Adults</w:t>
            </w:r>
          </w:p>
        </w:tc>
        <w:tc>
          <w:tcPr>
            <w:tcW w:w="0" w:type="auto"/>
            <w:vAlign w:val="center"/>
            <w:hideMark/>
          </w:tcPr>
          <w:p w14:paraId="2CECB3F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w:t>
            </w:r>
          </w:p>
        </w:tc>
        <w:tc>
          <w:tcPr>
            <w:tcW w:w="0" w:type="auto"/>
            <w:vAlign w:val="center"/>
            <w:hideMark/>
          </w:tcPr>
          <w:p w14:paraId="0FC0576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90% objective response to vemurafenib/cobimetinib.</w:t>
            </w:r>
          </w:p>
        </w:tc>
      </w:tr>
      <w:tr w:rsidR="00753FA6" w:rsidRPr="00753FA6" w14:paraId="4335D05E" w14:textId="77777777" w:rsidTr="00753FA6">
        <w:trPr>
          <w:tblCellSpacing w:w="15" w:type="dxa"/>
        </w:trPr>
        <w:tc>
          <w:tcPr>
            <w:tcW w:w="0" w:type="auto"/>
            <w:vAlign w:val="center"/>
            <w:hideMark/>
          </w:tcPr>
          <w:p w14:paraId="71C2837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Barclay M et al., 2020 (</w:t>
            </w:r>
            <w:r w:rsidRPr="00753FA6">
              <w:rPr>
                <w:rFonts w:ascii="Arial" w:eastAsia="Times New Roman" w:hAnsi="Arial" w:cs="Arial"/>
                <w:i/>
                <w:iCs/>
                <w:sz w:val="20"/>
                <w:szCs w:val="20"/>
                <w:lang w:eastAsia="pt-BR"/>
              </w:rPr>
              <w:t>Breathe</w:t>
            </w:r>
            <w:r w:rsidRPr="00753FA6">
              <w:rPr>
                <w:rFonts w:ascii="Arial" w:eastAsia="Times New Roman" w:hAnsi="Arial" w:cs="Arial"/>
                <w:sz w:val="20"/>
                <w:szCs w:val="20"/>
                <w:lang w:eastAsia="pt-BR"/>
              </w:rPr>
              <w:t>)</w:t>
            </w:r>
          </w:p>
        </w:tc>
        <w:tc>
          <w:tcPr>
            <w:tcW w:w="0" w:type="auto"/>
            <w:vAlign w:val="center"/>
            <w:hideMark/>
          </w:tcPr>
          <w:p w14:paraId="4E3B847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UK</w:t>
            </w:r>
          </w:p>
        </w:tc>
        <w:tc>
          <w:tcPr>
            <w:tcW w:w="0" w:type="auto"/>
            <w:vAlign w:val="center"/>
            <w:hideMark/>
          </w:tcPr>
          <w:p w14:paraId="5C54ACB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Series</w:t>
            </w:r>
          </w:p>
        </w:tc>
        <w:tc>
          <w:tcPr>
            <w:tcW w:w="0" w:type="auto"/>
            <w:vAlign w:val="center"/>
            <w:hideMark/>
          </w:tcPr>
          <w:p w14:paraId="3772646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17</w:t>
            </w:r>
          </w:p>
        </w:tc>
        <w:tc>
          <w:tcPr>
            <w:tcW w:w="0" w:type="auto"/>
            <w:vAlign w:val="center"/>
            <w:hideMark/>
          </w:tcPr>
          <w:p w14:paraId="3A83D78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6EEF604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Pulmonary LCH</w:t>
            </w:r>
          </w:p>
        </w:tc>
        <w:tc>
          <w:tcPr>
            <w:tcW w:w="0" w:type="auto"/>
            <w:vAlign w:val="center"/>
            <w:hideMark/>
          </w:tcPr>
          <w:p w14:paraId="704C892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70% with concurrent bone lesions; favorable response to treatment.</w:t>
            </w:r>
          </w:p>
        </w:tc>
      </w:tr>
      <w:tr w:rsidR="00753FA6" w:rsidRPr="00753FA6" w14:paraId="5C4CE184" w14:textId="77777777" w:rsidTr="00753FA6">
        <w:trPr>
          <w:tblCellSpacing w:w="15" w:type="dxa"/>
        </w:trPr>
        <w:tc>
          <w:tcPr>
            <w:tcW w:w="0" w:type="auto"/>
            <w:vAlign w:val="center"/>
            <w:hideMark/>
          </w:tcPr>
          <w:p w14:paraId="028779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Tang J et al., 2021 (</w:t>
            </w:r>
            <w:r w:rsidRPr="00753FA6">
              <w:rPr>
                <w:rFonts w:ascii="Arial" w:eastAsia="Times New Roman" w:hAnsi="Arial" w:cs="Arial"/>
                <w:i/>
                <w:iCs/>
                <w:sz w:val="20"/>
                <w:szCs w:val="20"/>
                <w:lang w:eastAsia="pt-BR"/>
              </w:rPr>
              <w:t>Clin Pediatr Hematol Oncol</w:t>
            </w:r>
            <w:r w:rsidRPr="00753FA6">
              <w:rPr>
                <w:rFonts w:ascii="Arial" w:eastAsia="Times New Roman" w:hAnsi="Arial" w:cs="Arial"/>
                <w:sz w:val="20"/>
                <w:szCs w:val="20"/>
                <w:lang w:eastAsia="pt-BR"/>
              </w:rPr>
              <w:t>)</w:t>
            </w:r>
          </w:p>
        </w:tc>
        <w:tc>
          <w:tcPr>
            <w:tcW w:w="0" w:type="auto"/>
            <w:vAlign w:val="center"/>
            <w:hideMark/>
          </w:tcPr>
          <w:p w14:paraId="223D6A7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292AC5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w:t>
            </w:r>
          </w:p>
        </w:tc>
        <w:tc>
          <w:tcPr>
            <w:tcW w:w="0" w:type="auto"/>
            <w:vAlign w:val="center"/>
            <w:hideMark/>
          </w:tcPr>
          <w:p w14:paraId="68EAA7E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58</w:t>
            </w:r>
          </w:p>
        </w:tc>
        <w:tc>
          <w:tcPr>
            <w:tcW w:w="0" w:type="auto"/>
            <w:vAlign w:val="center"/>
            <w:hideMark/>
          </w:tcPr>
          <w:p w14:paraId="0D37A99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B722F4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 Mutations</w:t>
            </w:r>
          </w:p>
        </w:tc>
        <w:tc>
          <w:tcPr>
            <w:tcW w:w="0" w:type="auto"/>
            <w:vAlign w:val="center"/>
            <w:hideMark/>
          </w:tcPr>
          <w:p w14:paraId="568C37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in 60.3% of children; correlated with multisystem disease.</w:t>
            </w:r>
          </w:p>
        </w:tc>
      </w:tr>
      <w:tr w:rsidR="00753FA6" w:rsidRPr="00753FA6" w14:paraId="74613D5D" w14:textId="77777777" w:rsidTr="00753FA6">
        <w:trPr>
          <w:tblCellSpacing w:w="15" w:type="dxa"/>
        </w:trPr>
        <w:tc>
          <w:tcPr>
            <w:tcW w:w="0" w:type="auto"/>
            <w:vAlign w:val="center"/>
            <w:hideMark/>
          </w:tcPr>
          <w:p w14:paraId="0C74616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Aricò M et al., 2020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67C9FEE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Italy</w:t>
            </w:r>
          </w:p>
        </w:tc>
        <w:tc>
          <w:tcPr>
            <w:tcW w:w="0" w:type="auto"/>
            <w:vAlign w:val="center"/>
            <w:hideMark/>
          </w:tcPr>
          <w:p w14:paraId="4B44536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International Cohort</w:t>
            </w:r>
          </w:p>
        </w:tc>
        <w:tc>
          <w:tcPr>
            <w:tcW w:w="0" w:type="auto"/>
            <w:vAlign w:val="center"/>
            <w:hideMark/>
          </w:tcPr>
          <w:p w14:paraId="1741A4A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302</w:t>
            </w:r>
          </w:p>
        </w:tc>
        <w:tc>
          <w:tcPr>
            <w:tcW w:w="0" w:type="auto"/>
            <w:vAlign w:val="center"/>
            <w:hideMark/>
          </w:tcPr>
          <w:p w14:paraId="4C56D15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9A9F0A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Prognosis / Risk</w:t>
            </w:r>
          </w:p>
        </w:tc>
        <w:tc>
          <w:tcPr>
            <w:tcW w:w="0" w:type="auto"/>
            <w:vAlign w:val="center"/>
            <w:hideMark/>
          </w:tcPr>
          <w:p w14:paraId="47827F7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25% relapse rate; BRAFV600E associated with reactivation.</w:t>
            </w:r>
          </w:p>
        </w:tc>
      </w:tr>
      <w:tr w:rsidR="00753FA6" w:rsidRPr="00753FA6" w14:paraId="443F008B" w14:textId="77777777" w:rsidTr="00753FA6">
        <w:trPr>
          <w:tblCellSpacing w:w="15" w:type="dxa"/>
        </w:trPr>
        <w:tc>
          <w:tcPr>
            <w:tcW w:w="0" w:type="auto"/>
            <w:vAlign w:val="center"/>
            <w:hideMark/>
          </w:tcPr>
          <w:p w14:paraId="517C150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Héritier S et al., 2017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203F1A9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France</w:t>
            </w:r>
          </w:p>
        </w:tc>
        <w:tc>
          <w:tcPr>
            <w:tcW w:w="0" w:type="auto"/>
            <w:vAlign w:val="center"/>
            <w:hideMark/>
          </w:tcPr>
          <w:p w14:paraId="2FEBC80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 Clinical Trial</w:t>
            </w:r>
          </w:p>
        </w:tc>
        <w:tc>
          <w:tcPr>
            <w:tcW w:w="0" w:type="auto"/>
            <w:vAlign w:val="center"/>
            <w:hideMark/>
          </w:tcPr>
          <w:p w14:paraId="036699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141</w:t>
            </w:r>
          </w:p>
        </w:tc>
        <w:tc>
          <w:tcPr>
            <w:tcW w:w="0" w:type="auto"/>
            <w:vAlign w:val="center"/>
            <w:hideMark/>
          </w:tcPr>
          <w:p w14:paraId="121E8A1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8A4B7E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High-risk LCH / Therapy</w:t>
            </w:r>
          </w:p>
        </w:tc>
        <w:tc>
          <w:tcPr>
            <w:tcW w:w="0" w:type="auto"/>
            <w:vAlign w:val="center"/>
            <w:hideMark/>
          </w:tcPr>
          <w:p w14:paraId="2230C6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Standard chemotherapy cures ~50%; need for targeted options.</w:t>
            </w:r>
          </w:p>
        </w:tc>
      </w:tr>
      <w:tr w:rsidR="00753FA6" w:rsidRPr="00753FA6" w14:paraId="774ECB7A" w14:textId="77777777" w:rsidTr="00753FA6">
        <w:trPr>
          <w:tblCellSpacing w:w="15" w:type="dxa"/>
        </w:trPr>
        <w:tc>
          <w:tcPr>
            <w:tcW w:w="0" w:type="auto"/>
            <w:vAlign w:val="center"/>
            <w:hideMark/>
          </w:tcPr>
          <w:p w14:paraId="4004BA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2015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1064369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6F8FDD3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Translational Review</w:t>
            </w:r>
          </w:p>
        </w:tc>
        <w:tc>
          <w:tcPr>
            <w:tcW w:w="0" w:type="auto"/>
            <w:vAlign w:val="center"/>
            <w:hideMark/>
          </w:tcPr>
          <w:p w14:paraId="7D27031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CAF51E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4CE66AE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Pathophysiology</w:t>
            </w:r>
          </w:p>
        </w:tc>
        <w:tc>
          <w:tcPr>
            <w:tcW w:w="0" w:type="auto"/>
            <w:vAlign w:val="center"/>
            <w:hideMark/>
          </w:tcPr>
          <w:p w14:paraId="3E9F10A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Defines LCH as a clonal myeloid neoplasm with secondary inflammation.</w:t>
            </w:r>
          </w:p>
        </w:tc>
      </w:tr>
      <w:tr w:rsidR="00753FA6" w:rsidRPr="00753FA6" w14:paraId="2F76FD95" w14:textId="77777777" w:rsidTr="00753FA6">
        <w:trPr>
          <w:tblCellSpacing w:w="15" w:type="dxa"/>
        </w:trPr>
        <w:tc>
          <w:tcPr>
            <w:tcW w:w="0" w:type="auto"/>
            <w:vAlign w:val="center"/>
            <w:hideMark/>
          </w:tcPr>
          <w:p w14:paraId="24E10E5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El-Mallawany NK et al., 2017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68F005B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5B18C6E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6092677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108</w:t>
            </w:r>
          </w:p>
        </w:tc>
        <w:tc>
          <w:tcPr>
            <w:tcW w:w="0" w:type="auto"/>
            <w:vAlign w:val="center"/>
            <w:hideMark/>
          </w:tcPr>
          <w:p w14:paraId="6B978C1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FE5CB4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Neurodegenerative LCH</w:t>
            </w:r>
          </w:p>
        </w:tc>
        <w:tc>
          <w:tcPr>
            <w:tcW w:w="0" w:type="auto"/>
            <w:vAlign w:val="center"/>
            <w:hideMark/>
          </w:tcPr>
          <w:p w14:paraId="1DB478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associated with CNS neurodegeneration.</w:t>
            </w:r>
          </w:p>
        </w:tc>
      </w:tr>
      <w:tr w:rsidR="00753FA6" w:rsidRPr="00753FA6" w14:paraId="3B7C2FA8" w14:textId="77777777" w:rsidTr="00753FA6">
        <w:trPr>
          <w:tblCellSpacing w:w="15" w:type="dxa"/>
        </w:trPr>
        <w:tc>
          <w:tcPr>
            <w:tcW w:w="0" w:type="auto"/>
            <w:vAlign w:val="center"/>
            <w:hideMark/>
          </w:tcPr>
          <w:p w14:paraId="02EB030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Diamond EL et al., 2019 (</w:t>
            </w:r>
            <w:r w:rsidRPr="00753FA6">
              <w:rPr>
                <w:rFonts w:ascii="Arial" w:eastAsia="Times New Roman" w:hAnsi="Arial" w:cs="Arial"/>
                <w:i/>
                <w:iCs/>
                <w:sz w:val="20"/>
                <w:szCs w:val="20"/>
                <w:lang w:eastAsia="pt-BR"/>
              </w:rPr>
              <w:t>J Clin Oncol</w:t>
            </w:r>
            <w:r w:rsidRPr="00753FA6">
              <w:rPr>
                <w:rFonts w:ascii="Arial" w:eastAsia="Times New Roman" w:hAnsi="Arial" w:cs="Arial"/>
                <w:sz w:val="20"/>
                <w:szCs w:val="20"/>
                <w:lang w:eastAsia="pt-BR"/>
              </w:rPr>
              <w:t>)</w:t>
            </w:r>
          </w:p>
        </w:tc>
        <w:tc>
          <w:tcPr>
            <w:tcW w:w="0" w:type="auto"/>
            <w:vAlign w:val="center"/>
            <w:hideMark/>
          </w:tcPr>
          <w:p w14:paraId="0CE05C2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63CA6A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w:t>
            </w:r>
          </w:p>
        </w:tc>
        <w:tc>
          <w:tcPr>
            <w:tcW w:w="0" w:type="auto"/>
            <w:vAlign w:val="center"/>
            <w:hideMark/>
          </w:tcPr>
          <w:p w14:paraId="2FD32F8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54</w:t>
            </w:r>
          </w:p>
        </w:tc>
        <w:tc>
          <w:tcPr>
            <w:tcW w:w="0" w:type="auto"/>
            <w:vAlign w:val="center"/>
            <w:hideMark/>
          </w:tcPr>
          <w:p w14:paraId="53D22B5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40D55EA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 Inhibitors</w:t>
            </w:r>
          </w:p>
        </w:tc>
        <w:tc>
          <w:tcPr>
            <w:tcW w:w="0" w:type="auto"/>
            <w:vAlign w:val="center"/>
            <w:hideMark/>
          </w:tcPr>
          <w:p w14:paraId="549D8EC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88% response; relapse common after drug discontinuation.</w:t>
            </w:r>
          </w:p>
        </w:tc>
      </w:tr>
      <w:tr w:rsidR="00753FA6" w:rsidRPr="00753FA6" w14:paraId="208396ED" w14:textId="77777777" w:rsidTr="00753FA6">
        <w:trPr>
          <w:tblCellSpacing w:w="15" w:type="dxa"/>
        </w:trPr>
        <w:tc>
          <w:tcPr>
            <w:tcW w:w="0" w:type="auto"/>
            <w:vAlign w:val="center"/>
            <w:hideMark/>
          </w:tcPr>
          <w:p w14:paraId="263D0A1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Zhang Y et al., 2018 (</w:t>
            </w:r>
            <w:r w:rsidRPr="00753FA6">
              <w:rPr>
                <w:rFonts w:ascii="Arial" w:eastAsia="Times New Roman" w:hAnsi="Arial" w:cs="Arial"/>
                <w:i/>
                <w:iCs/>
                <w:sz w:val="20"/>
                <w:szCs w:val="20"/>
                <w:lang w:eastAsia="pt-BR"/>
              </w:rPr>
              <w:t>Exp Hematol Oncol</w:t>
            </w:r>
            <w:r w:rsidRPr="00753FA6">
              <w:rPr>
                <w:rFonts w:ascii="Arial" w:eastAsia="Times New Roman" w:hAnsi="Arial" w:cs="Arial"/>
                <w:sz w:val="20"/>
                <w:szCs w:val="20"/>
                <w:lang w:eastAsia="pt-BR"/>
              </w:rPr>
              <w:t>)</w:t>
            </w:r>
          </w:p>
        </w:tc>
        <w:tc>
          <w:tcPr>
            <w:tcW w:w="0" w:type="auto"/>
            <w:vAlign w:val="center"/>
            <w:hideMark/>
          </w:tcPr>
          <w:p w14:paraId="0EB7CCF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3C3F390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607BDA2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47</w:t>
            </w:r>
          </w:p>
        </w:tc>
        <w:tc>
          <w:tcPr>
            <w:tcW w:w="0" w:type="auto"/>
            <w:vAlign w:val="center"/>
            <w:hideMark/>
          </w:tcPr>
          <w:p w14:paraId="0A6DA3E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B35873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MAPK and Clinical Evolution</w:t>
            </w:r>
          </w:p>
        </w:tc>
        <w:tc>
          <w:tcPr>
            <w:tcW w:w="0" w:type="auto"/>
            <w:vAlign w:val="center"/>
            <w:hideMark/>
          </w:tcPr>
          <w:p w14:paraId="3F905E6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MAP2K1 mutation in 18%; associated with single-system bone disease.</w:t>
            </w:r>
          </w:p>
        </w:tc>
      </w:tr>
      <w:tr w:rsidR="00753FA6" w:rsidRPr="00753FA6" w14:paraId="09714C54" w14:textId="77777777" w:rsidTr="00753FA6">
        <w:trPr>
          <w:tblCellSpacing w:w="15" w:type="dxa"/>
        </w:trPr>
        <w:tc>
          <w:tcPr>
            <w:tcW w:w="0" w:type="auto"/>
            <w:vAlign w:val="center"/>
            <w:hideMark/>
          </w:tcPr>
          <w:p w14:paraId="7341CA5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Yu RC et al., 2016 (</w:t>
            </w:r>
            <w:r w:rsidRPr="00753FA6">
              <w:rPr>
                <w:rFonts w:ascii="Arial" w:eastAsia="Times New Roman" w:hAnsi="Arial" w:cs="Arial"/>
                <w:i/>
                <w:iCs/>
                <w:sz w:val="20"/>
                <w:szCs w:val="20"/>
                <w:lang w:eastAsia="pt-BR"/>
              </w:rPr>
              <w:t>Int J Dermatol</w:t>
            </w:r>
            <w:r w:rsidRPr="00753FA6">
              <w:rPr>
                <w:rFonts w:ascii="Arial" w:eastAsia="Times New Roman" w:hAnsi="Arial" w:cs="Arial"/>
                <w:sz w:val="20"/>
                <w:szCs w:val="20"/>
                <w:lang w:eastAsia="pt-BR"/>
              </w:rPr>
              <w:t>)</w:t>
            </w:r>
          </w:p>
        </w:tc>
        <w:tc>
          <w:tcPr>
            <w:tcW w:w="0" w:type="auto"/>
            <w:vAlign w:val="center"/>
            <w:hideMark/>
          </w:tcPr>
          <w:p w14:paraId="3DFBD64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UK</w:t>
            </w:r>
          </w:p>
        </w:tc>
        <w:tc>
          <w:tcPr>
            <w:tcW w:w="0" w:type="auto"/>
            <w:vAlign w:val="center"/>
            <w:hideMark/>
          </w:tcPr>
          <w:p w14:paraId="0157381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Report</w:t>
            </w:r>
          </w:p>
        </w:tc>
        <w:tc>
          <w:tcPr>
            <w:tcW w:w="0" w:type="auto"/>
            <w:vAlign w:val="center"/>
            <w:hideMark/>
          </w:tcPr>
          <w:p w14:paraId="0A0F478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w:t>
            </w:r>
          </w:p>
        </w:tc>
        <w:tc>
          <w:tcPr>
            <w:tcW w:w="0" w:type="auto"/>
            <w:vAlign w:val="center"/>
            <w:hideMark/>
          </w:tcPr>
          <w:p w14:paraId="073723D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6965C2E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Cutaneous / Bone LCH</w:t>
            </w:r>
          </w:p>
        </w:tc>
        <w:tc>
          <w:tcPr>
            <w:tcW w:w="0" w:type="auto"/>
            <w:vAlign w:val="center"/>
            <w:hideMark/>
          </w:tcPr>
          <w:p w14:paraId="7FF231E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Self-limited skin LCH with spontaneous resolution in 6 months.</w:t>
            </w:r>
          </w:p>
        </w:tc>
      </w:tr>
      <w:tr w:rsidR="00753FA6" w:rsidRPr="00753FA6" w14:paraId="79043387" w14:textId="77777777" w:rsidTr="00753FA6">
        <w:trPr>
          <w:tblCellSpacing w:w="15" w:type="dxa"/>
        </w:trPr>
        <w:tc>
          <w:tcPr>
            <w:tcW w:w="0" w:type="auto"/>
            <w:vAlign w:val="center"/>
            <w:hideMark/>
          </w:tcPr>
          <w:p w14:paraId="5A89EB1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Hutter C et al., 2018 (</w:t>
            </w:r>
            <w:r w:rsidRPr="00753FA6">
              <w:rPr>
                <w:rFonts w:ascii="Arial" w:eastAsia="Times New Roman" w:hAnsi="Arial" w:cs="Arial"/>
                <w:i/>
                <w:iCs/>
                <w:sz w:val="20"/>
                <w:szCs w:val="20"/>
                <w:lang w:eastAsia="pt-BR"/>
              </w:rPr>
              <w:t>Leukemia</w:t>
            </w:r>
            <w:r w:rsidRPr="00753FA6">
              <w:rPr>
                <w:rFonts w:ascii="Arial" w:eastAsia="Times New Roman" w:hAnsi="Arial" w:cs="Arial"/>
                <w:sz w:val="20"/>
                <w:szCs w:val="20"/>
                <w:lang w:eastAsia="pt-BR"/>
              </w:rPr>
              <w:t>)</w:t>
            </w:r>
          </w:p>
        </w:tc>
        <w:tc>
          <w:tcPr>
            <w:tcW w:w="0" w:type="auto"/>
            <w:vAlign w:val="center"/>
            <w:hideMark/>
          </w:tcPr>
          <w:p w14:paraId="780C8A2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Germany</w:t>
            </w:r>
          </w:p>
        </w:tc>
        <w:tc>
          <w:tcPr>
            <w:tcW w:w="0" w:type="auto"/>
            <w:vAlign w:val="center"/>
            <w:hideMark/>
          </w:tcPr>
          <w:p w14:paraId="141CC7D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Genetic Review</w:t>
            </w:r>
          </w:p>
        </w:tc>
        <w:tc>
          <w:tcPr>
            <w:tcW w:w="0" w:type="auto"/>
            <w:vAlign w:val="center"/>
            <w:hideMark/>
          </w:tcPr>
          <w:p w14:paraId="2F2C776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7EE5A0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6E0098A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MAPK Mutations</w:t>
            </w:r>
          </w:p>
        </w:tc>
        <w:tc>
          <w:tcPr>
            <w:tcW w:w="0" w:type="auto"/>
            <w:vAlign w:val="center"/>
            <w:hideMark/>
          </w:tcPr>
          <w:p w14:paraId="27EE38C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Consolidates BRAFV600E and MAP2K1 as main drivers.</w:t>
            </w:r>
          </w:p>
        </w:tc>
      </w:tr>
      <w:tr w:rsidR="00753FA6" w:rsidRPr="00753FA6" w14:paraId="576780F6" w14:textId="77777777" w:rsidTr="00753FA6">
        <w:trPr>
          <w:tblCellSpacing w:w="15" w:type="dxa"/>
        </w:trPr>
        <w:tc>
          <w:tcPr>
            <w:tcW w:w="0" w:type="auto"/>
            <w:vAlign w:val="center"/>
            <w:hideMark/>
          </w:tcPr>
          <w:p w14:paraId="3139C61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Abla O et al., 2022 (</w:t>
            </w:r>
            <w:r w:rsidRPr="00753FA6">
              <w:rPr>
                <w:rFonts w:ascii="Arial" w:eastAsia="Times New Roman" w:hAnsi="Arial" w:cs="Arial"/>
                <w:i/>
                <w:iCs/>
                <w:sz w:val="20"/>
                <w:szCs w:val="20"/>
                <w:lang w:eastAsia="pt-BR"/>
              </w:rPr>
              <w:t>Blood Rev</w:t>
            </w:r>
            <w:r w:rsidRPr="00753FA6">
              <w:rPr>
                <w:rFonts w:ascii="Arial" w:eastAsia="Times New Roman" w:hAnsi="Arial" w:cs="Arial"/>
                <w:sz w:val="20"/>
                <w:szCs w:val="20"/>
                <w:lang w:eastAsia="pt-BR"/>
              </w:rPr>
              <w:t>)</w:t>
            </w:r>
          </w:p>
        </w:tc>
        <w:tc>
          <w:tcPr>
            <w:tcW w:w="0" w:type="auto"/>
            <w:vAlign w:val="center"/>
            <w:hideMark/>
          </w:tcPr>
          <w:p w14:paraId="1070561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Canada</w:t>
            </w:r>
          </w:p>
        </w:tc>
        <w:tc>
          <w:tcPr>
            <w:tcW w:w="0" w:type="auto"/>
            <w:vAlign w:val="center"/>
            <w:hideMark/>
          </w:tcPr>
          <w:p w14:paraId="40A46B8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Narrative Review</w:t>
            </w:r>
          </w:p>
        </w:tc>
        <w:tc>
          <w:tcPr>
            <w:tcW w:w="0" w:type="auto"/>
            <w:vAlign w:val="center"/>
            <w:hideMark/>
          </w:tcPr>
          <w:p w14:paraId="7EBD0CF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35A6C55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59EE104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Guidelines</w:t>
            </w:r>
          </w:p>
        </w:tc>
        <w:tc>
          <w:tcPr>
            <w:tcW w:w="0" w:type="auto"/>
            <w:vAlign w:val="center"/>
            <w:hideMark/>
          </w:tcPr>
          <w:p w14:paraId="1CF3FE1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Summarizes international recommendations for therapy.</w:t>
            </w:r>
          </w:p>
        </w:tc>
      </w:tr>
      <w:tr w:rsidR="00753FA6" w:rsidRPr="00753FA6" w14:paraId="4773705E" w14:textId="77777777" w:rsidTr="00753FA6">
        <w:trPr>
          <w:tblCellSpacing w:w="15" w:type="dxa"/>
        </w:trPr>
        <w:tc>
          <w:tcPr>
            <w:tcW w:w="0" w:type="auto"/>
            <w:vAlign w:val="center"/>
            <w:hideMark/>
          </w:tcPr>
          <w:p w14:paraId="38CB37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Li H et al., 2023 (</w:t>
            </w:r>
            <w:r w:rsidRPr="00753FA6">
              <w:rPr>
                <w:rFonts w:ascii="Arial" w:eastAsia="Times New Roman" w:hAnsi="Arial" w:cs="Arial"/>
                <w:i/>
                <w:iCs/>
                <w:sz w:val="20"/>
                <w:szCs w:val="20"/>
                <w:lang w:eastAsia="pt-BR"/>
              </w:rPr>
              <w:t>Pediatr Hematol Oncol</w:t>
            </w:r>
            <w:r w:rsidRPr="00753FA6">
              <w:rPr>
                <w:rFonts w:ascii="Arial" w:eastAsia="Times New Roman" w:hAnsi="Arial" w:cs="Arial"/>
                <w:sz w:val="20"/>
                <w:szCs w:val="20"/>
                <w:lang w:eastAsia="pt-BR"/>
              </w:rPr>
              <w:t>)</w:t>
            </w:r>
          </w:p>
        </w:tc>
        <w:tc>
          <w:tcPr>
            <w:tcW w:w="0" w:type="auto"/>
            <w:vAlign w:val="center"/>
            <w:hideMark/>
          </w:tcPr>
          <w:p w14:paraId="67201D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561017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w:t>
            </w:r>
          </w:p>
        </w:tc>
        <w:tc>
          <w:tcPr>
            <w:tcW w:w="0" w:type="auto"/>
            <w:vAlign w:val="center"/>
            <w:hideMark/>
          </w:tcPr>
          <w:p w14:paraId="427348A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36</w:t>
            </w:r>
          </w:p>
        </w:tc>
        <w:tc>
          <w:tcPr>
            <w:tcW w:w="0" w:type="auto"/>
            <w:vAlign w:val="center"/>
            <w:hideMark/>
          </w:tcPr>
          <w:p w14:paraId="5BB6E8D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30E4B9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Craniofacial Bone LCH</w:t>
            </w:r>
          </w:p>
        </w:tc>
        <w:tc>
          <w:tcPr>
            <w:tcW w:w="0" w:type="auto"/>
            <w:vAlign w:val="center"/>
            <w:hideMark/>
          </w:tcPr>
          <w:p w14:paraId="26773D3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High reactivation rate; 25% with multiple lesions.</w:t>
            </w:r>
          </w:p>
        </w:tc>
      </w:tr>
      <w:tr w:rsidR="00753FA6" w:rsidRPr="00753FA6" w14:paraId="2D9DC724" w14:textId="77777777" w:rsidTr="00753FA6">
        <w:trPr>
          <w:tblCellSpacing w:w="15" w:type="dxa"/>
        </w:trPr>
        <w:tc>
          <w:tcPr>
            <w:tcW w:w="0" w:type="auto"/>
            <w:vAlign w:val="center"/>
            <w:hideMark/>
          </w:tcPr>
          <w:p w14:paraId="32AAB1B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Mendonça P et al., 2020 (</w:t>
            </w:r>
            <w:r w:rsidRPr="00753FA6">
              <w:rPr>
                <w:rFonts w:ascii="Arial" w:eastAsia="Times New Roman" w:hAnsi="Arial" w:cs="Arial"/>
                <w:i/>
                <w:iCs/>
                <w:sz w:val="20"/>
                <w:szCs w:val="20"/>
                <w:lang w:eastAsia="pt-BR"/>
              </w:rPr>
              <w:t>Rev Bras Hematol Hemoter</w:t>
            </w:r>
            <w:r w:rsidRPr="00753FA6">
              <w:rPr>
                <w:rFonts w:ascii="Arial" w:eastAsia="Times New Roman" w:hAnsi="Arial" w:cs="Arial"/>
                <w:sz w:val="20"/>
                <w:szCs w:val="20"/>
                <w:lang w:eastAsia="pt-BR"/>
              </w:rPr>
              <w:t>)</w:t>
            </w:r>
          </w:p>
        </w:tc>
        <w:tc>
          <w:tcPr>
            <w:tcW w:w="0" w:type="auto"/>
            <w:vAlign w:val="center"/>
            <w:hideMark/>
          </w:tcPr>
          <w:p w14:paraId="5971BFE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Brazil</w:t>
            </w:r>
          </w:p>
        </w:tc>
        <w:tc>
          <w:tcPr>
            <w:tcW w:w="0" w:type="auto"/>
            <w:vAlign w:val="center"/>
            <w:hideMark/>
          </w:tcPr>
          <w:p w14:paraId="7BDCFB9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Series</w:t>
            </w:r>
          </w:p>
        </w:tc>
        <w:tc>
          <w:tcPr>
            <w:tcW w:w="0" w:type="auto"/>
            <w:vAlign w:val="center"/>
            <w:hideMark/>
          </w:tcPr>
          <w:p w14:paraId="67AD439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12</w:t>
            </w:r>
          </w:p>
        </w:tc>
        <w:tc>
          <w:tcPr>
            <w:tcW w:w="0" w:type="auto"/>
            <w:vAlign w:val="center"/>
            <w:hideMark/>
          </w:tcPr>
          <w:p w14:paraId="7D0719C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474AEE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Osseous LCH</w:t>
            </w:r>
          </w:p>
        </w:tc>
        <w:tc>
          <w:tcPr>
            <w:tcW w:w="0" w:type="auto"/>
            <w:vAlign w:val="center"/>
            <w:hideMark/>
          </w:tcPr>
          <w:p w14:paraId="5B67867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Cranial lesions predominant; good response to surgery and local steroids.</w:t>
            </w:r>
          </w:p>
        </w:tc>
      </w:tr>
      <w:tr w:rsidR="00753FA6" w:rsidRPr="00753FA6" w14:paraId="584C4B5D" w14:textId="77777777" w:rsidTr="00753FA6">
        <w:trPr>
          <w:tblCellSpacing w:w="15" w:type="dxa"/>
        </w:trPr>
        <w:tc>
          <w:tcPr>
            <w:tcW w:w="0" w:type="auto"/>
            <w:vAlign w:val="center"/>
            <w:hideMark/>
          </w:tcPr>
          <w:p w14:paraId="18ED6FF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2018 (</w:t>
            </w:r>
            <w:r w:rsidRPr="00753FA6">
              <w:rPr>
                <w:rFonts w:ascii="Arial" w:eastAsia="Times New Roman" w:hAnsi="Arial" w:cs="Arial"/>
                <w:i/>
                <w:iCs/>
                <w:sz w:val="20"/>
                <w:szCs w:val="20"/>
                <w:lang w:eastAsia="pt-BR"/>
              </w:rPr>
              <w:t>Front Oncol</w:t>
            </w:r>
            <w:r w:rsidRPr="00753FA6">
              <w:rPr>
                <w:rFonts w:ascii="Arial" w:eastAsia="Times New Roman" w:hAnsi="Arial" w:cs="Arial"/>
                <w:sz w:val="20"/>
                <w:szCs w:val="20"/>
                <w:lang w:eastAsia="pt-BR"/>
              </w:rPr>
              <w:t>)</w:t>
            </w:r>
          </w:p>
        </w:tc>
        <w:tc>
          <w:tcPr>
            <w:tcW w:w="0" w:type="auto"/>
            <w:vAlign w:val="center"/>
            <w:hideMark/>
          </w:tcPr>
          <w:p w14:paraId="67EE3AC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3952373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Translational Review</w:t>
            </w:r>
          </w:p>
        </w:tc>
        <w:tc>
          <w:tcPr>
            <w:tcW w:w="0" w:type="auto"/>
            <w:vAlign w:val="center"/>
            <w:hideMark/>
          </w:tcPr>
          <w:p w14:paraId="221D1F0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23C5EE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7110C9E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w:t>
            </w:r>
          </w:p>
        </w:tc>
        <w:tc>
          <w:tcPr>
            <w:tcW w:w="0" w:type="auto"/>
            <w:vAlign w:val="center"/>
            <w:hideMark/>
          </w:tcPr>
          <w:p w14:paraId="2C1FBAC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Highlights curative potential of BRAF/MEK inhibitors.</w:t>
            </w:r>
          </w:p>
        </w:tc>
      </w:tr>
      <w:tr w:rsidR="00753FA6" w:rsidRPr="00753FA6" w14:paraId="18D1BE6D" w14:textId="77777777" w:rsidTr="00753FA6">
        <w:trPr>
          <w:tblCellSpacing w:w="15" w:type="dxa"/>
        </w:trPr>
        <w:tc>
          <w:tcPr>
            <w:tcW w:w="0" w:type="auto"/>
            <w:vAlign w:val="center"/>
            <w:hideMark/>
          </w:tcPr>
          <w:p w14:paraId="01F4130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Veyssier-Belot C et al., 2019 (</w:t>
            </w:r>
            <w:r w:rsidRPr="00753FA6">
              <w:rPr>
                <w:rFonts w:ascii="Arial" w:eastAsia="Times New Roman" w:hAnsi="Arial" w:cs="Arial"/>
                <w:i/>
                <w:iCs/>
                <w:sz w:val="20"/>
                <w:szCs w:val="20"/>
                <w:lang w:eastAsia="pt-BR"/>
              </w:rPr>
              <w:t>Ann Oncol</w:t>
            </w:r>
            <w:r w:rsidRPr="00753FA6">
              <w:rPr>
                <w:rFonts w:ascii="Arial" w:eastAsia="Times New Roman" w:hAnsi="Arial" w:cs="Arial"/>
                <w:sz w:val="20"/>
                <w:szCs w:val="20"/>
                <w:lang w:eastAsia="pt-BR"/>
              </w:rPr>
              <w:t>)</w:t>
            </w:r>
          </w:p>
        </w:tc>
        <w:tc>
          <w:tcPr>
            <w:tcW w:w="0" w:type="auto"/>
            <w:vAlign w:val="center"/>
            <w:hideMark/>
          </w:tcPr>
          <w:p w14:paraId="0B8B41D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France</w:t>
            </w:r>
          </w:p>
        </w:tc>
        <w:tc>
          <w:tcPr>
            <w:tcW w:w="0" w:type="auto"/>
            <w:vAlign w:val="center"/>
            <w:hideMark/>
          </w:tcPr>
          <w:p w14:paraId="7868F14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6CFE09E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43</w:t>
            </w:r>
          </w:p>
        </w:tc>
        <w:tc>
          <w:tcPr>
            <w:tcW w:w="0" w:type="auto"/>
            <w:vAlign w:val="center"/>
            <w:hideMark/>
          </w:tcPr>
          <w:p w14:paraId="68CEC60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5F90A02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w:t>
            </w:r>
          </w:p>
        </w:tc>
        <w:tc>
          <w:tcPr>
            <w:tcW w:w="0" w:type="auto"/>
            <w:vAlign w:val="center"/>
            <w:hideMark/>
          </w:tcPr>
          <w:p w14:paraId="4A5E258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92% response with MAPK inhibitors; relapse upon cessation.</w:t>
            </w:r>
          </w:p>
        </w:tc>
      </w:tr>
      <w:tr w:rsidR="00753FA6" w:rsidRPr="00753FA6" w14:paraId="42486E04" w14:textId="77777777" w:rsidTr="00753FA6">
        <w:trPr>
          <w:tblCellSpacing w:w="15" w:type="dxa"/>
        </w:trPr>
        <w:tc>
          <w:tcPr>
            <w:tcW w:w="0" w:type="auto"/>
            <w:vAlign w:val="center"/>
            <w:hideMark/>
          </w:tcPr>
          <w:p w14:paraId="4183190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Cao X et al., 2021 (</w:t>
            </w:r>
            <w:r w:rsidRPr="00753FA6">
              <w:rPr>
                <w:rFonts w:ascii="Arial" w:eastAsia="Times New Roman" w:hAnsi="Arial" w:cs="Arial"/>
                <w:i/>
                <w:iCs/>
                <w:sz w:val="20"/>
                <w:szCs w:val="20"/>
                <w:lang w:eastAsia="pt-BR"/>
              </w:rPr>
              <w:t>Oncol Lett</w:t>
            </w:r>
            <w:r w:rsidRPr="00753FA6">
              <w:rPr>
                <w:rFonts w:ascii="Arial" w:eastAsia="Times New Roman" w:hAnsi="Arial" w:cs="Arial"/>
                <w:sz w:val="20"/>
                <w:szCs w:val="20"/>
                <w:lang w:eastAsia="pt-BR"/>
              </w:rPr>
              <w:t>)</w:t>
            </w:r>
          </w:p>
        </w:tc>
        <w:tc>
          <w:tcPr>
            <w:tcW w:w="0" w:type="auto"/>
            <w:vAlign w:val="center"/>
            <w:hideMark/>
          </w:tcPr>
          <w:p w14:paraId="5D646C5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709E6D3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Report</w:t>
            </w:r>
          </w:p>
        </w:tc>
        <w:tc>
          <w:tcPr>
            <w:tcW w:w="0" w:type="auto"/>
            <w:vAlign w:val="center"/>
            <w:hideMark/>
          </w:tcPr>
          <w:p w14:paraId="08D209F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w:t>
            </w:r>
          </w:p>
        </w:tc>
        <w:tc>
          <w:tcPr>
            <w:tcW w:w="0" w:type="auto"/>
            <w:vAlign w:val="center"/>
            <w:hideMark/>
          </w:tcPr>
          <w:p w14:paraId="7CD4265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71D0800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 Long Bone</w:t>
            </w:r>
          </w:p>
        </w:tc>
        <w:tc>
          <w:tcPr>
            <w:tcW w:w="0" w:type="auto"/>
            <w:vAlign w:val="center"/>
            <w:hideMark/>
          </w:tcPr>
          <w:p w14:paraId="66CC2F8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Single osseous lesion; remission after dabrafenib.</w:t>
            </w:r>
          </w:p>
        </w:tc>
      </w:tr>
      <w:tr w:rsidR="00753FA6" w:rsidRPr="00753FA6" w14:paraId="489500C2" w14:textId="77777777" w:rsidTr="00753FA6">
        <w:trPr>
          <w:tblCellSpacing w:w="15" w:type="dxa"/>
        </w:trPr>
        <w:tc>
          <w:tcPr>
            <w:tcW w:w="0" w:type="auto"/>
            <w:vAlign w:val="center"/>
            <w:hideMark/>
          </w:tcPr>
          <w:p w14:paraId="6FB161B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2019 (</w:t>
            </w:r>
            <w:r w:rsidRPr="00753FA6">
              <w:rPr>
                <w:rFonts w:ascii="Arial" w:eastAsia="Times New Roman" w:hAnsi="Arial" w:cs="Arial"/>
                <w:i/>
                <w:iCs/>
                <w:sz w:val="20"/>
                <w:szCs w:val="20"/>
                <w:lang w:eastAsia="pt-BR"/>
              </w:rPr>
              <w:t>Blood Adv</w:t>
            </w:r>
            <w:r w:rsidRPr="00753FA6">
              <w:rPr>
                <w:rFonts w:ascii="Arial" w:eastAsia="Times New Roman" w:hAnsi="Arial" w:cs="Arial"/>
                <w:sz w:val="20"/>
                <w:szCs w:val="20"/>
                <w:lang w:eastAsia="pt-BR"/>
              </w:rPr>
              <w:t>)</w:t>
            </w:r>
          </w:p>
        </w:tc>
        <w:tc>
          <w:tcPr>
            <w:tcW w:w="0" w:type="auto"/>
            <w:vAlign w:val="center"/>
            <w:hideMark/>
          </w:tcPr>
          <w:p w14:paraId="02FEE0F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0709D0E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Guideline</w:t>
            </w:r>
          </w:p>
        </w:tc>
        <w:tc>
          <w:tcPr>
            <w:tcW w:w="0" w:type="auto"/>
            <w:vAlign w:val="center"/>
            <w:hideMark/>
          </w:tcPr>
          <w:p w14:paraId="1E9F1D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939FA8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04D8A6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Diagnosis &amp; Management</w:t>
            </w:r>
          </w:p>
        </w:tc>
        <w:tc>
          <w:tcPr>
            <w:tcW w:w="0" w:type="auto"/>
            <w:vAlign w:val="center"/>
            <w:hideMark/>
          </w:tcPr>
          <w:p w14:paraId="59C3D37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Reinforces concept of inflammatory myeloid neoplasm.</w:t>
            </w:r>
          </w:p>
        </w:tc>
      </w:tr>
      <w:tr w:rsidR="00753FA6" w:rsidRPr="00753FA6" w14:paraId="20DAED33" w14:textId="77777777" w:rsidTr="00753FA6">
        <w:trPr>
          <w:tblCellSpacing w:w="15" w:type="dxa"/>
        </w:trPr>
        <w:tc>
          <w:tcPr>
            <w:tcW w:w="0" w:type="auto"/>
            <w:vAlign w:val="center"/>
            <w:hideMark/>
          </w:tcPr>
          <w:p w14:paraId="174ADB9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Goyal G et al., 2020 (</w:t>
            </w:r>
            <w:r w:rsidRPr="00753FA6">
              <w:rPr>
                <w:rFonts w:ascii="Arial" w:eastAsia="Times New Roman" w:hAnsi="Arial" w:cs="Arial"/>
                <w:i/>
                <w:iCs/>
                <w:sz w:val="20"/>
                <w:szCs w:val="20"/>
                <w:lang w:eastAsia="pt-BR"/>
              </w:rPr>
              <w:t>Am J Hematol</w:t>
            </w:r>
            <w:r w:rsidRPr="00753FA6">
              <w:rPr>
                <w:rFonts w:ascii="Arial" w:eastAsia="Times New Roman" w:hAnsi="Arial" w:cs="Arial"/>
                <w:sz w:val="20"/>
                <w:szCs w:val="20"/>
                <w:lang w:eastAsia="pt-BR"/>
              </w:rPr>
              <w:t>)</w:t>
            </w:r>
          </w:p>
        </w:tc>
        <w:tc>
          <w:tcPr>
            <w:tcW w:w="0" w:type="auto"/>
            <w:vAlign w:val="center"/>
            <w:hideMark/>
          </w:tcPr>
          <w:p w14:paraId="2DD7AD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4638A7D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Systematic Review</w:t>
            </w:r>
          </w:p>
        </w:tc>
        <w:tc>
          <w:tcPr>
            <w:tcW w:w="0" w:type="auto"/>
            <w:vAlign w:val="center"/>
            <w:hideMark/>
          </w:tcPr>
          <w:p w14:paraId="068C43F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112</w:t>
            </w:r>
          </w:p>
        </w:tc>
        <w:tc>
          <w:tcPr>
            <w:tcW w:w="0" w:type="auto"/>
            <w:vAlign w:val="center"/>
            <w:hideMark/>
          </w:tcPr>
          <w:p w14:paraId="4E18388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123DEFD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Epidemiology</w:t>
            </w:r>
          </w:p>
        </w:tc>
        <w:tc>
          <w:tcPr>
            <w:tcW w:w="0" w:type="auto"/>
            <w:vAlign w:val="center"/>
            <w:hideMark/>
          </w:tcPr>
          <w:p w14:paraId="6D2789B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Incidence 1–2/million; 70% bone involvement.</w:t>
            </w:r>
          </w:p>
        </w:tc>
      </w:tr>
      <w:tr w:rsidR="00753FA6" w:rsidRPr="00753FA6" w14:paraId="3E542EF4" w14:textId="77777777" w:rsidTr="00753FA6">
        <w:trPr>
          <w:tblCellSpacing w:w="15" w:type="dxa"/>
        </w:trPr>
        <w:tc>
          <w:tcPr>
            <w:tcW w:w="0" w:type="auto"/>
            <w:vAlign w:val="center"/>
            <w:hideMark/>
          </w:tcPr>
          <w:p w14:paraId="09CA8E8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Haupt R et al., 2017 (</w:t>
            </w:r>
            <w:r w:rsidRPr="00753FA6">
              <w:rPr>
                <w:rFonts w:ascii="Arial" w:eastAsia="Times New Roman" w:hAnsi="Arial" w:cs="Arial"/>
                <w:i/>
                <w:iCs/>
                <w:sz w:val="20"/>
                <w:szCs w:val="20"/>
                <w:lang w:eastAsia="pt-BR"/>
              </w:rPr>
              <w:t>Br J Haematol</w:t>
            </w:r>
            <w:r w:rsidRPr="00753FA6">
              <w:rPr>
                <w:rFonts w:ascii="Arial" w:eastAsia="Times New Roman" w:hAnsi="Arial" w:cs="Arial"/>
                <w:sz w:val="20"/>
                <w:szCs w:val="20"/>
                <w:lang w:eastAsia="pt-BR"/>
              </w:rPr>
              <w:t>)</w:t>
            </w:r>
          </w:p>
        </w:tc>
        <w:tc>
          <w:tcPr>
            <w:tcW w:w="0" w:type="auto"/>
            <w:vAlign w:val="center"/>
            <w:hideMark/>
          </w:tcPr>
          <w:p w14:paraId="3ACA921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Italy</w:t>
            </w:r>
          </w:p>
        </w:tc>
        <w:tc>
          <w:tcPr>
            <w:tcW w:w="0" w:type="auto"/>
            <w:vAlign w:val="center"/>
            <w:hideMark/>
          </w:tcPr>
          <w:p w14:paraId="0852FC9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Prospective Cohort</w:t>
            </w:r>
          </w:p>
        </w:tc>
        <w:tc>
          <w:tcPr>
            <w:tcW w:w="0" w:type="auto"/>
            <w:vAlign w:val="center"/>
            <w:hideMark/>
          </w:tcPr>
          <w:p w14:paraId="72B0A88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78</w:t>
            </w:r>
          </w:p>
        </w:tc>
        <w:tc>
          <w:tcPr>
            <w:tcW w:w="0" w:type="auto"/>
            <w:vAlign w:val="center"/>
            <w:hideMark/>
          </w:tcPr>
          <w:p w14:paraId="7E3D6EE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5D4482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Prognosis</w:t>
            </w:r>
          </w:p>
        </w:tc>
        <w:tc>
          <w:tcPr>
            <w:tcW w:w="0" w:type="auto"/>
            <w:vAlign w:val="center"/>
            <w:hideMark/>
          </w:tcPr>
          <w:p w14:paraId="0BE07E2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Event-free survival 83%; relapse in 18%.</w:t>
            </w:r>
          </w:p>
        </w:tc>
      </w:tr>
      <w:tr w:rsidR="00753FA6" w:rsidRPr="00753FA6" w14:paraId="01980291" w14:textId="77777777" w:rsidTr="00753FA6">
        <w:trPr>
          <w:tblCellSpacing w:w="15" w:type="dxa"/>
        </w:trPr>
        <w:tc>
          <w:tcPr>
            <w:tcW w:w="0" w:type="auto"/>
            <w:vAlign w:val="center"/>
            <w:hideMark/>
          </w:tcPr>
          <w:p w14:paraId="3E9A147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Rodríguez-Galindo C et al., 2019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3810F50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7D95AD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Clinical Review</w:t>
            </w:r>
          </w:p>
        </w:tc>
        <w:tc>
          <w:tcPr>
            <w:tcW w:w="0" w:type="auto"/>
            <w:vAlign w:val="center"/>
            <w:hideMark/>
          </w:tcPr>
          <w:p w14:paraId="723ED58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6F93B51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09689E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Therapeutic Strategies</w:t>
            </w:r>
          </w:p>
        </w:tc>
        <w:tc>
          <w:tcPr>
            <w:tcW w:w="0" w:type="auto"/>
            <w:vAlign w:val="center"/>
            <w:hideMark/>
          </w:tcPr>
          <w:p w14:paraId="7A35EB7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Describes transition toward targeted therapies.</w:t>
            </w:r>
          </w:p>
        </w:tc>
      </w:tr>
      <w:tr w:rsidR="00753FA6" w:rsidRPr="00753FA6" w14:paraId="577E2A97" w14:textId="77777777" w:rsidTr="00753FA6">
        <w:trPr>
          <w:tblCellSpacing w:w="15" w:type="dxa"/>
        </w:trPr>
        <w:tc>
          <w:tcPr>
            <w:tcW w:w="0" w:type="auto"/>
            <w:vAlign w:val="center"/>
            <w:hideMark/>
          </w:tcPr>
          <w:p w14:paraId="3FA7145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2021 (</w:t>
            </w:r>
            <w:r w:rsidRPr="00753FA6">
              <w:rPr>
                <w:rFonts w:ascii="Arial" w:eastAsia="Times New Roman" w:hAnsi="Arial" w:cs="Arial"/>
                <w:i/>
                <w:iCs/>
                <w:sz w:val="20"/>
                <w:szCs w:val="20"/>
                <w:lang w:eastAsia="pt-BR"/>
              </w:rPr>
              <w:t>Blood Rev</w:t>
            </w:r>
            <w:r w:rsidRPr="00753FA6">
              <w:rPr>
                <w:rFonts w:ascii="Arial" w:eastAsia="Times New Roman" w:hAnsi="Arial" w:cs="Arial"/>
                <w:sz w:val="20"/>
                <w:szCs w:val="20"/>
                <w:lang w:eastAsia="pt-BR"/>
              </w:rPr>
              <w:t>)</w:t>
            </w:r>
          </w:p>
        </w:tc>
        <w:tc>
          <w:tcPr>
            <w:tcW w:w="0" w:type="auto"/>
            <w:vAlign w:val="center"/>
            <w:hideMark/>
          </w:tcPr>
          <w:p w14:paraId="07C553F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3833B6D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w:t>
            </w:r>
          </w:p>
        </w:tc>
        <w:tc>
          <w:tcPr>
            <w:tcW w:w="0" w:type="auto"/>
            <w:vAlign w:val="center"/>
            <w:hideMark/>
          </w:tcPr>
          <w:p w14:paraId="32F9930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2B8AF76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0D41B4D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Molecular Update</w:t>
            </w:r>
          </w:p>
        </w:tc>
        <w:tc>
          <w:tcPr>
            <w:tcW w:w="0" w:type="auto"/>
            <w:vAlign w:val="center"/>
            <w:hideMark/>
          </w:tcPr>
          <w:p w14:paraId="2CC332B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Integrates genetic findings and MAPK-directed therapies.</w:t>
            </w:r>
          </w:p>
        </w:tc>
      </w:tr>
      <w:tr w:rsidR="00753FA6" w:rsidRPr="00753FA6" w14:paraId="5EA17599" w14:textId="77777777" w:rsidTr="00753FA6">
        <w:trPr>
          <w:tblCellSpacing w:w="15" w:type="dxa"/>
        </w:trPr>
        <w:tc>
          <w:tcPr>
            <w:tcW w:w="0" w:type="auto"/>
            <w:vAlign w:val="center"/>
            <w:hideMark/>
          </w:tcPr>
          <w:p w14:paraId="1E34C9F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El-Mallawany NK et al., 2020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6A34937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7E0955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47196EF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62</w:t>
            </w:r>
          </w:p>
        </w:tc>
        <w:tc>
          <w:tcPr>
            <w:tcW w:w="0" w:type="auto"/>
            <w:vAlign w:val="center"/>
            <w:hideMark/>
          </w:tcPr>
          <w:p w14:paraId="35C2E26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074801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Multisystem Disease</w:t>
            </w:r>
          </w:p>
        </w:tc>
        <w:tc>
          <w:tcPr>
            <w:tcW w:w="0" w:type="auto"/>
            <w:vAlign w:val="center"/>
            <w:hideMark/>
          </w:tcPr>
          <w:p w14:paraId="60635AD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in 67%; associated with poor prognosis.</w:t>
            </w:r>
          </w:p>
        </w:tc>
      </w:tr>
      <w:tr w:rsidR="00753FA6" w:rsidRPr="00753FA6" w14:paraId="28008246" w14:textId="77777777" w:rsidTr="00753FA6">
        <w:trPr>
          <w:tblCellSpacing w:w="15" w:type="dxa"/>
        </w:trPr>
        <w:tc>
          <w:tcPr>
            <w:tcW w:w="0" w:type="auto"/>
            <w:vAlign w:val="center"/>
            <w:hideMark/>
          </w:tcPr>
          <w:p w14:paraId="732959F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Schmid I et al., 2016 (</w:t>
            </w:r>
            <w:r w:rsidRPr="00753FA6">
              <w:rPr>
                <w:rFonts w:ascii="Arial" w:eastAsia="Times New Roman" w:hAnsi="Arial" w:cs="Arial"/>
                <w:i/>
                <w:iCs/>
                <w:sz w:val="20"/>
                <w:szCs w:val="20"/>
                <w:lang w:eastAsia="pt-BR"/>
              </w:rPr>
              <w:t>Haematologica</w:t>
            </w:r>
            <w:r w:rsidRPr="00753FA6">
              <w:rPr>
                <w:rFonts w:ascii="Arial" w:eastAsia="Times New Roman" w:hAnsi="Arial" w:cs="Arial"/>
                <w:sz w:val="20"/>
                <w:szCs w:val="20"/>
                <w:lang w:eastAsia="pt-BR"/>
              </w:rPr>
              <w:t>)</w:t>
            </w:r>
          </w:p>
        </w:tc>
        <w:tc>
          <w:tcPr>
            <w:tcW w:w="0" w:type="auto"/>
            <w:vAlign w:val="center"/>
            <w:hideMark/>
          </w:tcPr>
          <w:p w14:paraId="146CCAA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Germany</w:t>
            </w:r>
          </w:p>
        </w:tc>
        <w:tc>
          <w:tcPr>
            <w:tcW w:w="0" w:type="auto"/>
            <w:vAlign w:val="center"/>
            <w:hideMark/>
          </w:tcPr>
          <w:p w14:paraId="2CA6F01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Cohort</w:t>
            </w:r>
          </w:p>
        </w:tc>
        <w:tc>
          <w:tcPr>
            <w:tcW w:w="0" w:type="auto"/>
            <w:vAlign w:val="center"/>
            <w:hideMark/>
          </w:tcPr>
          <w:p w14:paraId="1B55552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115</w:t>
            </w:r>
          </w:p>
        </w:tc>
        <w:tc>
          <w:tcPr>
            <w:tcW w:w="0" w:type="auto"/>
            <w:vAlign w:val="center"/>
            <w:hideMark/>
          </w:tcPr>
          <w:p w14:paraId="33B0BF3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EA479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Standard Chemotherapy</w:t>
            </w:r>
          </w:p>
        </w:tc>
        <w:tc>
          <w:tcPr>
            <w:tcW w:w="0" w:type="auto"/>
            <w:vAlign w:val="center"/>
            <w:hideMark/>
          </w:tcPr>
          <w:p w14:paraId="26C67E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50–60% cure rate; frequent reactivation.</w:t>
            </w:r>
          </w:p>
        </w:tc>
      </w:tr>
      <w:tr w:rsidR="00753FA6" w:rsidRPr="00753FA6" w14:paraId="13C201E8" w14:textId="77777777" w:rsidTr="00753FA6">
        <w:trPr>
          <w:tblCellSpacing w:w="15" w:type="dxa"/>
        </w:trPr>
        <w:tc>
          <w:tcPr>
            <w:tcW w:w="0" w:type="auto"/>
            <w:vAlign w:val="center"/>
            <w:hideMark/>
          </w:tcPr>
          <w:p w14:paraId="36927D0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Gao J et al., 2019 (</w:t>
            </w:r>
            <w:r w:rsidRPr="00753FA6">
              <w:rPr>
                <w:rFonts w:ascii="Arial" w:eastAsia="Times New Roman" w:hAnsi="Arial" w:cs="Arial"/>
                <w:i/>
                <w:iCs/>
                <w:sz w:val="20"/>
                <w:szCs w:val="20"/>
                <w:lang w:eastAsia="pt-BR"/>
              </w:rPr>
              <w:t>Chin J Hematol</w:t>
            </w:r>
            <w:r w:rsidRPr="00753FA6">
              <w:rPr>
                <w:rFonts w:ascii="Arial" w:eastAsia="Times New Roman" w:hAnsi="Arial" w:cs="Arial"/>
                <w:sz w:val="20"/>
                <w:szCs w:val="20"/>
                <w:lang w:eastAsia="pt-BR"/>
              </w:rPr>
              <w:t>)</w:t>
            </w:r>
          </w:p>
        </w:tc>
        <w:tc>
          <w:tcPr>
            <w:tcW w:w="0" w:type="auto"/>
            <w:vAlign w:val="center"/>
            <w:hideMark/>
          </w:tcPr>
          <w:p w14:paraId="2CD3B8A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515FDE9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65EA633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84</w:t>
            </w:r>
          </w:p>
        </w:tc>
        <w:tc>
          <w:tcPr>
            <w:tcW w:w="0" w:type="auto"/>
            <w:vAlign w:val="center"/>
            <w:hideMark/>
          </w:tcPr>
          <w:p w14:paraId="6BEC856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6BC68D2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Multiple Bone LCH</w:t>
            </w:r>
          </w:p>
        </w:tc>
        <w:tc>
          <w:tcPr>
            <w:tcW w:w="0" w:type="auto"/>
            <w:vAlign w:val="center"/>
            <w:hideMark/>
          </w:tcPr>
          <w:p w14:paraId="3B219E4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 mutations in 55%; survival &gt;90%.</w:t>
            </w:r>
          </w:p>
        </w:tc>
      </w:tr>
      <w:tr w:rsidR="00753FA6" w:rsidRPr="00753FA6" w14:paraId="26F843A2" w14:textId="77777777" w:rsidTr="00753FA6">
        <w:trPr>
          <w:tblCellSpacing w:w="15" w:type="dxa"/>
        </w:trPr>
        <w:tc>
          <w:tcPr>
            <w:tcW w:w="0" w:type="auto"/>
            <w:vAlign w:val="center"/>
            <w:hideMark/>
          </w:tcPr>
          <w:p w14:paraId="14CFDB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2020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051BFCE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DC1CFA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Phase II Clinical Trial</w:t>
            </w:r>
          </w:p>
        </w:tc>
        <w:tc>
          <w:tcPr>
            <w:tcW w:w="0" w:type="auto"/>
            <w:vAlign w:val="center"/>
            <w:hideMark/>
          </w:tcPr>
          <w:p w14:paraId="2F49350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36</w:t>
            </w:r>
          </w:p>
        </w:tc>
        <w:tc>
          <w:tcPr>
            <w:tcW w:w="0" w:type="auto"/>
            <w:vAlign w:val="center"/>
            <w:hideMark/>
          </w:tcPr>
          <w:p w14:paraId="2684402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A9F217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Dabrafenib / Trametinib</w:t>
            </w:r>
          </w:p>
        </w:tc>
        <w:tc>
          <w:tcPr>
            <w:tcW w:w="0" w:type="auto"/>
            <w:vAlign w:val="center"/>
            <w:hideMark/>
          </w:tcPr>
          <w:p w14:paraId="05D3BCA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91% response; low toxicity.</w:t>
            </w:r>
          </w:p>
        </w:tc>
      </w:tr>
      <w:tr w:rsidR="00753FA6" w:rsidRPr="00753FA6" w14:paraId="05BED7CE" w14:textId="77777777" w:rsidTr="00753FA6">
        <w:trPr>
          <w:tblCellSpacing w:w="15" w:type="dxa"/>
        </w:trPr>
        <w:tc>
          <w:tcPr>
            <w:tcW w:w="0" w:type="auto"/>
            <w:vAlign w:val="center"/>
            <w:hideMark/>
          </w:tcPr>
          <w:p w14:paraId="1D475AD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Abla O et al., 2019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5574E4C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Canada</w:t>
            </w:r>
          </w:p>
        </w:tc>
        <w:tc>
          <w:tcPr>
            <w:tcW w:w="0" w:type="auto"/>
            <w:vAlign w:val="center"/>
            <w:hideMark/>
          </w:tcPr>
          <w:p w14:paraId="0078F3F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w:t>
            </w:r>
          </w:p>
        </w:tc>
        <w:tc>
          <w:tcPr>
            <w:tcW w:w="0" w:type="auto"/>
            <w:vAlign w:val="center"/>
            <w:hideMark/>
          </w:tcPr>
          <w:p w14:paraId="3B333B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3791582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5DEF2C5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Therapy &amp; Prognosis</w:t>
            </w:r>
          </w:p>
        </w:tc>
        <w:tc>
          <w:tcPr>
            <w:tcW w:w="0" w:type="auto"/>
            <w:vAlign w:val="center"/>
            <w:hideMark/>
          </w:tcPr>
          <w:p w14:paraId="3B8559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Defines stepwise approach based on mutation status.</w:t>
            </w:r>
          </w:p>
        </w:tc>
      </w:tr>
      <w:tr w:rsidR="00753FA6" w:rsidRPr="00753FA6" w14:paraId="7621DC6E" w14:textId="77777777" w:rsidTr="00753FA6">
        <w:trPr>
          <w:tblCellSpacing w:w="15" w:type="dxa"/>
        </w:trPr>
        <w:tc>
          <w:tcPr>
            <w:tcW w:w="0" w:type="auto"/>
            <w:vAlign w:val="center"/>
            <w:hideMark/>
          </w:tcPr>
          <w:p w14:paraId="0569B99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McClain KL et al., 2023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4402128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E8D86C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Translational Review</w:t>
            </w:r>
          </w:p>
        </w:tc>
        <w:tc>
          <w:tcPr>
            <w:tcW w:w="0" w:type="auto"/>
            <w:vAlign w:val="center"/>
            <w:hideMark/>
          </w:tcPr>
          <w:p w14:paraId="36777F6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215FF58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795B04B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Combined Therapy</w:t>
            </w:r>
          </w:p>
        </w:tc>
        <w:tc>
          <w:tcPr>
            <w:tcW w:w="0" w:type="auto"/>
            <w:vAlign w:val="center"/>
            <w:hideMark/>
          </w:tcPr>
          <w:p w14:paraId="33D10E6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Discusses dual BRAF/MEK inhibition and resistance.</w:t>
            </w:r>
          </w:p>
        </w:tc>
      </w:tr>
      <w:tr w:rsidR="00753FA6" w:rsidRPr="00753FA6" w14:paraId="2C6311ED" w14:textId="77777777" w:rsidTr="00753FA6">
        <w:trPr>
          <w:tblCellSpacing w:w="15" w:type="dxa"/>
        </w:trPr>
        <w:tc>
          <w:tcPr>
            <w:tcW w:w="0" w:type="auto"/>
            <w:vAlign w:val="center"/>
            <w:hideMark/>
          </w:tcPr>
          <w:p w14:paraId="0C125A7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Bielamowicz K et al., 2025 (</w:t>
            </w:r>
            <w:r w:rsidRPr="00753FA6">
              <w:rPr>
                <w:rFonts w:ascii="Arial" w:eastAsia="Times New Roman" w:hAnsi="Arial" w:cs="Arial"/>
                <w:i/>
                <w:iCs/>
                <w:sz w:val="20"/>
                <w:szCs w:val="20"/>
                <w:lang w:eastAsia="pt-BR"/>
              </w:rPr>
              <w:t>Cancer</w:t>
            </w:r>
            <w:r w:rsidRPr="00753FA6">
              <w:rPr>
                <w:rFonts w:ascii="Arial" w:eastAsia="Times New Roman" w:hAnsi="Arial" w:cs="Arial"/>
                <w:sz w:val="20"/>
                <w:szCs w:val="20"/>
                <w:lang w:eastAsia="pt-BR"/>
              </w:rPr>
              <w:t>, update)</w:t>
            </w:r>
          </w:p>
        </w:tc>
        <w:tc>
          <w:tcPr>
            <w:tcW w:w="0" w:type="auto"/>
            <w:vAlign w:val="center"/>
            <w:hideMark/>
          </w:tcPr>
          <w:p w14:paraId="3724DC9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C2FA5D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Updated Review (NACHO)</w:t>
            </w:r>
          </w:p>
        </w:tc>
        <w:tc>
          <w:tcPr>
            <w:tcW w:w="0" w:type="auto"/>
            <w:vAlign w:val="center"/>
            <w:hideMark/>
          </w:tcPr>
          <w:p w14:paraId="6AFABF5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308A4A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4457680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Future Strategies</w:t>
            </w:r>
          </w:p>
        </w:tc>
        <w:tc>
          <w:tcPr>
            <w:tcW w:w="0" w:type="auto"/>
            <w:vAlign w:val="center"/>
            <w:hideMark/>
          </w:tcPr>
          <w:p w14:paraId="683DF81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Proposes global coordination of LCH clinical trials.</w:t>
            </w:r>
          </w:p>
        </w:tc>
      </w:tr>
    </w:tbl>
    <w:p w14:paraId="35716DC2" w14:textId="29EF62E9" w:rsidR="00753FA6" w:rsidRDefault="00753FA6" w:rsidP="00753FA6">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lastRenderedPageBreak/>
        <w:t>Source: authors (2025).</w:t>
      </w:r>
    </w:p>
    <w:p w14:paraId="6F37D270" w14:textId="3CB1707F"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3.2 Molecular Findings and Genetic Spectrum of LCH (2015–2025)</w:t>
      </w:r>
    </w:p>
    <w:p w14:paraId="4B90F7C4" w14:textId="7E359977" w:rsidR="00753FA6" w:rsidRDefault="00753FA6" w:rsidP="003561F8">
      <w:pPr>
        <w:spacing w:before="100" w:beforeAutospacing="1" w:after="100" w:afterAutospacing="1" w:line="360" w:lineRule="auto"/>
        <w:ind w:firstLine="360"/>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The included studies confirm that constitutive activation of the MAPK signaling pathway (RAS–RAF–MEK–ERK) represents the central molecular event in Langerhans Cell Histiocytosis, establishing it as an inflammatory myeloid neoplasm.</w:t>
      </w:r>
      <w:r w:rsidR="003561F8" w:rsidRPr="003561F8">
        <w:rPr>
          <w:rFonts w:ascii="Arial" w:eastAsia="Times New Roman" w:hAnsi="Arial" w:cs="Arial"/>
          <w:sz w:val="20"/>
          <w:szCs w:val="20"/>
          <w:lang w:eastAsia="pt-BR"/>
        </w:rPr>
        <w:t xml:space="preserve"> </w:t>
      </w:r>
      <w:r w:rsidRPr="00753FA6">
        <w:rPr>
          <w:rFonts w:ascii="Arial" w:eastAsia="Times New Roman" w:hAnsi="Arial" w:cs="Arial"/>
          <w:sz w:val="20"/>
          <w:szCs w:val="20"/>
          <w:lang w:eastAsia="pt-BR"/>
        </w:rPr>
        <w:t>Among the 38 studies analyzed, 36 (94.7%) reported specific genetic findings, with BRAF being the most frequently mutated gene.</w:t>
      </w:r>
      <w:r w:rsidRPr="00753FA6">
        <w:rPr>
          <w:rFonts w:ascii="Arial" w:eastAsia="Times New Roman" w:hAnsi="Arial" w:cs="Arial"/>
          <w:sz w:val="20"/>
          <w:szCs w:val="20"/>
          <w:lang w:eastAsia="pt-BR"/>
        </w:rPr>
        <w:br/>
        <w:t>BRAFV600E mutations were detected in 52–65% of cases, followed by MAP2K1 (15–25%), ARAF (4–6%), and rare alterations in KRAS or NRAS (&lt;5%).</w:t>
      </w:r>
    </w:p>
    <w:p w14:paraId="694D688F" w14:textId="25CB4B7E" w:rsid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Table 2. Anatomical distribution and characteristics of osseous lesions in Langerhans Cell Histiocytosis (2015–2025)</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1495"/>
        <w:gridCol w:w="2253"/>
        <w:gridCol w:w="1965"/>
        <w:gridCol w:w="1519"/>
      </w:tblGrid>
      <w:tr w:rsidR="003561F8" w:rsidRPr="003561F8" w14:paraId="21B1DAD6" w14:textId="77777777" w:rsidTr="003561F8">
        <w:trPr>
          <w:tblHeader/>
          <w:tblCellSpacing w:w="15" w:type="dxa"/>
        </w:trPr>
        <w:tc>
          <w:tcPr>
            <w:tcW w:w="0" w:type="auto"/>
            <w:vAlign w:val="center"/>
            <w:hideMark/>
          </w:tcPr>
          <w:p w14:paraId="355879B7"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Primary bone site</w:t>
            </w:r>
          </w:p>
        </w:tc>
        <w:tc>
          <w:tcPr>
            <w:tcW w:w="0" w:type="auto"/>
            <w:vAlign w:val="center"/>
            <w:hideMark/>
          </w:tcPr>
          <w:p w14:paraId="1E422DFC"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Frequency among osseous LCH cases (%)</w:t>
            </w:r>
          </w:p>
        </w:tc>
        <w:tc>
          <w:tcPr>
            <w:tcW w:w="0" w:type="auto"/>
            <w:vAlign w:val="center"/>
            <w:hideMark/>
          </w:tcPr>
          <w:p w14:paraId="6BEAE17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radiologic features</w:t>
            </w:r>
          </w:p>
        </w:tc>
        <w:tc>
          <w:tcPr>
            <w:tcW w:w="0" w:type="auto"/>
            <w:vAlign w:val="center"/>
            <w:hideMark/>
          </w:tcPr>
          <w:p w14:paraId="2CD909B8"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Associated complications</w:t>
            </w:r>
          </w:p>
        </w:tc>
        <w:tc>
          <w:tcPr>
            <w:tcW w:w="0" w:type="auto"/>
            <w:vAlign w:val="center"/>
            <w:hideMark/>
          </w:tcPr>
          <w:p w14:paraId="1D56B030"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04283F4E" w14:textId="77777777" w:rsidTr="003561F8">
        <w:trPr>
          <w:tblCellSpacing w:w="15" w:type="dxa"/>
        </w:trPr>
        <w:tc>
          <w:tcPr>
            <w:tcW w:w="0" w:type="auto"/>
            <w:vAlign w:val="center"/>
            <w:hideMark/>
          </w:tcPr>
          <w:p w14:paraId="3F24FC7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Skull / Calvarium</w:t>
            </w:r>
          </w:p>
        </w:tc>
        <w:tc>
          <w:tcPr>
            <w:tcW w:w="0" w:type="auto"/>
            <w:vAlign w:val="center"/>
            <w:hideMark/>
          </w:tcPr>
          <w:p w14:paraId="08F627F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35</w:t>
            </w:r>
          </w:p>
        </w:tc>
        <w:tc>
          <w:tcPr>
            <w:tcW w:w="0" w:type="auto"/>
            <w:vAlign w:val="center"/>
            <w:hideMark/>
          </w:tcPr>
          <w:p w14:paraId="6667F43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Well-defined lytic lesions with geographic margins; hyperintense signal on T2-weighted MRI.</w:t>
            </w:r>
          </w:p>
        </w:tc>
        <w:tc>
          <w:tcPr>
            <w:tcW w:w="0" w:type="auto"/>
            <w:vAlign w:val="center"/>
            <w:hideMark/>
          </w:tcPr>
          <w:p w14:paraId="3D0FBDE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Late reactivation; risk of pituitary or craniofacial involvement.</w:t>
            </w:r>
          </w:p>
        </w:tc>
        <w:tc>
          <w:tcPr>
            <w:tcW w:w="0" w:type="auto"/>
            <w:vAlign w:val="center"/>
            <w:hideMark/>
          </w:tcPr>
          <w:p w14:paraId="1FF48F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Maia 2015; Li 2023; Mendonça 2020; Barclay 2020.</w:t>
            </w:r>
          </w:p>
        </w:tc>
      </w:tr>
      <w:tr w:rsidR="003561F8" w:rsidRPr="003561F8" w14:paraId="283DF2A8" w14:textId="77777777" w:rsidTr="003561F8">
        <w:trPr>
          <w:tblCellSpacing w:w="15" w:type="dxa"/>
        </w:trPr>
        <w:tc>
          <w:tcPr>
            <w:tcW w:w="0" w:type="auto"/>
            <w:vAlign w:val="center"/>
            <w:hideMark/>
          </w:tcPr>
          <w:p w14:paraId="1711378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Spine</w:t>
            </w:r>
          </w:p>
        </w:tc>
        <w:tc>
          <w:tcPr>
            <w:tcW w:w="0" w:type="auto"/>
            <w:vAlign w:val="center"/>
            <w:hideMark/>
          </w:tcPr>
          <w:p w14:paraId="0A8C059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18</w:t>
            </w:r>
          </w:p>
        </w:tc>
        <w:tc>
          <w:tcPr>
            <w:tcW w:w="0" w:type="auto"/>
            <w:vAlign w:val="center"/>
            <w:hideMark/>
          </w:tcPr>
          <w:p w14:paraId="38C0547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Vertebral body collapse (vertebra plana); expansile or destructive pattern.</w:t>
            </w:r>
          </w:p>
        </w:tc>
        <w:tc>
          <w:tcPr>
            <w:tcW w:w="0" w:type="auto"/>
            <w:vAlign w:val="center"/>
            <w:hideMark/>
          </w:tcPr>
          <w:p w14:paraId="4576344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Neurologic deficit, chronic pain, spinal instability.</w:t>
            </w:r>
          </w:p>
        </w:tc>
        <w:tc>
          <w:tcPr>
            <w:tcW w:w="0" w:type="auto"/>
            <w:vAlign w:val="center"/>
            <w:hideMark/>
          </w:tcPr>
          <w:p w14:paraId="62C12F3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Allen 2020; Lang 2023; Goyal 2022.</w:t>
            </w:r>
          </w:p>
        </w:tc>
      </w:tr>
      <w:tr w:rsidR="003561F8" w:rsidRPr="003561F8" w14:paraId="13251C96" w14:textId="77777777" w:rsidTr="003561F8">
        <w:trPr>
          <w:tblCellSpacing w:w="15" w:type="dxa"/>
        </w:trPr>
        <w:tc>
          <w:tcPr>
            <w:tcW w:w="0" w:type="auto"/>
            <w:vAlign w:val="center"/>
            <w:hideMark/>
          </w:tcPr>
          <w:p w14:paraId="6B92D30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Mandible / Maxilla</w:t>
            </w:r>
          </w:p>
        </w:tc>
        <w:tc>
          <w:tcPr>
            <w:tcW w:w="0" w:type="auto"/>
            <w:vAlign w:val="center"/>
            <w:hideMark/>
          </w:tcPr>
          <w:p w14:paraId="7AB7602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12</w:t>
            </w:r>
          </w:p>
        </w:tc>
        <w:tc>
          <w:tcPr>
            <w:tcW w:w="0" w:type="auto"/>
            <w:vAlign w:val="center"/>
            <w:hideMark/>
          </w:tcPr>
          <w:p w14:paraId="67F0AE7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Irregular erosions, bone resorption, dental loosening.</w:t>
            </w:r>
          </w:p>
        </w:tc>
        <w:tc>
          <w:tcPr>
            <w:tcW w:w="0" w:type="auto"/>
            <w:vAlign w:val="center"/>
            <w:hideMark/>
          </w:tcPr>
          <w:p w14:paraId="17627755"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Facial asymmetry, masticatory limitation.</w:t>
            </w:r>
          </w:p>
        </w:tc>
        <w:tc>
          <w:tcPr>
            <w:tcW w:w="0" w:type="auto"/>
            <w:vAlign w:val="center"/>
            <w:hideMark/>
          </w:tcPr>
          <w:p w14:paraId="3788B8C5"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Mendonça 2020.</w:t>
            </w:r>
          </w:p>
        </w:tc>
      </w:tr>
      <w:tr w:rsidR="003561F8" w:rsidRPr="003561F8" w14:paraId="53886291" w14:textId="77777777" w:rsidTr="003561F8">
        <w:trPr>
          <w:tblCellSpacing w:w="15" w:type="dxa"/>
        </w:trPr>
        <w:tc>
          <w:tcPr>
            <w:tcW w:w="0" w:type="auto"/>
            <w:vAlign w:val="center"/>
            <w:hideMark/>
          </w:tcPr>
          <w:p w14:paraId="11C650C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Femur / Long bones</w:t>
            </w:r>
          </w:p>
        </w:tc>
        <w:tc>
          <w:tcPr>
            <w:tcW w:w="0" w:type="auto"/>
            <w:vAlign w:val="center"/>
            <w:hideMark/>
          </w:tcPr>
          <w:p w14:paraId="0014C0A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15</w:t>
            </w:r>
          </w:p>
        </w:tc>
        <w:tc>
          <w:tcPr>
            <w:tcW w:w="0" w:type="auto"/>
            <w:vAlign w:val="center"/>
            <w:hideMark/>
          </w:tcPr>
          <w:p w14:paraId="3730680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Osteolytic lesions with mild periosteal reaction or cortical thinning.</w:t>
            </w:r>
          </w:p>
        </w:tc>
        <w:tc>
          <w:tcPr>
            <w:tcW w:w="0" w:type="auto"/>
            <w:vAlign w:val="center"/>
            <w:hideMark/>
          </w:tcPr>
          <w:p w14:paraId="5714348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Pathologic fractures, gait disturbance.</w:t>
            </w:r>
          </w:p>
        </w:tc>
        <w:tc>
          <w:tcPr>
            <w:tcW w:w="0" w:type="auto"/>
            <w:vAlign w:val="center"/>
            <w:hideMark/>
          </w:tcPr>
          <w:p w14:paraId="3D2F1D6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Cao 2021; Zhang 2018; Gao 2019.</w:t>
            </w:r>
          </w:p>
        </w:tc>
      </w:tr>
      <w:tr w:rsidR="003561F8" w:rsidRPr="003561F8" w14:paraId="030BA678" w14:textId="77777777" w:rsidTr="003561F8">
        <w:trPr>
          <w:tblCellSpacing w:w="15" w:type="dxa"/>
        </w:trPr>
        <w:tc>
          <w:tcPr>
            <w:tcW w:w="0" w:type="auto"/>
            <w:vAlign w:val="center"/>
            <w:hideMark/>
          </w:tcPr>
          <w:p w14:paraId="323A469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Pelvis / Ribs</w:t>
            </w:r>
          </w:p>
        </w:tc>
        <w:tc>
          <w:tcPr>
            <w:tcW w:w="0" w:type="auto"/>
            <w:vAlign w:val="center"/>
            <w:hideMark/>
          </w:tcPr>
          <w:p w14:paraId="00B2061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w:t>
            </w:r>
          </w:p>
        </w:tc>
        <w:tc>
          <w:tcPr>
            <w:tcW w:w="0" w:type="auto"/>
            <w:vAlign w:val="center"/>
            <w:hideMark/>
          </w:tcPr>
          <w:p w14:paraId="48A14D6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Mixed lytic–sclerotic appearance.</w:t>
            </w:r>
          </w:p>
        </w:tc>
        <w:tc>
          <w:tcPr>
            <w:tcW w:w="0" w:type="auto"/>
            <w:vAlign w:val="center"/>
            <w:hideMark/>
          </w:tcPr>
          <w:p w14:paraId="6F23D54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Local pain; risk of fracture.</w:t>
            </w:r>
          </w:p>
        </w:tc>
        <w:tc>
          <w:tcPr>
            <w:tcW w:w="0" w:type="auto"/>
            <w:vAlign w:val="center"/>
            <w:hideMark/>
          </w:tcPr>
          <w:p w14:paraId="4CB97D6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Maia 2015; Schmid 2016.</w:t>
            </w:r>
          </w:p>
        </w:tc>
      </w:tr>
      <w:tr w:rsidR="003561F8" w:rsidRPr="003561F8" w14:paraId="1E0196EA" w14:textId="77777777" w:rsidTr="003561F8">
        <w:trPr>
          <w:tblCellSpacing w:w="15" w:type="dxa"/>
        </w:trPr>
        <w:tc>
          <w:tcPr>
            <w:tcW w:w="0" w:type="auto"/>
            <w:vAlign w:val="center"/>
            <w:hideMark/>
          </w:tcPr>
          <w:p w14:paraId="70FDEDD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Other (hands, feet, clavicle)</w:t>
            </w:r>
          </w:p>
        </w:tc>
        <w:tc>
          <w:tcPr>
            <w:tcW w:w="0" w:type="auto"/>
            <w:vAlign w:val="center"/>
            <w:hideMark/>
          </w:tcPr>
          <w:p w14:paraId="589AE77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12</w:t>
            </w:r>
          </w:p>
        </w:tc>
        <w:tc>
          <w:tcPr>
            <w:tcW w:w="0" w:type="auto"/>
            <w:vAlign w:val="center"/>
            <w:hideMark/>
          </w:tcPr>
          <w:p w14:paraId="49AEA93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Small solitary lesions, occasionally self-resolving.</w:t>
            </w:r>
          </w:p>
        </w:tc>
        <w:tc>
          <w:tcPr>
            <w:tcW w:w="0" w:type="auto"/>
            <w:vAlign w:val="center"/>
            <w:hideMark/>
          </w:tcPr>
          <w:p w14:paraId="4C9E1C1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Minimal functional sequelae.</w:t>
            </w:r>
          </w:p>
        </w:tc>
        <w:tc>
          <w:tcPr>
            <w:tcW w:w="0" w:type="auto"/>
            <w:vAlign w:val="center"/>
            <w:hideMark/>
          </w:tcPr>
          <w:p w14:paraId="68A85CE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Allen 2018; Yu 2016.</w:t>
            </w:r>
          </w:p>
        </w:tc>
      </w:tr>
    </w:tbl>
    <w:p w14:paraId="34892BF5" w14:textId="77777777" w:rsid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031BF752" w14:textId="1E14C262" w:rsid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lastRenderedPageBreak/>
        <w:t>Table 3. Correlation between genetic mutations and skeletal involvement pattern</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1806"/>
        <w:gridCol w:w="1385"/>
        <w:gridCol w:w="2256"/>
        <w:gridCol w:w="1643"/>
      </w:tblGrid>
      <w:tr w:rsidR="003561F8" w:rsidRPr="003561F8" w14:paraId="050DF145" w14:textId="77777777" w:rsidTr="003561F8">
        <w:trPr>
          <w:tblHeader/>
          <w:tblCellSpacing w:w="15" w:type="dxa"/>
        </w:trPr>
        <w:tc>
          <w:tcPr>
            <w:tcW w:w="0" w:type="auto"/>
            <w:vAlign w:val="center"/>
            <w:hideMark/>
          </w:tcPr>
          <w:p w14:paraId="78B2AA4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Mutation</w:t>
            </w:r>
          </w:p>
        </w:tc>
        <w:tc>
          <w:tcPr>
            <w:tcW w:w="0" w:type="auto"/>
            <w:vAlign w:val="center"/>
            <w:hideMark/>
          </w:tcPr>
          <w:p w14:paraId="793A6CD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skeletal pattern</w:t>
            </w:r>
          </w:p>
        </w:tc>
        <w:tc>
          <w:tcPr>
            <w:tcW w:w="0" w:type="auto"/>
            <w:vAlign w:val="center"/>
            <w:hideMark/>
          </w:tcPr>
          <w:p w14:paraId="516F0777"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Most affected age group</w:t>
            </w:r>
          </w:p>
        </w:tc>
        <w:tc>
          <w:tcPr>
            <w:tcW w:w="0" w:type="auto"/>
            <w:vAlign w:val="center"/>
            <w:hideMark/>
          </w:tcPr>
          <w:p w14:paraId="2B7E4E74"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Average therapeutic response</w:t>
            </w:r>
          </w:p>
        </w:tc>
        <w:tc>
          <w:tcPr>
            <w:tcW w:w="0" w:type="auto"/>
            <w:vAlign w:val="center"/>
            <w:hideMark/>
          </w:tcPr>
          <w:p w14:paraId="27947309"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371A0914" w14:textId="77777777" w:rsidTr="003561F8">
        <w:trPr>
          <w:tblCellSpacing w:w="15" w:type="dxa"/>
        </w:trPr>
        <w:tc>
          <w:tcPr>
            <w:tcW w:w="0" w:type="auto"/>
            <w:vAlign w:val="center"/>
            <w:hideMark/>
          </w:tcPr>
          <w:p w14:paraId="02EDA51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BRAFV600E</w:t>
            </w:r>
          </w:p>
        </w:tc>
        <w:tc>
          <w:tcPr>
            <w:tcW w:w="0" w:type="auto"/>
            <w:vAlign w:val="center"/>
            <w:hideMark/>
          </w:tcPr>
          <w:p w14:paraId="71E3C9C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Multifocal, craniofacial, or spinal lesions</w:t>
            </w:r>
          </w:p>
        </w:tc>
        <w:tc>
          <w:tcPr>
            <w:tcW w:w="0" w:type="auto"/>
            <w:vAlign w:val="center"/>
            <w:hideMark/>
          </w:tcPr>
          <w:p w14:paraId="4AC0063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Children &lt; 10 years</w:t>
            </w:r>
          </w:p>
        </w:tc>
        <w:tc>
          <w:tcPr>
            <w:tcW w:w="0" w:type="auto"/>
            <w:vAlign w:val="center"/>
            <w:hideMark/>
          </w:tcPr>
          <w:p w14:paraId="43BB951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High initial response to BRAF/MEK inhibition; relapse in 20–30 %</w:t>
            </w:r>
          </w:p>
        </w:tc>
        <w:tc>
          <w:tcPr>
            <w:tcW w:w="0" w:type="auto"/>
            <w:vAlign w:val="center"/>
            <w:hideMark/>
          </w:tcPr>
          <w:p w14:paraId="0E53922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Héritier 2017; Eckstein 2019; Allen 2020.</w:t>
            </w:r>
          </w:p>
        </w:tc>
      </w:tr>
      <w:tr w:rsidR="003561F8" w:rsidRPr="003561F8" w14:paraId="5F3D4DB0" w14:textId="77777777" w:rsidTr="003561F8">
        <w:trPr>
          <w:tblCellSpacing w:w="15" w:type="dxa"/>
        </w:trPr>
        <w:tc>
          <w:tcPr>
            <w:tcW w:w="0" w:type="auto"/>
            <w:vAlign w:val="center"/>
            <w:hideMark/>
          </w:tcPr>
          <w:p w14:paraId="7CDB1F3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MAP2K1</w:t>
            </w:r>
          </w:p>
        </w:tc>
        <w:tc>
          <w:tcPr>
            <w:tcW w:w="0" w:type="auto"/>
            <w:vAlign w:val="center"/>
            <w:hideMark/>
          </w:tcPr>
          <w:p w14:paraId="7D49E18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Unifocal lesions of long bones or mandible</w:t>
            </w:r>
          </w:p>
        </w:tc>
        <w:tc>
          <w:tcPr>
            <w:tcW w:w="0" w:type="auto"/>
            <w:vAlign w:val="center"/>
            <w:hideMark/>
          </w:tcPr>
          <w:p w14:paraId="165E538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Children / adolescents</w:t>
            </w:r>
          </w:p>
        </w:tc>
        <w:tc>
          <w:tcPr>
            <w:tcW w:w="0" w:type="auto"/>
            <w:vAlign w:val="center"/>
            <w:hideMark/>
          </w:tcPr>
          <w:p w14:paraId="3BB67D1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Durable remission with conventional chemotherapy</w:t>
            </w:r>
          </w:p>
        </w:tc>
        <w:tc>
          <w:tcPr>
            <w:tcW w:w="0" w:type="auto"/>
            <w:vAlign w:val="center"/>
            <w:hideMark/>
          </w:tcPr>
          <w:p w14:paraId="62EAA80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Zhang 2018.</w:t>
            </w:r>
          </w:p>
        </w:tc>
      </w:tr>
      <w:tr w:rsidR="003561F8" w:rsidRPr="003561F8" w14:paraId="7A7AB449" w14:textId="77777777" w:rsidTr="003561F8">
        <w:trPr>
          <w:tblCellSpacing w:w="15" w:type="dxa"/>
        </w:trPr>
        <w:tc>
          <w:tcPr>
            <w:tcW w:w="0" w:type="auto"/>
            <w:vAlign w:val="center"/>
            <w:hideMark/>
          </w:tcPr>
          <w:p w14:paraId="4DDA52C5"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ARAF / NRAS</w:t>
            </w:r>
          </w:p>
        </w:tc>
        <w:tc>
          <w:tcPr>
            <w:tcW w:w="0" w:type="auto"/>
            <w:vAlign w:val="center"/>
            <w:hideMark/>
          </w:tcPr>
          <w:p w14:paraId="4BA636B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Solitary, indolent lesions</w:t>
            </w:r>
          </w:p>
        </w:tc>
        <w:tc>
          <w:tcPr>
            <w:tcW w:w="0" w:type="auto"/>
            <w:vAlign w:val="center"/>
            <w:hideMark/>
          </w:tcPr>
          <w:p w14:paraId="428EF56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Young adults</w:t>
            </w:r>
          </w:p>
        </w:tc>
        <w:tc>
          <w:tcPr>
            <w:tcW w:w="0" w:type="auto"/>
            <w:vAlign w:val="center"/>
            <w:hideMark/>
          </w:tcPr>
          <w:p w14:paraId="016A781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Partial or spontaneous remission</w:t>
            </w:r>
          </w:p>
        </w:tc>
        <w:tc>
          <w:tcPr>
            <w:tcW w:w="0" w:type="auto"/>
            <w:vAlign w:val="center"/>
            <w:hideMark/>
          </w:tcPr>
          <w:p w14:paraId="6C8D0EB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Sconocchia 2023; Lang 2023.</w:t>
            </w:r>
          </w:p>
        </w:tc>
      </w:tr>
      <w:tr w:rsidR="003561F8" w:rsidRPr="003561F8" w14:paraId="29173B74" w14:textId="77777777" w:rsidTr="003561F8">
        <w:trPr>
          <w:tblCellSpacing w:w="15" w:type="dxa"/>
        </w:trPr>
        <w:tc>
          <w:tcPr>
            <w:tcW w:w="0" w:type="auto"/>
            <w:vAlign w:val="center"/>
            <w:hideMark/>
          </w:tcPr>
          <w:p w14:paraId="50633B3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No detected mutation</w:t>
            </w:r>
          </w:p>
        </w:tc>
        <w:tc>
          <w:tcPr>
            <w:tcW w:w="0" w:type="auto"/>
            <w:vAlign w:val="center"/>
            <w:hideMark/>
          </w:tcPr>
          <w:p w14:paraId="09E4BAE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Cutaneous-osseous, self-limited</w:t>
            </w:r>
          </w:p>
        </w:tc>
        <w:tc>
          <w:tcPr>
            <w:tcW w:w="0" w:type="auto"/>
            <w:vAlign w:val="center"/>
            <w:hideMark/>
          </w:tcPr>
          <w:p w14:paraId="26E3E42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Infants</w:t>
            </w:r>
          </w:p>
        </w:tc>
        <w:tc>
          <w:tcPr>
            <w:tcW w:w="0" w:type="auto"/>
            <w:vAlign w:val="center"/>
            <w:hideMark/>
          </w:tcPr>
          <w:p w14:paraId="0FB5502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Spontaneous regression without systemic therapy</w:t>
            </w:r>
          </w:p>
        </w:tc>
        <w:tc>
          <w:tcPr>
            <w:tcW w:w="0" w:type="auto"/>
            <w:vAlign w:val="center"/>
            <w:hideMark/>
          </w:tcPr>
          <w:p w14:paraId="39D12F7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Yu 2016; Barclay 2020.</w:t>
            </w:r>
          </w:p>
        </w:tc>
      </w:tr>
    </w:tbl>
    <w:p w14:paraId="3CF369B7" w14:textId="57850D7B" w:rsidR="003561F8" w:rsidRP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1D71EE50" w14:textId="739F2FA3" w:rsid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 xml:space="preserve">Table </w:t>
      </w:r>
      <w:r>
        <w:rPr>
          <w:rFonts w:ascii="Arial" w:eastAsia="Times New Roman" w:hAnsi="Arial" w:cs="Arial"/>
          <w:sz w:val="20"/>
          <w:szCs w:val="20"/>
          <w:lang w:eastAsia="pt-BR"/>
        </w:rPr>
        <w:t>4</w:t>
      </w:r>
      <w:r w:rsidRPr="003561F8">
        <w:rPr>
          <w:rFonts w:ascii="Arial" w:eastAsia="Times New Roman" w:hAnsi="Arial" w:cs="Arial"/>
          <w:sz w:val="20"/>
          <w:szCs w:val="20"/>
          <w:lang w:eastAsia="pt-BR"/>
        </w:rPr>
        <w:t>. Frequency and clinical correlation of major mutations identified in Langerhans Cell Histiocytosis (2015–2025)</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33"/>
        <w:gridCol w:w="1205"/>
        <w:gridCol w:w="1324"/>
        <w:gridCol w:w="2475"/>
        <w:gridCol w:w="2067"/>
      </w:tblGrid>
      <w:tr w:rsidR="003561F8" w:rsidRPr="003561F8" w14:paraId="0DE19737" w14:textId="77777777" w:rsidTr="003561F8">
        <w:trPr>
          <w:tblHeader/>
          <w:tblCellSpacing w:w="15" w:type="dxa"/>
        </w:trPr>
        <w:tc>
          <w:tcPr>
            <w:tcW w:w="0" w:type="auto"/>
            <w:vAlign w:val="center"/>
            <w:hideMark/>
          </w:tcPr>
          <w:p w14:paraId="750F7F2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Gene / Mutation</w:t>
            </w:r>
          </w:p>
        </w:tc>
        <w:tc>
          <w:tcPr>
            <w:tcW w:w="0" w:type="auto"/>
            <w:vAlign w:val="center"/>
            <w:hideMark/>
          </w:tcPr>
          <w:p w14:paraId="6E8D05AE"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Average frequency (%)</w:t>
            </w:r>
          </w:p>
        </w:tc>
        <w:tc>
          <w:tcPr>
            <w:tcW w:w="0" w:type="auto"/>
            <w:vAlign w:val="center"/>
            <w:hideMark/>
          </w:tcPr>
          <w:p w14:paraId="331FC53F"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Sample / Detection method</w:t>
            </w:r>
          </w:p>
        </w:tc>
        <w:tc>
          <w:tcPr>
            <w:tcW w:w="0" w:type="auto"/>
            <w:vAlign w:val="center"/>
            <w:hideMark/>
          </w:tcPr>
          <w:p w14:paraId="64DEBE0D"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clinical correlation</w:t>
            </w:r>
          </w:p>
        </w:tc>
        <w:tc>
          <w:tcPr>
            <w:tcW w:w="0" w:type="auto"/>
            <w:vAlign w:val="center"/>
            <w:hideMark/>
          </w:tcPr>
          <w:p w14:paraId="502DF374"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 (Year)</w:t>
            </w:r>
          </w:p>
        </w:tc>
      </w:tr>
      <w:tr w:rsidR="003561F8" w:rsidRPr="003561F8" w14:paraId="21914C55" w14:textId="77777777" w:rsidTr="003561F8">
        <w:trPr>
          <w:tblCellSpacing w:w="15" w:type="dxa"/>
        </w:trPr>
        <w:tc>
          <w:tcPr>
            <w:tcW w:w="0" w:type="auto"/>
            <w:vAlign w:val="center"/>
            <w:hideMark/>
          </w:tcPr>
          <w:p w14:paraId="2272C5F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BRAFV600E</w:t>
            </w:r>
          </w:p>
        </w:tc>
        <w:tc>
          <w:tcPr>
            <w:tcW w:w="0" w:type="auto"/>
            <w:vAlign w:val="center"/>
            <w:hideMark/>
          </w:tcPr>
          <w:p w14:paraId="2820616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52–65</w:t>
            </w:r>
          </w:p>
        </w:tc>
        <w:tc>
          <w:tcPr>
            <w:tcW w:w="0" w:type="auto"/>
            <w:vAlign w:val="center"/>
            <w:hideMark/>
          </w:tcPr>
          <w:p w14:paraId="7D46793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PCR, NGS, IHC (VE1)</w:t>
            </w:r>
          </w:p>
        </w:tc>
        <w:tc>
          <w:tcPr>
            <w:tcW w:w="0" w:type="auto"/>
            <w:vAlign w:val="center"/>
            <w:hideMark/>
          </w:tcPr>
          <w:p w14:paraId="13A6603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Multisystem disease, neurodegeneration risk, higher relapse rate</w:t>
            </w:r>
          </w:p>
        </w:tc>
        <w:tc>
          <w:tcPr>
            <w:tcW w:w="0" w:type="auto"/>
            <w:vAlign w:val="center"/>
            <w:hideMark/>
          </w:tcPr>
          <w:p w14:paraId="70C71C3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Bielamowicz 2024; Allen 2015; Héritier 2017; El-Mallawany 2020; Maia 2015</w:t>
            </w:r>
          </w:p>
        </w:tc>
      </w:tr>
      <w:tr w:rsidR="003561F8" w:rsidRPr="003561F8" w14:paraId="559509A8" w14:textId="77777777" w:rsidTr="003561F8">
        <w:trPr>
          <w:tblCellSpacing w:w="15" w:type="dxa"/>
        </w:trPr>
        <w:tc>
          <w:tcPr>
            <w:tcW w:w="0" w:type="auto"/>
            <w:vAlign w:val="center"/>
            <w:hideMark/>
          </w:tcPr>
          <w:p w14:paraId="5E2A2C1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BRAF indel (exons 12–15)</w:t>
            </w:r>
          </w:p>
        </w:tc>
        <w:tc>
          <w:tcPr>
            <w:tcW w:w="0" w:type="auto"/>
            <w:vAlign w:val="center"/>
            <w:hideMark/>
          </w:tcPr>
          <w:p w14:paraId="12EB99E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5–10</w:t>
            </w:r>
          </w:p>
        </w:tc>
        <w:tc>
          <w:tcPr>
            <w:tcW w:w="0" w:type="auto"/>
            <w:vAlign w:val="center"/>
            <w:hideMark/>
          </w:tcPr>
          <w:p w14:paraId="737BD0F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NGS</w:t>
            </w:r>
          </w:p>
        </w:tc>
        <w:tc>
          <w:tcPr>
            <w:tcW w:w="0" w:type="auto"/>
            <w:vAlign w:val="center"/>
            <w:hideMark/>
          </w:tcPr>
          <w:p w14:paraId="700C675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Localized forms, favorable prognosis</w:t>
            </w:r>
          </w:p>
        </w:tc>
        <w:tc>
          <w:tcPr>
            <w:tcW w:w="0" w:type="auto"/>
            <w:vAlign w:val="center"/>
            <w:hideMark/>
          </w:tcPr>
          <w:p w14:paraId="26E5B67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Lang 2023; Tang 2024</w:t>
            </w:r>
          </w:p>
        </w:tc>
      </w:tr>
      <w:tr w:rsidR="003561F8" w:rsidRPr="003561F8" w14:paraId="3D071C2E" w14:textId="77777777" w:rsidTr="003561F8">
        <w:trPr>
          <w:tblCellSpacing w:w="15" w:type="dxa"/>
        </w:trPr>
        <w:tc>
          <w:tcPr>
            <w:tcW w:w="0" w:type="auto"/>
            <w:vAlign w:val="center"/>
            <w:hideMark/>
          </w:tcPr>
          <w:p w14:paraId="51A04E7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MAP2K1 (exons 2–3)</w:t>
            </w:r>
          </w:p>
        </w:tc>
        <w:tc>
          <w:tcPr>
            <w:tcW w:w="0" w:type="auto"/>
            <w:vAlign w:val="center"/>
            <w:hideMark/>
          </w:tcPr>
          <w:p w14:paraId="0DF0172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15–25</w:t>
            </w:r>
          </w:p>
        </w:tc>
        <w:tc>
          <w:tcPr>
            <w:tcW w:w="0" w:type="auto"/>
            <w:vAlign w:val="center"/>
            <w:hideMark/>
          </w:tcPr>
          <w:p w14:paraId="4EB53C2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NGS</w:t>
            </w:r>
          </w:p>
        </w:tc>
        <w:tc>
          <w:tcPr>
            <w:tcW w:w="0" w:type="auto"/>
            <w:vAlign w:val="center"/>
            <w:hideMark/>
          </w:tcPr>
          <w:p w14:paraId="19D0E60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Isolated osseous disease, good response to conventional chemotherapy</w:t>
            </w:r>
          </w:p>
        </w:tc>
        <w:tc>
          <w:tcPr>
            <w:tcW w:w="0" w:type="auto"/>
            <w:vAlign w:val="center"/>
            <w:hideMark/>
          </w:tcPr>
          <w:p w14:paraId="7E166AA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Zhang 2018; Hutter 2018</w:t>
            </w:r>
          </w:p>
        </w:tc>
      </w:tr>
      <w:tr w:rsidR="003561F8" w:rsidRPr="003561F8" w14:paraId="308EF2A2" w14:textId="77777777" w:rsidTr="003561F8">
        <w:trPr>
          <w:tblCellSpacing w:w="15" w:type="dxa"/>
        </w:trPr>
        <w:tc>
          <w:tcPr>
            <w:tcW w:w="0" w:type="auto"/>
            <w:vAlign w:val="center"/>
            <w:hideMark/>
          </w:tcPr>
          <w:p w14:paraId="54D0E68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ARAF</w:t>
            </w:r>
          </w:p>
        </w:tc>
        <w:tc>
          <w:tcPr>
            <w:tcW w:w="0" w:type="auto"/>
            <w:vAlign w:val="center"/>
            <w:hideMark/>
          </w:tcPr>
          <w:p w14:paraId="6D27BBE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4–6</w:t>
            </w:r>
          </w:p>
        </w:tc>
        <w:tc>
          <w:tcPr>
            <w:tcW w:w="0" w:type="auto"/>
            <w:vAlign w:val="center"/>
            <w:hideMark/>
          </w:tcPr>
          <w:p w14:paraId="285F787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Targeted sequencing</w:t>
            </w:r>
          </w:p>
        </w:tc>
        <w:tc>
          <w:tcPr>
            <w:tcW w:w="0" w:type="auto"/>
            <w:vAlign w:val="center"/>
            <w:hideMark/>
          </w:tcPr>
          <w:p w14:paraId="719E0D7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Indolent, often unifocal lesions</w:t>
            </w:r>
          </w:p>
        </w:tc>
        <w:tc>
          <w:tcPr>
            <w:tcW w:w="0" w:type="auto"/>
            <w:vAlign w:val="center"/>
            <w:hideMark/>
          </w:tcPr>
          <w:p w14:paraId="5777F8C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Sconocchia 2023</w:t>
            </w:r>
          </w:p>
        </w:tc>
      </w:tr>
      <w:tr w:rsidR="003561F8" w:rsidRPr="003561F8" w14:paraId="738C6FFB" w14:textId="77777777" w:rsidTr="003561F8">
        <w:trPr>
          <w:tblCellSpacing w:w="15" w:type="dxa"/>
        </w:trPr>
        <w:tc>
          <w:tcPr>
            <w:tcW w:w="0" w:type="auto"/>
            <w:vAlign w:val="center"/>
            <w:hideMark/>
          </w:tcPr>
          <w:p w14:paraId="76FF079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lastRenderedPageBreak/>
              <w:t>KRAS / NRAS</w:t>
            </w:r>
          </w:p>
        </w:tc>
        <w:tc>
          <w:tcPr>
            <w:tcW w:w="0" w:type="auto"/>
            <w:vAlign w:val="center"/>
            <w:hideMark/>
          </w:tcPr>
          <w:p w14:paraId="30D41F4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&lt;5</w:t>
            </w:r>
          </w:p>
        </w:tc>
        <w:tc>
          <w:tcPr>
            <w:tcW w:w="0" w:type="auto"/>
            <w:vAlign w:val="center"/>
            <w:hideMark/>
          </w:tcPr>
          <w:p w14:paraId="54C0A96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NGS</w:t>
            </w:r>
          </w:p>
        </w:tc>
        <w:tc>
          <w:tcPr>
            <w:tcW w:w="0" w:type="auto"/>
            <w:vAlign w:val="center"/>
            <w:hideMark/>
          </w:tcPr>
          <w:p w14:paraId="7E2FC09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Self-limited bone lesions without systemic involvement</w:t>
            </w:r>
          </w:p>
        </w:tc>
        <w:tc>
          <w:tcPr>
            <w:tcW w:w="0" w:type="auto"/>
            <w:vAlign w:val="center"/>
            <w:hideMark/>
          </w:tcPr>
          <w:p w14:paraId="08FD2BF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Allen 2021</w:t>
            </w:r>
          </w:p>
        </w:tc>
      </w:tr>
      <w:tr w:rsidR="003561F8" w:rsidRPr="003561F8" w14:paraId="748BB77E" w14:textId="77777777" w:rsidTr="003561F8">
        <w:trPr>
          <w:tblCellSpacing w:w="15" w:type="dxa"/>
        </w:trPr>
        <w:tc>
          <w:tcPr>
            <w:tcW w:w="0" w:type="auto"/>
            <w:vAlign w:val="center"/>
            <w:hideMark/>
          </w:tcPr>
          <w:p w14:paraId="6DB0D46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PIK3CA / MAP3K1</w:t>
            </w:r>
          </w:p>
        </w:tc>
        <w:tc>
          <w:tcPr>
            <w:tcW w:w="0" w:type="auto"/>
            <w:vAlign w:val="center"/>
            <w:hideMark/>
          </w:tcPr>
          <w:p w14:paraId="33D2A80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&lt;3</w:t>
            </w:r>
          </w:p>
        </w:tc>
        <w:tc>
          <w:tcPr>
            <w:tcW w:w="0" w:type="auto"/>
            <w:vAlign w:val="center"/>
            <w:hideMark/>
          </w:tcPr>
          <w:p w14:paraId="3384D83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Expanded gene panels</w:t>
            </w:r>
          </w:p>
        </w:tc>
        <w:tc>
          <w:tcPr>
            <w:tcW w:w="0" w:type="auto"/>
            <w:vAlign w:val="center"/>
            <w:hideMark/>
          </w:tcPr>
          <w:p w14:paraId="0A671D8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Rare; may coexist with MAPK mutations</w:t>
            </w:r>
          </w:p>
        </w:tc>
        <w:tc>
          <w:tcPr>
            <w:tcW w:w="0" w:type="auto"/>
            <w:vAlign w:val="center"/>
            <w:hideMark/>
          </w:tcPr>
          <w:p w14:paraId="30E5A22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Lang 2023; Allen 2021</w:t>
            </w:r>
          </w:p>
        </w:tc>
      </w:tr>
      <w:tr w:rsidR="003561F8" w:rsidRPr="003561F8" w14:paraId="2DC3552D" w14:textId="77777777" w:rsidTr="003561F8">
        <w:trPr>
          <w:tblCellSpacing w:w="15" w:type="dxa"/>
        </w:trPr>
        <w:tc>
          <w:tcPr>
            <w:tcW w:w="0" w:type="auto"/>
            <w:vAlign w:val="center"/>
            <w:hideMark/>
          </w:tcPr>
          <w:p w14:paraId="2F0B557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No detectable mutation</w:t>
            </w:r>
          </w:p>
        </w:tc>
        <w:tc>
          <w:tcPr>
            <w:tcW w:w="0" w:type="auto"/>
            <w:vAlign w:val="center"/>
            <w:hideMark/>
          </w:tcPr>
          <w:p w14:paraId="60DB417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10–15</w:t>
            </w:r>
          </w:p>
        </w:tc>
        <w:tc>
          <w:tcPr>
            <w:tcW w:w="0" w:type="auto"/>
            <w:vAlign w:val="center"/>
            <w:hideMark/>
          </w:tcPr>
          <w:p w14:paraId="566CA1F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t>
            </w:r>
          </w:p>
        </w:tc>
        <w:tc>
          <w:tcPr>
            <w:tcW w:w="0" w:type="auto"/>
            <w:vAlign w:val="center"/>
            <w:hideMark/>
          </w:tcPr>
          <w:p w14:paraId="208E721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Cutaneous self-limited forms (Hashimoto-Pritzker)</w:t>
            </w:r>
          </w:p>
        </w:tc>
        <w:tc>
          <w:tcPr>
            <w:tcW w:w="0" w:type="auto"/>
            <w:vAlign w:val="center"/>
            <w:hideMark/>
          </w:tcPr>
          <w:p w14:paraId="13BBFC1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Yu 2016; Barclay 2020</w:t>
            </w:r>
          </w:p>
        </w:tc>
      </w:tr>
    </w:tbl>
    <w:p w14:paraId="266315FB" w14:textId="77777777" w:rsid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087F2620"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3.4 | Therapeutic Strategies and Clinical Responses (2015–2025)</w:t>
      </w:r>
    </w:p>
    <w:p w14:paraId="10E65439" w14:textId="642AFE75"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Therapeutic approaches for Langerhans Cell Histiocytosis (LCH) have evolved substantially over the last decade, paralleling advances in molecular understanding of the disease.</w:t>
      </w:r>
      <w:r>
        <w:rPr>
          <w:rFonts w:ascii="Arial" w:eastAsia="Times New Roman" w:hAnsi="Arial" w:cs="Arial"/>
          <w:sz w:val="20"/>
          <w:szCs w:val="20"/>
          <w:lang w:eastAsia="pt-BR"/>
        </w:rPr>
        <w:t xml:space="preserve"> </w:t>
      </w:r>
      <w:r w:rsidRPr="003561F8">
        <w:rPr>
          <w:rFonts w:ascii="Arial" w:eastAsia="Times New Roman" w:hAnsi="Arial" w:cs="Arial"/>
          <w:sz w:val="20"/>
          <w:szCs w:val="20"/>
          <w:lang w:eastAsia="pt-BR"/>
        </w:rPr>
        <w:t>Among the 38 included studies, 27 (71%) reported specific therapeutic interventions, categorized as conventional chemotherapy, targeted therapy (BRAF and MEK inhibitors), and local orthopedic management (surgery, intralesional corticosteroids, or observation).</w:t>
      </w:r>
    </w:p>
    <w:p w14:paraId="6F39C3D4" w14:textId="5E728F92"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 xml:space="preserve">Table </w:t>
      </w:r>
      <w:r>
        <w:rPr>
          <w:rFonts w:ascii="Arial" w:eastAsia="Times New Roman" w:hAnsi="Arial" w:cs="Arial"/>
          <w:b/>
          <w:bCs/>
          <w:sz w:val="20"/>
          <w:szCs w:val="20"/>
          <w:lang w:eastAsia="pt-BR"/>
        </w:rPr>
        <w:t>5</w:t>
      </w:r>
      <w:r w:rsidRPr="003561F8">
        <w:rPr>
          <w:rFonts w:ascii="Arial" w:eastAsia="Times New Roman" w:hAnsi="Arial" w:cs="Arial"/>
          <w:b/>
          <w:bCs/>
          <w:sz w:val="20"/>
          <w:szCs w:val="20"/>
          <w:lang w:eastAsia="pt-BR"/>
        </w:rPr>
        <w:t>. Comparison between conventional and targeted therapies in LCH (2015–2025)</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16"/>
        <w:gridCol w:w="1321"/>
        <w:gridCol w:w="1170"/>
        <w:gridCol w:w="868"/>
        <w:gridCol w:w="1332"/>
        <w:gridCol w:w="1574"/>
        <w:gridCol w:w="923"/>
      </w:tblGrid>
      <w:tr w:rsidR="003561F8" w:rsidRPr="003561F8" w14:paraId="4E0028D8" w14:textId="77777777" w:rsidTr="003561F8">
        <w:trPr>
          <w:tblHeader/>
          <w:tblCellSpacing w:w="15" w:type="dxa"/>
        </w:trPr>
        <w:tc>
          <w:tcPr>
            <w:tcW w:w="0" w:type="auto"/>
            <w:vAlign w:val="center"/>
            <w:hideMark/>
          </w:tcPr>
          <w:p w14:paraId="4D492F4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Treatment type</w:t>
            </w:r>
          </w:p>
        </w:tc>
        <w:tc>
          <w:tcPr>
            <w:tcW w:w="0" w:type="auto"/>
            <w:vAlign w:val="center"/>
            <w:hideMark/>
          </w:tcPr>
          <w:p w14:paraId="0BA83BC6"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drugs / interventions</w:t>
            </w:r>
          </w:p>
        </w:tc>
        <w:tc>
          <w:tcPr>
            <w:tcW w:w="0" w:type="auto"/>
            <w:vAlign w:val="center"/>
            <w:hideMark/>
          </w:tcPr>
          <w:p w14:paraId="5009C124"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population</w:t>
            </w:r>
          </w:p>
        </w:tc>
        <w:tc>
          <w:tcPr>
            <w:tcW w:w="0" w:type="auto"/>
            <w:vAlign w:val="center"/>
            <w:hideMark/>
          </w:tcPr>
          <w:p w14:paraId="21437459"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Overall response rate (%)</w:t>
            </w:r>
          </w:p>
        </w:tc>
        <w:tc>
          <w:tcPr>
            <w:tcW w:w="0" w:type="auto"/>
            <w:vAlign w:val="center"/>
            <w:hideMark/>
          </w:tcPr>
          <w:p w14:paraId="33D32DE2"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Relapse rate (%)</w:t>
            </w:r>
          </w:p>
        </w:tc>
        <w:tc>
          <w:tcPr>
            <w:tcW w:w="0" w:type="auto"/>
            <w:vAlign w:val="center"/>
            <w:hideMark/>
          </w:tcPr>
          <w:p w14:paraId="47940FBE"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adverse events</w:t>
            </w:r>
          </w:p>
        </w:tc>
        <w:tc>
          <w:tcPr>
            <w:tcW w:w="0" w:type="auto"/>
            <w:vAlign w:val="center"/>
            <w:hideMark/>
          </w:tcPr>
          <w:p w14:paraId="162CC14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6FBBB391" w14:textId="77777777" w:rsidTr="003561F8">
        <w:trPr>
          <w:tblCellSpacing w:w="15" w:type="dxa"/>
        </w:trPr>
        <w:tc>
          <w:tcPr>
            <w:tcW w:w="0" w:type="auto"/>
            <w:vAlign w:val="center"/>
            <w:hideMark/>
          </w:tcPr>
          <w:p w14:paraId="772BD50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Conventional chemotherapy</w:t>
            </w:r>
          </w:p>
        </w:tc>
        <w:tc>
          <w:tcPr>
            <w:tcW w:w="0" w:type="auto"/>
            <w:vAlign w:val="center"/>
            <w:hideMark/>
          </w:tcPr>
          <w:p w14:paraId="6799A48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Vinblastine + Prednisone ± Mercaptopurine</w:t>
            </w:r>
          </w:p>
        </w:tc>
        <w:tc>
          <w:tcPr>
            <w:tcW w:w="0" w:type="auto"/>
            <w:vAlign w:val="center"/>
            <w:hideMark/>
          </w:tcPr>
          <w:p w14:paraId="0C4A71B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Pediatric &amp; adult</w:t>
            </w:r>
          </w:p>
        </w:tc>
        <w:tc>
          <w:tcPr>
            <w:tcW w:w="0" w:type="auto"/>
            <w:vAlign w:val="center"/>
            <w:hideMark/>
          </w:tcPr>
          <w:p w14:paraId="1EF85D2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55–70</w:t>
            </w:r>
          </w:p>
        </w:tc>
        <w:tc>
          <w:tcPr>
            <w:tcW w:w="0" w:type="auto"/>
            <w:vAlign w:val="center"/>
            <w:hideMark/>
          </w:tcPr>
          <w:p w14:paraId="391B8B4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25–35</w:t>
            </w:r>
          </w:p>
        </w:tc>
        <w:tc>
          <w:tcPr>
            <w:tcW w:w="0" w:type="auto"/>
            <w:vAlign w:val="center"/>
            <w:hideMark/>
          </w:tcPr>
          <w:p w14:paraId="70BBB76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Myelosuppression, hepatotoxicity, neuropathy</w:t>
            </w:r>
          </w:p>
        </w:tc>
        <w:tc>
          <w:tcPr>
            <w:tcW w:w="0" w:type="auto"/>
            <w:vAlign w:val="center"/>
            <w:hideMark/>
          </w:tcPr>
          <w:p w14:paraId="6C78C21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Héritier 2017; Schmid 2016; Maia 2015</w:t>
            </w:r>
          </w:p>
        </w:tc>
      </w:tr>
      <w:tr w:rsidR="003561F8" w:rsidRPr="003561F8" w14:paraId="101F7536" w14:textId="77777777" w:rsidTr="003561F8">
        <w:trPr>
          <w:tblCellSpacing w:w="15" w:type="dxa"/>
        </w:trPr>
        <w:tc>
          <w:tcPr>
            <w:tcW w:w="0" w:type="auto"/>
            <w:vAlign w:val="center"/>
            <w:hideMark/>
          </w:tcPr>
          <w:p w14:paraId="0EE4A43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Intralesional corticosteroid / observation</w:t>
            </w:r>
          </w:p>
        </w:tc>
        <w:tc>
          <w:tcPr>
            <w:tcW w:w="0" w:type="auto"/>
            <w:vAlign w:val="center"/>
            <w:hideMark/>
          </w:tcPr>
          <w:p w14:paraId="747C59B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Local triamcinolone, radiologic follow-up</w:t>
            </w:r>
          </w:p>
        </w:tc>
        <w:tc>
          <w:tcPr>
            <w:tcW w:w="0" w:type="auto"/>
            <w:vAlign w:val="center"/>
            <w:hideMark/>
          </w:tcPr>
          <w:p w14:paraId="6189F6B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Pediatric (unifocal bone LCH)</w:t>
            </w:r>
          </w:p>
        </w:tc>
        <w:tc>
          <w:tcPr>
            <w:tcW w:w="0" w:type="auto"/>
            <w:vAlign w:val="center"/>
            <w:hideMark/>
          </w:tcPr>
          <w:p w14:paraId="04CA26B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80–95</w:t>
            </w:r>
          </w:p>
        </w:tc>
        <w:tc>
          <w:tcPr>
            <w:tcW w:w="0" w:type="auto"/>
            <w:vAlign w:val="center"/>
            <w:hideMark/>
          </w:tcPr>
          <w:p w14:paraId="5A3D083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&lt;10</w:t>
            </w:r>
          </w:p>
        </w:tc>
        <w:tc>
          <w:tcPr>
            <w:tcW w:w="0" w:type="auto"/>
            <w:vAlign w:val="center"/>
            <w:hideMark/>
          </w:tcPr>
          <w:p w14:paraId="7270DA8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Occasional localized reactivation</w:t>
            </w:r>
          </w:p>
        </w:tc>
        <w:tc>
          <w:tcPr>
            <w:tcW w:w="0" w:type="auto"/>
            <w:vAlign w:val="center"/>
            <w:hideMark/>
          </w:tcPr>
          <w:p w14:paraId="6E7B6D5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Mendonça 2020; Maia 2015</w:t>
            </w:r>
          </w:p>
        </w:tc>
      </w:tr>
      <w:tr w:rsidR="003561F8" w:rsidRPr="003561F8" w14:paraId="09F37FBB" w14:textId="77777777" w:rsidTr="003561F8">
        <w:trPr>
          <w:tblCellSpacing w:w="15" w:type="dxa"/>
        </w:trPr>
        <w:tc>
          <w:tcPr>
            <w:tcW w:w="0" w:type="auto"/>
            <w:vAlign w:val="center"/>
            <w:hideMark/>
          </w:tcPr>
          <w:p w14:paraId="21E045C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Conservative surgery</w:t>
            </w:r>
          </w:p>
        </w:tc>
        <w:tc>
          <w:tcPr>
            <w:tcW w:w="0" w:type="auto"/>
            <w:vAlign w:val="center"/>
            <w:hideMark/>
          </w:tcPr>
          <w:p w14:paraId="33E2914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 xml:space="preserve">Curettage, bone grafting, </w:t>
            </w:r>
            <w:r w:rsidRPr="003561F8">
              <w:rPr>
                <w:rFonts w:ascii="Arial" w:eastAsia="Times New Roman" w:hAnsi="Arial" w:cs="Arial"/>
                <w:sz w:val="20"/>
                <w:szCs w:val="20"/>
                <w:lang w:eastAsia="pt-BR"/>
              </w:rPr>
              <w:lastRenderedPageBreak/>
              <w:t>vertebral decompression</w:t>
            </w:r>
          </w:p>
        </w:tc>
        <w:tc>
          <w:tcPr>
            <w:tcW w:w="0" w:type="auto"/>
            <w:vAlign w:val="center"/>
            <w:hideMark/>
          </w:tcPr>
          <w:p w14:paraId="15EB44E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lastRenderedPageBreak/>
              <w:t>Pediatric &amp; adult</w:t>
            </w:r>
          </w:p>
        </w:tc>
        <w:tc>
          <w:tcPr>
            <w:tcW w:w="0" w:type="auto"/>
            <w:vAlign w:val="center"/>
            <w:hideMark/>
          </w:tcPr>
          <w:p w14:paraId="7DBF270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85–90</w:t>
            </w:r>
          </w:p>
        </w:tc>
        <w:tc>
          <w:tcPr>
            <w:tcW w:w="0" w:type="auto"/>
            <w:vAlign w:val="center"/>
            <w:hideMark/>
          </w:tcPr>
          <w:p w14:paraId="29496B4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15</w:t>
            </w:r>
          </w:p>
        </w:tc>
        <w:tc>
          <w:tcPr>
            <w:tcW w:w="0" w:type="auto"/>
            <w:vAlign w:val="center"/>
            <w:hideMark/>
          </w:tcPr>
          <w:p w14:paraId="00A6132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Low surgical risk; residual pain</w:t>
            </w:r>
          </w:p>
        </w:tc>
        <w:tc>
          <w:tcPr>
            <w:tcW w:w="0" w:type="auto"/>
            <w:vAlign w:val="center"/>
            <w:hideMark/>
          </w:tcPr>
          <w:p w14:paraId="7E39C97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 xml:space="preserve">Barclay 2020; </w:t>
            </w:r>
            <w:r w:rsidRPr="003561F8">
              <w:rPr>
                <w:rFonts w:ascii="Arial" w:eastAsia="Times New Roman" w:hAnsi="Arial" w:cs="Arial"/>
                <w:sz w:val="20"/>
                <w:szCs w:val="20"/>
                <w:lang w:eastAsia="pt-BR"/>
              </w:rPr>
              <w:lastRenderedPageBreak/>
              <w:t>Lang 2023</w:t>
            </w:r>
          </w:p>
        </w:tc>
      </w:tr>
      <w:tr w:rsidR="003561F8" w:rsidRPr="003561F8" w14:paraId="5EBD9D87" w14:textId="77777777" w:rsidTr="003561F8">
        <w:trPr>
          <w:tblCellSpacing w:w="15" w:type="dxa"/>
        </w:trPr>
        <w:tc>
          <w:tcPr>
            <w:tcW w:w="0" w:type="auto"/>
            <w:vAlign w:val="center"/>
            <w:hideMark/>
          </w:tcPr>
          <w:p w14:paraId="5D77D45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lastRenderedPageBreak/>
              <w:t>BRAF inhibitors</w:t>
            </w:r>
          </w:p>
        </w:tc>
        <w:tc>
          <w:tcPr>
            <w:tcW w:w="0" w:type="auto"/>
            <w:vAlign w:val="center"/>
            <w:hideMark/>
          </w:tcPr>
          <w:p w14:paraId="591907C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Vemurafenib, Dabrafenib</w:t>
            </w:r>
          </w:p>
        </w:tc>
        <w:tc>
          <w:tcPr>
            <w:tcW w:w="0" w:type="auto"/>
            <w:vAlign w:val="center"/>
            <w:hideMark/>
          </w:tcPr>
          <w:p w14:paraId="304C742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BRAFV600E-positive (pediatric &amp; adult)</w:t>
            </w:r>
          </w:p>
        </w:tc>
        <w:tc>
          <w:tcPr>
            <w:tcW w:w="0" w:type="auto"/>
            <w:vAlign w:val="center"/>
            <w:hideMark/>
          </w:tcPr>
          <w:p w14:paraId="000FBBC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85–92</w:t>
            </w:r>
          </w:p>
        </w:tc>
        <w:tc>
          <w:tcPr>
            <w:tcW w:w="0" w:type="auto"/>
            <w:vAlign w:val="center"/>
            <w:hideMark/>
          </w:tcPr>
          <w:p w14:paraId="76A2A39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20–30 (after discontinuation)</w:t>
            </w:r>
          </w:p>
        </w:tc>
        <w:tc>
          <w:tcPr>
            <w:tcW w:w="0" w:type="auto"/>
            <w:vAlign w:val="center"/>
            <w:hideMark/>
          </w:tcPr>
          <w:p w14:paraId="5869E45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Rash, photosensitivity, arthralgia</w:t>
            </w:r>
          </w:p>
        </w:tc>
        <w:tc>
          <w:tcPr>
            <w:tcW w:w="0" w:type="auto"/>
            <w:vAlign w:val="center"/>
            <w:hideMark/>
          </w:tcPr>
          <w:p w14:paraId="7168DB9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Diamond 2019; Kemps 2024; Allen 2020</w:t>
            </w:r>
          </w:p>
        </w:tc>
      </w:tr>
      <w:tr w:rsidR="003561F8" w:rsidRPr="003561F8" w14:paraId="33F51C90" w14:textId="77777777" w:rsidTr="003561F8">
        <w:trPr>
          <w:tblCellSpacing w:w="15" w:type="dxa"/>
        </w:trPr>
        <w:tc>
          <w:tcPr>
            <w:tcW w:w="0" w:type="auto"/>
            <w:vAlign w:val="center"/>
            <w:hideMark/>
          </w:tcPr>
          <w:p w14:paraId="2B51242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MEK inhibitors</w:t>
            </w:r>
          </w:p>
        </w:tc>
        <w:tc>
          <w:tcPr>
            <w:tcW w:w="0" w:type="auto"/>
            <w:vAlign w:val="center"/>
            <w:hideMark/>
          </w:tcPr>
          <w:p w14:paraId="62E5ADE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Cobimetinib, Trametinib</w:t>
            </w:r>
          </w:p>
        </w:tc>
        <w:tc>
          <w:tcPr>
            <w:tcW w:w="0" w:type="auto"/>
            <w:vAlign w:val="center"/>
            <w:hideMark/>
          </w:tcPr>
          <w:p w14:paraId="204D9C2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MAP2K1-positive or BRAF-negative</w:t>
            </w:r>
          </w:p>
        </w:tc>
        <w:tc>
          <w:tcPr>
            <w:tcW w:w="0" w:type="auto"/>
            <w:vAlign w:val="center"/>
            <w:hideMark/>
          </w:tcPr>
          <w:p w14:paraId="5C6BB20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78–88</w:t>
            </w:r>
          </w:p>
        </w:tc>
        <w:tc>
          <w:tcPr>
            <w:tcW w:w="0" w:type="auto"/>
            <w:vAlign w:val="center"/>
            <w:hideMark/>
          </w:tcPr>
          <w:p w14:paraId="2A9A4D3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10–20</w:t>
            </w:r>
          </w:p>
        </w:tc>
        <w:tc>
          <w:tcPr>
            <w:tcW w:w="0" w:type="auto"/>
            <w:vAlign w:val="center"/>
            <w:hideMark/>
          </w:tcPr>
          <w:p w14:paraId="7C908B5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Nausea, fatigue, elevated CPK</w:t>
            </w:r>
          </w:p>
        </w:tc>
        <w:tc>
          <w:tcPr>
            <w:tcW w:w="0" w:type="auto"/>
            <w:vAlign w:val="center"/>
            <w:hideMark/>
          </w:tcPr>
          <w:p w14:paraId="503FA04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Allen 2020; Tang 2024</w:t>
            </w:r>
          </w:p>
        </w:tc>
      </w:tr>
      <w:tr w:rsidR="003561F8" w:rsidRPr="003561F8" w14:paraId="21F014C7" w14:textId="77777777" w:rsidTr="003561F8">
        <w:trPr>
          <w:tblCellSpacing w:w="15" w:type="dxa"/>
        </w:trPr>
        <w:tc>
          <w:tcPr>
            <w:tcW w:w="0" w:type="auto"/>
            <w:vAlign w:val="center"/>
            <w:hideMark/>
          </w:tcPr>
          <w:p w14:paraId="5D55867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Combined BRAF + MEK inhibition</w:t>
            </w:r>
          </w:p>
        </w:tc>
        <w:tc>
          <w:tcPr>
            <w:tcW w:w="0" w:type="auto"/>
            <w:vAlign w:val="center"/>
            <w:hideMark/>
          </w:tcPr>
          <w:p w14:paraId="35139DD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Dabrafenib + Trametinib</w:t>
            </w:r>
          </w:p>
        </w:tc>
        <w:tc>
          <w:tcPr>
            <w:tcW w:w="0" w:type="auto"/>
            <w:vAlign w:val="center"/>
            <w:hideMark/>
          </w:tcPr>
          <w:p w14:paraId="4C9B97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Refractory BRAFV600E-positive cases</w:t>
            </w:r>
          </w:p>
        </w:tc>
        <w:tc>
          <w:tcPr>
            <w:tcW w:w="0" w:type="auto"/>
            <w:vAlign w:val="center"/>
            <w:hideMark/>
          </w:tcPr>
          <w:p w14:paraId="0806510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90–95</w:t>
            </w:r>
          </w:p>
        </w:tc>
        <w:tc>
          <w:tcPr>
            <w:tcW w:w="0" w:type="auto"/>
            <w:vAlign w:val="center"/>
            <w:hideMark/>
          </w:tcPr>
          <w:p w14:paraId="755F977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10–15</w:t>
            </w:r>
          </w:p>
        </w:tc>
        <w:tc>
          <w:tcPr>
            <w:tcW w:w="0" w:type="auto"/>
            <w:vAlign w:val="center"/>
            <w:hideMark/>
          </w:tcPr>
          <w:p w14:paraId="6F4392B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Mild toxicity, durable remission</w:t>
            </w:r>
          </w:p>
        </w:tc>
        <w:tc>
          <w:tcPr>
            <w:tcW w:w="0" w:type="auto"/>
            <w:vAlign w:val="center"/>
            <w:hideMark/>
          </w:tcPr>
          <w:p w14:paraId="0E605D8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McClain 2023; Allen 2020</w:t>
            </w:r>
          </w:p>
        </w:tc>
      </w:tr>
      <w:tr w:rsidR="003561F8" w:rsidRPr="003561F8" w14:paraId="1555B630" w14:textId="77777777" w:rsidTr="003561F8">
        <w:trPr>
          <w:tblCellSpacing w:w="15" w:type="dxa"/>
        </w:trPr>
        <w:tc>
          <w:tcPr>
            <w:tcW w:w="0" w:type="auto"/>
            <w:vAlign w:val="center"/>
            <w:hideMark/>
          </w:tcPr>
          <w:p w14:paraId="1259D3E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Radiotherapy / palliative use</w:t>
            </w:r>
          </w:p>
        </w:tc>
        <w:tc>
          <w:tcPr>
            <w:tcW w:w="0" w:type="auto"/>
            <w:vAlign w:val="center"/>
            <w:hideMark/>
          </w:tcPr>
          <w:p w14:paraId="1B226AC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Low-dose (&lt;10 Gy)</w:t>
            </w:r>
          </w:p>
        </w:tc>
        <w:tc>
          <w:tcPr>
            <w:tcW w:w="0" w:type="auto"/>
            <w:vAlign w:val="center"/>
            <w:hideMark/>
          </w:tcPr>
          <w:p w14:paraId="126740C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Adults with solitary lesions</w:t>
            </w:r>
          </w:p>
        </w:tc>
        <w:tc>
          <w:tcPr>
            <w:tcW w:w="0" w:type="auto"/>
            <w:vAlign w:val="center"/>
            <w:hideMark/>
          </w:tcPr>
          <w:p w14:paraId="1E2D5FD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70–80</w:t>
            </w:r>
          </w:p>
        </w:tc>
        <w:tc>
          <w:tcPr>
            <w:tcW w:w="0" w:type="auto"/>
            <w:vAlign w:val="center"/>
            <w:hideMark/>
          </w:tcPr>
          <w:p w14:paraId="4DC1DE5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20</w:t>
            </w:r>
          </w:p>
        </w:tc>
        <w:tc>
          <w:tcPr>
            <w:tcW w:w="0" w:type="auto"/>
            <w:vAlign w:val="center"/>
            <w:hideMark/>
          </w:tcPr>
          <w:p w14:paraId="217BB4C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Mild local reactions</w:t>
            </w:r>
          </w:p>
        </w:tc>
        <w:tc>
          <w:tcPr>
            <w:tcW w:w="0" w:type="auto"/>
            <w:vAlign w:val="center"/>
            <w:hideMark/>
          </w:tcPr>
          <w:p w14:paraId="21D2215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Goyal 2022; Lang 2023</w:t>
            </w:r>
          </w:p>
        </w:tc>
      </w:tr>
    </w:tbl>
    <w:p w14:paraId="260B1199" w14:textId="77777777" w:rsid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7376BE5B" w14:textId="2ED755FD"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3.5 Prognosis and Survival Outcomes</w:t>
      </w:r>
    </w:p>
    <w:p w14:paraId="2D7195B5" w14:textId="647F3DB1"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The compiled data demonstrate an overall 5-year survival exceeding 90% in pediatric patients, reflecting major diagnostic and therapeutic advances achieved during the last decade.</w:t>
      </w:r>
      <w:r>
        <w:rPr>
          <w:rFonts w:ascii="Arial" w:eastAsia="Times New Roman" w:hAnsi="Arial" w:cs="Arial"/>
          <w:sz w:val="20"/>
          <w:szCs w:val="20"/>
          <w:lang w:eastAsia="pt-BR"/>
        </w:rPr>
        <w:t xml:space="preserve"> </w:t>
      </w:r>
      <w:r w:rsidRPr="003561F8">
        <w:rPr>
          <w:rFonts w:ascii="Arial" w:eastAsia="Times New Roman" w:hAnsi="Arial" w:cs="Arial"/>
          <w:sz w:val="20"/>
          <w:szCs w:val="20"/>
          <w:lang w:eastAsia="pt-BR"/>
        </w:rPr>
        <w:t>However, disease reactivation remains clinically relevant, particularly in patients harboring BRAFV600E mutations or risk-organ involvement (liver, spleen, bone marrow).</w:t>
      </w:r>
    </w:p>
    <w:p w14:paraId="798902EA" w14:textId="1B6EA4FC" w:rsid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 xml:space="preserve">Table </w:t>
      </w:r>
      <w:r>
        <w:rPr>
          <w:rFonts w:ascii="Arial" w:eastAsia="Times New Roman" w:hAnsi="Arial" w:cs="Arial"/>
          <w:b/>
          <w:bCs/>
          <w:sz w:val="20"/>
          <w:szCs w:val="20"/>
          <w:lang w:eastAsia="pt-BR"/>
        </w:rPr>
        <w:t>6</w:t>
      </w:r>
      <w:r w:rsidRPr="003561F8">
        <w:rPr>
          <w:rFonts w:ascii="Arial" w:eastAsia="Times New Roman" w:hAnsi="Arial" w:cs="Arial"/>
          <w:b/>
          <w:bCs/>
          <w:sz w:val="20"/>
          <w:szCs w:val="20"/>
          <w:lang w:eastAsia="pt-BR"/>
        </w:rPr>
        <w:t>. Prognostic indicators and survival rates in LCH (2015–2025)</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184"/>
        <w:gridCol w:w="1377"/>
        <w:gridCol w:w="996"/>
        <w:gridCol w:w="1333"/>
        <w:gridCol w:w="1308"/>
        <w:gridCol w:w="1306"/>
      </w:tblGrid>
      <w:tr w:rsidR="003561F8" w:rsidRPr="003561F8" w14:paraId="6281E220" w14:textId="77777777" w:rsidTr="003561F8">
        <w:trPr>
          <w:tblHeader/>
          <w:tblCellSpacing w:w="15" w:type="dxa"/>
        </w:trPr>
        <w:tc>
          <w:tcPr>
            <w:tcW w:w="0" w:type="auto"/>
            <w:vAlign w:val="center"/>
            <w:hideMark/>
          </w:tcPr>
          <w:p w14:paraId="4CC3BCB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lastRenderedPageBreak/>
              <w:t>Subgroup</w:t>
            </w:r>
          </w:p>
        </w:tc>
        <w:tc>
          <w:tcPr>
            <w:tcW w:w="0" w:type="auto"/>
            <w:vAlign w:val="center"/>
            <w:hideMark/>
          </w:tcPr>
          <w:p w14:paraId="0C2AB1EA"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mutation</w:t>
            </w:r>
          </w:p>
        </w:tc>
        <w:tc>
          <w:tcPr>
            <w:tcW w:w="0" w:type="auto"/>
            <w:vAlign w:val="center"/>
            <w:hideMark/>
          </w:tcPr>
          <w:p w14:paraId="5CF808CA"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5-year overall survival (%)</w:t>
            </w:r>
          </w:p>
        </w:tc>
        <w:tc>
          <w:tcPr>
            <w:tcW w:w="0" w:type="auto"/>
            <w:vAlign w:val="center"/>
            <w:hideMark/>
          </w:tcPr>
          <w:p w14:paraId="327622B9"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Reactivation rate (%)</w:t>
            </w:r>
          </w:p>
        </w:tc>
        <w:tc>
          <w:tcPr>
            <w:tcW w:w="0" w:type="auto"/>
            <w:vAlign w:val="center"/>
            <w:hideMark/>
          </w:tcPr>
          <w:p w14:paraId="791ED7EA"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adverse prognostic factors</w:t>
            </w:r>
          </w:p>
        </w:tc>
        <w:tc>
          <w:tcPr>
            <w:tcW w:w="0" w:type="auto"/>
            <w:vAlign w:val="center"/>
            <w:hideMark/>
          </w:tcPr>
          <w:p w14:paraId="2F4E1B8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535BF578" w14:textId="77777777" w:rsidTr="003561F8">
        <w:trPr>
          <w:tblCellSpacing w:w="15" w:type="dxa"/>
        </w:trPr>
        <w:tc>
          <w:tcPr>
            <w:tcW w:w="0" w:type="auto"/>
            <w:vAlign w:val="center"/>
            <w:hideMark/>
          </w:tcPr>
          <w:p w14:paraId="2BCCE3A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Unifocal bone LCH</w:t>
            </w:r>
          </w:p>
        </w:tc>
        <w:tc>
          <w:tcPr>
            <w:tcW w:w="0" w:type="auto"/>
            <w:vAlign w:val="center"/>
            <w:hideMark/>
          </w:tcPr>
          <w:p w14:paraId="6E466B6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MAP2K1 / ARAF</w:t>
            </w:r>
          </w:p>
        </w:tc>
        <w:tc>
          <w:tcPr>
            <w:tcW w:w="0" w:type="auto"/>
            <w:vAlign w:val="center"/>
            <w:hideMark/>
          </w:tcPr>
          <w:p w14:paraId="1E94858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98–100</w:t>
            </w:r>
          </w:p>
        </w:tc>
        <w:tc>
          <w:tcPr>
            <w:tcW w:w="0" w:type="auto"/>
            <w:vAlign w:val="center"/>
            <w:hideMark/>
          </w:tcPr>
          <w:p w14:paraId="42D242D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&lt;10</w:t>
            </w:r>
          </w:p>
        </w:tc>
        <w:tc>
          <w:tcPr>
            <w:tcW w:w="0" w:type="auto"/>
            <w:vAlign w:val="center"/>
            <w:hideMark/>
          </w:tcPr>
          <w:p w14:paraId="175BD71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t>
            </w:r>
          </w:p>
        </w:tc>
        <w:tc>
          <w:tcPr>
            <w:tcW w:w="0" w:type="auto"/>
            <w:vAlign w:val="center"/>
            <w:hideMark/>
          </w:tcPr>
          <w:p w14:paraId="3956D5F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Mendonça 2020; Zhang 2018</w:t>
            </w:r>
          </w:p>
        </w:tc>
      </w:tr>
      <w:tr w:rsidR="003561F8" w:rsidRPr="003561F8" w14:paraId="3C3336D4" w14:textId="77777777" w:rsidTr="003561F8">
        <w:trPr>
          <w:tblCellSpacing w:w="15" w:type="dxa"/>
        </w:trPr>
        <w:tc>
          <w:tcPr>
            <w:tcW w:w="0" w:type="auto"/>
            <w:vAlign w:val="center"/>
            <w:hideMark/>
          </w:tcPr>
          <w:p w14:paraId="09E4DD0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Multisystem LCH without risk-organ involvement</w:t>
            </w:r>
          </w:p>
        </w:tc>
        <w:tc>
          <w:tcPr>
            <w:tcW w:w="0" w:type="auto"/>
            <w:vAlign w:val="center"/>
            <w:hideMark/>
          </w:tcPr>
          <w:p w14:paraId="2C00269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 / MAP2K1</w:t>
            </w:r>
          </w:p>
        </w:tc>
        <w:tc>
          <w:tcPr>
            <w:tcW w:w="0" w:type="auto"/>
            <w:vAlign w:val="center"/>
            <w:hideMark/>
          </w:tcPr>
          <w:p w14:paraId="1CD6436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90–95</w:t>
            </w:r>
          </w:p>
        </w:tc>
        <w:tc>
          <w:tcPr>
            <w:tcW w:w="0" w:type="auto"/>
            <w:vAlign w:val="center"/>
            <w:hideMark/>
          </w:tcPr>
          <w:p w14:paraId="62E4B59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20–25</w:t>
            </w:r>
          </w:p>
        </w:tc>
        <w:tc>
          <w:tcPr>
            <w:tcW w:w="0" w:type="auto"/>
            <w:vAlign w:val="center"/>
            <w:hideMark/>
          </w:tcPr>
          <w:p w14:paraId="7B1810C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Persistent circulating mutation</w:t>
            </w:r>
          </w:p>
        </w:tc>
        <w:tc>
          <w:tcPr>
            <w:tcW w:w="0" w:type="auto"/>
            <w:vAlign w:val="center"/>
            <w:hideMark/>
          </w:tcPr>
          <w:p w14:paraId="6548FD8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Héritier 2017; Aricò 2020</w:t>
            </w:r>
          </w:p>
        </w:tc>
      </w:tr>
      <w:tr w:rsidR="003561F8" w:rsidRPr="003561F8" w14:paraId="6E47868B" w14:textId="77777777" w:rsidTr="003561F8">
        <w:trPr>
          <w:tblCellSpacing w:w="15" w:type="dxa"/>
        </w:trPr>
        <w:tc>
          <w:tcPr>
            <w:tcW w:w="0" w:type="auto"/>
            <w:vAlign w:val="center"/>
            <w:hideMark/>
          </w:tcPr>
          <w:p w14:paraId="13CB367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Multisystem LCH with risk-organ involvement</w:t>
            </w:r>
          </w:p>
        </w:tc>
        <w:tc>
          <w:tcPr>
            <w:tcW w:w="0" w:type="auto"/>
            <w:vAlign w:val="center"/>
            <w:hideMark/>
          </w:tcPr>
          <w:p w14:paraId="75F61A3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w:t>
            </w:r>
          </w:p>
        </w:tc>
        <w:tc>
          <w:tcPr>
            <w:tcW w:w="0" w:type="auto"/>
            <w:vAlign w:val="center"/>
            <w:hideMark/>
          </w:tcPr>
          <w:p w14:paraId="7D58DB1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70–85</w:t>
            </w:r>
          </w:p>
        </w:tc>
        <w:tc>
          <w:tcPr>
            <w:tcW w:w="0" w:type="auto"/>
            <w:vAlign w:val="center"/>
            <w:hideMark/>
          </w:tcPr>
          <w:p w14:paraId="54DAE2A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35–40</w:t>
            </w:r>
          </w:p>
        </w:tc>
        <w:tc>
          <w:tcPr>
            <w:tcW w:w="0" w:type="auto"/>
            <w:vAlign w:val="center"/>
            <w:hideMark/>
          </w:tcPr>
          <w:p w14:paraId="6C35983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Hepatic or bone marrow infiltration</w:t>
            </w:r>
          </w:p>
        </w:tc>
        <w:tc>
          <w:tcPr>
            <w:tcW w:w="0" w:type="auto"/>
            <w:vAlign w:val="center"/>
            <w:hideMark/>
          </w:tcPr>
          <w:p w14:paraId="5F1CC89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El-Mallawany 2020; Maia 2015</w:t>
            </w:r>
          </w:p>
        </w:tc>
      </w:tr>
      <w:tr w:rsidR="003561F8" w:rsidRPr="003561F8" w14:paraId="770A0FD5" w14:textId="77777777" w:rsidTr="003561F8">
        <w:trPr>
          <w:tblCellSpacing w:w="15" w:type="dxa"/>
        </w:trPr>
        <w:tc>
          <w:tcPr>
            <w:tcW w:w="0" w:type="auto"/>
            <w:vAlign w:val="center"/>
            <w:hideMark/>
          </w:tcPr>
          <w:p w14:paraId="490165D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Neurodegenerative LCH</w:t>
            </w:r>
          </w:p>
        </w:tc>
        <w:tc>
          <w:tcPr>
            <w:tcW w:w="0" w:type="auto"/>
            <w:vAlign w:val="center"/>
            <w:hideMark/>
          </w:tcPr>
          <w:p w14:paraId="55AD30A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w:t>
            </w:r>
          </w:p>
        </w:tc>
        <w:tc>
          <w:tcPr>
            <w:tcW w:w="0" w:type="auto"/>
            <w:vAlign w:val="center"/>
            <w:hideMark/>
          </w:tcPr>
          <w:p w14:paraId="702FD2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60–75</w:t>
            </w:r>
          </w:p>
        </w:tc>
        <w:tc>
          <w:tcPr>
            <w:tcW w:w="0" w:type="auto"/>
            <w:vAlign w:val="center"/>
            <w:hideMark/>
          </w:tcPr>
          <w:p w14:paraId="75A1D6C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45–50</w:t>
            </w:r>
          </w:p>
        </w:tc>
        <w:tc>
          <w:tcPr>
            <w:tcW w:w="0" w:type="auto"/>
            <w:vAlign w:val="center"/>
            <w:hideMark/>
          </w:tcPr>
          <w:p w14:paraId="5CBAC3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Cerebellar and brainstem lesions</w:t>
            </w:r>
          </w:p>
        </w:tc>
        <w:tc>
          <w:tcPr>
            <w:tcW w:w="0" w:type="auto"/>
            <w:vAlign w:val="center"/>
            <w:hideMark/>
          </w:tcPr>
          <w:p w14:paraId="03E1586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El-Mallawany 2017; Allen 2020</w:t>
            </w:r>
          </w:p>
        </w:tc>
      </w:tr>
      <w:tr w:rsidR="003561F8" w:rsidRPr="003561F8" w14:paraId="540D75B9" w14:textId="77777777" w:rsidTr="003561F8">
        <w:trPr>
          <w:tblCellSpacing w:w="15" w:type="dxa"/>
        </w:trPr>
        <w:tc>
          <w:tcPr>
            <w:tcW w:w="0" w:type="auto"/>
            <w:vAlign w:val="center"/>
            <w:hideMark/>
          </w:tcPr>
          <w:p w14:paraId="580E4E1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Adults (unifocal)</w:t>
            </w:r>
          </w:p>
        </w:tc>
        <w:tc>
          <w:tcPr>
            <w:tcW w:w="0" w:type="auto"/>
            <w:vAlign w:val="center"/>
            <w:hideMark/>
          </w:tcPr>
          <w:p w14:paraId="37D6E85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ARAF / NRAS</w:t>
            </w:r>
          </w:p>
        </w:tc>
        <w:tc>
          <w:tcPr>
            <w:tcW w:w="0" w:type="auto"/>
            <w:vAlign w:val="center"/>
            <w:hideMark/>
          </w:tcPr>
          <w:p w14:paraId="4A9BB0C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95–100</w:t>
            </w:r>
          </w:p>
        </w:tc>
        <w:tc>
          <w:tcPr>
            <w:tcW w:w="0" w:type="auto"/>
            <w:vAlign w:val="center"/>
            <w:hideMark/>
          </w:tcPr>
          <w:p w14:paraId="51D9F9C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5–10</w:t>
            </w:r>
          </w:p>
        </w:tc>
        <w:tc>
          <w:tcPr>
            <w:tcW w:w="0" w:type="auto"/>
            <w:vAlign w:val="center"/>
            <w:hideMark/>
          </w:tcPr>
          <w:p w14:paraId="3250B45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t>
            </w:r>
          </w:p>
        </w:tc>
        <w:tc>
          <w:tcPr>
            <w:tcW w:w="0" w:type="auto"/>
            <w:vAlign w:val="center"/>
            <w:hideMark/>
          </w:tcPr>
          <w:p w14:paraId="5D2448E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Lang 2023; Goyal 2022</w:t>
            </w:r>
          </w:p>
        </w:tc>
      </w:tr>
      <w:tr w:rsidR="003561F8" w:rsidRPr="003561F8" w14:paraId="69013475" w14:textId="77777777" w:rsidTr="003561F8">
        <w:trPr>
          <w:tblCellSpacing w:w="15" w:type="dxa"/>
        </w:trPr>
        <w:tc>
          <w:tcPr>
            <w:tcW w:w="0" w:type="auto"/>
            <w:vAlign w:val="center"/>
            <w:hideMark/>
          </w:tcPr>
          <w:p w14:paraId="236A0FB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Adults (multifocal)</w:t>
            </w:r>
          </w:p>
        </w:tc>
        <w:tc>
          <w:tcPr>
            <w:tcW w:w="0" w:type="auto"/>
            <w:vAlign w:val="center"/>
            <w:hideMark/>
          </w:tcPr>
          <w:p w14:paraId="36E9298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w:t>
            </w:r>
          </w:p>
        </w:tc>
        <w:tc>
          <w:tcPr>
            <w:tcW w:w="0" w:type="auto"/>
            <w:vAlign w:val="center"/>
            <w:hideMark/>
          </w:tcPr>
          <w:p w14:paraId="29EB28A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80–90</w:t>
            </w:r>
          </w:p>
        </w:tc>
        <w:tc>
          <w:tcPr>
            <w:tcW w:w="0" w:type="auto"/>
            <w:vAlign w:val="center"/>
            <w:hideMark/>
          </w:tcPr>
          <w:p w14:paraId="3D82D41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25–30</w:t>
            </w:r>
          </w:p>
        </w:tc>
        <w:tc>
          <w:tcPr>
            <w:tcW w:w="0" w:type="auto"/>
            <w:vAlign w:val="center"/>
            <w:hideMark/>
          </w:tcPr>
          <w:p w14:paraId="5F0EB51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Late bone relapse</w:t>
            </w:r>
          </w:p>
        </w:tc>
        <w:tc>
          <w:tcPr>
            <w:tcW w:w="0" w:type="auto"/>
            <w:vAlign w:val="center"/>
            <w:hideMark/>
          </w:tcPr>
          <w:p w14:paraId="52462B8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Goyal 2020; Veyssier-Belot 2019</w:t>
            </w:r>
          </w:p>
        </w:tc>
      </w:tr>
    </w:tbl>
    <w:p w14:paraId="5FB24216" w14:textId="3C404C98" w:rsidR="00753FA6" w:rsidRPr="003561F8" w:rsidRDefault="003561F8" w:rsidP="00753FA6">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120EE5FE" w14:textId="6A179FFF" w:rsidR="00357A73" w:rsidRDefault="00357A73" w:rsidP="00357A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7F342B7E" w14:textId="1E64A304" w:rsidR="00843C73" w:rsidRDefault="00843C73"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843C73">
        <w:rPr>
          <w:rFonts w:ascii="Arial" w:eastAsia="Times New Roman" w:hAnsi="Arial" w:cs="Arial"/>
          <w:sz w:val="20"/>
          <w:szCs w:val="20"/>
          <w:lang w:eastAsia="pt-BR"/>
        </w:rPr>
        <w:t>The results of this systematic review show that the current understanding of Langerhans Cell Histiocytosis (LCH) has advanced significantly over the past decade, particularly with the progress of molecular biology techniques. The identification of recurrent mutations in genes of the MAPK/ERK pathway, such as BRAF V600E and MAP2K1, has allowed LCH to be redefined not merely as an inflammatory disorder but as a clonal neoplasm of myeloid cells with variable behavior. This paradigm shift has a direct impact on therapeutic strategies, guiding the development of specific targeted therapies and altering the prognosis of patients who were previously treated only with conventional chemotherapy regimens.</w:t>
      </w:r>
    </w:p>
    <w:p w14:paraId="40882A08" w14:textId="1F8CFF8B"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 xml:space="preserve">This systematic review confirms Langerhans Cell Histiocytosis (LCH) as an inflammatory myeloid neoplasm driven by constitutive activation of the MAPK pathway, supported by clinical </w:t>
      </w:r>
      <w:r w:rsidRPr="009254C9">
        <w:rPr>
          <w:rFonts w:ascii="Arial" w:eastAsia="Times New Roman" w:hAnsi="Arial" w:cs="Arial"/>
          <w:sz w:val="20"/>
          <w:szCs w:val="20"/>
          <w:lang w:eastAsia="pt-BR"/>
        </w:rPr>
        <w:lastRenderedPageBreak/>
        <w:t>and cohort studies documenting a high prevalence of BRAFV600E and recurrent MAP2K1 mutations in both pediatric and adult populations (1–5). Across multicenter and institutional cohorts, BRAFV600E is consistently associated with higher tumor burden, multisystem involvement, and increased risk of reactivation, whereas MAP2K1 mutations are more often found in localized bone disease, frequently unifocal and with a more favorable prognosis (2–5). These findings carry direct therapeutic and prognostic implications, as genotype-based classification increasingly guides therapeutic escalation and the selection of targeted MAPK inhibition strategies (6–10).</w:t>
      </w:r>
    </w:p>
    <w:p w14:paraId="3F37BFCA" w14:textId="13E90D46"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From an orthopedic and pediatric standpoint, the skeleton remains the most frequently affected organ, with preferential involvement of the calvarium, mandible, vertebral column, and long bones, a pattern confirmed by Brazilian, European, and Asian institutional series (1,3,5,11–14). Radiographically, lesions are typically well-defined and lytic; in the spine, vertebra plana is the hallmark finding, sometimes requiring surgical stabilization in cases of refractory pain or mechanical instability (11–13). In children with unifocal osseous LCH, conservative strategies such as clinical observation, intralesional corticosteroid injection, or curettage achieve high local control and functional preservation rates, as demonstrated in institutional cohorts (1,11,12,14</w:t>
      </w:r>
      <w:r w:rsidR="00B93FEC">
        <w:rPr>
          <w:rFonts w:ascii="Arial" w:eastAsia="Times New Roman" w:hAnsi="Arial" w:cs="Arial"/>
          <w:sz w:val="20"/>
          <w:szCs w:val="20"/>
          <w:lang w:eastAsia="pt-BR"/>
        </w:rPr>
        <w:t>-18</w:t>
      </w:r>
      <w:r w:rsidRPr="009254C9">
        <w:rPr>
          <w:rFonts w:ascii="Arial" w:eastAsia="Times New Roman" w:hAnsi="Arial" w:cs="Arial"/>
          <w:sz w:val="20"/>
          <w:szCs w:val="20"/>
          <w:lang w:eastAsia="pt-BR"/>
        </w:rPr>
        <w:t>). Craniofacial and vertebral lesions require long-term follow-up due to the association with hypothalamic–pituitary dysfunction and potential neurological sequelae, especially when concomitant systemic disease is present (3,5,11,13</w:t>
      </w:r>
      <w:r w:rsidR="00B93FEC">
        <w:rPr>
          <w:rFonts w:ascii="Arial" w:eastAsia="Times New Roman" w:hAnsi="Arial" w:cs="Arial"/>
          <w:sz w:val="20"/>
          <w:szCs w:val="20"/>
          <w:lang w:eastAsia="pt-BR"/>
        </w:rPr>
        <w:t>-20</w:t>
      </w:r>
      <w:r w:rsidRPr="009254C9">
        <w:rPr>
          <w:rFonts w:ascii="Arial" w:eastAsia="Times New Roman" w:hAnsi="Arial" w:cs="Arial"/>
          <w:sz w:val="20"/>
          <w:szCs w:val="20"/>
          <w:lang w:eastAsia="pt-BR"/>
        </w:rPr>
        <w:t>).</w:t>
      </w:r>
    </w:p>
    <w:p w14:paraId="689E5757" w14:textId="1D99F27C"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Regarding systemic therapy, clinical cohorts demonstrate that vinblastine–prednisone–based chemotherapy remains effective as first-line treatment for multisystem pediatric LCH, though relapse occurs in approximately one quarter to one third of patients, prompting the integration of targeted therapy for refractory or high-risk cases (6,11,15). BRAF inhibitors (vemurafenib, dabrafenib) and MEK inhibitors (cobimetinib, trametinib) have produced high objective response rates and rapid radiological improvements in both adult and pediatric patients, including bone lesion regression, as shown in studies published between 2019 and 2024 (7–10,16–</w:t>
      </w:r>
      <w:r w:rsidR="00B93FEC">
        <w:rPr>
          <w:rFonts w:ascii="Arial" w:eastAsia="Times New Roman" w:hAnsi="Arial" w:cs="Arial"/>
          <w:sz w:val="20"/>
          <w:szCs w:val="20"/>
          <w:lang w:eastAsia="pt-BR"/>
        </w:rPr>
        <w:t>25</w:t>
      </w:r>
      <w:r w:rsidRPr="009254C9">
        <w:rPr>
          <w:rFonts w:ascii="Arial" w:eastAsia="Times New Roman" w:hAnsi="Arial" w:cs="Arial"/>
          <w:sz w:val="20"/>
          <w:szCs w:val="20"/>
          <w:lang w:eastAsia="pt-BR"/>
        </w:rPr>
        <w:t>). In BRAFV600E-positive children, phase II trials and multicenter series indicate that dual BRAF+MEK inhibition achieves deeper and more durable responses, though optimal treatment duration, withdrawal strategy, and relapse risk remain uncertain (8,10,16,17</w:t>
      </w:r>
      <w:r w:rsidR="00B93FEC">
        <w:rPr>
          <w:rFonts w:ascii="Arial" w:eastAsia="Times New Roman" w:hAnsi="Arial" w:cs="Arial"/>
          <w:sz w:val="20"/>
          <w:szCs w:val="20"/>
          <w:lang w:eastAsia="pt-BR"/>
        </w:rPr>
        <w:t>-27</w:t>
      </w:r>
      <w:r w:rsidRPr="009254C9">
        <w:rPr>
          <w:rFonts w:ascii="Arial" w:eastAsia="Times New Roman" w:hAnsi="Arial" w:cs="Arial"/>
          <w:sz w:val="20"/>
          <w:szCs w:val="20"/>
          <w:lang w:eastAsia="pt-BR"/>
        </w:rPr>
        <w:t>). These challenges underscore the need for harmonized response criteria integrating functional imaging and, where feasible, molecular monitoring in peripheral blood for early detection of residual disease (8,10,15–18).</w:t>
      </w:r>
    </w:p>
    <w:p w14:paraId="5C6FC2F1" w14:textId="5D47828F"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Age-specific differences observed across cohorts reveal that pediatric patients present with more severe systemic disease and frequent craniofacial or vertebral involvement, particularly in BRAFV600E-positive cases, whereas adults more commonly exhibit unifocal bone disease and a more indolent course, though with a measurable rate of late skeletal relapse (1–5,12,13,16–</w:t>
      </w:r>
      <w:r w:rsidR="00186099">
        <w:rPr>
          <w:rFonts w:ascii="Arial" w:eastAsia="Times New Roman" w:hAnsi="Arial" w:cs="Arial"/>
          <w:sz w:val="20"/>
          <w:szCs w:val="20"/>
          <w:lang w:eastAsia="pt-BR"/>
        </w:rPr>
        <w:t>22</w:t>
      </w:r>
      <w:r w:rsidRPr="009254C9">
        <w:rPr>
          <w:rFonts w:ascii="Arial" w:eastAsia="Times New Roman" w:hAnsi="Arial" w:cs="Arial"/>
          <w:sz w:val="20"/>
          <w:szCs w:val="20"/>
          <w:lang w:eastAsia="pt-BR"/>
        </w:rPr>
        <w:t>). These discrepancies justify age- and genotype-stratified algorithms, prioritizing growth and functional preservation in children and relapse surveillance in adults.</w:t>
      </w:r>
    </w:p>
    <w:p w14:paraId="4162CA16" w14:textId="5DEBF38A"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lastRenderedPageBreak/>
        <w:t>Prognostic data from pediatric and multicenter cohorts indicate five-year overall survival rates exceeding 90% in localized disease, with poorer outcomes in risk-organ and neurodegenerative variants, in which neurologic morbidity persists despite systemic control (3,6,11–13,15</w:t>
      </w:r>
      <w:r w:rsidR="00186099">
        <w:rPr>
          <w:rFonts w:ascii="Arial" w:eastAsia="Times New Roman" w:hAnsi="Arial" w:cs="Arial"/>
          <w:sz w:val="20"/>
          <w:szCs w:val="20"/>
          <w:lang w:eastAsia="pt-BR"/>
        </w:rPr>
        <w:t>-22</w:t>
      </w:r>
      <w:r w:rsidRPr="009254C9">
        <w:rPr>
          <w:rFonts w:ascii="Arial" w:eastAsia="Times New Roman" w:hAnsi="Arial" w:cs="Arial"/>
          <w:sz w:val="20"/>
          <w:szCs w:val="20"/>
          <w:lang w:eastAsia="pt-BR"/>
        </w:rPr>
        <w:t>). Clinical evidence suggests that BRAFV600E-positive status in lesional tissue correlates with an increased relapse risk; serial molecular monitoring in peripheral blood (ctDNA or PBMCs) shows potential for disease surveillance but still lacks standardization and prospective validation for routine use (8,10,16–18).</w:t>
      </w:r>
    </w:p>
    <w:p w14:paraId="595DAF7F" w14:textId="77777777"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This synthesis is limited by heterogeneity among included studies, predominance of retrospective designs, variability in genetic sequencing panels, inconsistent use of PET/CT and whole-body MRI, and lack of unified response criteria—factors that precluded a formal quantitative meta-analysis (1–5,11–18). According to the Oxford Centre for Evidence-Based Medicine (OCEBM) levels, therapeutic outcomes with MAPK inhibitors derive mostly from cohort and prospective case-series data (levels 2–3), while the efficacy of local orthopedic management is supported by institutional series (levels 3–4). Randomized trials directly comparing chemotherapy with targeted therapy across molecular subgroups remain unavailable as of 2025.</w:t>
      </w:r>
    </w:p>
    <w:p w14:paraId="2761F7E5" w14:textId="3C88E46B" w:rsidR="009254C9" w:rsidRP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Future research should prioritize multicenter, prospective trials stratified by BRAFV600E and MAP2K1 status across pediatric and adult groups, comparing standard chemotherapy with targeted regimens (single-agent or combination), assessing clinical, functional, and quality-of-life outcomes, and integrating molecular biomarkers as endpoints for residual disease and relapse (8,10,15–</w:t>
      </w:r>
      <w:r w:rsidR="00186099">
        <w:rPr>
          <w:rFonts w:ascii="Arial" w:eastAsia="Times New Roman" w:hAnsi="Arial" w:cs="Arial"/>
          <w:sz w:val="20"/>
          <w:szCs w:val="20"/>
          <w:lang w:eastAsia="pt-BR"/>
        </w:rPr>
        <w:t>22</w:t>
      </w:r>
      <w:r w:rsidRPr="009254C9">
        <w:rPr>
          <w:rFonts w:ascii="Arial" w:eastAsia="Times New Roman" w:hAnsi="Arial" w:cs="Arial"/>
          <w:sz w:val="20"/>
          <w:szCs w:val="20"/>
          <w:lang w:eastAsia="pt-BR"/>
        </w:rPr>
        <w:t>). Clinically, conservative management should remain standard for low-risk unifocal bone lesions, with early escalation to targeted therapy in high-burden or refractory disease, and multidisciplinary long-term follow-up employing standardized imaging and functional assessment protocols (1,3,6,11–14,16–</w:t>
      </w:r>
      <w:r w:rsidR="00B93FEC">
        <w:rPr>
          <w:rFonts w:ascii="Arial" w:eastAsia="Times New Roman" w:hAnsi="Arial" w:cs="Arial"/>
          <w:sz w:val="20"/>
          <w:szCs w:val="20"/>
          <w:lang w:eastAsia="pt-BR"/>
        </w:rPr>
        <w:t>27</w:t>
      </w:r>
      <w:r w:rsidRPr="009254C9">
        <w:rPr>
          <w:rFonts w:ascii="Arial" w:eastAsia="Times New Roman" w:hAnsi="Arial" w:cs="Arial"/>
          <w:sz w:val="20"/>
          <w:szCs w:val="20"/>
          <w:lang w:eastAsia="pt-BR"/>
        </w:rPr>
        <w:t>).</w:t>
      </w:r>
    </w:p>
    <w:p w14:paraId="1A2D0F7C" w14:textId="77777777" w:rsidR="00357A73" w:rsidRPr="008C3E1C" w:rsidRDefault="00357A73" w:rsidP="00357A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447C2DB6" w14:textId="77777777" w:rsidR="001D3EAC" w:rsidRP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This systematic review consolidates a decade of evidence (2015–2025) demonstrating that Langerhans Cell Histiocytosis (LCH) is not merely an inflammatory disorder but a clonal myeloid neoplasm driven by constitutive activation of the MAPK signaling pathway. The predominance of BRAFV600E and MAP2K1 mutations defines distinct biological and clinical subsets: BRAFV600E is strongly associated with multisystem, aggressive disease and higher relapse rates, while MAP2K1 mutations are primarily linked to localized, osseous forms with more favorable prognosis.</w:t>
      </w:r>
    </w:p>
    <w:p w14:paraId="173F4AD9"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The incorporation of molecular testing into diagnostic workflows has transformed disease classification, enabling genotype-based risk stratification and targeted therapy selection. The introduction of BRAF and MEK inhibitors has achieved unprecedented response rates in refractory or relapsed LCH, with rapid radiologic regression and improvement in bone pain. Nevertheless, the durability of these responses and the long-term safety of targeted inhibition</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lastRenderedPageBreak/>
        <w:t>particularly in pediatric populations</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remain uncertain, highlighting the need for structured long-term surveillance and standardized discontinuation strategies.</w:t>
      </w:r>
    </w:p>
    <w:p w14:paraId="18FD3AD3"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Orthopedic outcomes remain central to the clinical burden of LCH. Skeletal involvement, present in more than half of all pediatric cases, frequently affects the skull, mandible, spine, and long bones. Conservative management</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including observation, intralesional corticosteroids, and limited curettage</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has proven highly effective in unifocal bone disease, preserving structural integrity and minimizing functional sequelae. In contrast, spinal and craniofacial lesions demand prolonged multidisciplinary monitoring due to the risk of pituitary dysfunction, vertebral collapse, and neurodegenerative progression.</w:t>
      </w:r>
    </w:p>
    <w:p w14:paraId="57607172"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Prognostically, the five-year overall survival exceeds 90% in localized disease and remains satisfactory even in multisystem forms when adequately treated. However, disease reactivation</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especially among BRAFV600E-positive patients with risk-organ involvement</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continues to challenge long-term disease control. The use of circulating tumor DNA (ctDNA) and peripheral molecular monitoring represents a promising avenue for early relapse detection and individualized therapeutic adjustment.</w:t>
      </w:r>
    </w:p>
    <w:p w14:paraId="4A541698"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Despite the remarkable progress of the past decade, LCH research and clinical management remain fragmented by methodological heterogeneity, small sample sizes, and absence of randomized trials. The integration of standardized diagnostic algorithms, molecular biomarkers, and functional outcomes into future multicenter studies is crucial. Prospective trials should evaluate not only survival but also functional recovery, skeletal growth, and quality of life, especially in pediatric patients.</w:t>
      </w:r>
    </w:p>
    <w:p w14:paraId="1C40BE95"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In conclusion, LCH exemplifies the paradigm shift in modern hematologic oncology: from empiric cytotoxic therapy to genotype-directed precision medicine. The combination of molecular stratification, targeted therapies, and multidisciplinary orthopedic care offers the potential for durable remission with preserved function and improved quality of life. Achieving this goal will require international collaboration, consistent implementation of molecular diagnostics, and long-term registries capturing both clinical and functional outcomes.</w:t>
      </w:r>
    </w:p>
    <w:p w14:paraId="2473203E" w14:textId="2B0DFBFD" w:rsidR="00357A73" w:rsidRPr="008C3E1C" w:rsidRDefault="00357A73" w:rsidP="001D3EAC">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t>COMPETING INTERESTS</w:t>
      </w:r>
    </w:p>
    <w:p w14:paraId="6FA8B261" w14:textId="77777777" w:rsidR="00357A73" w:rsidRDefault="00357A73" w:rsidP="00357A73">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2FF49070" w14:textId="77777777" w:rsidR="0068287B" w:rsidRPr="0068287B" w:rsidRDefault="0068287B" w:rsidP="0068287B">
      <w:pPr>
        <w:spacing w:after="200" w:line="276" w:lineRule="auto"/>
        <w:jc w:val="both"/>
        <w:outlineLvl w:val="0"/>
        <w:rPr>
          <w:rFonts w:ascii="Arial" w:eastAsia="Times New Roman" w:hAnsi="Arial" w:cs="Arial"/>
          <w:lang w:val="en-GB" w:eastAsia="en-GB"/>
        </w:rPr>
      </w:pPr>
      <w:r w:rsidRPr="0068287B">
        <w:rPr>
          <w:rFonts w:ascii="Arial" w:eastAsia="Times New Roman" w:hAnsi="Arial" w:cs="Arial"/>
          <w:b/>
          <w:bCs/>
          <w:lang w:val="en-GB" w:eastAsia="en-GB"/>
        </w:rPr>
        <w:t>COMPETING INTERESTS DISCLAIMER:</w:t>
      </w:r>
    </w:p>
    <w:p w14:paraId="5455F12D" w14:textId="77777777" w:rsidR="0068287B" w:rsidRPr="0068287B" w:rsidRDefault="0068287B" w:rsidP="0068287B">
      <w:pPr>
        <w:spacing w:after="200" w:line="276" w:lineRule="auto"/>
        <w:rPr>
          <w:rFonts w:ascii="Calibri" w:eastAsia="Times New Roman" w:hAnsi="Calibri" w:cs="Times New Roman"/>
          <w:lang w:val="en-GB" w:eastAsia="en-GB"/>
        </w:rPr>
      </w:pPr>
      <w:r w:rsidRPr="0068287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62331D6" w14:textId="77777777" w:rsidR="0068287B" w:rsidRPr="0068287B" w:rsidRDefault="0068287B" w:rsidP="0068287B">
      <w:pPr>
        <w:spacing w:after="200" w:line="276" w:lineRule="auto"/>
        <w:rPr>
          <w:rFonts w:ascii="Calibri" w:eastAsia="Times New Roman" w:hAnsi="Calibri" w:cs="Times New Roman"/>
          <w:lang w:val="en-GB" w:eastAsia="en-GB"/>
        </w:rPr>
      </w:pPr>
    </w:p>
    <w:p w14:paraId="4AD03B94" w14:textId="77777777" w:rsidR="0068287B" w:rsidRPr="008C3E1C" w:rsidRDefault="0068287B" w:rsidP="00357A73">
      <w:pPr>
        <w:spacing w:before="100" w:beforeAutospacing="1" w:after="100" w:afterAutospacing="1" w:line="360" w:lineRule="auto"/>
        <w:ind w:firstLine="360"/>
        <w:jc w:val="both"/>
        <w:rPr>
          <w:rFonts w:ascii="Arial" w:eastAsia="Times New Roman" w:hAnsi="Arial" w:cs="Arial"/>
          <w:sz w:val="20"/>
          <w:szCs w:val="20"/>
          <w:lang w:eastAsia="pt-BR"/>
        </w:rPr>
      </w:pPr>
    </w:p>
    <w:p w14:paraId="35D0147F" w14:textId="77777777" w:rsidR="00357A73" w:rsidRPr="008C3E1C" w:rsidRDefault="00357A73" w:rsidP="00357A73">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2C64C890" w14:textId="1FEF2C5B" w:rsidR="00E47481" w:rsidRDefault="00537503"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537503">
        <w:rPr>
          <w:rFonts w:ascii="Arial" w:eastAsia="Times New Roman" w:hAnsi="Arial" w:cs="Arial"/>
          <w:b/>
          <w:bCs/>
          <w:lang w:eastAsia="pt-BR"/>
        </w:rPr>
        <w:t xml:space="preserve">Allen, C. E., Merad, M., &amp; McClain, K. L. (2018). </w:t>
      </w:r>
      <w:r w:rsidRPr="00537503">
        <w:rPr>
          <w:rFonts w:ascii="Arial" w:eastAsia="Times New Roman" w:hAnsi="Arial" w:cs="Arial"/>
          <w:bCs/>
          <w:lang w:eastAsia="pt-BR"/>
        </w:rPr>
        <w:t xml:space="preserve">Langerhans-cell histiocytosis. New England Journal of Medicine, 379(9), 856–868. </w:t>
      </w:r>
      <w:hyperlink r:id="rId7" w:history="1">
        <w:r w:rsidRPr="00537503">
          <w:rPr>
            <w:rStyle w:val="Hyperlink"/>
            <w:rFonts w:ascii="Arial" w:eastAsia="Times New Roman" w:hAnsi="Arial" w:cs="Arial"/>
            <w:bCs/>
            <w:lang w:eastAsia="pt-BR"/>
          </w:rPr>
          <w:t>https://doi.org/10.1056/NEJMra1607548</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5E341455" w14:textId="1FA464EF" w:rsidR="00E47481" w:rsidRDefault="001E5B50"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1E5B50">
        <w:rPr>
          <w:rFonts w:ascii="Arial" w:eastAsia="Times New Roman" w:hAnsi="Arial" w:cs="Arial"/>
          <w:b/>
          <w:bCs/>
          <w:lang w:eastAsia="pt-BR"/>
        </w:rPr>
        <w:t xml:space="preserve">Badalian-Very, G., Vergilio, J. A., Degar, B. A., MacConaill, L. E., Brandner, B., Calicchio, M. L., Kuo, F. C., Ligon, A. H., Stevenson, K. E., Kehoe, S. M., Garraway, L. A., Hahn, W. C., Meyerson, M., Fleming, M. D., &amp; Rollins, B. J. (2010). </w:t>
      </w:r>
      <w:r w:rsidRPr="0021303D">
        <w:rPr>
          <w:rFonts w:ascii="Arial" w:eastAsia="Times New Roman" w:hAnsi="Arial" w:cs="Arial"/>
          <w:bCs/>
          <w:lang w:eastAsia="pt-BR"/>
        </w:rPr>
        <w:t xml:space="preserve">Recurrent BRAF mutations in Langerhans cell histiocytosis. Blood, 116(11), 1919–1923. </w:t>
      </w:r>
      <w:hyperlink r:id="rId8" w:history="1">
        <w:r w:rsidRPr="0021303D">
          <w:rPr>
            <w:rStyle w:val="Hyperlink"/>
            <w:rFonts w:ascii="Arial" w:eastAsia="Times New Roman" w:hAnsi="Arial" w:cs="Arial"/>
            <w:bCs/>
            <w:lang w:eastAsia="pt-BR"/>
          </w:rPr>
          <w:t>https://doi.org/10.1182/blood-2010-04-279083</w:t>
        </w:r>
      </w:hyperlink>
      <w:r>
        <w:rPr>
          <w:rFonts w:ascii="Arial" w:eastAsia="Times New Roman" w:hAnsi="Arial" w:cs="Arial"/>
          <w:b/>
          <w:bCs/>
          <w:lang w:eastAsia="pt-BR"/>
        </w:rPr>
        <w:t xml:space="preserve"> </w:t>
      </w:r>
    </w:p>
    <w:p w14:paraId="727C8152" w14:textId="3168F1E8" w:rsidR="00E47481" w:rsidRPr="00E47481" w:rsidRDefault="00A86220"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A86220">
        <w:rPr>
          <w:rFonts w:ascii="Arial" w:eastAsia="Times New Roman" w:hAnsi="Arial" w:cs="Arial"/>
          <w:b/>
          <w:bCs/>
          <w:lang w:eastAsia="pt-BR"/>
        </w:rPr>
        <w:t xml:space="preserve">Rodriguez-Galindo, C., &amp; Allen, C. E. (2020). </w:t>
      </w:r>
      <w:r w:rsidRPr="00026AE3">
        <w:rPr>
          <w:rFonts w:ascii="Arial" w:eastAsia="Times New Roman" w:hAnsi="Arial" w:cs="Arial"/>
          <w:bCs/>
          <w:lang w:eastAsia="pt-BR"/>
        </w:rPr>
        <w:t xml:space="preserve">Langerhans cell histiocytosis. Blood, 135(16), 1319–1331. </w:t>
      </w:r>
      <w:hyperlink r:id="rId9" w:history="1">
        <w:r w:rsidRPr="00026AE3">
          <w:rPr>
            <w:rStyle w:val="Hyperlink"/>
            <w:rFonts w:ascii="Arial" w:eastAsia="Times New Roman" w:hAnsi="Arial" w:cs="Arial"/>
            <w:bCs/>
            <w:lang w:eastAsia="pt-BR"/>
          </w:rPr>
          <w:t>https://doi.org/10.1182/blood.2019000934</w:t>
        </w:r>
      </w:hyperlink>
      <w:r>
        <w:rPr>
          <w:rFonts w:ascii="Arial" w:eastAsia="Times New Roman" w:hAnsi="Arial" w:cs="Arial"/>
          <w:b/>
          <w:bCs/>
          <w:lang w:eastAsia="pt-BR"/>
        </w:rPr>
        <w:t xml:space="preserve"> </w:t>
      </w:r>
    </w:p>
    <w:p w14:paraId="41EBC7A5" w14:textId="073BFDC4" w:rsidR="00E47481" w:rsidRPr="00E47481" w:rsidRDefault="00404E71"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404E71">
        <w:rPr>
          <w:rFonts w:ascii="Arial" w:eastAsia="Times New Roman" w:hAnsi="Arial" w:cs="Arial"/>
          <w:b/>
          <w:bCs/>
          <w:lang w:eastAsia="pt-BR"/>
        </w:rPr>
        <w:t xml:space="preserve">Goyal, G., Tazi, A., Go, R. S., Rech, K. L., Picarsic, J. L., Vassallo, R., Young, J. R., Haroche, J., Collin, M., McClain, K. L., Diamond, E. L., Girschikofsky, M., Emile, J.-F., Donadieu, J., Allen, C. E., Janku, F., Kreitman, R. J., Chu, D. S. H., de Ville de Goyet, J.-P., ... Link, M. J. (2022). </w:t>
      </w:r>
      <w:r w:rsidRPr="00404E71">
        <w:rPr>
          <w:rFonts w:ascii="Arial" w:eastAsia="Times New Roman" w:hAnsi="Arial" w:cs="Arial"/>
          <w:bCs/>
          <w:lang w:eastAsia="pt-BR"/>
        </w:rPr>
        <w:t xml:space="preserve">International expert consensus recommendations for the diagnosis and treatment of Langerhans cell histiocytosis in adults. *Blood*, *139*(17), 2601–2621. </w:t>
      </w:r>
      <w:hyperlink r:id="rId10" w:history="1">
        <w:r w:rsidRPr="00404E71">
          <w:rPr>
            <w:rStyle w:val="Hyperlink"/>
            <w:rFonts w:ascii="Arial" w:eastAsia="Times New Roman" w:hAnsi="Arial" w:cs="Arial"/>
            <w:bCs/>
            <w:lang w:eastAsia="pt-BR"/>
          </w:rPr>
          <w:t>https://doi.org/10.1182/blood.2021014343</w:t>
        </w:r>
      </w:hyperlink>
      <w:r>
        <w:rPr>
          <w:rFonts w:ascii="Arial" w:eastAsia="Times New Roman" w:hAnsi="Arial" w:cs="Arial"/>
          <w:b/>
          <w:bCs/>
          <w:lang w:eastAsia="pt-BR"/>
        </w:rPr>
        <w:t xml:space="preserve"> </w:t>
      </w:r>
    </w:p>
    <w:p w14:paraId="67502E1F" w14:textId="381A29FB" w:rsidR="00E47481" w:rsidRPr="00E47481" w:rsidRDefault="007A32D2"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7A32D2">
        <w:rPr>
          <w:rFonts w:ascii="Arial" w:eastAsia="Times New Roman" w:hAnsi="Arial" w:cs="Arial"/>
          <w:b/>
          <w:bCs/>
          <w:lang w:eastAsia="pt-BR"/>
        </w:rPr>
        <w:t xml:space="preserve">Héritier, S., Emile, J-F., Barkaoui, M-A., Thomas, C., Fraitag, S., Boudjemaa, S., Renaud, F., Moreau, A., Peuchmaur, M., Chassagne-Clément, C., Dijoud, F., Rigau, V., Moshous, D., Lambilliotte, A., Mazingue, F., Kebaili, K., Miron, J., Jeziorski, E., Plat, G., ... Donadieu, J. (2016). </w:t>
      </w:r>
      <w:r w:rsidRPr="00D040A3">
        <w:rPr>
          <w:rFonts w:ascii="Arial" w:eastAsia="Times New Roman" w:hAnsi="Arial" w:cs="Arial"/>
          <w:bCs/>
          <w:lang w:eastAsia="pt-BR"/>
        </w:rPr>
        <w:t xml:space="preserve">BRAF mutation correlates with high-risk Langerhans cell histiocytosis and increased resistance to first-line therapy. Journal of Clinical Oncology. </w:t>
      </w:r>
      <w:hyperlink r:id="rId11" w:history="1">
        <w:r w:rsidRPr="00D040A3">
          <w:rPr>
            <w:rStyle w:val="Hyperlink"/>
            <w:rFonts w:ascii="Arial" w:eastAsia="Times New Roman" w:hAnsi="Arial" w:cs="Arial"/>
            <w:bCs/>
            <w:lang w:eastAsia="pt-BR"/>
          </w:rPr>
          <w:t>https://doi.org/10.1200/JCO.2015.65.9508</w:t>
        </w:r>
      </w:hyperlink>
      <w:r>
        <w:rPr>
          <w:rFonts w:ascii="Arial" w:eastAsia="Times New Roman" w:hAnsi="Arial" w:cs="Arial"/>
          <w:b/>
          <w:bCs/>
          <w:lang w:eastAsia="pt-BR"/>
        </w:rPr>
        <w:t xml:space="preserve"> </w:t>
      </w:r>
    </w:p>
    <w:p w14:paraId="79C77066" w14:textId="1015FC4C" w:rsidR="00E47481" w:rsidRPr="00E47481" w:rsidRDefault="003F2100"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3F2100">
        <w:rPr>
          <w:rFonts w:ascii="Arial" w:eastAsia="Times New Roman" w:hAnsi="Arial" w:cs="Arial"/>
          <w:b/>
          <w:bCs/>
          <w:lang w:eastAsia="pt-BR"/>
        </w:rPr>
        <w:t xml:space="preserve">Melloul, S., Hélias-Rodzewicz, Z., Cohen-Aubart, F., Charlotte, F., Fraitag, S., Terrones, N., Riller, Q., Chazal, T., Héritier, S., Moreau, A., Kambouchner, M., Copin, M. C., Donadieu, J., Taly, V., Amoura, Z., Haroche, J., &amp; Emile, J. F. (2019). </w:t>
      </w:r>
      <w:r w:rsidRPr="00C60A20">
        <w:rPr>
          <w:rFonts w:ascii="Arial" w:eastAsia="Times New Roman" w:hAnsi="Arial" w:cs="Arial"/>
          <w:bCs/>
          <w:lang w:eastAsia="pt-BR"/>
        </w:rPr>
        <w:t xml:space="preserve">Highly sensitive methods are required to detect mutations in histiocytoses. Haematologica, 104(3), e97–e99. </w:t>
      </w:r>
      <w:hyperlink r:id="rId12" w:history="1">
        <w:r w:rsidRPr="00C60A20">
          <w:rPr>
            <w:rStyle w:val="Hyperlink"/>
            <w:rFonts w:ascii="Arial" w:eastAsia="Times New Roman" w:hAnsi="Arial" w:cs="Arial"/>
            <w:bCs/>
            <w:lang w:eastAsia="pt-BR"/>
          </w:rPr>
          <w:t>https://doi.org/10.3324/haematol.2018.201194</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29B14300" w14:textId="1168E64B" w:rsidR="00E47481" w:rsidRPr="00E47481" w:rsidRDefault="003E7291"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3E7291">
        <w:rPr>
          <w:rFonts w:ascii="Arial" w:eastAsia="Times New Roman" w:hAnsi="Arial" w:cs="Arial"/>
          <w:b/>
          <w:bCs/>
          <w:lang w:eastAsia="pt-BR"/>
        </w:rPr>
        <w:t xml:space="preserve">Donadieu, J., Bernard, F., Van Noesel, M., Barkaoui, M., Bardet, O., Mura, R. M., Aricò, M., Piguet, C., Gandemer, V., Armari Alla, C., Clausen, N., Jeziorski, E., Lambilliote, A., Weitzman, S. S., Henter, J. I., &amp; van den Bos, </w:t>
      </w:r>
      <w:r w:rsidRPr="003E7291">
        <w:rPr>
          <w:rFonts w:ascii="Arial" w:eastAsia="Times New Roman" w:hAnsi="Arial" w:cs="Arial"/>
          <w:b/>
          <w:bCs/>
          <w:lang w:eastAsia="pt-BR"/>
        </w:rPr>
        <w:lastRenderedPageBreak/>
        <w:t xml:space="preserve">C. (2015). </w:t>
      </w:r>
      <w:r w:rsidRPr="0094455D">
        <w:rPr>
          <w:rFonts w:ascii="Arial" w:eastAsia="Times New Roman" w:hAnsi="Arial" w:cs="Arial"/>
          <w:bCs/>
          <w:lang w:eastAsia="pt-BR"/>
        </w:rPr>
        <w:t xml:space="preserve">Cladribine and cytarabine in refractory multisystem Langerhans cell histiocytosis: results of an international phase 2 study. Blood, 126(12), 1415–1423. </w:t>
      </w:r>
      <w:hyperlink r:id="rId13" w:history="1">
        <w:r w:rsidRPr="0094455D">
          <w:rPr>
            <w:rStyle w:val="Hyperlink"/>
            <w:rFonts w:ascii="Arial" w:eastAsia="Times New Roman" w:hAnsi="Arial" w:cs="Arial"/>
            <w:bCs/>
            <w:lang w:eastAsia="pt-BR"/>
          </w:rPr>
          <w:t>https://doi.org/10.1182/blood-2015-03-635151</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03433998" w14:textId="1BDC4872" w:rsidR="00E47481" w:rsidRPr="00E47481" w:rsidRDefault="0014499E"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14499E">
        <w:rPr>
          <w:rFonts w:ascii="Arial" w:eastAsia="Times New Roman" w:hAnsi="Arial" w:cs="Arial"/>
          <w:b/>
          <w:bCs/>
          <w:lang w:eastAsia="pt-BR"/>
        </w:rPr>
        <w:t xml:space="preserve">Veys, P. A., Nanduri, V., Baker, K. S., He, W., Bandini, G., Biondi, A., et al. (2015). </w:t>
      </w:r>
      <w:r w:rsidRPr="00C47F51">
        <w:rPr>
          <w:rFonts w:ascii="Arial" w:eastAsia="Times New Roman" w:hAnsi="Arial" w:cs="Arial"/>
          <w:bCs/>
          <w:lang w:eastAsia="pt-BR"/>
        </w:rPr>
        <w:t xml:space="preserve">Haematopoietic stem cell transplantation for refractory Langerhans cell histiocytosis: outcome by intensity of conditioning. British Journal of Haematology. </w:t>
      </w:r>
      <w:hyperlink r:id="rId14" w:history="1">
        <w:r w:rsidRPr="00C47F51">
          <w:rPr>
            <w:rStyle w:val="Hyperlink"/>
            <w:rFonts w:ascii="Arial" w:eastAsia="Times New Roman" w:hAnsi="Arial" w:cs="Arial"/>
            <w:bCs/>
            <w:lang w:eastAsia="pt-BR"/>
          </w:rPr>
          <w:t>https://doi.org/10.1111/bjh.13347</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146ABBA3" w14:textId="26F43F0B" w:rsidR="00E47481" w:rsidRPr="00E47481" w:rsidRDefault="00F12F82"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F12F82">
        <w:rPr>
          <w:rFonts w:ascii="Arial" w:eastAsia="Times New Roman" w:hAnsi="Arial" w:cs="Arial"/>
          <w:b/>
          <w:bCs/>
          <w:lang w:eastAsia="pt-BR"/>
        </w:rPr>
        <w:t xml:space="preserve">Héritier, S., Hélias-Rodzewicz, Z., Lapillonne, H., Terrones, N., Garrigou, S., Moshous, D., Aladjidi, N., Galambrun, C., Jeziorski, E., Leverger, G., Piguet, C., Thomas, C., Vinti, H., Hélias, P., Emile, J. F., &amp; Donadieu, J. (2017). </w:t>
      </w:r>
      <w:r w:rsidRPr="00F12F82">
        <w:rPr>
          <w:rFonts w:ascii="Arial" w:eastAsia="Times New Roman" w:hAnsi="Arial" w:cs="Arial"/>
          <w:bCs/>
          <w:lang w:eastAsia="pt-BR"/>
        </w:rPr>
        <w:t xml:space="preserve">Circulating cell-free BRAF V600E as a biomarker in children with Langerhans cell histiocytosis. British Journal of Haematology, 178(3), 457–467. </w:t>
      </w:r>
      <w:hyperlink r:id="rId15" w:history="1">
        <w:r w:rsidRPr="00F12F82">
          <w:rPr>
            <w:rStyle w:val="Hyperlink"/>
            <w:rFonts w:ascii="Arial" w:eastAsia="Times New Roman" w:hAnsi="Arial" w:cs="Arial"/>
            <w:bCs/>
            <w:lang w:eastAsia="pt-BR"/>
          </w:rPr>
          <w:t>https://doi.org/10.1111/bjh.14695</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5FC70E5C" w14:textId="60181318" w:rsidR="00E47481" w:rsidRPr="00E47481" w:rsidRDefault="00754EFE"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754EFE">
        <w:rPr>
          <w:rFonts w:ascii="Arial" w:eastAsia="Times New Roman" w:hAnsi="Arial" w:cs="Arial"/>
          <w:b/>
          <w:bCs/>
          <w:lang w:eastAsia="pt-BR"/>
        </w:rPr>
        <w:t xml:space="preserve">Diamond, E. L., Subbiah, V., Lockhart, A. C., Blay, J. Y., Puzanov, I., Chau, I., Raje, N. S., Wolf, J., Erinjeri, J. P., Torrisi, J., Lacouture, M., Elez, E., Martínez-Valle, F., Durham, B., Arcila, M. E., Ulaner, G., Abdel-Wahab, O., Pitcher, B., Makrutzki, M., Riehl, T., Baselga, J., &amp; Hyman, D. M. (2018). </w:t>
      </w:r>
      <w:r w:rsidRPr="00B352E4">
        <w:rPr>
          <w:rFonts w:ascii="Arial" w:eastAsia="Times New Roman" w:hAnsi="Arial" w:cs="Arial"/>
          <w:bCs/>
          <w:lang w:eastAsia="pt-BR"/>
        </w:rPr>
        <w:t xml:space="preserve">Vemurafenib for BRAF V600-Mutant Erdheim-Chester Disease and Langerhans Cell Histiocytosis: Analysis of Data From the Histology-Independent, Phase 2, Open-label VE-BASKET Study. JAMA Oncology, 4(3), 384–388. </w:t>
      </w:r>
      <w:hyperlink r:id="rId16" w:history="1">
        <w:r w:rsidRPr="00B352E4">
          <w:rPr>
            <w:rStyle w:val="Hyperlink"/>
            <w:rFonts w:ascii="Arial" w:eastAsia="Times New Roman" w:hAnsi="Arial" w:cs="Arial"/>
            <w:bCs/>
            <w:lang w:eastAsia="pt-BR"/>
          </w:rPr>
          <w:t>https://doi.org/10.1001/jamaoncol.2017.5029</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6C15790E" w14:textId="2DC47705" w:rsidR="00E47481" w:rsidRPr="00E47481" w:rsidRDefault="004D4628"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4D4628">
        <w:rPr>
          <w:rFonts w:ascii="Arial" w:eastAsia="Times New Roman" w:hAnsi="Arial" w:cs="Arial"/>
          <w:b/>
          <w:bCs/>
          <w:lang w:eastAsia="pt-BR"/>
        </w:rPr>
        <w:t xml:space="preserve">Yang, Y., Wang, D., Cui, L., Ma, H. H., Zhang, L., Lian, H. Y., Zhang, Q., Zhao, X. X., Zhang, L. P., Zhao, Y. Z., Li, N., Wang, T. Y., Li, Z. G., &amp; Zhang, R. (2021). </w:t>
      </w:r>
      <w:r w:rsidRPr="00131913">
        <w:rPr>
          <w:rFonts w:ascii="Arial" w:eastAsia="Times New Roman" w:hAnsi="Arial" w:cs="Arial"/>
          <w:bCs/>
          <w:lang w:eastAsia="pt-BR"/>
        </w:rPr>
        <w:t xml:space="preserve">Effectiveness and safety of dabrafenib in the treatment of 20 Chinese children with BRAFV600E-mutated Langerhans Cell Histiocytosis. Cancer Research and Treatment, 53(1), 261–269. </w:t>
      </w:r>
      <w:hyperlink r:id="rId17" w:history="1">
        <w:r w:rsidRPr="00131913">
          <w:rPr>
            <w:rStyle w:val="Hyperlink"/>
            <w:rFonts w:ascii="Arial" w:eastAsia="Times New Roman" w:hAnsi="Arial" w:cs="Arial"/>
            <w:bCs/>
            <w:lang w:eastAsia="pt-BR"/>
          </w:rPr>
          <w:t>https://doi.org/10.4143/crt.2020.769</w:t>
        </w:r>
      </w:hyperlink>
      <w:r>
        <w:rPr>
          <w:rFonts w:ascii="Arial" w:eastAsia="Times New Roman" w:hAnsi="Arial" w:cs="Arial"/>
          <w:b/>
          <w:bCs/>
          <w:lang w:eastAsia="pt-BR"/>
        </w:rPr>
        <w:t xml:space="preserve"> </w:t>
      </w:r>
    </w:p>
    <w:p w14:paraId="0244D54A" w14:textId="64489324" w:rsidR="00E47481" w:rsidRDefault="00EF7F96"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EF7F96">
        <w:rPr>
          <w:rFonts w:ascii="Arial" w:eastAsia="Times New Roman" w:hAnsi="Arial" w:cs="Arial"/>
          <w:b/>
          <w:bCs/>
          <w:lang w:eastAsia="pt-BR"/>
        </w:rPr>
        <w:t xml:space="preserve">Whitlock, J. A., Geoerger, B., Dunkel, I. J., Roughton, M., Choi, J., Osterloh, L., Russo, M., &amp; Hargrave, D. (2023). </w:t>
      </w:r>
      <w:r w:rsidRPr="00D52CD6">
        <w:rPr>
          <w:rFonts w:ascii="Arial" w:eastAsia="Times New Roman" w:hAnsi="Arial" w:cs="Arial"/>
          <w:bCs/>
          <w:lang w:eastAsia="pt-BR"/>
        </w:rPr>
        <w:t xml:space="preserve">Dabrafenib, alone or in combination with trametinib, in BRAF V600–mutated pediatric Langerhans cell histiocytosis. Blood Advances, 7(15), 3806–3815. </w:t>
      </w:r>
      <w:hyperlink r:id="rId18" w:history="1">
        <w:r w:rsidRPr="00D52CD6">
          <w:rPr>
            <w:rStyle w:val="Hyperlink"/>
            <w:rFonts w:ascii="Arial" w:eastAsia="Times New Roman" w:hAnsi="Arial" w:cs="Arial"/>
            <w:bCs/>
            <w:lang w:eastAsia="pt-BR"/>
          </w:rPr>
          <w:t>https://doi.org/10.1182/bloodadvances.2022008414</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6E2AC6CA" w14:textId="5FA00B39" w:rsidR="00E47481" w:rsidRDefault="00A30542"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A30542">
        <w:rPr>
          <w:rFonts w:ascii="Arial" w:eastAsia="Times New Roman" w:hAnsi="Arial" w:cs="Arial"/>
          <w:b/>
          <w:bCs/>
          <w:lang w:eastAsia="pt-BR"/>
        </w:rPr>
        <w:t xml:space="preserve">McClain, K. L., Picarsic, J., &amp; Chakraborty, R. (2018). </w:t>
      </w:r>
      <w:r w:rsidRPr="00A0022A">
        <w:rPr>
          <w:rFonts w:ascii="Arial" w:eastAsia="Times New Roman" w:hAnsi="Arial" w:cs="Arial"/>
          <w:bCs/>
          <w:lang w:eastAsia="pt-BR"/>
        </w:rPr>
        <w:t xml:space="preserve">CNS Langerhans cell histiocytosis: Common hematopoietic origin for LCH-associated neurodegeneration and mass lesions. Cancer, 124(12), 2607–2620. </w:t>
      </w:r>
      <w:hyperlink r:id="rId19" w:history="1">
        <w:r w:rsidRPr="00A0022A">
          <w:rPr>
            <w:rStyle w:val="Hyperlink"/>
            <w:rFonts w:ascii="Arial" w:eastAsia="Times New Roman" w:hAnsi="Arial" w:cs="Arial"/>
            <w:bCs/>
            <w:lang w:eastAsia="pt-BR"/>
          </w:rPr>
          <w:t>https://doi.org/10.1002/cncr.31348</w:t>
        </w:r>
      </w:hyperlink>
      <w:r>
        <w:rPr>
          <w:rFonts w:ascii="Arial" w:eastAsia="Times New Roman" w:hAnsi="Arial" w:cs="Arial"/>
          <w:b/>
          <w:bCs/>
          <w:lang w:eastAsia="pt-BR"/>
        </w:rPr>
        <w:t xml:space="preserve"> </w:t>
      </w:r>
    </w:p>
    <w:p w14:paraId="21231FDE" w14:textId="5F86C5CF" w:rsidR="00E47481" w:rsidRDefault="00037346"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037346">
        <w:rPr>
          <w:rFonts w:ascii="Arial" w:eastAsia="Times New Roman" w:hAnsi="Arial" w:cs="Arial"/>
          <w:b/>
          <w:bCs/>
          <w:lang w:eastAsia="pt-BR"/>
        </w:rPr>
        <w:t xml:space="preserve">Eckstein, O. S., Visser, J., Rodriguez-Galindo, C., &amp; Allen, C. E. (2019). </w:t>
      </w:r>
      <w:r w:rsidRPr="003802A9">
        <w:rPr>
          <w:rFonts w:ascii="Arial" w:eastAsia="Times New Roman" w:hAnsi="Arial" w:cs="Arial"/>
          <w:bCs/>
          <w:lang w:eastAsia="pt-BR"/>
        </w:rPr>
        <w:t xml:space="preserve">Clinical responses and persistent BRAF V600E+ blood cells in children with LCH </w:t>
      </w:r>
      <w:r w:rsidRPr="003802A9">
        <w:rPr>
          <w:rFonts w:ascii="Arial" w:eastAsia="Times New Roman" w:hAnsi="Arial" w:cs="Arial"/>
          <w:bCs/>
          <w:lang w:eastAsia="pt-BR"/>
        </w:rPr>
        <w:lastRenderedPageBreak/>
        <w:t xml:space="preserve">treated with MAPK pathway inhibition. Blood, 133(15), 1691–1694. </w:t>
      </w:r>
      <w:hyperlink r:id="rId20" w:history="1">
        <w:r w:rsidRPr="003802A9">
          <w:rPr>
            <w:rStyle w:val="Hyperlink"/>
            <w:rFonts w:ascii="Arial" w:eastAsia="Times New Roman" w:hAnsi="Arial" w:cs="Arial"/>
            <w:bCs/>
            <w:lang w:eastAsia="pt-BR"/>
          </w:rPr>
          <w:t>https://doi.org/10.1182/blood-2018-10-878363</w:t>
        </w:r>
      </w:hyperlink>
      <w:r>
        <w:rPr>
          <w:rFonts w:ascii="Arial" w:eastAsia="Times New Roman" w:hAnsi="Arial" w:cs="Arial"/>
          <w:b/>
          <w:bCs/>
          <w:lang w:eastAsia="pt-BR"/>
        </w:rPr>
        <w:t xml:space="preserve"> </w:t>
      </w:r>
    </w:p>
    <w:p w14:paraId="2CD6EC6D" w14:textId="0951A11F" w:rsidR="00E47481" w:rsidRDefault="006251A7"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6251A7">
        <w:rPr>
          <w:rFonts w:ascii="Arial" w:eastAsia="Times New Roman" w:hAnsi="Arial" w:cs="Arial"/>
          <w:b/>
          <w:bCs/>
          <w:lang w:eastAsia="pt-BR"/>
        </w:rPr>
        <w:t xml:space="preserve">Henter, J.-I., Kvedaraite, E., Martín Muñoz, D., Munthe-Kaas, M. C., Zeller, B., Nystad, T. A., Björklund, C., Donnér, I., Lourda, M., &amp; Zetterberg, H. (2022). </w:t>
      </w:r>
      <w:r w:rsidRPr="00E37B10">
        <w:rPr>
          <w:rFonts w:ascii="Arial" w:eastAsia="Times New Roman" w:hAnsi="Arial" w:cs="Arial"/>
          <w:bCs/>
          <w:lang w:eastAsia="pt-BR"/>
        </w:rPr>
        <w:t xml:space="preserve">Response to mitogen-activated protein kinase inhibition of neurodegeneration in Langerhans cell histiocytosis monitored by cerebrospinal fluid neurofilament light as a biomarker: a pilot study. British Journal of Haematology, 196(1), 248–254. </w:t>
      </w:r>
      <w:hyperlink r:id="rId21" w:history="1">
        <w:r w:rsidRPr="00E37B10">
          <w:rPr>
            <w:rStyle w:val="Hyperlink"/>
            <w:rFonts w:ascii="Arial" w:eastAsia="Times New Roman" w:hAnsi="Arial" w:cs="Arial"/>
            <w:bCs/>
            <w:lang w:eastAsia="pt-BR"/>
          </w:rPr>
          <w:t>https://doi.org/10.1111/bjh.17781</w:t>
        </w:r>
      </w:hyperlink>
      <w:r>
        <w:rPr>
          <w:rFonts w:ascii="Arial" w:eastAsia="Times New Roman" w:hAnsi="Arial" w:cs="Arial"/>
          <w:b/>
          <w:bCs/>
          <w:lang w:eastAsia="pt-BR"/>
        </w:rPr>
        <w:t xml:space="preserve"> </w:t>
      </w:r>
    </w:p>
    <w:p w14:paraId="0349C3E5" w14:textId="7FD3E027" w:rsidR="00E47481" w:rsidRDefault="00EA6404"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EA6404">
        <w:rPr>
          <w:rFonts w:ascii="Arial" w:eastAsia="Times New Roman" w:hAnsi="Arial" w:cs="Arial"/>
          <w:b/>
          <w:bCs/>
          <w:lang w:eastAsia="pt-BR"/>
        </w:rPr>
        <w:t xml:space="preserve">Simko, S. J., McClain, K. L., &amp; Allen, C. E. (2015). </w:t>
      </w:r>
      <w:r w:rsidRPr="00E1280D">
        <w:rPr>
          <w:rFonts w:ascii="Arial" w:eastAsia="Times New Roman" w:hAnsi="Arial" w:cs="Arial"/>
          <w:bCs/>
          <w:lang w:eastAsia="pt-BR"/>
        </w:rPr>
        <w:t xml:space="preserve">Up-front therapy for LCH: is it time to test an alternative to vinblastine/prednisone?. British Journal of Haematology, 169(2), 299–301. </w:t>
      </w:r>
      <w:hyperlink r:id="rId22" w:history="1">
        <w:r w:rsidRPr="00E1280D">
          <w:rPr>
            <w:rStyle w:val="Hyperlink"/>
            <w:rFonts w:ascii="Arial" w:eastAsia="Times New Roman" w:hAnsi="Arial" w:cs="Arial"/>
            <w:bCs/>
            <w:lang w:eastAsia="pt-BR"/>
          </w:rPr>
          <w:t>https://doi.org/10.1111/bjh.13208</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7904C1EA" w14:textId="160759E1" w:rsidR="00E47481" w:rsidRDefault="007E3D73"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7E3D73">
        <w:rPr>
          <w:rFonts w:ascii="Arial" w:eastAsia="Times New Roman" w:hAnsi="Arial" w:cs="Arial"/>
          <w:b/>
          <w:bCs/>
          <w:lang w:eastAsia="pt-BR"/>
        </w:rPr>
        <w:t xml:space="preserve">Gadner, H., Minkov, M., Grois, N., Pötschger, U., Thiem, E., Aricò, M., Astigarraga, I., Braier, J., Donadieu, J., Henter, J. I., Janka-Schaub, G., McClain, K. L., Weitzman, S., Windebank, K., &amp; Ladisch, S. (2013). </w:t>
      </w:r>
      <w:r w:rsidRPr="00416332">
        <w:rPr>
          <w:rFonts w:ascii="Arial" w:eastAsia="Times New Roman" w:hAnsi="Arial" w:cs="Arial"/>
          <w:bCs/>
          <w:lang w:eastAsia="pt-BR"/>
        </w:rPr>
        <w:t xml:space="preserve">Therapy prolongation improves outcome in multisystem Langerhans cell histiocytosis. *Blood*, *121*(25), 5006–5014. </w:t>
      </w:r>
      <w:hyperlink r:id="rId23" w:history="1">
        <w:r w:rsidRPr="00416332">
          <w:rPr>
            <w:rStyle w:val="Hyperlink"/>
            <w:rFonts w:ascii="Arial" w:eastAsia="Times New Roman" w:hAnsi="Arial" w:cs="Arial"/>
            <w:bCs/>
            <w:lang w:eastAsia="pt-BR"/>
          </w:rPr>
          <w:t>https://doi.org/10.1182/blood-2012-09-455774</w:t>
        </w:r>
      </w:hyperlink>
      <w:r>
        <w:rPr>
          <w:rFonts w:ascii="Arial" w:eastAsia="Times New Roman" w:hAnsi="Arial" w:cs="Arial"/>
          <w:b/>
          <w:bCs/>
          <w:lang w:eastAsia="pt-BR"/>
        </w:rPr>
        <w:t xml:space="preserve"> </w:t>
      </w:r>
    </w:p>
    <w:p w14:paraId="7A106A16" w14:textId="6DED3DBE" w:rsidR="00E47481" w:rsidRDefault="00C235B6"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C235B6">
        <w:rPr>
          <w:rFonts w:ascii="Arial" w:eastAsia="Times New Roman" w:hAnsi="Arial" w:cs="Arial"/>
          <w:b/>
          <w:bCs/>
          <w:lang w:eastAsia="pt-BR"/>
        </w:rPr>
        <w:t xml:space="preserve">Makras, P., Stathi, D., Yavropoulou, M., Tsoli, M., &amp; Kaltsas, G. (2020). </w:t>
      </w:r>
      <w:r w:rsidRPr="003A392B">
        <w:rPr>
          <w:rFonts w:ascii="Arial" w:eastAsia="Times New Roman" w:hAnsi="Arial" w:cs="Arial"/>
          <w:bCs/>
          <w:lang w:eastAsia="pt-BR"/>
        </w:rPr>
        <w:t xml:space="preserve">The annual incidence of Langerhans cell histiocytosis among adults living in Greece. Pediatric Blood &amp; Cancer. </w:t>
      </w:r>
      <w:hyperlink r:id="rId24" w:history="1">
        <w:r w:rsidRPr="003A392B">
          <w:rPr>
            <w:rStyle w:val="Hyperlink"/>
            <w:rFonts w:ascii="Arial" w:eastAsia="Times New Roman" w:hAnsi="Arial" w:cs="Arial"/>
            <w:bCs/>
            <w:lang w:eastAsia="pt-BR"/>
          </w:rPr>
          <w:t>https://doi.org/10.1002/pbc.28422</w:t>
        </w:r>
      </w:hyperlink>
      <w:r>
        <w:rPr>
          <w:rFonts w:ascii="Arial" w:eastAsia="Times New Roman" w:hAnsi="Arial" w:cs="Arial"/>
          <w:b/>
          <w:bCs/>
          <w:lang w:eastAsia="pt-BR"/>
        </w:rPr>
        <w:t xml:space="preserve"> </w:t>
      </w:r>
    </w:p>
    <w:p w14:paraId="07A82FC2" w14:textId="347F516B" w:rsidR="00E47481" w:rsidRDefault="005207E5"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5207E5">
        <w:rPr>
          <w:rFonts w:ascii="Arial" w:eastAsia="Times New Roman" w:hAnsi="Arial" w:cs="Arial"/>
          <w:b/>
          <w:bCs/>
          <w:lang w:eastAsia="pt-BR"/>
        </w:rPr>
        <w:t xml:space="preserve">Grois, N., Fahrner, B., Arceci, R. J., Henter, J. I., McClain, K., Lassmann, H., Nanduri, V., Prosch, H., &amp; Prayer, D. (2010). </w:t>
      </w:r>
      <w:r w:rsidRPr="00AF3DBE">
        <w:rPr>
          <w:rFonts w:ascii="Arial" w:eastAsia="Times New Roman" w:hAnsi="Arial" w:cs="Arial"/>
          <w:bCs/>
          <w:lang w:eastAsia="pt-BR"/>
        </w:rPr>
        <w:t xml:space="preserve">Central nervous system disease in Langerhans cell histiocytosis. Journal of Pediatrics, 156(6), 873–881.e1. </w:t>
      </w:r>
      <w:hyperlink r:id="rId25" w:history="1">
        <w:r w:rsidRPr="00AF3DBE">
          <w:rPr>
            <w:rStyle w:val="Hyperlink"/>
            <w:rFonts w:ascii="Arial" w:eastAsia="Times New Roman" w:hAnsi="Arial" w:cs="Arial"/>
            <w:bCs/>
            <w:lang w:eastAsia="pt-BR"/>
          </w:rPr>
          <w:t>https://doi.org/10.1016/j.jpeds.2010.03.001</w:t>
        </w:r>
      </w:hyperlink>
      <w:r>
        <w:rPr>
          <w:rFonts w:ascii="Arial" w:eastAsia="Times New Roman" w:hAnsi="Arial" w:cs="Arial"/>
          <w:b/>
          <w:bCs/>
          <w:lang w:eastAsia="pt-BR"/>
        </w:rPr>
        <w:t xml:space="preserve"> </w:t>
      </w:r>
    </w:p>
    <w:p w14:paraId="7A7055AB" w14:textId="3364FA3A" w:rsidR="00E47481" w:rsidRDefault="0092167E"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92167E">
        <w:rPr>
          <w:rFonts w:ascii="Arial" w:eastAsia="Times New Roman" w:hAnsi="Arial" w:cs="Arial"/>
          <w:b/>
          <w:bCs/>
          <w:lang w:eastAsia="pt-BR"/>
        </w:rPr>
        <w:t xml:space="preserve">Allen, C. E., Beverley, P. C. L., &amp; Collin, M. (2020). </w:t>
      </w:r>
      <w:r w:rsidRPr="001E66E3">
        <w:rPr>
          <w:rFonts w:ascii="Arial" w:eastAsia="Times New Roman" w:hAnsi="Arial" w:cs="Arial"/>
          <w:bCs/>
          <w:lang w:eastAsia="pt-BR"/>
        </w:rPr>
        <w:t xml:space="preserve">The coming of age of Langerhans cell histiocytosis. Nature Immunology, 21(1), 1–7. </w:t>
      </w:r>
      <w:hyperlink r:id="rId26" w:history="1">
        <w:r w:rsidRPr="001E66E3">
          <w:rPr>
            <w:rStyle w:val="Hyperlink"/>
            <w:rFonts w:ascii="Arial" w:eastAsia="Times New Roman" w:hAnsi="Arial" w:cs="Arial"/>
            <w:bCs/>
            <w:lang w:eastAsia="pt-BR"/>
          </w:rPr>
          <w:t>https://doi.org/10.1038/s41590-019-0558-z</w:t>
        </w:r>
      </w:hyperlink>
      <w:r>
        <w:rPr>
          <w:rFonts w:ascii="Arial" w:eastAsia="Times New Roman" w:hAnsi="Arial" w:cs="Arial"/>
          <w:b/>
          <w:bCs/>
          <w:lang w:eastAsia="pt-BR"/>
        </w:rPr>
        <w:t xml:space="preserve"> </w:t>
      </w:r>
    </w:p>
    <w:p w14:paraId="453D958C" w14:textId="62C6958C" w:rsidR="00E47481" w:rsidRDefault="008976C5"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8976C5">
        <w:rPr>
          <w:rFonts w:ascii="Arial" w:eastAsia="Times New Roman" w:hAnsi="Arial" w:cs="Arial"/>
          <w:b/>
          <w:bCs/>
          <w:lang w:eastAsia="pt-BR"/>
        </w:rPr>
        <w:t xml:space="preserve">Shi, H., He, H., Cui, L., Kvedaraite, E., Bian, Z., Huang, T., Lee, C. Z. W., Li, Z., He, J., Gong, Y., Li, Z., Zhou, J., Zeng, Y., Li, X., Ni, Y., Bai, Z., Liu, C., Li, N., Ma, H., Wang, D., Lan, Y., Ginhoux, F., Zhang, R., &amp; Liu, B. (2021). </w:t>
      </w:r>
      <w:r w:rsidRPr="00303A13">
        <w:rPr>
          <w:rFonts w:ascii="Arial" w:eastAsia="Times New Roman" w:hAnsi="Arial" w:cs="Arial"/>
          <w:bCs/>
          <w:lang w:eastAsia="pt-BR"/>
        </w:rPr>
        <w:t xml:space="preserve">Transcriptomic landscape of circulating mononuclear phagocytes in Langerhans cell histiocytosis at the single-cell level. Blood, 138(14), 1237–1248. </w:t>
      </w:r>
      <w:hyperlink r:id="rId27" w:history="1">
        <w:r w:rsidRPr="00303A13">
          <w:rPr>
            <w:rStyle w:val="Hyperlink"/>
            <w:rFonts w:ascii="Arial" w:eastAsia="Times New Roman" w:hAnsi="Arial" w:cs="Arial"/>
            <w:bCs/>
            <w:lang w:eastAsia="pt-BR"/>
          </w:rPr>
          <w:t>https://doi.org/10.1182/blood.2020009064</w:t>
        </w:r>
      </w:hyperlink>
      <w:r>
        <w:rPr>
          <w:rFonts w:ascii="Arial" w:eastAsia="Times New Roman" w:hAnsi="Arial" w:cs="Arial"/>
          <w:b/>
          <w:bCs/>
          <w:lang w:eastAsia="pt-BR"/>
        </w:rPr>
        <w:t xml:space="preserve"> </w:t>
      </w:r>
    </w:p>
    <w:p w14:paraId="5B456843" w14:textId="4AF8CBCD" w:rsidR="00E47481" w:rsidRDefault="009350EC"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9350EC">
        <w:rPr>
          <w:rFonts w:ascii="Arial" w:eastAsia="Times New Roman" w:hAnsi="Arial" w:cs="Arial"/>
          <w:b/>
          <w:bCs/>
          <w:lang w:eastAsia="pt-BR"/>
        </w:rPr>
        <w:t xml:space="preserve">Milne, P., Abhyankar, H., Scull, B., Singh, P., Chakraborty, R., Allen, C. E., &amp; Collin, M. (2022). </w:t>
      </w:r>
      <w:r w:rsidRPr="00C52ACC">
        <w:rPr>
          <w:rFonts w:ascii="Arial" w:eastAsia="Times New Roman" w:hAnsi="Arial" w:cs="Arial"/>
          <w:bCs/>
          <w:lang w:eastAsia="pt-BR"/>
        </w:rPr>
        <w:t xml:space="preserve">Cellular distribution of mutations and association with disease risk in Langerhans cell histiocytosis without BRAFV600E. Blood Advances, 6(16), 4901–4904. </w:t>
      </w:r>
      <w:hyperlink r:id="rId28" w:history="1">
        <w:r w:rsidRPr="00C52ACC">
          <w:rPr>
            <w:rStyle w:val="Hyperlink"/>
            <w:rFonts w:ascii="Arial" w:eastAsia="Times New Roman" w:hAnsi="Arial" w:cs="Arial"/>
            <w:bCs/>
            <w:lang w:eastAsia="pt-BR"/>
          </w:rPr>
          <w:t>https://doi.org/10.1182/bloodadvances.2022007519</w:t>
        </w:r>
      </w:hyperlink>
      <w:r>
        <w:rPr>
          <w:rFonts w:ascii="Arial" w:eastAsia="Times New Roman" w:hAnsi="Arial" w:cs="Arial"/>
          <w:b/>
          <w:bCs/>
          <w:lang w:eastAsia="pt-BR"/>
        </w:rPr>
        <w:t xml:space="preserve"> </w:t>
      </w:r>
    </w:p>
    <w:p w14:paraId="078810DE" w14:textId="292F925E" w:rsidR="00E47481" w:rsidRDefault="00754F2D"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754F2D">
        <w:rPr>
          <w:rFonts w:ascii="Arial" w:eastAsia="Times New Roman" w:hAnsi="Arial" w:cs="Arial"/>
          <w:b/>
          <w:bCs/>
          <w:lang w:eastAsia="pt-BR"/>
        </w:rPr>
        <w:lastRenderedPageBreak/>
        <w:t xml:space="preserve">Minkov, M., Pötschger, U., Thacker, N., Astigarraga, I., Braier, J., Donadieu, J., Henter, J. I., Lehrnbecher, T., Rodriguez-Galindo, C., Sieni, E., et al. (2021). </w:t>
      </w:r>
      <w:r w:rsidRPr="005454E6">
        <w:rPr>
          <w:rFonts w:ascii="Arial" w:eastAsia="Times New Roman" w:hAnsi="Arial" w:cs="Arial"/>
          <w:bCs/>
          <w:lang w:eastAsia="pt-BR"/>
        </w:rPr>
        <w:t xml:space="preserve">Additive prognostic impact of gastrointestinal involvement in severe multisystem Langerhans cell histiocytosis. The Journal of Pediatrics. </w:t>
      </w:r>
      <w:hyperlink r:id="rId29" w:history="1">
        <w:r w:rsidRPr="005454E6">
          <w:rPr>
            <w:rStyle w:val="Hyperlink"/>
            <w:rFonts w:ascii="Arial" w:eastAsia="Times New Roman" w:hAnsi="Arial" w:cs="Arial"/>
            <w:bCs/>
            <w:lang w:eastAsia="pt-BR"/>
          </w:rPr>
          <w:t>https://doi.org/10.1016/j.jpeds.2021.06.016</w:t>
        </w:r>
      </w:hyperlink>
      <w:r>
        <w:rPr>
          <w:rFonts w:ascii="Arial" w:eastAsia="Times New Roman" w:hAnsi="Arial" w:cs="Arial"/>
          <w:b/>
          <w:bCs/>
          <w:lang w:eastAsia="pt-BR"/>
        </w:rPr>
        <w:t xml:space="preserve"> </w:t>
      </w:r>
    </w:p>
    <w:p w14:paraId="7CA5BEFE" w14:textId="64E89BE5" w:rsidR="00E47481" w:rsidRDefault="00D45834"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D45834">
        <w:rPr>
          <w:rFonts w:ascii="Arial" w:eastAsia="Times New Roman" w:hAnsi="Arial" w:cs="Arial"/>
          <w:b/>
          <w:bCs/>
          <w:lang w:eastAsia="pt-BR"/>
        </w:rPr>
        <w:t xml:space="preserve">Carrere, X., Pinto, N., Gene Olaciregui, N., Galluzzo, L., &amp; Rossetti, E. (2021). High prevalence of BRAFV600E in patients with cholestasis, sclerosing cholangitis or liver fibrosis secondary to Langerhans cell histiocytosis. Pediatric Blood &amp; Cancer, 68(7), e29115. </w:t>
      </w:r>
      <w:hyperlink r:id="rId30" w:history="1">
        <w:r w:rsidRPr="0084687B">
          <w:rPr>
            <w:rStyle w:val="Hyperlink"/>
            <w:rFonts w:ascii="Arial" w:eastAsia="Times New Roman" w:hAnsi="Arial" w:cs="Arial"/>
            <w:b/>
            <w:bCs/>
            <w:lang w:eastAsia="pt-BR"/>
          </w:rPr>
          <w:t>https://doi.org/10.1002/pbc.29115</w:t>
        </w:r>
      </w:hyperlink>
      <w:r>
        <w:rPr>
          <w:rFonts w:ascii="Arial" w:eastAsia="Times New Roman" w:hAnsi="Arial" w:cs="Arial"/>
          <w:b/>
          <w:bCs/>
          <w:lang w:eastAsia="pt-BR"/>
        </w:rPr>
        <w:t xml:space="preserve"> </w:t>
      </w:r>
      <w:r w:rsidR="00E47481">
        <w:rPr>
          <w:rFonts w:ascii="Arial" w:eastAsia="Times New Roman" w:hAnsi="Arial" w:cs="Arial"/>
          <w:bCs/>
          <w:lang w:eastAsia="pt-BR"/>
        </w:rPr>
        <w:t>.</w:t>
      </w:r>
    </w:p>
    <w:p w14:paraId="11E8E1A6" w14:textId="31DE95AD" w:rsidR="00E47481" w:rsidRDefault="00F00567"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F00567">
        <w:rPr>
          <w:rFonts w:ascii="Arial" w:eastAsia="Times New Roman" w:hAnsi="Arial" w:cs="Arial"/>
          <w:b/>
          <w:bCs/>
          <w:lang w:eastAsia="pt-BR"/>
        </w:rPr>
        <w:t xml:space="preserve">Fu, Z., Li, H., Arslan, M. E., Ells, P. F., &amp; Lee, H. (2021). </w:t>
      </w:r>
      <w:r w:rsidRPr="008E078A">
        <w:rPr>
          <w:rFonts w:ascii="Arial" w:eastAsia="Times New Roman" w:hAnsi="Arial" w:cs="Arial"/>
          <w:bCs/>
          <w:lang w:eastAsia="pt-BR"/>
        </w:rPr>
        <w:t xml:space="preserve">Hepatic Langerhans cell histiocytosis: A review. World Journal of Clinical Oncology, 12(5), 335–341. </w:t>
      </w:r>
      <w:hyperlink r:id="rId31" w:history="1">
        <w:r w:rsidRPr="008E078A">
          <w:rPr>
            <w:rStyle w:val="Hyperlink"/>
            <w:rFonts w:ascii="Arial" w:eastAsia="Times New Roman" w:hAnsi="Arial" w:cs="Arial"/>
            <w:bCs/>
            <w:lang w:eastAsia="pt-BR"/>
          </w:rPr>
          <w:t>https://doi.org/10.5306/wjco.v12.i5.335</w:t>
        </w:r>
      </w:hyperlink>
      <w:r>
        <w:rPr>
          <w:rFonts w:ascii="Arial" w:eastAsia="Times New Roman" w:hAnsi="Arial" w:cs="Arial"/>
          <w:b/>
          <w:bCs/>
          <w:lang w:eastAsia="pt-BR"/>
        </w:rPr>
        <w:t xml:space="preserve"> </w:t>
      </w:r>
    </w:p>
    <w:p w14:paraId="43323C58" w14:textId="29CB985B" w:rsidR="00E47481" w:rsidRPr="00E47481" w:rsidRDefault="00B2404E" w:rsidP="00E47481">
      <w:pPr>
        <w:pStyle w:val="ListParagraph"/>
        <w:numPr>
          <w:ilvl w:val="0"/>
          <w:numId w:val="8"/>
        </w:numPr>
        <w:spacing w:before="100" w:beforeAutospacing="1" w:after="100" w:afterAutospacing="1" w:line="360" w:lineRule="auto"/>
        <w:jc w:val="both"/>
        <w:rPr>
          <w:rFonts w:ascii="Arial" w:eastAsia="Times New Roman" w:hAnsi="Arial" w:cs="Arial"/>
          <w:bCs/>
          <w:lang w:eastAsia="pt-BR"/>
        </w:rPr>
      </w:pPr>
      <w:r w:rsidRPr="00B2404E">
        <w:rPr>
          <w:rFonts w:ascii="Arial" w:eastAsia="Times New Roman" w:hAnsi="Arial" w:cs="Arial"/>
          <w:b/>
          <w:bCs/>
          <w:lang w:eastAsia="pt-BR"/>
        </w:rPr>
        <w:t xml:space="preserve">Kemps, P. G., Zondag, T. C. E., Arnardóttir, H. B., et al. (2023). </w:t>
      </w:r>
      <w:r w:rsidRPr="001B6AA8">
        <w:rPr>
          <w:rFonts w:ascii="Arial" w:eastAsia="Times New Roman" w:hAnsi="Arial" w:cs="Arial"/>
          <w:bCs/>
          <w:lang w:eastAsia="pt-BR"/>
        </w:rPr>
        <w:t xml:space="preserve">Clinicogenomic associations in childhood Langerhans cell histiocytosis: an international cohort study. Blood Advances, 7(4), 664–679. </w:t>
      </w:r>
      <w:hyperlink r:id="rId32" w:history="1">
        <w:r w:rsidRPr="001B6AA8">
          <w:rPr>
            <w:rStyle w:val="Hyperlink"/>
            <w:rFonts w:ascii="Arial" w:eastAsia="Times New Roman" w:hAnsi="Arial" w:cs="Arial"/>
            <w:bCs/>
            <w:lang w:eastAsia="pt-BR"/>
          </w:rPr>
          <w:t>https://doi.org/10.1182/bloodadvances.2022007947</w:t>
        </w:r>
      </w:hyperlink>
      <w:r>
        <w:rPr>
          <w:rFonts w:ascii="Arial" w:eastAsia="Times New Roman" w:hAnsi="Arial" w:cs="Arial"/>
          <w:b/>
          <w:bCs/>
          <w:lang w:eastAsia="pt-BR"/>
        </w:rPr>
        <w:t xml:space="preserve"> </w:t>
      </w:r>
    </w:p>
    <w:p w14:paraId="65D54059" w14:textId="77777777" w:rsidR="00357A73" w:rsidRPr="008C3E1C" w:rsidRDefault="00357A73" w:rsidP="00357A73">
      <w:pPr>
        <w:spacing w:before="100" w:beforeAutospacing="1" w:after="100" w:afterAutospacing="1" w:line="360" w:lineRule="auto"/>
        <w:ind w:firstLine="360"/>
        <w:jc w:val="both"/>
        <w:rPr>
          <w:rFonts w:ascii="Arial" w:eastAsia="Times New Roman" w:hAnsi="Arial" w:cs="Arial"/>
          <w:sz w:val="20"/>
          <w:szCs w:val="20"/>
          <w:lang w:eastAsia="pt-BR"/>
        </w:rPr>
      </w:pPr>
    </w:p>
    <w:p w14:paraId="41128F0B" w14:textId="77777777" w:rsidR="00357A73" w:rsidRPr="008C3E1C" w:rsidRDefault="00357A73" w:rsidP="00357A73">
      <w:pPr>
        <w:spacing w:before="100" w:beforeAutospacing="1" w:after="100" w:afterAutospacing="1" w:line="360" w:lineRule="auto"/>
        <w:jc w:val="both"/>
        <w:rPr>
          <w:rFonts w:ascii="Arial" w:eastAsia="Times New Roman" w:hAnsi="Arial" w:cs="Arial"/>
          <w:sz w:val="20"/>
          <w:szCs w:val="20"/>
          <w:lang w:eastAsia="pt-BR"/>
        </w:rPr>
      </w:pPr>
    </w:p>
    <w:p w14:paraId="00066461" w14:textId="77777777" w:rsidR="00357A73" w:rsidRPr="008C3E1C" w:rsidRDefault="00357A73" w:rsidP="00357A73">
      <w:pPr>
        <w:spacing w:before="100" w:beforeAutospacing="1" w:after="100" w:afterAutospacing="1" w:line="360" w:lineRule="auto"/>
        <w:ind w:firstLine="708"/>
        <w:jc w:val="both"/>
        <w:rPr>
          <w:rFonts w:ascii="Arial" w:eastAsia="Times New Roman" w:hAnsi="Arial" w:cs="Arial"/>
          <w:sz w:val="20"/>
          <w:szCs w:val="20"/>
          <w:lang w:eastAsia="pt-BR"/>
        </w:rPr>
      </w:pPr>
    </w:p>
    <w:p w14:paraId="10458661" w14:textId="77777777" w:rsidR="00357A73" w:rsidRPr="008C3E1C" w:rsidRDefault="00357A73" w:rsidP="00357A73">
      <w:pPr>
        <w:spacing w:line="360" w:lineRule="auto"/>
        <w:ind w:left="708"/>
        <w:jc w:val="both"/>
        <w:rPr>
          <w:rFonts w:ascii="Arial" w:hAnsi="Arial" w:cs="Arial"/>
          <w:b/>
          <w:bCs/>
          <w:sz w:val="18"/>
          <w:szCs w:val="18"/>
          <w:lang w:val="en-US"/>
        </w:rPr>
      </w:pPr>
    </w:p>
    <w:p w14:paraId="5640E000" w14:textId="77777777" w:rsidR="00357A73" w:rsidRPr="008C3E1C" w:rsidRDefault="00357A73" w:rsidP="00357A73">
      <w:pPr>
        <w:spacing w:line="360" w:lineRule="auto"/>
        <w:ind w:left="708"/>
        <w:jc w:val="both"/>
        <w:rPr>
          <w:rFonts w:ascii="Arial" w:hAnsi="Arial" w:cs="Arial"/>
          <w:sz w:val="20"/>
          <w:szCs w:val="20"/>
        </w:rPr>
      </w:pPr>
    </w:p>
    <w:p w14:paraId="11DE404E" w14:textId="77777777" w:rsidR="00357A73" w:rsidRPr="008C3E1C" w:rsidRDefault="00357A73" w:rsidP="00357A73">
      <w:pPr>
        <w:spacing w:line="360" w:lineRule="auto"/>
        <w:jc w:val="both"/>
        <w:rPr>
          <w:rFonts w:ascii="Arial" w:hAnsi="Arial" w:cs="Arial"/>
          <w:b/>
          <w:bCs/>
          <w:sz w:val="24"/>
          <w:szCs w:val="24"/>
        </w:rPr>
      </w:pPr>
    </w:p>
    <w:p w14:paraId="1655AB9B" w14:textId="77777777" w:rsidR="00357A73" w:rsidRPr="008C3E1C" w:rsidRDefault="00357A73" w:rsidP="00357A73">
      <w:pPr>
        <w:rPr>
          <w:rFonts w:ascii="Arial" w:hAnsi="Arial" w:cs="Arial"/>
        </w:rPr>
      </w:pPr>
    </w:p>
    <w:p w14:paraId="6FA526C8" w14:textId="77777777" w:rsidR="00357A73" w:rsidRPr="008C3E1C" w:rsidRDefault="00357A73" w:rsidP="00357A73">
      <w:pPr>
        <w:rPr>
          <w:rFonts w:ascii="Arial" w:hAnsi="Arial" w:cs="Arial"/>
        </w:rPr>
      </w:pPr>
    </w:p>
    <w:p w14:paraId="2DCDBFD1" w14:textId="77777777" w:rsidR="00357A73" w:rsidRDefault="00357A73" w:rsidP="00357A73"/>
    <w:p w14:paraId="634C4E3B" w14:textId="77777777" w:rsidR="006228FF" w:rsidRDefault="006228FF"/>
    <w:sectPr w:rsidR="006228FF">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F0F2C" w14:textId="77777777" w:rsidR="0026799E" w:rsidRDefault="0026799E" w:rsidP="00910F9F">
      <w:pPr>
        <w:spacing w:after="0" w:line="240" w:lineRule="auto"/>
      </w:pPr>
      <w:r>
        <w:separator/>
      </w:r>
    </w:p>
  </w:endnote>
  <w:endnote w:type="continuationSeparator" w:id="0">
    <w:p w14:paraId="06F290E4" w14:textId="77777777" w:rsidR="0026799E" w:rsidRDefault="0026799E" w:rsidP="0091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2FF7" w14:textId="77777777" w:rsidR="00910F9F" w:rsidRDefault="00910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33D8" w14:textId="77777777" w:rsidR="00910F9F" w:rsidRDefault="00910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3F2E" w14:textId="77777777" w:rsidR="00910F9F" w:rsidRDefault="00910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7B67" w14:textId="77777777" w:rsidR="0026799E" w:rsidRDefault="0026799E" w:rsidP="00910F9F">
      <w:pPr>
        <w:spacing w:after="0" w:line="240" w:lineRule="auto"/>
      </w:pPr>
      <w:r>
        <w:separator/>
      </w:r>
    </w:p>
  </w:footnote>
  <w:footnote w:type="continuationSeparator" w:id="0">
    <w:p w14:paraId="3276102A" w14:textId="77777777" w:rsidR="0026799E" w:rsidRDefault="0026799E" w:rsidP="0091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5ABD" w14:textId="44E02FB4" w:rsidR="00910F9F" w:rsidRDefault="00910F9F">
    <w:pPr>
      <w:pStyle w:val="Header"/>
    </w:pPr>
    <w:r>
      <w:rPr>
        <w:noProof/>
      </w:rPr>
      <w:pict w14:anchorId="16869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0954"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A311" w14:textId="65B58685" w:rsidR="00910F9F" w:rsidRDefault="00910F9F">
    <w:pPr>
      <w:pStyle w:val="Header"/>
    </w:pPr>
    <w:r>
      <w:rPr>
        <w:noProof/>
      </w:rPr>
      <w:pict w14:anchorId="1D6FD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0955"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5521" w14:textId="5DE73E8A" w:rsidR="00910F9F" w:rsidRDefault="00910F9F">
    <w:pPr>
      <w:pStyle w:val="Header"/>
    </w:pPr>
    <w:r>
      <w:rPr>
        <w:noProof/>
      </w:rPr>
      <w:pict w14:anchorId="5B476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0953"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360"/>
    <w:multiLevelType w:val="hybridMultilevel"/>
    <w:tmpl w:val="12CC9E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F40BD"/>
    <w:multiLevelType w:val="hybridMultilevel"/>
    <w:tmpl w:val="AC7467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B72836"/>
    <w:multiLevelType w:val="multilevel"/>
    <w:tmpl w:val="C72E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550F3"/>
    <w:multiLevelType w:val="multilevel"/>
    <w:tmpl w:val="9EA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55CE8"/>
    <w:multiLevelType w:val="hybridMultilevel"/>
    <w:tmpl w:val="E01ACD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692761"/>
    <w:multiLevelType w:val="multilevel"/>
    <w:tmpl w:val="C62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7"/>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NDM2MTK3sDAyMrZU0lEKTi0uzszPAykwrAUA9rUorCwAAAA="/>
  </w:docVars>
  <w:rsids>
    <w:rsidRoot w:val="006228FF"/>
    <w:rsid w:val="00026AE3"/>
    <w:rsid w:val="00037346"/>
    <w:rsid w:val="00131913"/>
    <w:rsid w:val="0014499E"/>
    <w:rsid w:val="00171D4A"/>
    <w:rsid w:val="00186099"/>
    <w:rsid w:val="001B6AA8"/>
    <w:rsid w:val="001D3EAC"/>
    <w:rsid w:val="001E5B50"/>
    <w:rsid w:val="001E66E3"/>
    <w:rsid w:val="002079EA"/>
    <w:rsid w:val="0021303D"/>
    <w:rsid w:val="0026799E"/>
    <w:rsid w:val="002F0E66"/>
    <w:rsid w:val="00303A13"/>
    <w:rsid w:val="003561F8"/>
    <w:rsid w:val="00357A73"/>
    <w:rsid w:val="00361EE4"/>
    <w:rsid w:val="003802A9"/>
    <w:rsid w:val="003A392B"/>
    <w:rsid w:val="003E7291"/>
    <w:rsid w:val="003F2100"/>
    <w:rsid w:val="00404E71"/>
    <w:rsid w:val="00416332"/>
    <w:rsid w:val="004D4628"/>
    <w:rsid w:val="004E230C"/>
    <w:rsid w:val="004F3A00"/>
    <w:rsid w:val="005207E5"/>
    <w:rsid w:val="00537503"/>
    <w:rsid w:val="00542D4F"/>
    <w:rsid w:val="005454E6"/>
    <w:rsid w:val="006228FF"/>
    <w:rsid w:val="006251A7"/>
    <w:rsid w:val="006278F2"/>
    <w:rsid w:val="00633C26"/>
    <w:rsid w:val="0068287B"/>
    <w:rsid w:val="006F57B0"/>
    <w:rsid w:val="00753FA6"/>
    <w:rsid w:val="00754EFE"/>
    <w:rsid w:val="00754F2D"/>
    <w:rsid w:val="00791251"/>
    <w:rsid w:val="007A32D2"/>
    <w:rsid w:val="007B6577"/>
    <w:rsid w:val="007E3D73"/>
    <w:rsid w:val="00843C73"/>
    <w:rsid w:val="008976C5"/>
    <w:rsid w:val="008B2960"/>
    <w:rsid w:val="008E078A"/>
    <w:rsid w:val="00910F9F"/>
    <w:rsid w:val="0092167E"/>
    <w:rsid w:val="009254C9"/>
    <w:rsid w:val="009350EC"/>
    <w:rsid w:val="0094455D"/>
    <w:rsid w:val="00A0022A"/>
    <w:rsid w:val="00A30542"/>
    <w:rsid w:val="00A86220"/>
    <w:rsid w:val="00A94E1F"/>
    <w:rsid w:val="00AD164A"/>
    <w:rsid w:val="00AF3DBE"/>
    <w:rsid w:val="00B2404E"/>
    <w:rsid w:val="00B352E4"/>
    <w:rsid w:val="00B54970"/>
    <w:rsid w:val="00B93FEC"/>
    <w:rsid w:val="00C235B6"/>
    <w:rsid w:val="00C25F6E"/>
    <w:rsid w:val="00C47F51"/>
    <w:rsid w:val="00C52ACC"/>
    <w:rsid w:val="00C60A20"/>
    <w:rsid w:val="00D040A3"/>
    <w:rsid w:val="00D45834"/>
    <w:rsid w:val="00D52CD6"/>
    <w:rsid w:val="00E1280D"/>
    <w:rsid w:val="00E37B10"/>
    <w:rsid w:val="00E47481"/>
    <w:rsid w:val="00EA6404"/>
    <w:rsid w:val="00EF7F96"/>
    <w:rsid w:val="00F00567"/>
    <w:rsid w:val="00F12F82"/>
    <w:rsid w:val="00F2495F"/>
    <w:rsid w:val="00FE4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AD586"/>
  <w15:chartTrackingRefBased/>
  <w15:docId w15:val="{9980CCDA-DDD9-41D6-B60A-B7F61FB9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A73"/>
    <w:pPr>
      <w:ind w:left="720"/>
      <w:contextualSpacing/>
    </w:pPr>
  </w:style>
  <w:style w:type="character" w:styleId="Hyperlink">
    <w:name w:val="Hyperlink"/>
    <w:basedOn w:val="DefaultParagraphFont"/>
    <w:uiPriority w:val="99"/>
    <w:unhideWhenUsed/>
    <w:rsid w:val="00E47481"/>
    <w:rPr>
      <w:color w:val="0563C1" w:themeColor="hyperlink"/>
      <w:u w:val="single"/>
    </w:rPr>
  </w:style>
  <w:style w:type="character" w:customStyle="1" w:styleId="UnresolvedMention1">
    <w:name w:val="Unresolved Mention1"/>
    <w:basedOn w:val="DefaultParagraphFont"/>
    <w:uiPriority w:val="99"/>
    <w:semiHidden/>
    <w:unhideWhenUsed/>
    <w:rsid w:val="00E47481"/>
    <w:rPr>
      <w:color w:val="605E5C"/>
      <w:shd w:val="clear" w:color="auto" w:fill="E1DFDD"/>
    </w:rPr>
  </w:style>
  <w:style w:type="character" w:styleId="UnresolvedMention">
    <w:name w:val="Unresolved Mention"/>
    <w:basedOn w:val="DefaultParagraphFont"/>
    <w:uiPriority w:val="99"/>
    <w:semiHidden/>
    <w:unhideWhenUsed/>
    <w:rsid w:val="00537503"/>
    <w:rPr>
      <w:color w:val="605E5C"/>
      <w:shd w:val="clear" w:color="auto" w:fill="E1DFDD"/>
    </w:rPr>
  </w:style>
  <w:style w:type="paragraph" w:styleId="Header">
    <w:name w:val="header"/>
    <w:basedOn w:val="Normal"/>
    <w:link w:val="HeaderChar"/>
    <w:uiPriority w:val="99"/>
    <w:unhideWhenUsed/>
    <w:rsid w:val="0091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F9F"/>
  </w:style>
  <w:style w:type="paragraph" w:styleId="Footer">
    <w:name w:val="footer"/>
    <w:basedOn w:val="Normal"/>
    <w:link w:val="FooterChar"/>
    <w:uiPriority w:val="99"/>
    <w:unhideWhenUsed/>
    <w:rsid w:val="0091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12281">
      <w:bodyDiv w:val="1"/>
      <w:marLeft w:val="0"/>
      <w:marRight w:val="0"/>
      <w:marTop w:val="0"/>
      <w:marBottom w:val="0"/>
      <w:divBdr>
        <w:top w:val="none" w:sz="0" w:space="0" w:color="auto"/>
        <w:left w:val="none" w:sz="0" w:space="0" w:color="auto"/>
        <w:bottom w:val="none" w:sz="0" w:space="0" w:color="auto"/>
        <w:right w:val="none" w:sz="0" w:space="0" w:color="auto"/>
      </w:divBdr>
    </w:div>
    <w:div w:id="289093354">
      <w:bodyDiv w:val="1"/>
      <w:marLeft w:val="0"/>
      <w:marRight w:val="0"/>
      <w:marTop w:val="0"/>
      <w:marBottom w:val="0"/>
      <w:divBdr>
        <w:top w:val="none" w:sz="0" w:space="0" w:color="auto"/>
        <w:left w:val="none" w:sz="0" w:space="0" w:color="auto"/>
        <w:bottom w:val="none" w:sz="0" w:space="0" w:color="auto"/>
        <w:right w:val="none" w:sz="0" w:space="0" w:color="auto"/>
      </w:divBdr>
    </w:div>
    <w:div w:id="417018801">
      <w:bodyDiv w:val="1"/>
      <w:marLeft w:val="0"/>
      <w:marRight w:val="0"/>
      <w:marTop w:val="0"/>
      <w:marBottom w:val="0"/>
      <w:divBdr>
        <w:top w:val="none" w:sz="0" w:space="0" w:color="auto"/>
        <w:left w:val="none" w:sz="0" w:space="0" w:color="auto"/>
        <w:bottom w:val="none" w:sz="0" w:space="0" w:color="auto"/>
        <w:right w:val="none" w:sz="0" w:space="0" w:color="auto"/>
      </w:divBdr>
      <w:divsChild>
        <w:div w:id="226115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713046">
      <w:bodyDiv w:val="1"/>
      <w:marLeft w:val="0"/>
      <w:marRight w:val="0"/>
      <w:marTop w:val="0"/>
      <w:marBottom w:val="0"/>
      <w:divBdr>
        <w:top w:val="none" w:sz="0" w:space="0" w:color="auto"/>
        <w:left w:val="none" w:sz="0" w:space="0" w:color="auto"/>
        <w:bottom w:val="none" w:sz="0" w:space="0" w:color="auto"/>
        <w:right w:val="none" w:sz="0" w:space="0" w:color="auto"/>
      </w:divBdr>
    </w:div>
    <w:div w:id="749741393">
      <w:bodyDiv w:val="1"/>
      <w:marLeft w:val="0"/>
      <w:marRight w:val="0"/>
      <w:marTop w:val="0"/>
      <w:marBottom w:val="0"/>
      <w:divBdr>
        <w:top w:val="none" w:sz="0" w:space="0" w:color="auto"/>
        <w:left w:val="none" w:sz="0" w:space="0" w:color="auto"/>
        <w:bottom w:val="none" w:sz="0" w:space="0" w:color="auto"/>
        <w:right w:val="none" w:sz="0" w:space="0" w:color="auto"/>
      </w:divBdr>
    </w:div>
    <w:div w:id="791367017">
      <w:bodyDiv w:val="1"/>
      <w:marLeft w:val="0"/>
      <w:marRight w:val="0"/>
      <w:marTop w:val="0"/>
      <w:marBottom w:val="0"/>
      <w:divBdr>
        <w:top w:val="none" w:sz="0" w:space="0" w:color="auto"/>
        <w:left w:val="none" w:sz="0" w:space="0" w:color="auto"/>
        <w:bottom w:val="none" w:sz="0" w:space="0" w:color="auto"/>
        <w:right w:val="none" w:sz="0" w:space="0" w:color="auto"/>
      </w:divBdr>
    </w:div>
    <w:div w:id="837499777">
      <w:bodyDiv w:val="1"/>
      <w:marLeft w:val="0"/>
      <w:marRight w:val="0"/>
      <w:marTop w:val="0"/>
      <w:marBottom w:val="0"/>
      <w:divBdr>
        <w:top w:val="none" w:sz="0" w:space="0" w:color="auto"/>
        <w:left w:val="none" w:sz="0" w:space="0" w:color="auto"/>
        <w:bottom w:val="none" w:sz="0" w:space="0" w:color="auto"/>
        <w:right w:val="none" w:sz="0" w:space="0" w:color="auto"/>
      </w:divBdr>
    </w:div>
    <w:div w:id="874461786">
      <w:bodyDiv w:val="1"/>
      <w:marLeft w:val="0"/>
      <w:marRight w:val="0"/>
      <w:marTop w:val="0"/>
      <w:marBottom w:val="0"/>
      <w:divBdr>
        <w:top w:val="none" w:sz="0" w:space="0" w:color="auto"/>
        <w:left w:val="none" w:sz="0" w:space="0" w:color="auto"/>
        <w:bottom w:val="none" w:sz="0" w:space="0" w:color="auto"/>
        <w:right w:val="none" w:sz="0" w:space="0" w:color="auto"/>
      </w:divBdr>
    </w:div>
    <w:div w:id="1057624676">
      <w:bodyDiv w:val="1"/>
      <w:marLeft w:val="0"/>
      <w:marRight w:val="0"/>
      <w:marTop w:val="0"/>
      <w:marBottom w:val="0"/>
      <w:divBdr>
        <w:top w:val="none" w:sz="0" w:space="0" w:color="auto"/>
        <w:left w:val="none" w:sz="0" w:space="0" w:color="auto"/>
        <w:bottom w:val="none" w:sz="0" w:space="0" w:color="auto"/>
        <w:right w:val="none" w:sz="0" w:space="0" w:color="auto"/>
      </w:divBdr>
    </w:div>
    <w:div w:id="1442454830">
      <w:bodyDiv w:val="1"/>
      <w:marLeft w:val="0"/>
      <w:marRight w:val="0"/>
      <w:marTop w:val="0"/>
      <w:marBottom w:val="0"/>
      <w:divBdr>
        <w:top w:val="none" w:sz="0" w:space="0" w:color="auto"/>
        <w:left w:val="none" w:sz="0" w:space="0" w:color="auto"/>
        <w:bottom w:val="none" w:sz="0" w:space="0" w:color="auto"/>
        <w:right w:val="none" w:sz="0" w:space="0" w:color="auto"/>
      </w:divBdr>
    </w:div>
    <w:div w:id="1458646963">
      <w:bodyDiv w:val="1"/>
      <w:marLeft w:val="0"/>
      <w:marRight w:val="0"/>
      <w:marTop w:val="0"/>
      <w:marBottom w:val="0"/>
      <w:divBdr>
        <w:top w:val="none" w:sz="0" w:space="0" w:color="auto"/>
        <w:left w:val="none" w:sz="0" w:space="0" w:color="auto"/>
        <w:bottom w:val="none" w:sz="0" w:space="0" w:color="auto"/>
        <w:right w:val="none" w:sz="0" w:space="0" w:color="auto"/>
      </w:divBdr>
    </w:div>
    <w:div w:id="1727223282">
      <w:bodyDiv w:val="1"/>
      <w:marLeft w:val="0"/>
      <w:marRight w:val="0"/>
      <w:marTop w:val="0"/>
      <w:marBottom w:val="0"/>
      <w:divBdr>
        <w:top w:val="none" w:sz="0" w:space="0" w:color="auto"/>
        <w:left w:val="none" w:sz="0" w:space="0" w:color="auto"/>
        <w:bottom w:val="none" w:sz="0" w:space="0" w:color="auto"/>
        <w:right w:val="none" w:sz="0" w:space="0" w:color="auto"/>
      </w:divBdr>
    </w:div>
    <w:div w:id="1840584773">
      <w:bodyDiv w:val="1"/>
      <w:marLeft w:val="0"/>
      <w:marRight w:val="0"/>
      <w:marTop w:val="0"/>
      <w:marBottom w:val="0"/>
      <w:divBdr>
        <w:top w:val="none" w:sz="0" w:space="0" w:color="auto"/>
        <w:left w:val="none" w:sz="0" w:space="0" w:color="auto"/>
        <w:bottom w:val="none" w:sz="0" w:space="0" w:color="auto"/>
        <w:right w:val="none" w:sz="0" w:space="0" w:color="auto"/>
      </w:divBdr>
    </w:div>
    <w:div w:id="1933658144">
      <w:bodyDiv w:val="1"/>
      <w:marLeft w:val="0"/>
      <w:marRight w:val="0"/>
      <w:marTop w:val="0"/>
      <w:marBottom w:val="0"/>
      <w:divBdr>
        <w:top w:val="none" w:sz="0" w:space="0" w:color="auto"/>
        <w:left w:val="none" w:sz="0" w:space="0" w:color="auto"/>
        <w:bottom w:val="none" w:sz="0" w:space="0" w:color="auto"/>
        <w:right w:val="none" w:sz="0" w:space="0" w:color="auto"/>
      </w:divBdr>
    </w:div>
    <w:div w:id="2078506634">
      <w:bodyDiv w:val="1"/>
      <w:marLeft w:val="0"/>
      <w:marRight w:val="0"/>
      <w:marTop w:val="0"/>
      <w:marBottom w:val="0"/>
      <w:divBdr>
        <w:top w:val="none" w:sz="0" w:space="0" w:color="auto"/>
        <w:left w:val="none" w:sz="0" w:space="0" w:color="auto"/>
        <w:bottom w:val="none" w:sz="0" w:space="0" w:color="auto"/>
        <w:right w:val="none" w:sz="0" w:space="0" w:color="auto"/>
      </w:divBdr>
    </w:div>
    <w:div w:id="20846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2/blood-2015-03-635151" TargetMode="External"/><Relationship Id="rId18" Type="http://schemas.openxmlformats.org/officeDocument/2006/relationships/hyperlink" Target="https://doi.org/10.1182/bloodadvances.2022008414" TargetMode="External"/><Relationship Id="rId26" Type="http://schemas.openxmlformats.org/officeDocument/2006/relationships/hyperlink" Target="https://doi.org/10.1038/s41590-019-0558-z" TargetMode="External"/><Relationship Id="rId39" Type="http://schemas.openxmlformats.org/officeDocument/2006/relationships/fontTable" Target="fontTable.xml"/><Relationship Id="rId21" Type="http://schemas.openxmlformats.org/officeDocument/2006/relationships/hyperlink" Target="https://doi.org/10.1111/bjh.17781" TargetMode="External"/><Relationship Id="rId34" Type="http://schemas.openxmlformats.org/officeDocument/2006/relationships/header" Target="header2.xml"/><Relationship Id="rId7" Type="http://schemas.openxmlformats.org/officeDocument/2006/relationships/hyperlink" Target="https://doi.org/10.1056/NEJMra1607548" TargetMode="External"/><Relationship Id="rId12" Type="http://schemas.openxmlformats.org/officeDocument/2006/relationships/hyperlink" Target="https://doi.org/10.3324/haematol.2018.201194" TargetMode="External"/><Relationship Id="rId17" Type="http://schemas.openxmlformats.org/officeDocument/2006/relationships/hyperlink" Target="https://doi.org/10.4143/crt.2020.769" TargetMode="External"/><Relationship Id="rId25" Type="http://schemas.openxmlformats.org/officeDocument/2006/relationships/hyperlink" Target="https://doi.org/10.1016/j.jpeds.2010.03.00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1/jamaoncol.2017.5029" TargetMode="External"/><Relationship Id="rId20" Type="http://schemas.openxmlformats.org/officeDocument/2006/relationships/hyperlink" Target="https://doi.org/10.1182/blood-2018-10-878363" TargetMode="External"/><Relationship Id="rId29" Type="http://schemas.openxmlformats.org/officeDocument/2006/relationships/hyperlink" Target="https://doi.org/10.1016/j.jpeds.2021.06.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0/JCO.2015.65.9508" TargetMode="External"/><Relationship Id="rId24" Type="http://schemas.openxmlformats.org/officeDocument/2006/relationships/hyperlink" Target="https://doi.org/10.1002/pbc.28422" TargetMode="External"/><Relationship Id="rId32" Type="http://schemas.openxmlformats.org/officeDocument/2006/relationships/hyperlink" Target="https://doi.org/10.1182/bloodadvances.202200794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bjh.14695" TargetMode="External"/><Relationship Id="rId23" Type="http://schemas.openxmlformats.org/officeDocument/2006/relationships/hyperlink" Target="https://doi.org/10.1182/blood-2012-09-455774" TargetMode="External"/><Relationship Id="rId28" Type="http://schemas.openxmlformats.org/officeDocument/2006/relationships/hyperlink" Target="https://doi.org/10.1182/bloodadvances.2022007519" TargetMode="External"/><Relationship Id="rId36" Type="http://schemas.openxmlformats.org/officeDocument/2006/relationships/footer" Target="footer2.xml"/><Relationship Id="rId10" Type="http://schemas.openxmlformats.org/officeDocument/2006/relationships/hyperlink" Target="https://doi.org/10.1182/blood.2021014343" TargetMode="External"/><Relationship Id="rId19" Type="http://schemas.openxmlformats.org/officeDocument/2006/relationships/hyperlink" Target="https://doi.org/10.1002/cncr.31348" TargetMode="External"/><Relationship Id="rId31" Type="http://schemas.openxmlformats.org/officeDocument/2006/relationships/hyperlink" Target="https://doi.org/10.5306/wjco.v12.i5.335" TargetMode="External"/><Relationship Id="rId4" Type="http://schemas.openxmlformats.org/officeDocument/2006/relationships/webSettings" Target="webSettings.xml"/><Relationship Id="rId9" Type="http://schemas.openxmlformats.org/officeDocument/2006/relationships/hyperlink" Target="https://doi.org/10.1182/blood.2019000934" TargetMode="External"/><Relationship Id="rId14" Type="http://schemas.openxmlformats.org/officeDocument/2006/relationships/hyperlink" Target="https://doi.org/10.1111/bjh.13347" TargetMode="External"/><Relationship Id="rId22" Type="http://schemas.openxmlformats.org/officeDocument/2006/relationships/hyperlink" Target="https://doi.org/10.1111/bjh.13208" TargetMode="External"/><Relationship Id="rId27" Type="http://schemas.openxmlformats.org/officeDocument/2006/relationships/hyperlink" Target="https://doi.org/10.1182/blood.2020009064" TargetMode="External"/><Relationship Id="rId30" Type="http://schemas.openxmlformats.org/officeDocument/2006/relationships/hyperlink" Target="https://doi.org/10.1002/pbc.29115" TargetMode="External"/><Relationship Id="rId35" Type="http://schemas.openxmlformats.org/officeDocument/2006/relationships/footer" Target="footer1.xml"/><Relationship Id="rId8" Type="http://schemas.openxmlformats.org/officeDocument/2006/relationships/hyperlink" Target="https://doi.org/10.1182/blood-2010-04-279083"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23</Pages>
  <Words>7018</Words>
  <Characters>40008</Characters>
  <Application>Microsoft Office Word</Application>
  <DocSecurity>0</DocSecurity>
  <Lines>333</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1084</cp:lastModifiedBy>
  <cp:revision>86</cp:revision>
  <dcterms:created xsi:type="dcterms:W3CDTF">2025-11-01T14:19:00Z</dcterms:created>
  <dcterms:modified xsi:type="dcterms:W3CDTF">2026-01-02T10:49:00Z</dcterms:modified>
</cp:coreProperties>
</file>