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53F78" w14:textId="77777777" w:rsidR="00EB7D39" w:rsidRDefault="00EB7D39" w:rsidP="00B119F0">
      <w:pPr>
        <w:pStyle w:val="NormalWeb"/>
        <w:jc w:val="center"/>
        <w:rPr>
          <w:rStyle w:val="Strong"/>
        </w:rPr>
      </w:pPr>
    </w:p>
    <w:p w14:paraId="4B60A567" w14:textId="77777777" w:rsidR="00F651AE" w:rsidRDefault="00F651AE" w:rsidP="005075C7">
      <w:pPr>
        <w:jc w:val="center"/>
        <w:rPr>
          <w:b/>
          <w:sz w:val="32"/>
        </w:rPr>
      </w:pPr>
      <w:r w:rsidRPr="005075C7">
        <w:rPr>
          <w:b/>
          <w:sz w:val="32"/>
        </w:rPr>
        <w:t>Biomedical Implications o</w:t>
      </w:r>
      <w:r w:rsidR="005075C7" w:rsidRPr="005075C7">
        <w:rPr>
          <w:b/>
          <w:sz w:val="32"/>
        </w:rPr>
        <w:t xml:space="preserve">f the Integrity of Petroleum </w:t>
      </w:r>
      <w:r w:rsidR="002E4CDC" w:rsidRPr="005075C7">
        <w:rPr>
          <w:b/>
          <w:sz w:val="32"/>
        </w:rPr>
        <w:t>Pipeline-</w:t>
      </w:r>
      <w:r w:rsidRPr="005075C7">
        <w:rPr>
          <w:b/>
          <w:sz w:val="32"/>
        </w:rPr>
        <w:t>Infrastructure</w:t>
      </w:r>
      <w:r w:rsidR="002E4CDC" w:rsidRPr="005075C7">
        <w:rPr>
          <w:b/>
          <w:sz w:val="32"/>
        </w:rPr>
        <w:t xml:space="preserve"> Systems</w:t>
      </w:r>
      <w:r w:rsidR="00EB7D39" w:rsidRPr="005075C7">
        <w:rPr>
          <w:b/>
          <w:sz w:val="32"/>
        </w:rPr>
        <w:t>: A Review</w:t>
      </w:r>
    </w:p>
    <w:p w14:paraId="6253D587" w14:textId="77777777" w:rsidR="00067F5C" w:rsidRDefault="00067F5C" w:rsidP="00B119F0">
      <w:pPr>
        <w:spacing w:after="0" w:line="240" w:lineRule="auto"/>
        <w:jc w:val="center"/>
        <w:rPr>
          <w:rFonts w:cs="Times New Roman"/>
        </w:rPr>
      </w:pPr>
    </w:p>
    <w:p w14:paraId="453393DA" w14:textId="77777777" w:rsidR="007B0048" w:rsidRDefault="0067191F" w:rsidP="004E13F7">
      <w:pPr>
        <w:pStyle w:val="Heading1"/>
        <w:rPr>
          <w:rFonts w:eastAsia="Times New Roman"/>
        </w:rPr>
      </w:pPr>
      <w:r w:rsidRPr="00744E72">
        <w:rPr>
          <w:rFonts w:eastAsia="Times New Roman"/>
        </w:rPr>
        <w:t>Abstract</w:t>
      </w:r>
    </w:p>
    <w:p w14:paraId="66BBFD0B" w14:textId="77777777" w:rsidR="00E31A0B" w:rsidRPr="00E31A0B" w:rsidRDefault="00E31A0B" w:rsidP="00E31A0B">
      <w:pPr>
        <w:jc w:val="both"/>
      </w:pPr>
      <w:r>
        <w:t>Pipeline integrity and infrastructure development in the global petroleum industry have advanced rapidly over the last two decades; however, these innovations continue to generate significant and often underexamined biomedical and public health consequences. This critical review evaluates the health implications of petroleum pipeline</w:t>
      </w:r>
      <w:r w:rsidR="009B1CFE">
        <w:t>-infrastructure</w:t>
      </w:r>
      <w:r>
        <w:t xml:space="preserve"> systems, with emphasis on corrosion failures, material degradation, leakages, emissions, and maintenance activities associated with both conventional and emerging technologies. Using Nigeria and other oil-producing regions in Africa, Asia, Europe, and the United States as comparative ca</w:t>
      </w:r>
      <w:r w:rsidR="009B1CFE">
        <w:t xml:space="preserve">se studies, the review </w:t>
      </w:r>
      <w:proofErr w:type="spellStart"/>
      <w:r w:rsidR="009B1CFE">
        <w:t>synthesis</w:t>
      </w:r>
      <w:r>
        <w:t>es</w:t>
      </w:r>
      <w:proofErr w:type="spellEnd"/>
      <w:r>
        <w:t xml:space="preserve"> peer-reviewed evidence published between 2010 and 2024 linking pipeline</w:t>
      </w:r>
      <w:r w:rsidR="00820F8D">
        <w:t>-</w:t>
      </w:r>
      <w:r w:rsidR="001D495F">
        <w:t>infrastructure operations</w:t>
      </w:r>
      <w:r>
        <w:t xml:space="preserve"> to toxic chemical exposure, respiratory disorders, carcinogenic risks, reproductive toxicity, endocrine disr</w:t>
      </w:r>
      <w:r w:rsidR="00ED4A01">
        <w:t>uption, microbial contamination</w:t>
      </w:r>
      <w:r>
        <w:t xml:space="preserve"> and long-term ecological degradation affecting human health. Data from oil-impacted communities in the Niger Delta between 2015 and 2023 reveal elevated incidences of asthma, reduced pulmonary fun</w:t>
      </w:r>
      <w:r w:rsidR="00ED4A01">
        <w:t>ction, heavy metal accumulation</w:t>
      </w:r>
      <w:r>
        <w:t xml:space="preserve"> and adverse pregnancy outcomes among populations living near pipeline corridors. The review further examines recent technological innovations introduced since 2015, including nanomaterial coatings, composite</w:t>
      </w:r>
      <w:r w:rsidR="00B768E0">
        <w:t xml:space="preserve"> linings, smart sensors</w:t>
      </w:r>
      <w:r>
        <w:t xml:space="preserve"> and laser-based surface treatments, which enhance corrosion resistance and operational efficiency</w:t>
      </w:r>
      <w:r w:rsidR="009C6A62">
        <w:t>,</w:t>
      </w:r>
      <w:r>
        <w:t xml:space="preserve"> but may introduce new biomedical risks through nanopart</w:t>
      </w:r>
      <w:r w:rsidR="00F52F41">
        <w:t>icle release, chemical leaching</w:t>
      </w:r>
      <w:r>
        <w:t xml:space="preserve"> and environmental persistence. Overall, the findings highlight persistent gaps in regulatory enforcement, oc</w:t>
      </w:r>
      <w:r w:rsidR="00FB752D">
        <w:t xml:space="preserve">cupational health surveillance </w:t>
      </w:r>
      <w:r>
        <w:t>and environmental monitoring, underscoring the urgent need for multidisciplinary approaches integrating engineer</w:t>
      </w:r>
      <w:r w:rsidR="00001954">
        <w:t xml:space="preserve">ing, toxicology, public health </w:t>
      </w:r>
      <w:r>
        <w:t>and regulatory science to mitigate the growing biomedic</w:t>
      </w:r>
      <w:r w:rsidR="00001954">
        <w:t>al burden of petroleum pipeline-</w:t>
      </w:r>
      <w:r>
        <w:t>infrastructure in oil-rich regions worldwide.</w:t>
      </w:r>
    </w:p>
    <w:p w14:paraId="54E76995" w14:textId="77777777" w:rsidR="0067191F" w:rsidRPr="0067191F" w:rsidRDefault="0067191F" w:rsidP="004E13F7">
      <w:pPr>
        <w:pStyle w:val="Heading1"/>
        <w:rPr>
          <w:rFonts w:eastAsia="Times New Roman"/>
        </w:rPr>
      </w:pPr>
      <w:r w:rsidRPr="00744E72">
        <w:rPr>
          <w:rFonts w:eastAsia="Times New Roman"/>
        </w:rPr>
        <w:t>Keywords</w:t>
      </w:r>
    </w:p>
    <w:p w14:paraId="4CCA6A1F" w14:textId="77777777" w:rsidR="0067191F" w:rsidRDefault="0067191F" w:rsidP="00B119F0">
      <w:pPr>
        <w:spacing w:before="100" w:beforeAutospacing="1" w:after="100" w:afterAutospacing="1" w:line="240" w:lineRule="auto"/>
        <w:jc w:val="both"/>
        <w:rPr>
          <w:rFonts w:eastAsia="Times New Roman" w:cs="Times New Roman"/>
          <w:szCs w:val="24"/>
        </w:rPr>
      </w:pPr>
      <w:r w:rsidRPr="0067191F">
        <w:rPr>
          <w:rFonts w:eastAsia="Times New Roman" w:cs="Times New Roman"/>
          <w:szCs w:val="24"/>
        </w:rPr>
        <w:t>Pipeline integri</w:t>
      </w:r>
      <w:r w:rsidR="002A6495">
        <w:rPr>
          <w:rFonts w:eastAsia="Times New Roman" w:cs="Times New Roman"/>
          <w:szCs w:val="24"/>
        </w:rPr>
        <w:t xml:space="preserve">ty, </w:t>
      </w:r>
      <w:r w:rsidR="00D60781">
        <w:t>O</w:t>
      </w:r>
      <w:r w:rsidR="00EB6DE8">
        <w:t xml:space="preserve">il-rich regions, </w:t>
      </w:r>
      <w:r w:rsidR="00B119F0">
        <w:rPr>
          <w:rFonts w:eastAsia="Times New Roman" w:cs="Times New Roman"/>
          <w:szCs w:val="24"/>
        </w:rPr>
        <w:t>Corrosion,</w:t>
      </w:r>
      <w:r w:rsidR="00B119F0" w:rsidRPr="0067191F">
        <w:rPr>
          <w:rFonts w:eastAsia="Times New Roman" w:cs="Times New Roman"/>
          <w:szCs w:val="24"/>
        </w:rPr>
        <w:t xml:space="preserve"> </w:t>
      </w:r>
      <w:r w:rsidR="00B119F0">
        <w:rPr>
          <w:rFonts w:eastAsia="Times New Roman" w:cs="Times New Roman"/>
          <w:szCs w:val="24"/>
        </w:rPr>
        <w:t>Industrial safety,</w:t>
      </w:r>
      <w:r w:rsidR="00F123D8">
        <w:rPr>
          <w:rFonts w:eastAsia="Times New Roman" w:cs="Times New Roman"/>
          <w:szCs w:val="24"/>
        </w:rPr>
        <w:t xml:space="preserve"> Biomedical implications</w:t>
      </w:r>
    </w:p>
    <w:p w14:paraId="0C55FDCF" w14:textId="77777777" w:rsidR="00B119F0" w:rsidRDefault="00B119F0" w:rsidP="00B119F0">
      <w:pPr>
        <w:spacing w:before="100" w:beforeAutospacing="1" w:after="100" w:afterAutospacing="1" w:line="240" w:lineRule="auto"/>
        <w:jc w:val="both"/>
        <w:rPr>
          <w:rFonts w:eastAsia="Times New Roman" w:cs="Times New Roman"/>
          <w:szCs w:val="24"/>
        </w:rPr>
      </w:pPr>
    </w:p>
    <w:p w14:paraId="59F699CE" w14:textId="77777777" w:rsidR="00B119F0" w:rsidRPr="0067191F" w:rsidRDefault="00B119F0" w:rsidP="00B119F0">
      <w:pPr>
        <w:spacing w:before="100" w:beforeAutospacing="1" w:after="100" w:afterAutospacing="1" w:line="240" w:lineRule="auto"/>
        <w:jc w:val="both"/>
        <w:rPr>
          <w:rFonts w:eastAsia="Times New Roman" w:cs="Times New Roman"/>
          <w:szCs w:val="24"/>
        </w:rPr>
      </w:pPr>
    </w:p>
    <w:p w14:paraId="64776919" w14:textId="77777777" w:rsidR="0067191F" w:rsidRPr="0067191F" w:rsidRDefault="0067191F" w:rsidP="004E13F7">
      <w:pPr>
        <w:pStyle w:val="Heading1"/>
        <w:rPr>
          <w:rFonts w:eastAsia="Times New Roman"/>
        </w:rPr>
      </w:pPr>
      <w:r w:rsidRPr="00744E72">
        <w:rPr>
          <w:rFonts w:eastAsia="Times New Roman"/>
        </w:rPr>
        <w:t>1. Introduction</w:t>
      </w:r>
    </w:p>
    <w:p w14:paraId="5407C82F" w14:textId="77777777" w:rsidR="009A3822" w:rsidRDefault="009A3822" w:rsidP="00B119F0">
      <w:pPr>
        <w:pStyle w:val="NormalWeb"/>
        <w:jc w:val="both"/>
      </w:pPr>
      <w:r>
        <w:t>The petroleum industry has been a cornerstone of global economic developmen</w:t>
      </w:r>
      <w:r w:rsidR="00DE30DC">
        <w:t>t, providing energy, employment</w:t>
      </w:r>
      <w:r>
        <w:t xml:space="preserve"> and technological advancement across continents. Pipelines, in particular, form the backbone of oil and gas transportation, enabling the efficient movement of hydrocarbons from extraction sites to </w:t>
      </w:r>
      <w:r w:rsidR="008E2893">
        <w:t xml:space="preserve">refineries, storage facilities </w:t>
      </w:r>
      <w:r>
        <w:t>and international markets. Innovat</w:t>
      </w:r>
      <w:r w:rsidR="00E31A0B">
        <w:t>ions in pipeline</w:t>
      </w:r>
      <w:r w:rsidR="00C31237">
        <w:t>-</w:t>
      </w:r>
      <w:r w:rsidR="00E31A0B">
        <w:t xml:space="preserve"> </w:t>
      </w:r>
      <w:r w:rsidR="00E31A0B">
        <w:lastRenderedPageBreak/>
        <w:t xml:space="preserve">infrastructure </w:t>
      </w:r>
      <w:r>
        <w:t>ranging from corrosion-resistant coatings and composite lini</w:t>
      </w:r>
      <w:r w:rsidR="00E31A0B">
        <w:t xml:space="preserve">ngs to smart monitoring sensors </w:t>
      </w:r>
      <w:r>
        <w:t>have significantly improved the efficiency and safety of hydrocarbon transp</w:t>
      </w:r>
      <w:r w:rsidR="00C31237">
        <w:t>ort (Wang et al., 2018; Arvind and</w:t>
      </w:r>
      <w:r>
        <w:t xml:space="preserve"> Lakshmi, 2019). Despite these advancements, the negative biomedical and health implications of pipeline operations and technological interventions remain underexplored. Across oil-producing regions, populations are routinely exposed to complex mixtures of </w:t>
      </w:r>
      <w:r w:rsidR="00821EE5">
        <w:t xml:space="preserve">Hydrocarbons, Volatile Organic Compounds </w:t>
      </w:r>
      <w:r>
        <w:t xml:space="preserve">(VOCs), </w:t>
      </w:r>
      <w:r w:rsidR="008A1B92">
        <w:t xml:space="preserve">Polycyclic Aromatic Hydrocarbons </w:t>
      </w:r>
      <w:r>
        <w:t>(PAHs), and heavy metals due to pipeline leaks, spillages, corrosion failures, and infrastructural sabotage (</w:t>
      </w:r>
      <w:proofErr w:type="spellStart"/>
      <w:r>
        <w:t>Nriagu</w:t>
      </w:r>
      <w:proofErr w:type="spellEnd"/>
      <w:r>
        <w:t xml:space="preserve"> et al., 2016; </w:t>
      </w:r>
      <w:proofErr w:type="spellStart"/>
      <w:r>
        <w:t>Onyije</w:t>
      </w:r>
      <w:proofErr w:type="spellEnd"/>
      <w:r>
        <w:t xml:space="preserve"> et al., 2021).</w:t>
      </w:r>
    </w:p>
    <w:p w14:paraId="4997A6B0" w14:textId="77777777" w:rsidR="005A463C" w:rsidRDefault="005A463C" w:rsidP="00B119F0">
      <w:pPr>
        <w:pStyle w:val="NormalWeb"/>
        <w:jc w:val="both"/>
      </w:pPr>
      <w:r>
        <w:t xml:space="preserve">In Nigeria, which hosts some of Africa’s largest oil reserves, petroleum pipelines traverse densely populated and ecologically sensitive areas such as the Niger Delta (Ezugwu &amp; Nwachukwu, 2021; </w:t>
      </w:r>
      <w:r w:rsidR="00CF6F85">
        <w:t>Giwa et al., 2019</w:t>
      </w:r>
      <w:r>
        <w:t>). The region has been plagued by frequent oil spills, gas flaring, and pipeline sabotage, resulting in significant environmental degradation and health hazards for local communities (</w:t>
      </w:r>
      <w:proofErr w:type="spellStart"/>
      <w:r w:rsidR="00081713">
        <w:t>Beyeret</w:t>
      </w:r>
      <w:proofErr w:type="spellEnd"/>
      <w:r w:rsidR="00081713">
        <w:t xml:space="preserve"> al., 2016</w:t>
      </w:r>
      <w:r>
        <w:t xml:space="preserve">; </w:t>
      </w:r>
      <w:proofErr w:type="spellStart"/>
      <w:r w:rsidR="00081713">
        <w:t>Goldsteinal</w:t>
      </w:r>
      <w:proofErr w:type="spellEnd"/>
      <w:r w:rsidR="00081713">
        <w:t xml:space="preserve"> et al., 2011</w:t>
      </w:r>
      <w:r>
        <w:t xml:space="preserve">). Studies have documented elevated incidences of respiratory disorders, dermal lesions, reproductive health complications, and carcinogenic outcomes among residents and workers exposed to pipeline-related hydrocarbons (D’Andrea &amp; Reddy, 2014; </w:t>
      </w:r>
      <w:proofErr w:type="spellStart"/>
      <w:r w:rsidR="00081713">
        <w:t>Nriaguet</w:t>
      </w:r>
      <w:proofErr w:type="spellEnd"/>
      <w:r w:rsidR="00081713">
        <w:t xml:space="preserve"> al., 2016</w:t>
      </w:r>
      <w:r>
        <w:t>). These biomedical consequences are compounded by inadequate monitoring systems, poor infrastructure maintenance, and limited access to healthcare facilities. Moreover, the introduction of emerging pipeline technologies, such as nanoceramic coatings and laser-structured surfaces, although beneficial for corrosion resistance and operational longevity, may pose additional risks through chemical leaching, nanoparticle release, and occupational exposure (Li, Zhang, &amp; Wang, 2022; Ji, 2024; Chen et al., 2023).</w:t>
      </w:r>
    </w:p>
    <w:p w14:paraId="59E29231" w14:textId="77777777" w:rsidR="00AD011E" w:rsidRDefault="00AD011E" w:rsidP="00E31A0B">
      <w:pPr>
        <w:pStyle w:val="NormalWeb"/>
        <w:jc w:val="center"/>
      </w:pPr>
      <w:r w:rsidRPr="00AD011E">
        <w:rPr>
          <w:noProof/>
        </w:rPr>
        <w:drawing>
          <wp:inline distT="0" distB="0" distL="0" distR="0" wp14:anchorId="158D1A73" wp14:editId="613C5C75">
            <wp:extent cx="4815840" cy="23393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5840" cy="2339340"/>
                    </a:xfrm>
                    <a:prstGeom prst="rect">
                      <a:avLst/>
                    </a:prstGeom>
                  </pic:spPr>
                </pic:pic>
              </a:graphicData>
            </a:graphic>
          </wp:inline>
        </w:drawing>
      </w:r>
    </w:p>
    <w:p w14:paraId="640F3CFD" w14:textId="77777777" w:rsidR="00AD011E" w:rsidRPr="00AD011E" w:rsidRDefault="00AD011E" w:rsidP="00B119F0">
      <w:pPr>
        <w:pStyle w:val="Caption"/>
        <w:spacing w:after="0"/>
        <w:jc w:val="center"/>
        <w:rPr>
          <w:i w:val="0"/>
          <w:sz w:val="24"/>
          <w:szCs w:val="24"/>
        </w:rPr>
      </w:pPr>
      <w:r w:rsidRPr="00AD011E">
        <w:rPr>
          <w:i w:val="0"/>
          <w:sz w:val="24"/>
          <w:szCs w:val="24"/>
        </w:rPr>
        <w:t xml:space="preserve">Figure </w:t>
      </w:r>
      <w:r w:rsidRPr="00AD011E">
        <w:rPr>
          <w:i w:val="0"/>
          <w:sz w:val="24"/>
          <w:szCs w:val="24"/>
        </w:rPr>
        <w:fldChar w:fldCharType="begin"/>
      </w:r>
      <w:r w:rsidRPr="00AD011E">
        <w:rPr>
          <w:i w:val="0"/>
          <w:sz w:val="24"/>
          <w:szCs w:val="24"/>
        </w:rPr>
        <w:instrText xml:space="preserve"> SEQ Figure \* ARABIC </w:instrText>
      </w:r>
      <w:r w:rsidRPr="00AD011E">
        <w:rPr>
          <w:i w:val="0"/>
          <w:sz w:val="24"/>
          <w:szCs w:val="24"/>
        </w:rPr>
        <w:fldChar w:fldCharType="separate"/>
      </w:r>
      <w:r w:rsidR="00AE6A33">
        <w:rPr>
          <w:i w:val="0"/>
          <w:noProof/>
          <w:sz w:val="24"/>
          <w:szCs w:val="24"/>
        </w:rPr>
        <w:t>1</w:t>
      </w:r>
      <w:r w:rsidRPr="00AD011E">
        <w:rPr>
          <w:i w:val="0"/>
          <w:sz w:val="24"/>
          <w:szCs w:val="24"/>
        </w:rPr>
        <w:fldChar w:fldCharType="end"/>
      </w:r>
      <w:r w:rsidRPr="00AD011E">
        <w:rPr>
          <w:i w:val="0"/>
          <w:sz w:val="24"/>
          <w:szCs w:val="24"/>
        </w:rPr>
        <w:t xml:space="preserve">: </w:t>
      </w:r>
      <w:r w:rsidRPr="00AD011E">
        <w:rPr>
          <w:rStyle w:val="Emphasis"/>
          <w:sz w:val="24"/>
          <w:szCs w:val="24"/>
        </w:rPr>
        <w:t>Pipeline Integrity Management Operations in Nigeria</w:t>
      </w:r>
    </w:p>
    <w:p w14:paraId="37A391EC" w14:textId="77777777" w:rsidR="00AD011E" w:rsidRDefault="00AD011E" w:rsidP="00B119F0">
      <w:pPr>
        <w:pStyle w:val="NormalWeb"/>
        <w:spacing w:before="0" w:beforeAutospacing="0" w:after="240" w:afterAutospacing="0"/>
        <w:jc w:val="center"/>
      </w:pPr>
      <w:r w:rsidRPr="008972EA">
        <w:rPr>
          <w:rStyle w:val="Strong"/>
          <w:b w:val="0"/>
        </w:rPr>
        <w:t>Source:</w:t>
      </w:r>
      <w:r w:rsidR="004352DE">
        <w:t xml:space="preserve"> Torch Energy Group, 2025</w:t>
      </w:r>
    </w:p>
    <w:p w14:paraId="1921E6AD" w14:textId="77777777" w:rsidR="00D42552" w:rsidRDefault="00D42552" w:rsidP="00D42552">
      <w:pPr>
        <w:pStyle w:val="NormalWeb"/>
        <w:spacing w:before="0" w:beforeAutospacing="0" w:after="240" w:afterAutospacing="0"/>
        <w:jc w:val="both"/>
      </w:pPr>
      <w:r>
        <w:t>Globally, similar patterns of concern are observed in other oil-rich regions. In Africa, countries such as Angola, Gabon, and Algeria rely heavily on pipeline networks for hydrocarbon transport. Although these nations have adopted modern pipeline integrity strategies, including advanced monitoring systems and corrosion-resistant materials, reports indicate that communities near pipeline corridors experience chronic exposure to hydrocarbons and heavy metals, resulting in respiratory, neurological, and reproductive health problems (</w:t>
      </w:r>
      <w:proofErr w:type="spellStart"/>
      <w:r w:rsidR="00081713">
        <w:t>Nriaguet</w:t>
      </w:r>
      <w:proofErr w:type="spellEnd"/>
      <w:r w:rsidR="00081713">
        <w:t xml:space="preserve"> al., 2016</w:t>
      </w:r>
      <w:r>
        <w:t xml:space="preserve">; Kumar &amp; Yadav, </w:t>
      </w:r>
      <w:r>
        <w:lastRenderedPageBreak/>
        <w:t>2022). In Asia, rapidly industrializing petroleum sectors in China, India, and Malaysia employ polymer-based linings and smart sensor networks to enhance pipeline safety. However, the release of nanoparticles and degradation products from these innovations raises concerns about long-term health effects among workers and surrounding populations (</w:t>
      </w:r>
      <w:r w:rsidR="00081713">
        <w:t>Wang et al., 2018</w:t>
      </w:r>
      <w:r>
        <w:t xml:space="preserve">; Li, Zhang, &amp; Wang, 2022). In Europe and the United States, despite stringent regulatory frameworks and advanced pipeline technologies, accidental leakages and sabotage continue to result in localized chemical exposures, including VOCs and PAHs, leading to respiratory and carcinogenic risks (D’Andrea &amp; Reddy, 2014; </w:t>
      </w:r>
      <w:proofErr w:type="spellStart"/>
      <w:r w:rsidR="00081713">
        <w:t>Laffon</w:t>
      </w:r>
      <w:proofErr w:type="spellEnd"/>
      <w:r w:rsidR="00081713">
        <w:t xml:space="preserve"> et al., 2016</w:t>
      </w:r>
      <w:r>
        <w:t>; Liu et al., 2021).</w:t>
      </w:r>
    </w:p>
    <w:p w14:paraId="449B2974" w14:textId="77777777" w:rsidR="00F53E91" w:rsidRDefault="009B0E59" w:rsidP="00B119F0">
      <w:pPr>
        <w:pStyle w:val="NormalWeb"/>
        <w:jc w:val="center"/>
      </w:pPr>
      <w:r>
        <w:rPr>
          <w:noProof/>
        </w:rPr>
        <w:drawing>
          <wp:inline distT="0" distB="0" distL="0" distR="0" wp14:anchorId="63B3D48F" wp14:editId="04EE6CE9">
            <wp:extent cx="4970264" cy="33178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2567" cy="3339439"/>
                    </a:xfrm>
                    <a:prstGeom prst="rect">
                      <a:avLst/>
                    </a:prstGeom>
                  </pic:spPr>
                </pic:pic>
              </a:graphicData>
            </a:graphic>
          </wp:inline>
        </w:drawing>
      </w:r>
    </w:p>
    <w:p w14:paraId="0F92203C" w14:textId="77777777" w:rsidR="009B0E59" w:rsidRDefault="009B0E59" w:rsidP="00B119F0">
      <w:pPr>
        <w:pStyle w:val="Caption"/>
        <w:jc w:val="center"/>
        <w:rPr>
          <w:i w:val="0"/>
          <w:sz w:val="24"/>
          <w:szCs w:val="24"/>
        </w:rPr>
      </w:pPr>
      <w:r w:rsidRPr="009B0E59">
        <w:rPr>
          <w:i w:val="0"/>
          <w:sz w:val="24"/>
          <w:szCs w:val="24"/>
        </w:rPr>
        <w:t xml:space="preserve">Figure </w:t>
      </w:r>
      <w:r w:rsidRPr="009B0E59">
        <w:rPr>
          <w:i w:val="0"/>
          <w:sz w:val="24"/>
          <w:szCs w:val="24"/>
        </w:rPr>
        <w:fldChar w:fldCharType="begin"/>
      </w:r>
      <w:r w:rsidRPr="009B0E59">
        <w:rPr>
          <w:i w:val="0"/>
          <w:sz w:val="24"/>
          <w:szCs w:val="24"/>
        </w:rPr>
        <w:instrText xml:space="preserve"> SEQ Figure \* ARABIC </w:instrText>
      </w:r>
      <w:r w:rsidRPr="009B0E59">
        <w:rPr>
          <w:i w:val="0"/>
          <w:sz w:val="24"/>
          <w:szCs w:val="24"/>
        </w:rPr>
        <w:fldChar w:fldCharType="separate"/>
      </w:r>
      <w:r w:rsidR="00AE6A33">
        <w:rPr>
          <w:i w:val="0"/>
          <w:noProof/>
          <w:sz w:val="24"/>
          <w:szCs w:val="24"/>
        </w:rPr>
        <w:t>2</w:t>
      </w:r>
      <w:r w:rsidRPr="009B0E59">
        <w:rPr>
          <w:i w:val="0"/>
          <w:sz w:val="24"/>
          <w:szCs w:val="24"/>
        </w:rPr>
        <w:fldChar w:fldCharType="end"/>
      </w:r>
      <w:r w:rsidRPr="009B0E59">
        <w:rPr>
          <w:i w:val="0"/>
          <w:sz w:val="24"/>
          <w:szCs w:val="24"/>
        </w:rPr>
        <w:t xml:space="preserve">: </w:t>
      </w:r>
      <w:r w:rsidR="00363ABF">
        <w:rPr>
          <w:i w:val="0"/>
          <w:sz w:val="24"/>
          <w:szCs w:val="24"/>
        </w:rPr>
        <w:t>C</w:t>
      </w:r>
      <w:r w:rsidRPr="009B0E59">
        <w:rPr>
          <w:i w:val="0"/>
          <w:sz w:val="24"/>
          <w:szCs w:val="24"/>
        </w:rPr>
        <w:t>auses o</w:t>
      </w:r>
      <w:r w:rsidRPr="00C24698">
        <w:rPr>
          <w:i w:val="0"/>
          <w:sz w:val="24"/>
          <w:szCs w:val="24"/>
        </w:rPr>
        <w:t>f global pipeline incidents</w:t>
      </w:r>
      <w:r w:rsidR="00FE3160">
        <w:rPr>
          <w:i w:val="0"/>
          <w:sz w:val="24"/>
          <w:szCs w:val="24"/>
        </w:rPr>
        <w:t xml:space="preserve"> (</w:t>
      </w:r>
      <w:r w:rsidR="00C24698" w:rsidRPr="00C24698">
        <w:rPr>
          <w:i w:val="0"/>
          <w:sz w:val="24"/>
          <w:szCs w:val="24"/>
        </w:rPr>
        <w:t>Adegboye et al., 2019</w:t>
      </w:r>
      <w:r w:rsidR="00C24698">
        <w:rPr>
          <w:i w:val="0"/>
          <w:sz w:val="24"/>
          <w:szCs w:val="24"/>
        </w:rPr>
        <w:t>)</w:t>
      </w:r>
    </w:p>
    <w:p w14:paraId="73EB5025" w14:textId="77777777" w:rsidR="008D344A" w:rsidRDefault="00C602D3" w:rsidP="00B119F0">
      <w:pPr>
        <w:spacing w:line="240" w:lineRule="auto"/>
        <w:jc w:val="both"/>
      </w:pPr>
      <w:r>
        <w:t>Figure 2</w:t>
      </w:r>
      <w:r w:rsidR="008D344A" w:rsidRPr="008D344A">
        <w:t xml:space="preserve"> illustrates the distribution of causes of pipeline incidents in percentage terms. According to the data, third-party damage is the leading cause, accounting for 35% of all incidents, followed by operational errors at 26%. Corrosion-related failures constitute 21%, while mechanical failures are the least frequent, at 18%. This breakdown highlights that human-related factors, both external (third-party damage) and internal (operational error), contribute the most to pipeline incidents, emphasizing the need for enhanced monitoring, safety protocols, and stakeholder awareness in pipeline operations (Adegboye et al., 2019).</w:t>
      </w:r>
      <w:r w:rsidR="00AB576D">
        <w:t xml:space="preserve"> </w:t>
      </w:r>
    </w:p>
    <w:p w14:paraId="256E9E0B" w14:textId="77777777" w:rsidR="008D344A" w:rsidRDefault="00AA3CC8" w:rsidP="00B119F0">
      <w:pPr>
        <w:spacing w:line="240" w:lineRule="auto"/>
        <w:jc w:val="center"/>
      </w:pPr>
      <w:r w:rsidRPr="00AA3CC8">
        <w:rPr>
          <w:noProof/>
        </w:rPr>
        <w:lastRenderedPageBreak/>
        <w:drawing>
          <wp:inline distT="0" distB="0" distL="0" distR="0" wp14:anchorId="49D4DCE4" wp14:editId="062B0427">
            <wp:extent cx="5943600" cy="2979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79420"/>
                    </a:xfrm>
                    <a:prstGeom prst="rect">
                      <a:avLst/>
                    </a:prstGeom>
                  </pic:spPr>
                </pic:pic>
              </a:graphicData>
            </a:graphic>
          </wp:inline>
        </w:drawing>
      </w:r>
    </w:p>
    <w:p w14:paraId="1FB1D68D" w14:textId="77777777" w:rsidR="00AE6A33" w:rsidRPr="00AE6A33" w:rsidRDefault="00AE6A33" w:rsidP="00004F37">
      <w:pPr>
        <w:pStyle w:val="Caption"/>
        <w:ind w:left="993" w:hanging="993"/>
        <w:jc w:val="center"/>
        <w:rPr>
          <w:i w:val="0"/>
          <w:sz w:val="24"/>
        </w:rPr>
      </w:pPr>
      <w:r w:rsidRPr="00AE6A33">
        <w:rPr>
          <w:i w:val="0"/>
          <w:sz w:val="24"/>
        </w:rPr>
        <w:t xml:space="preserve">Figure </w:t>
      </w:r>
      <w:r w:rsidRPr="00AE6A33">
        <w:rPr>
          <w:i w:val="0"/>
          <w:sz w:val="24"/>
        </w:rPr>
        <w:fldChar w:fldCharType="begin"/>
      </w:r>
      <w:r w:rsidRPr="00AE6A33">
        <w:rPr>
          <w:i w:val="0"/>
          <w:sz w:val="24"/>
        </w:rPr>
        <w:instrText xml:space="preserve"> SEQ Figure \* ARABIC </w:instrText>
      </w:r>
      <w:r w:rsidRPr="00AE6A33">
        <w:rPr>
          <w:i w:val="0"/>
          <w:sz w:val="24"/>
        </w:rPr>
        <w:fldChar w:fldCharType="separate"/>
      </w:r>
      <w:r w:rsidRPr="00AE6A33">
        <w:rPr>
          <w:i w:val="0"/>
          <w:noProof/>
          <w:sz w:val="24"/>
        </w:rPr>
        <w:t>3</w:t>
      </w:r>
      <w:r w:rsidRPr="00AE6A33">
        <w:rPr>
          <w:i w:val="0"/>
          <w:sz w:val="24"/>
        </w:rPr>
        <w:fldChar w:fldCharType="end"/>
      </w:r>
      <w:r w:rsidR="0061025D">
        <w:rPr>
          <w:i w:val="0"/>
          <w:sz w:val="24"/>
        </w:rPr>
        <w:t>: H</w:t>
      </w:r>
      <w:r w:rsidRPr="00AE6A33">
        <w:rPr>
          <w:i w:val="0"/>
          <w:sz w:val="24"/>
        </w:rPr>
        <w:t>azard and risk mapping of pipeline blockages in hydrocarbon systems</w:t>
      </w:r>
    </w:p>
    <w:p w14:paraId="0480AECD" w14:textId="77777777" w:rsidR="00B119F0" w:rsidRDefault="00B119F0" w:rsidP="00B119F0">
      <w:pPr>
        <w:pStyle w:val="NormalWeb"/>
        <w:jc w:val="both"/>
      </w:pPr>
      <w:r>
        <w:t>Figure 3 illustrates hazard and risk mapping of pipeline blockages, an emerging yet underdeveloped researc</w:t>
      </w:r>
      <w:r w:rsidR="008F47B0">
        <w:t>h area (Adegboye et al.</w:t>
      </w:r>
      <w:r>
        <w:t xml:space="preserve">, 2019). </w:t>
      </w:r>
      <w:r w:rsidR="00D42552">
        <w:t>Recent studies use risk matrices, spatial zoning, machine learning, and fluid oscillation theory for blockage detection (</w:t>
      </w:r>
      <w:proofErr w:type="spellStart"/>
      <w:r w:rsidR="00D42552">
        <w:t>Korlapati</w:t>
      </w:r>
      <w:proofErr w:type="spellEnd"/>
      <w:r w:rsidR="00D42552">
        <w:t xml:space="preserve"> et al., 2022), but gaps remain in integrating real-time detection with dynamic risk models, spatial probability mapping, and cost–benefit frameworks. Addressing these gaps through probabilistic modelling and policy-aligned risk mapping can enhance pipeline resilience. Biomedical risks (Figure 4) include respiratory disease, genotoxicity, and cancer from hydrocarbons and PAHs (</w:t>
      </w:r>
      <w:proofErr w:type="spellStart"/>
      <w:r w:rsidR="00081713">
        <w:t>Laffon</w:t>
      </w:r>
      <w:proofErr w:type="spellEnd"/>
      <w:r w:rsidR="00081713">
        <w:t xml:space="preserve"> et al., 2016</w:t>
      </w:r>
      <w:r w:rsidR="00D42552">
        <w:t>; Sahu &amp; Gaur, 2019), heavy metal toxicity (Kumar &amp; Yadav, 2022; Liu et al., 2021), and gas-flaring–related cardiopulmonary burdens (</w:t>
      </w:r>
      <w:r w:rsidR="00CF6F85">
        <w:t>Giwa et al., 2019</w:t>
      </w:r>
      <w:r w:rsidR="00D42552">
        <w:t xml:space="preserve">; </w:t>
      </w:r>
      <w:proofErr w:type="spellStart"/>
      <w:r w:rsidR="00D42552">
        <w:t>Babigumira</w:t>
      </w:r>
      <w:proofErr w:type="spellEnd"/>
      <w:r w:rsidR="00D42552">
        <w:t xml:space="preserve"> et al., 2024).</w:t>
      </w:r>
    </w:p>
    <w:p w14:paraId="57BE9E33" w14:textId="77777777" w:rsidR="007B0048" w:rsidRDefault="009C5344" w:rsidP="00641E02">
      <w:pPr>
        <w:pStyle w:val="NormalWeb"/>
        <w:jc w:val="center"/>
      </w:pPr>
      <w:r w:rsidRPr="009C5344">
        <w:rPr>
          <w:noProof/>
        </w:rPr>
        <w:lastRenderedPageBreak/>
        <w:drawing>
          <wp:inline distT="0" distB="0" distL="0" distR="0" wp14:anchorId="3B4B002B" wp14:editId="47524DB5">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54880"/>
                    </a:xfrm>
                    <a:prstGeom prst="rect">
                      <a:avLst/>
                    </a:prstGeom>
                  </pic:spPr>
                </pic:pic>
              </a:graphicData>
            </a:graphic>
          </wp:inline>
        </w:drawing>
      </w:r>
    </w:p>
    <w:p w14:paraId="46C7FF6A" w14:textId="77777777" w:rsidR="007B0048" w:rsidRDefault="007B0048" w:rsidP="00B119F0">
      <w:pPr>
        <w:pStyle w:val="Caption"/>
        <w:jc w:val="center"/>
        <w:rPr>
          <w:i w:val="0"/>
          <w:sz w:val="24"/>
          <w:szCs w:val="24"/>
        </w:rPr>
      </w:pPr>
      <w:r w:rsidRPr="007B0048">
        <w:rPr>
          <w:i w:val="0"/>
          <w:sz w:val="24"/>
          <w:szCs w:val="24"/>
        </w:rPr>
        <w:t xml:space="preserve">Figure </w:t>
      </w:r>
      <w:r w:rsidRPr="007B0048">
        <w:rPr>
          <w:i w:val="0"/>
          <w:sz w:val="24"/>
          <w:szCs w:val="24"/>
        </w:rPr>
        <w:fldChar w:fldCharType="begin"/>
      </w:r>
      <w:r w:rsidRPr="007B0048">
        <w:rPr>
          <w:i w:val="0"/>
          <w:sz w:val="24"/>
          <w:szCs w:val="24"/>
        </w:rPr>
        <w:instrText xml:space="preserve"> SEQ Figure \* ARABIC </w:instrText>
      </w:r>
      <w:r w:rsidRPr="007B0048">
        <w:rPr>
          <w:i w:val="0"/>
          <w:sz w:val="24"/>
          <w:szCs w:val="24"/>
        </w:rPr>
        <w:fldChar w:fldCharType="separate"/>
      </w:r>
      <w:r w:rsidR="00AE6A33">
        <w:rPr>
          <w:i w:val="0"/>
          <w:noProof/>
          <w:sz w:val="24"/>
          <w:szCs w:val="24"/>
        </w:rPr>
        <w:t>4</w:t>
      </w:r>
      <w:r w:rsidRPr="007B0048">
        <w:rPr>
          <w:i w:val="0"/>
          <w:sz w:val="24"/>
          <w:szCs w:val="24"/>
        </w:rPr>
        <w:fldChar w:fldCharType="end"/>
      </w:r>
      <w:r w:rsidR="00E62660">
        <w:rPr>
          <w:i w:val="0"/>
          <w:sz w:val="24"/>
          <w:szCs w:val="24"/>
        </w:rPr>
        <w:t xml:space="preserve">: </w:t>
      </w:r>
      <w:r w:rsidRPr="007B0048">
        <w:rPr>
          <w:i w:val="0"/>
          <w:sz w:val="24"/>
          <w:szCs w:val="24"/>
        </w:rPr>
        <w:t>Biomedical Risks Associated with Petroleum Pipelines</w:t>
      </w:r>
      <w:r w:rsidR="00DE6E59">
        <w:rPr>
          <w:i w:val="0"/>
          <w:sz w:val="24"/>
          <w:szCs w:val="24"/>
        </w:rPr>
        <w:t xml:space="preserve"> </w:t>
      </w:r>
    </w:p>
    <w:p w14:paraId="019E6D23" w14:textId="77777777" w:rsidR="00D42552" w:rsidRPr="00D42552" w:rsidRDefault="00D42552" w:rsidP="00D42552">
      <w:pPr>
        <w:jc w:val="both"/>
      </w:pPr>
      <w:r>
        <w:t>Emerging pipeline innovations improve durability but introduce biomedical risks. Graphene composites, nanoceramic coatings, and polymer linings may release nanoparticles during degradation, inducing oxidative stress, inflammation, and cytotoxicity (</w:t>
      </w:r>
      <w:r w:rsidR="00081713">
        <w:t>Wang et al., 2018</w:t>
      </w:r>
      <w:r>
        <w:t xml:space="preserve">; Chen et al., 2023; </w:t>
      </w:r>
      <w:proofErr w:type="spellStart"/>
      <w:r w:rsidR="00081713">
        <w:t>Ardestani</w:t>
      </w:r>
      <w:proofErr w:type="spellEnd"/>
      <w:r w:rsidR="00081713">
        <w:t xml:space="preserve"> et al., 2025</w:t>
      </w:r>
      <w:r>
        <w:t>). Laser surface texturing generates inhalable ultrafine particles, while smart sensors pose occupational hazards if mishandled (Tanimola &amp; Witts, 2009; Zhang, et al., 2023). Vulnerable communities near pipelines, particularly in Nigeria’s Niger Delta, face compounded exposure from spills and gas flaring, affecting water, food security, and health (</w:t>
      </w:r>
      <w:proofErr w:type="spellStart"/>
      <w:r w:rsidR="00081713">
        <w:t>Nriaguet</w:t>
      </w:r>
      <w:proofErr w:type="spellEnd"/>
      <w:r w:rsidR="00081713">
        <w:t xml:space="preserve"> al., 2016</w:t>
      </w:r>
      <w:r>
        <w:t xml:space="preserve">; </w:t>
      </w:r>
      <w:r w:rsidR="00CF6F85">
        <w:t>Giwa et al., 2019</w:t>
      </w:r>
      <w:r>
        <w:t xml:space="preserve">; </w:t>
      </w:r>
      <w:proofErr w:type="spellStart"/>
      <w:r>
        <w:t>Onyije</w:t>
      </w:r>
      <w:proofErr w:type="spellEnd"/>
      <w:r>
        <w:t xml:space="preserve"> et al., 2021). These risks demand integrated engineering, biomedical, and regulatory strategies (</w:t>
      </w:r>
      <w:proofErr w:type="spellStart"/>
      <w:r w:rsidR="00081713">
        <w:t>Laffon</w:t>
      </w:r>
      <w:proofErr w:type="spellEnd"/>
      <w:r w:rsidR="00081713">
        <w:t xml:space="preserve"> et al., 2016</w:t>
      </w:r>
      <w:r>
        <w:t xml:space="preserve">; </w:t>
      </w:r>
      <w:r w:rsidR="00081713">
        <w:t>Wang et al., 2018</w:t>
      </w:r>
      <w:r>
        <w:t>).</w:t>
      </w:r>
    </w:p>
    <w:p w14:paraId="35CD9335" w14:textId="77777777" w:rsidR="00A52EF8" w:rsidRDefault="00A52EF8" w:rsidP="004E13F7">
      <w:pPr>
        <w:pStyle w:val="Heading1"/>
        <w:rPr>
          <w:rStyle w:val="Strong"/>
          <w:b/>
          <w:bCs w:val="0"/>
        </w:rPr>
      </w:pPr>
      <w:r w:rsidRPr="009E4058">
        <w:rPr>
          <w:rStyle w:val="Strong"/>
          <w:b/>
          <w:bCs w:val="0"/>
        </w:rPr>
        <w:t>2. Pipeline Integrity Challenges and Human Exposure Pathways</w:t>
      </w:r>
    </w:p>
    <w:p w14:paraId="2A953AA3" w14:textId="77777777" w:rsidR="00D42552" w:rsidRPr="00D42552" w:rsidRDefault="00D42552" w:rsidP="00D42552">
      <w:pPr>
        <w:jc w:val="both"/>
      </w:pPr>
      <w:r>
        <w:t>Pipelines and other infrastructures represent the lifeline of the petroleum industry, ensuring the safe, efficient, and continuous transport of crude oil, refined products, and natural gas. Modern pipeline systems have evolved considerably from traditional steel constructions to incorporate advanced materials, coatings, and monitoring technologies designed to mitigate corrosion, mechanical failure, and environmental hazards (</w:t>
      </w:r>
      <w:r w:rsidR="00081713">
        <w:t>Wang et al., 2018</w:t>
      </w:r>
      <w:r>
        <w:t xml:space="preserve">; Li, Zhang, &amp; Wang, 2022). </w:t>
      </w:r>
      <w:r>
        <w:lastRenderedPageBreak/>
        <w:t>Despite these technological advancements, the negative biomedical implications associated with pipeline integrity and innovation remain significant and often underexplored, particularly in oil-producing regions where regulatory enforcement is weak or inconsistent. The interplay between engineering innovation and public health highlights the necessity of a critical evaluation of pipeline integrity not only from an operational perspective, but also through the lens of biomedical risk assessment (</w:t>
      </w:r>
      <w:proofErr w:type="spellStart"/>
      <w:r w:rsidR="00081713">
        <w:t>Ardestani</w:t>
      </w:r>
      <w:proofErr w:type="spellEnd"/>
      <w:r w:rsidR="00081713">
        <w:t xml:space="preserve"> et al., 2025</w:t>
      </w:r>
      <w:r>
        <w:t>; Tanimola &amp; Witts, 2009).</w:t>
      </w:r>
    </w:p>
    <w:p w14:paraId="39F7511D" w14:textId="77777777" w:rsidR="00CC6A98" w:rsidRDefault="0096614A" w:rsidP="00B119F0">
      <w:pPr>
        <w:pStyle w:val="NormalWeb"/>
        <w:jc w:val="center"/>
      </w:pPr>
      <w:r w:rsidRPr="0096614A">
        <w:rPr>
          <w:noProof/>
        </w:rPr>
        <w:drawing>
          <wp:inline distT="0" distB="0" distL="0" distR="0" wp14:anchorId="3B7BFBA9" wp14:editId="1E72533F">
            <wp:extent cx="5943600" cy="4701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01540"/>
                    </a:xfrm>
                    <a:prstGeom prst="rect">
                      <a:avLst/>
                    </a:prstGeom>
                  </pic:spPr>
                </pic:pic>
              </a:graphicData>
            </a:graphic>
          </wp:inline>
        </w:drawing>
      </w:r>
    </w:p>
    <w:p w14:paraId="5FEF8D77" w14:textId="77777777" w:rsidR="006E5F18" w:rsidRPr="0096614A" w:rsidRDefault="00033422" w:rsidP="0096614A">
      <w:pPr>
        <w:pStyle w:val="Caption"/>
        <w:jc w:val="center"/>
        <w:rPr>
          <w:i w:val="0"/>
          <w:sz w:val="24"/>
          <w:szCs w:val="24"/>
        </w:rPr>
      </w:pPr>
      <w:r w:rsidRPr="00033422">
        <w:rPr>
          <w:i w:val="0"/>
          <w:sz w:val="24"/>
          <w:szCs w:val="24"/>
        </w:rPr>
        <w:t xml:space="preserve">Figure </w:t>
      </w:r>
      <w:r w:rsidRPr="00033422">
        <w:rPr>
          <w:i w:val="0"/>
          <w:sz w:val="24"/>
          <w:szCs w:val="24"/>
        </w:rPr>
        <w:fldChar w:fldCharType="begin"/>
      </w:r>
      <w:r w:rsidRPr="00033422">
        <w:rPr>
          <w:i w:val="0"/>
          <w:sz w:val="24"/>
          <w:szCs w:val="24"/>
        </w:rPr>
        <w:instrText xml:space="preserve"> SEQ Figure \* ARABIC </w:instrText>
      </w:r>
      <w:r w:rsidRPr="00033422">
        <w:rPr>
          <w:i w:val="0"/>
          <w:sz w:val="24"/>
          <w:szCs w:val="24"/>
        </w:rPr>
        <w:fldChar w:fldCharType="separate"/>
      </w:r>
      <w:r w:rsidR="00AE6A33">
        <w:rPr>
          <w:i w:val="0"/>
          <w:noProof/>
          <w:sz w:val="24"/>
          <w:szCs w:val="24"/>
        </w:rPr>
        <w:t>5</w:t>
      </w:r>
      <w:r w:rsidRPr="00033422">
        <w:rPr>
          <w:i w:val="0"/>
          <w:sz w:val="24"/>
          <w:szCs w:val="24"/>
        </w:rPr>
        <w:fldChar w:fldCharType="end"/>
      </w:r>
      <w:r w:rsidRPr="00033422">
        <w:rPr>
          <w:i w:val="0"/>
          <w:sz w:val="24"/>
          <w:szCs w:val="24"/>
        </w:rPr>
        <w:t>: Chronic Exposure Pathways to Pipeline Byproducts</w:t>
      </w:r>
      <w:r w:rsidR="0096614A">
        <w:rPr>
          <w:i w:val="0"/>
          <w:sz w:val="24"/>
          <w:szCs w:val="24"/>
        </w:rPr>
        <w:t>.</w:t>
      </w:r>
    </w:p>
    <w:p w14:paraId="0412F676" w14:textId="77777777" w:rsidR="006E5F18" w:rsidRPr="006E5F18" w:rsidRDefault="006E5F18" w:rsidP="006E5F18"/>
    <w:p w14:paraId="6685B361" w14:textId="77777777" w:rsidR="00A52EF8" w:rsidRPr="009E4058" w:rsidRDefault="00FB54C8" w:rsidP="004E13F7">
      <w:pPr>
        <w:pStyle w:val="Heading1"/>
      </w:pPr>
      <w:r>
        <w:rPr>
          <w:rStyle w:val="Strong"/>
          <w:b/>
          <w:bCs w:val="0"/>
        </w:rPr>
        <w:t>2.</w:t>
      </w:r>
      <w:r w:rsidR="00B771D1">
        <w:rPr>
          <w:rStyle w:val="Strong"/>
          <w:b/>
          <w:bCs w:val="0"/>
        </w:rPr>
        <w:t>1</w:t>
      </w:r>
      <w:r w:rsidR="00A52EF8" w:rsidRPr="009E4058">
        <w:rPr>
          <w:rStyle w:val="Strong"/>
          <w:b/>
          <w:bCs w:val="0"/>
        </w:rPr>
        <w:t xml:space="preserve"> Leakage Pathways and Exposure Mechanisms</w:t>
      </w:r>
    </w:p>
    <w:p w14:paraId="323F7804" w14:textId="77777777" w:rsidR="00A52EF8" w:rsidRPr="00A52EF8" w:rsidRDefault="00A52EF8" w:rsidP="00B119F0">
      <w:pPr>
        <w:pStyle w:val="NormalWeb"/>
        <w:jc w:val="both"/>
      </w:pPr>
      <w:r w:rsidRPr="00A52EF8">
        <w:t xml:space="preserve">Pipeline leakage forms a direct conduit for petroleum-derived toxicants to enter the environment. These leaks occur through </w:t>
      </w:r>
      <w:r w:rsidRPr="00A52EF8">
        <w:rPr>
          <w:rStyle w:val="Strong"/>
          <w:b w:val="0"/>
        </w:rPr>
        <w:t xml:space="preserve">mechanical rupture, </w:t>
      </w:r>
      <w:r w:rsidR="00C31B16">
        <w:rPr>
          <w:rStyle w:val="Strong"/>
          <w:b w:val="0"/>
        </w:rPr>
        <w:t>welding failure</w:t>
      </w:r>
      <w:r w:rsidRPr="00A52EF8">
        <w:rPr>
          <w:rStyle w:val="Strong"/>
          <w:b w:val="0"/>
        </w:rPr>
        <w:t xml:space="preserve"> or material fatigue</w:t>
      </w:r>
      <w:r w:rsidRPr="00A52EF8">
        <w:t xml:space="preserve">, often compounded by poor monitoring systems. In the Niger Delta, over </w:t>
      </w:r>
      <w:r w:rsidRPr="00A52EF8">
        <w:rPr>
          <w:rStyle w:val="Strong"/>
          <w:b w:val="0"/>
        </w:rPr>
        <w:t>13,000 documented spills</w:t>
      </w:r>
      <w:r w:rsidRPr="00A52EF8">
        <w:t xml:space="preserve"> have been recorded between 1976 and 2020 (Nigerian National Oil Spill Detection Agency [NOSDRA], </w:t>
      </w:r>
      <w:r w:rsidRPr="00A52EF8">
        <w:lastRenderedPageBreak/>
        <w:t>2021). The resulting conta</w:t>
      </w:r>
      <w:r w:rsidR="00D24E56">
        <w:t>mination of rivers, farmlands</w:t>
      </w:r>
      <w:r w:rsidRPr="00A52EF8">
        <w:t xml:space="preserve"> and air through flaring creates multi-pathway exposure routes</w:t>
      </w:r>
      <w:r w:rsidR="00A639AD">
        <w:t xml:space="preserve"> and is depicted in Figure 3:</w:t>
      </w:r>
    </w:p>
    <w:p w14:paraId="47EBFAE2" w14:textId="77777777" w:rsidR="00A52EF8" w:rsidRPr="00A52EF8" w:rsidRDefault="00A52EF8" w:rsidP="00B119F0">
      <w:pPr>
        <w:pStyle w:val="NormalWeb"/>
        <w:numPr>
          <w:ilvl w:val="0"/>
          <w:numId w:val="5"/>
        </w:numPr>
        <w:jc w:val="both"/>
      </w:pPr>
      <w:r w:rsidRPr="00A52EF8">
        <w:rPr>
          <w:rStyle w:val="Strong"/>
          <w:b w:val="0"/>
        </w:rPr>
        <w:t>Inhalation of VOCs</w:t>
      </w:r>
      <w:r w:rsidR="0034133F">
        <w:t xml:space="preserve"> such as benzene, toluene</w:t>
      </w:r>
      <w:r w:rsidRPr="00A52EF8">
        <w:t xml:space="preserve"> and xylene leading to chronic hematological and neurological disorders.</w:t>
      </w:r>
    </w:p>
    <w:p w14:paraId="43048A3E" w14:textId="77777777" w:rsidR="00A52EF8" w:rsidRPr="00A52EF8" w:rsidRDefault="00A52EF8" w:rsidP="00B119F0">
      <w:pPr>
        <w:pStyle w:val="NormalWeb"/>
        <w:numPr>
          <w:ilvl w:val="0"/>
          <w:numId w:val="5"/>
        </w:numPr>
        <w:jc w:val="both"/>
      </w:pPr>
      <w:r w:rsidRPr="00A52EF8">
        <w:rPr>
          <w:rStyle w:val="Strong"/>
          <w:b w:val="0"/>
        </w:rPr>
        <w:t>Ingestion of contaminated water</w:t>
      </w:r>
      <w:r w:rsidRPr="00A52EF8">
        <w:t xml:space="preserve"> containing petroleum hydrocarbons and heavy metals.</w:t>
      </w:r>
    </w:p>
    <w:p w14:paraId="203833B5" w14:textId="77777777" w:rsidR="00A52EF8" w:rsidRDefault="00A52EF8" w:rsidP="00B119F0">
      <w:pPr>
        <w:pStyle w:val="NormalWeb"/>
        <w:numPr>
          <w:ilvl w:val="0"/>
          <w:numId w:val="5"/>
        </w:numPr>
        <w:jc w:val="both"/>
      </w:pPr>
      <w:r w:rsidRPr="00A52EF8">
        <w:rPr>
          <w:rStyle w:val="Strong"/>
          <w:b w:val="0"/>
        </w:rPr>
        <w:t>Dermal contact</w:t>
      </w:r>
      <w:r w:rsidRPr="00A52EF8">
        <w:t xml:space="preserve"> with polluted soil, </w:t>
      </w:r>
      <w:r w:rsidR="00126107">
        <w:t>resulting in dermatitis, rashes</w:t>
      </w:r>
      <w:r w:rsidRPr="00A52EF8">
        <w:t xml:space="preserve"> and carcinogenic absorption through skin microchannels.</w:t>
      </w:r>
    </w:p>
    <w:p w14:paraId="27246FA9" w14:textId="77777777" w:rsidR="00A639AD" w:rsidRDefault="00F954C7" w:rsidP="00B119F0">
      <w:pPr>
        <w:pStyle w:val="NormalWeb"/>
        <w:ind w:left="720"/>
        <w:jc w:val="center"/>
      </w:pPr>
      <w:r w:rsidRPr="00F954C7">
        <w:rPr>
          <w:noProof/>
        </w:rPr>
        <w:drawing>
          <wp:inline distT="0" distB="0" distL="0" distR="0" wp14:anchorId="22F04AFD" wp14:editId="7779A11A">
            <wp:extent cx="5943600" cy="514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43500"/>
                    </a:xfrm>
                    <a:prstGeom prst="rect">
                      <a:avLst/>
                    </a:prstGeom>
                  </pic:spPr>
                </pic:pic>
              </a:graphicData>
            </a:graphic>
          </wp:inline>
        </w:drawing>
      </w:r>
    </w:p>
    <w:p w14:paraId="3BDC761E" w14:textId="77777777" w:rsidR="00A639AD" w:rsidRDefault="008C7EB0" w:rsidP="00D80CF4">
      <w:pPr>
        <w:pStyle w:val="Caption"/>
        <w:jc w:val="center"/>
        <w:rPr>
          <w:i w:val="0"/>
          <w:sz w:val="24"/>
          <w:szCs w:val="24"/>
        </w:rPr>
      </w:pPr>
      <w:r w:rsidRPr="008C7EB0">
        <w:rPr>
          <w:i w:val="0"/>
          <w:sz w:val="24"/>
          <w:szCs w:val="24"/>
        </w:rPr>
        <w:t xml:space="preserve">Figure </w:t>
      </w:r>
      <w:r w:rsidR="00A639AD" w:rsidRPr="008C7EB0">
        <w:rPr>
          <w:i w:val="0"/>
          <w:sz w:val="24"/>
          <w:szCs w:val="24"/>
        </w:rPr>
        <w:fldChar w:fldCharType="begin"/>
      </w:r>
      <w:r w:rsidR="00A639AD" w:rsidRPr="008C7EB0">
        <w:rPr>
          <w:i w:val="0"/>
          <w:sz w:val="24"/>
          <w:szCs w:val="24"/>
        </w:rPr>
        <w:instrText xml:space="preserve"> SEQ Figure \* ARABIC </w:instrText>
      </w:r>
      <w:r w:rsidR="00A639AD" w:rsidRPr="008C7EB0">
        <w:rPr>
          <w:i w:val="0"/>
          <w:sz w:val="24"/>
          <w:szCs w:val="24"/>
        </w:rPr>
        <w:fldChar w:fldCharType="separate"/>
      </w:r>
      <w:r w:rsidR="00AE6A33">
        <w:rPr>
          <w:i w:val="0"/>
          <w:noProof/>
          <w:sz w:val="24"/>
          <w:szCs w:val="24"/>
        </w:rPr>
        <w:t>6</w:t>
      </w:r>
      <w:r w:rsidR="00A639AD" w:rsidRPr="008C7EB0">
        <w:rPr>
          <w:i w:val="0"/>
          <w:sz w:val="24"/>
          <w:szCs w:val="24"/>
        </w:rPr>
        <w:fldChar w:fldCharType="end"/>
      </w:r>
      <w:r w:rsidR="00126107">
        <w:rPr>
          <w:i w:val="0"/>
          <w:sz w:val="24"/>
          <w:szCs w:val="24"/>
        </w:rPr>
        <w:t xml:space="preserve">: </w:t>
      </w:r>
      <w:r w:rsidRPr="008C7EB0">
        <w:rPr>
          <w:i w:val="0"/>
          <w:sz w:val="24"/>
          <w:szCs w:val="24"/>
        </w:rPr>
        <w:t>Relationship between Pipeline Failure, Toxic Exposure, and Human Health Risks</w:t>
      </w:r>
    </w:p>
    <w:p w14:paraId="13AC40EE" w14:textId="77777777" w:rsidR="00D42552" w:rsidRPr="00D42552" w:rsidRDefault="00D42552" w:rsidP="00D42552">
      <w:pPr>
        <w:jc w:val="both"/>
      </w:pPr>
      <w:r>
        <w:t xml:space="preserve">Empirical evidence from Bayelsa State, Nigeria, shows significant health risks from petroleum-related pollution, with elevated polycyclic aromatic hydrocarbon (PAH) exposures linked to adverse health outcomes among residents and increased respiratory symptoms in children (Sahu &amp; Gaur, 2019; Moradi et al., 2025). Moreover, continuous gas flaring in the region contributes to </w:t>
      </w:r>
      <w:r>
        <w:lastRenderedPageBreak/>
        <w:t>respiratory disorders, undernutrition, and reduced growth profiles in preschool children living near flare sites (</w:t>
      </w:r>
      <w:r w:rsidR="00CF6F85">
        <w:t>Giwa et al., 2019</w:t>
      </w:r>
      <w:r>
        <w:t>; Talbott, Arena, et al., 2025).</w:t>
      </w:r>
    </w:p>
    <w:p w14:paraId="5243B0BE" w14:textId="77777777" w:rsidR="00800279" w:rsidRDefault="00FB54C8" w:rsidP="004E13F7">
      <w:pPr>
        <w:pStyle w:val="Heading1"/>
      </w:pPr>
      <w:r>
        <w:rPr>
          <w:rStyle w:val="Strong"/>
          <w:b/>
          <w:bCs w:val="0"/>
        </w:rPr>
        <w:t>2.</w:t>
      </w:r>
      <w:r w:rsidR="00B771D1">
        <w:rPr>
          <w:rStyle w:val="Strong"/>
          <w:b/>
          <w:bCs w:val="0"/>
        </w:rPr>
        <w:t>2</w:t>
      </w:r>
      <w:r w:rsidR="00A52EF8" w:rsidRPr="009E4058">
        <w:rPr>
          <w:rStyle w:val="Strong"/>
          <w:b/>
          <w:bCs w:val="0"/>
        </w:rPr>
        <w:t xml:space="preserve"> Occupational and Community Health Burdens</w:t>
      </w:r>
    </w:p>
    <w:p w14:paraId="09E05167" w14:textId="77777777" w:rsidR="00800279" w:rsidRPr="00800279" w:rsidRDefault="00800279" w:rsidP="00800279">
      <w:pPr>
        <w:jc w:val="both"/>
      </w:pPr>
      <w:r>
        <w:t>Petroleum industry workers and communities near oil infrastructure face significant chemical and heavy metal exposures. Studies in Nigeria show that chronic contact with hydrocarbons and oil-related wastes increases risks of r</w:t>
      </w:r>
      <w:r w:rsidR="004A7BAF">
        <w:t>espiratory, neurological, renal</w:t>
      </w:r>
      <w:r>
        <w:t xml:space="preserve"> and carcinogenic outcomes (</w:t>
      </w:r>
      <w:proofErr w:type="spellStart"/>
      <w:r>
        <w:t>Onyije</w:t>
      </w:r>
      <w:proofErr w:type="spellEnd"/>
      <w:r w:rsidR="004A7BAF">
        <w:t xml:space="preserve"> et al.</w:t>
      </w:r>
      <w:r w:rsidR="00D42552">
        <w:t>, 2021</w:t>
      </w:r>
      <w:r>
        <w:t>). Oil spills and environmental contamination bioaccumulate in local food chains, exacerbating long-term health burdens in residents and workers. These exposures are compounded in densely populated industrial areas and regions with limited protective measures, highlighting the need for robust occupational s</w:t>
      </w:r>
      <w:r w:rsidR="00405391">
        <w:t>afety, environmental monitoring</w:t>
      </w:r>
      <w:r>
        <w:t xml:space="preserve"> and public health interventions in petroleum-producing communities.</w:t>
      </w:r>
    </w:p>
    <w:p w14:paraId="7D9F90DD" w14:textId="77777777" w:rsidR="000656AC" w:rsidRDefault="000656AC" w:rsidP="00B119F0">
      <w:pPr>
        <w:pStyle w:val="NormalWeb"/>
        <w:jc w:val="center"/>
      </w:pPr>
      <w:r>
        <w:rPr>
          <w:noProof/>
        </w:rPr>
        <w:drawing>
          <wp:inline distT="0" distB="0" distL="0" distR="0" wp14:anchorId="10265071" wp14:editId="28E8CB68">
            <wp:extent cx="5102679" cy="2743200"/>
            <wp:effectExtent l="0" t="0" r="317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85742E" w14:textId="77777777" w:rsidR="00ED098B" w:rsidRPr="004D0C70" w:rsidRDefault="00ED098B" w:rsidP="00B119F0">
      <w:pPr>
        <w:pStyle w:val="Caption"/>
        <w:jc w:val="center"/>
        <w:rPr>
          <w:i w:val="0"/>
          <w:sz w:val="24"/>
          <w:szCs w:val="24"/>
        </w:rPr>
      </w:pPr>
      <w:r w:rsidRPr="004D0C70">
        <w:rPr>
          <w:i w:val="0"/>
          <w:sz w:val="24"/>
          <w:szCs w:val="24"/>
        </w:rPr>
        <w:t xml:space="preserve">Figure </w:t>
      </w:r>
      <w:r w:rsidRPr="004D0C70">
        <w:rPr>
          <w:i w:val="0"/>
          <w:sz w:val="24"/>
          <w:szCs w:val="24"/>
        </w:rPr>
        <w:fldChar w:fldCharType="begin"/>
      </w:r>
      <w:r w:rsidRPr="004D0C70">
        <w:rPr>
          <w:i w:val="0"/>
          <w:sz w:val="24"/>
          <w:szCs w:val="24"/>
        </w:rPr>
        <w:instrText xml:space="preserve"> SEQ Figure \* ARABIC </w:instrText>
      </w:r>
      <w:r w:rsidRPr="004D0C70">
        <w:rPr>
          <w:i w:val="0"/>
          <w:sz w:val="24"/>
          <w:szCs w:val="24"/>
        </w:rPr>
        <w:fldChar w:fldCharType="separate"/>
      </w:r>
      <w:r w:rsidR="00AE6A33">
        <w:rPr>
          <w:i w:val="0"/>
          <w:noProof/>
          <w:sz w:val="24"/>
          <w:szCs w:val="24"/>
        </w:rPr>
        <w:t>7</w:t>
      </w:r>
      <w:r w:rsidRPr="004D0C70">
        <w:rPr>
          <w:i w:val="0"/>
          <w:sz w:val="24"/>
          <w:szCs w:val="24"/>
        </w:rPr>
        <w:fldChar w:fldCharType="end"/>
      </w:r>
      <w:r w:rsidR="00405391">
        <w:rPr>
          <w:i w:val="0"/>
          <w:sz w:val="24"/>
          <w:szCs w:val="24"/>
        </w:rPr>
        <w:t xml:space="preserve">: </w:t>
      </w:r>
      <w:r w:rsidR="004D0C70" w:rsidRPr="004D0C70">
        <w:rPr>
          <w:rStyle w:val="Strong"/>
          <w:b w:val="0"/>
          <w:bCs w:val="0"/>
          <w:i w:val="0"/>
          <w:sz w:val="24"/>
          <w:szCs w:val="24"/>
        </w:rPr>
        <w:t xml:space="preserve">Burdens on </w:t>
      </w:r>
      <w:r w:rsidRPr="004D0C70">
        <w:rPr>
          <w:rStyle w:val="Strong"/>
          <w:b w:val="0"/>
          <w:bCs w:val="0"/>
          <w:i w:val="0"/>
          <w:sz w:val="24"/>
          <w:szCs w:val="24"/>
        </w:rPr>
        <w:t xml:space="preserve">Occupational and Community </w:t>
      </w:r>
      <w:r w:rsidRPr="00E31A0B">
        <w:rPr>
          <w:rStyle w:val="Strong"/>
          <w:b w:val="0"/>
          <w:bCs w:val="0"/>
          <w:i w:val="0"/>
          <w:sz w:val="24"/>
          <w:szCs w:val="24"/>
        </w:rPr>
        <w:t xml:space="preserve">Health </w:t>
      </w:r>
      <w:r w:rsidR="00E31A0B" w:rsidRPr="00E31A0B">
        <w:rPr>
          <w:rStyle w:val="Strong"/>
          <w:b w:val="0"/>
          <w:bCs w:val="0"/>
          <w:i w:val="0"/>
          <w:sz w:val="24"/>
          <w:szCs w:val="24"/>
        </w:rPr>
        <w:t>(</w:t>
      </w:r>
      <w:proofErr w:type="spellStart"/>
      <w:r w:rsidR="00E31A0B" w:rsidRPr="00E31A0B">
        <w:rPr>
          <w:i w:val="0"/>
          <w:sz w:val="24"/>
          <w:szCs w:val="24"/>
        </w:rPr>
        <w:t>Onyije</w:t>
      </w:r>
      <w:proofErr w:type="spellEnd"/>
      <w:r w:rsidR="00E31A0B" w:rsidRPr="00E31A0B">
        <w:rPr>
          <w:i w:val="0"/>
          <w:sz w:val="24"/>
          <w:szCs w:val="24"/>
        </w:rPr>
        <w:t xml:space="preserve"> et al. 2021</w:t>
      </w:r>
      <w:r w:rsidR="00E31A0B" w:rsidRPr="00E31A0B">
        <w:rPr>
          <w:rStyle w:val="Strong"/>
          <w:b w:val="0"/>
          <w:bCs w:val="0"/>
          <w:i w:val="0"/>
          <w:sz w:val="24"/>
          <w:szCs w:val="24"/>
        </w:rPr>
        <w:t>)</w:t>
      </w:r>
    </w:p>
    <w:p w14:paraId="33C6F954" w14:textId="77777777" w:rsidR="00A52EF8" w:rsidRDefault="00FB54C8" w:rsidP="004E13F7">
      <w:pPr>
        <w:pStyle w:val="Heading1"/>
        <w:rPr>
          <w:rStyle w:val="Strong"/>
          <w:b/>
          <w:bCs w:val="0"/>
        </w:rPr>
      </w:pPr>
      <w:r>
        <w:rPr>
          <w:rStyle w:val="Strong"/>
          <w:b/>
          <w:bCs w:val="0"/>
        </w:rPr>
        <w:t>2.</w:t>
      </w:r>
      <w:r w:rsidR="00B771D1">
        <w:rPr>
          <w:rStyle w:val="Strong"/>
          <w:b/>
          <w:bCs w:val="0"/>
        </w:rPr>
        <w:t>3</w:t>
      </w:r>
      <w:r w:rsidR="00A52EF8" w:rsidRPr="009E4058">
        <w:rPr>
          <w:rStyle w:val="Strong"/>
          <w:b/>
          <w:bCs w:val="0"/>
        </w:rPr>
        <w:t xml:space="preserve"> Global Health Implications</w:t>
      </w:r>
    </w:p>
    <w:p w14:paraId="7357E5A7" w14:textId="77777777" w:rsidR="00081713" w:rsidRDefault="00D42552" w:rsidP="00D42552">
      <w:pPr>
        <w:jc w:val="both"/>
      </w:pPr>
      <w:r>
        <w:t>Across all continents, the human exposure pathways associated with petroleum pipelines converge on the same biomedical endpoints: oxidative stress, endocrine disruption, and genetic instability (</w:t>
      </w:r>
      <w:proofErr w:type="spellStart"/>
      <w:r w:rsidR="00081713">
        <w:t>Laffon</w:t>
      </w:r>
      <w:proofErr w:type="spellEnd"/>
      <w:r w:rsidR="00081713">
        <w:t xml:space="preserve"> et al., 2016</w:t>
      </w:r>
      <w:r>
        <w:t xml:space="preserve">; Rahman &amp; Chen, 2023). The industrial use of advanced materials, though initially designed to reduce failure rates, has expanded the scale of chronic subclinical exposure among both workers and local populations (Wang et al., 2018; Chen et al., 2023). The situation in the Niger Delta mirrors that of Louisiana, the Arabian Peninsula, and Siberia, highlighting the global diffusion of similar toxicological risks under different political economies (Beyer et al., 2016; </w:t>
      </w:r>
      <w:proofErr w:type="spellStart"/>
      <w:r w:rsidR="00081713">
        <w:t>Goldsteinal</w:t>
      </w:r>
      <w:proofErr w:type="spellEnd"/>
      <w:r w:rsidR="00081713">
        <w:t xml:space="preserve"> et al., 2011</w:t>
      </w:r>
      <w:r>
        <w:t>).</w:t>
      </w:r>
    </w:p>
    <w:p w14:paraId="0E122537" w14:textId="77777777" w:rsidR="00D42552" w:rsidRPr="00D42552" w:rsidRDefault="00D42552" w:rsidP="00D42552">
      <w:pPr>
        <w:jc w:val="both"/>
      </w:pPr>
      <w:r>
        <w:t xml:space="preserve">A growing body of evidence warns that continuous exposure to petroleum-derived nano and chemical pollutants could drive epigenetic changes, promoting transgenerational health effects, including developmental disorders and reduced fertility (Jayaraman et al., 2025; </w:t>
      </w:r>
      <w:r w:rsidR="00081713">
        <w:t>Marinho-Reis et al., 2022</w:t>
      </w:r>
      <w:r>
        <w:t xml:space="preserve">). The persistence of these contaminants, coupled with inadequate medical surveillance, </w:t>
      </w:r>
      <w:r>
        <w:lastRenderedPageBreak/>
        <w:t xml:space="preserve">positions pipeline infrastructure as a slow-onset public health emergency, one concealed beneath the language of industrial progress (D’Andrea &amp; Reddy, 2014; </w:t>
      </w:r>
      <w:proofErr w:type="spellStart"/>
      <w:r>
        <w:t>Nanadeinboemi</w:t>
      </w:r>
      <w:proofErr w:type="spellEnd"/>
      <w:r>
        <w:t xml:space="preserve"> et al., 2024).</w:t>
      </w:r>
    </w:p>
    <w:p w14:paraId="692A7809" w14:textId="77777777" w:rsidR="004D0C70" w:rsidRDefault="00F954C7" w:rsidP="00F954C7">
      <w:pPr>
        <w:pStyle w:val="NormalWeb"/>
        <w:jc w:val="center"/>
      </w:pPr>
      <w:r w:rsidRPr="00F954C7">
        <w:rPr>
          <w:noProof/>
        </w:rPr>
        <w:drawing>
          <wp:inline distT="0" distB="0" distL="0" distR="0" wp14:anchorId="05D00BC8" wp14:editId="1960B793">
            <wp:extent cx="5943600" cy="2440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40940"/>
                    </a:xfrm>
                    <a:prstGeom prst="rect">
                      <a:avLst/>
                    </a:prstGeom>
                  </pic:spPr>
                </pic:pic>
              </a:graphicData>
            </a:graphic>
          </wp:inline>
        </w:drawing>
      </w:r>
    </w:p>
    <w:p w14:paraId="1D4BCEEF" w14:textId="77777777" w:rsidR="004D0C70" w:rsidRPr="00757A80" w:rsidRDefault="00757A80" w:rsidP="00B119F0">
      <w:pPr>
        <w:pStyle w:val="Caption"/>
        <w:jc w:val="center"/>
        <w:rPr>
          <w:i w:val="0"/>
          <w:sz w:val="24"/>
          <w:szCs w:val="24"/>
        </w:rPr>
      </w:pPr>
      <w:r w:rsidRPr="00757A80">
        <w:rPr>
          <w:i w:val="0"/>
          <w:sz w:val="24"/>
          <w:szCs w:val="24"/>
        </w:rPr>
        <w:t xml:space="preserve">Figure </w:t>
      </w:r>
      <w:r w:rsidRPr="00757A80">
        <w:rPr>
          <w:i w:val="0"/>
          <w:sz w:val="24"/>
          <w:szCs w:val="24"/>
        </w:rPr>
        <w:fldChar w:fldCharType="begin"/>
      </w:r>
      <w:r w:rsidRPr="00757A80">
        <w:rPr>
          <w:i w:val="0"/>
          <w:sz w:val="24"/>
          <w:szCs w:val="24"/>
        </w:rPr>
        <w:instrText xml:space="preserve"> SEQ Figure \* ARABIC </w:instrText>
      </w:r>
      <w:r w:rsidRPr="00757A80">
        <w:rPr>
          <w:i w:val="0"/>
          <w:sz w:val="24"/>
          <w:szCs w:val="24"/>
        </w:rPr>
        <w:fldChar w:fldCharType="separate"/>
      </w:r>
      <w:r w:rsidR="00AE6A33">
        <w:rPr>
          <w:i w:val="0"/>
          <w:noProof/>
          <w:sz w:val="24"/>
          <w:szCs w:val="24"/>
        </w:rPr>
        <w:t>8</w:t>
      </w:r>
      <w:r w:rsidRPr="00757A80">
        <w:rPr>
          <w:i w:val="0"/>
          <w:sz w:val="24"/>
          <w:szCs w:val="24"/>
        </w:rPr>
        <w:fldChar w:fldCharType="end"/>
      </w:r>
      <w:r w:rsidR="009D355D">
        <w:rPr>
          <w:i w:val="0"/>
          <w:sz w:val="24"/>
          <w:szCs w:val="24"/>
        </w:rPr>
        <w:t>: G</w:t>
      </w:r>
      <w:r w:rsidRPr="00757A80">
        <w:rPr>
          <w:rFonts w:eastAsia="Times New Roman" w:cs="Times New Roman"/>
          <w:i w:val="0"/>
          <w:sz w:val="24"/>
          <w:szCs w:val="24"/>
        </w:rPr>
        <w:t xml:space="preserve">lobal and multi-faceted nature of health </w:t>
      </w:r>
    </w:p>
    <w:p w14:paraId="004E5C41" w14:textId="77777777" w:rsidR="00757A80" w:rsidRPr="00757A80" w:rsidRDefault="00287E00" w:rsidP="00B119F0">
      <w:pPr>
        <w:spacing w:before="100" w:beforeAutospacing="1" w:after="100" w:afterAutospacing="1" w:line="240" w:lineRule="auto"/>
        <w:jc w:val="both"/>
        <w:rPr>
          <w:rFonts w:eastAsia="Times New Roman" w:cs="Times New Roman"/>
          <w:szCs w:val="24"/>
        </w:rPr>
      </w:pPr>
      <w:r>
        <w:rPr>
          <w:rFonts w:eastAsia="Times New Roman" w:cs="Times New Roman"/>
          <w:szCs w:val="24"/>
        </w:rPr>
        <w:t>Figure 8</w:t>
      </w:r>
      <w:r w:rsidR="00757A80" w:rsidRPr="00757A80">
        <w:rPr>
          <w:rFonts w:eastAsia="Times New Roman" w:cs="Times New Roman"/>
          <w:szCs w:val="24"/>
        </w:rPr>
        <w:t xml:space="preserve"> highlights the global and multi-faceted nature of the health implications:</w:t>
      </w:r>
    </w:p>
    <w:p w14:paraId="5935CA48" w14:textId="77777777" w:rsidR="00757A80" w:rsidRPr="00757A80" w:rsidRDefault="00757A80" w:rsidP="00287E00">
      <w:pPr>
        <w:numPr>
          <w:ilvl w:val="0"/>
          <w:numId w:val="26"/>
        </w:numPr>
        <w:spacing w:before="100" w:beforeAutospacing="1" w:after="100" w:afterAutospacing="1" w:line="240" w:lineRule="auto"/>
        <w:jc w:val="both"/>
        <w:rPr>
          <w:rFonts w:eastAsia="Times New Roman" w:cs="Times New Roman"/>
          <w:szCs w:val="24"/>
        </w:rPr>
      </w:pPr>
      <w:r w:rsidRPr="00757A80">
        <w:rPr>
          <w:rFonts w:eastAsia="Times New Roman" w:cs="Times New Roman"/>
          <w:bCs/>
          <w:szCs w:val="24"/>
        </w:rPr>
        <w:t>Community Risks are Prominent:</w:t>
      </w:r>
      <w:r w:rsidRPr="00757A80">
        <w:rPr>
          <w:rFonts w:eastAsia="Times New Roman" w:cs="Times New Roman"/>
          <w:szCs w:val="24"/>
        </w:rPr>
        <w:t xml:space="preserve"> Regions in </w:t>
      </w:r>
      <w:r w:rsidRPr="00757A80">
        <w:rPr>
          <w:rFonts w:eastAsia="Times New Roman" w:cs="Times New Roman"/>
          <w:bCs/>
          <w:szCs w:val="24"/>
        </w:rPr>
        <w:t>Africa</w:t>
      </w:r>
      <w:r w:rsidRPr="00757A80">
        <w:rPr>
          <w:rFonts w:eastAsia="Times New Roman" w:cs="Times New Roman"/>
          <w:szCs w:val="24"/>
        </w:rPr>
        <w:t xml:space="preserve"> and </w:t>
      </w:r>
      <w:r w:rsidRPr="00757A80">
        <w:rPr>
          <w:rFonts w:eastAsia="Times New Roman" w:cs="Times New Roman"/>
          <w:bCs/>
          <w:szCs w:val="24"/>
        </w:rPr>
        <w:t>Asia</w:t>
      </w:r>
      <w:r w:rsidRPr="00757A80">
        <w:rPr>
          <w:rFonts w:eastAsia="Times New Roman" w:cs="Times New Roman"/>
          <w:szCs w:val="24"/>
        </w:rPr>
        <w:t xml:space="preserve"> have three distinct chronic systemic risks mentioned (</w:t>
      </w:r>
      <w:r w:rsidRPr="00757A80">
        <w:rPr>
          <w:rFonts w:eastAsia="Times New Roman" w:cs="Times New Roman"/>
          <w:bCs/>
          <w:szCs w:val="24"/>
        </w:rPr>
        <w:t>neurotoxicity, endocrine disruption, and cancer</w:t>
      </w:r>
      <w:r w:rsidRPr="00757A80">
        <w:rPr>
          <w:rFonts w:eastAsia="Times New Roman" w:cs="Times New Roman"/>
          <w:szCs w:val="24"/>
        </w:rPr>
        <w:t>) due to close proximity to pipeline networks and bioaccumulation in food chains.</w:t>
      </w:r>
    </w:p>
    <w:p w14:paraId="7F9E0D7C" w14:textId="77777777" w:rsidR="00757A80" w:rsidRPr="00757A80" w:rsidRDefault="00757A80" w:rsidP="00287E00">
      <w:pPr>
        <w:numPr>
          <w:ilvl w:val="0"/>
          <w:numId w:val="26"/>
        </w:numPr>
        <w:spacing w:before="100" w:beforeAutospacing="1" w:after="100" w:afterAutospacing="1" w:line="240" w:lineRule="auto"/>
        <w:jc w:val="both"/>
        <w:rPr>
          <w:rFonts w:eastAsia="Times New Roman" w:cs="Times New Roman"/>
          <w:szCs w:val="24"/>
        </w:rPr>
      </w:pPr>
      <w:r w:rsidRPr="00757A80">
        <w:rPr>
          <w:rFonts w:eastAsia="Times New Roman" w:cs="Times New Roman"/>
          <w:bCs/>
          <w:szCs w:val="24"/>
        </w:rPr>
        <w:t>Occupational Risks are Unique:</w:t>
      </w:r>
      <w:r w:rsidRPr="00757A80">
        <w:rPr>
          <w:rFonts w:eastAsia="Times New Roman" w:cs="Times New Roman"/>
          <w:szCs w:val="24"/>
        </w:rPr>
        <w:t xml:space="preserve"> Specific workplace environments, like </w:t>
      </w:r>
      <w:r w:rsidR="00287E00">
        <w:rPr>
          <w:rFonts w:eastAsia="Times New Roman" w:cs="Times New Roman"/>
          <w:bCs/>
          <w:szCs w:val="24"/>
        </w:rPr>
        <w:t>Saudi Arabia and</w:t>
      </w:r>
      <w:r w:rsidRPr="00757A80">
        <w:rPr>
          <w:rFonts w:eastAsia="Times New Roman" w:cs="Times New Roman"/>
          <w:bCs/>
          <w:szCs w:val="24"/>
        </w:rPr>
        <w:t xml:space="preserve"> US Refineries</w:t>
      </w:r>
      <w:r w:rsidRPr="00757A80">
        <w:rPr>
          <w:rFonts w:eastAsia="Times New Roman" w:cs="Times New Roman"/>
          <w:szCs w:val="24"/>
        </w:rPr>
        <w:t xml:space="preserve"> (ocular, electromagnetic, cognitive fatigue) and </w:t>
      </w:r>
      <w:r w:rsidRPr="00757A80">
        <w:rPr>
          <w:rFonts w:eastAsia="Times New Roman" w:cs="Times New Roman"/>
          <w:bCs/>
          <w:szCs w:val="24"/>
        </w:rPr>
        <w:t>Norwegian Offshore Platforms</w:t>
      </w:r>
      <w:r w:rsidRPr="00757A80">
        <w:rPr>
          <w:rFonts w:eastAsia="Times New Roman" w:cs="Times New Roman"/>
          <w:szCs w:val="24"/>
        </w:rPr>
        <w:t xml:space="preserve"> (neurobehavioral, dermatological), face distinct, non-contamination-related health burdens.</w:t>
      </w:r>
      <w:r w:rsidR="00287E00">
        <w:rPr>
          <w:rFonts w:eastAsia="Times New Roman" w:cs="Times New Roman"/>
          <w:szCs w:val="24"/>
        </w:rPr>
        <w:t xml:space="preserve"> </w:t>
      </w:r>
    </w:p>
    <w:p w14:paraId="6D785AC3" w14:textId="77777777" w:rsidR="004D0C70" w:rsidRPr="007B7FA5" w:rsidRDefault="00757A80" w:rsidP="00287E00">
      <w:pPr>
        <w:numPr>
          <w:ilvl w:val="0"/>
          <w:numId w:val="26"/>
        </w:numPr>
        <w:spacing w:before="100" w:beforeAutospacing="1" w:after="100" w:afterAutospacing="1" w:line="240" w:lineRule="auto"/>
        <w:jc w:val="both"/>
        <w:rPr>
          <w:rFonts w:eastAsia="Times New Roman" w:cs="Times New Roman"/>
          <w:szCs w:val="24"/>
        </w:rPr>
      </w:pPr>
      <w:r w:rsidRPr="00757A80">
        <w:rPr>
          <w:rFonts w:eastAsia="Times New Roman" w:cs="Times New Roman"/>
          <w:bCs/>
          <w:szCs w:val="24"/>
        </w:rPr>
        <w:t>Regulated Contexts Still Face Exposure:</w:t>
      </w:r>
      <w:r w:rsidRPr="00757A80">
        <w:rPr>
          <w:rFonts w:eastAsia="Times New Roman" w:cs="Times New Roman"/>
          <w:szCs w:val="24"/>
        </w:rPr>
        <w:t xml:space="preserve"> Even in places like </w:t>
      </w:r>
      <w:r w:rsidR="00580F2B">
        <w:rPr>
          <w:rFonts w:eastAsia="Times New Roman" w:cs="Times New Roman"/>
          <w:bCs/>
          <w:szCs w:val="24"/>
        </w:rPr>
        <w:t>Europe and</w:t>
      </w:r>
      <w:r w:rsidRPr="00757A80">
        <w:rPr>
          <w:rFonts w:eastAsia="Times New Roman" w:cs="Times New Roman"/>
          <w:bCs/>
          <w:szCs w:val="24"/>
        </w:rPr>
        <w:t xml:space="preserve"> the US</w:t>
      </w:r>
      <w:r w:rsidRPr="00757A80">
        <w:rPr>
          <w:rFonts w:eastAsia="Times New Roman" w:cs="Times New Roman"/>
          <w:szCs w:val="24"/>
        </w:rPr>
        <w:t>, accidental releases lead to two key contamination concerns (</w:t>
      </w:r>
      <w:r w:rsidRPr="00757A80">
        <w:rPr>
          <w:rFonts w:eastAsia="Times New Roman" w:cs="Times New Roman"/>
          <w:bCs/>
          <w:szCs w:val="24"/>
        </w:rPr>
        <w:t>drinking water and air quality</w:t>
      </w:r>
      <w:r w:rsidRPr="00757A80">
        <w:rPr>
          <w:rFonts w:eastAsia="Times New Roman" w:cs="Times New Roman"/>
          <w:szCs w:val="24"/>
        </w:rPr>
        <w:t>), demonstrating that the risk is universal despite regulation.</w:t>
      </w:r>
    </w:p>
    <w:p w14:paraId="3D3EC97A" w14:textId="77777777" w:rsidR="002D335D" w:rsidRDefault="0067191F" w:rsidP="004E13F7">
      <w:pPr>
        <w:pStyle w:val="Heading1"/>
        <w:rPr>
          <w:sz w:val="48"/>
        </w:rPr>
      </w:pPr>
      <w:r w:rsidRPr="00F503D8">
        <w:rPr>
          <w:rStyle w:val="Strong"/>
          <w:b/>
          <w:bCs w:val="0"/>
        </w:rPr>
        <w:t xml:space="preserve">3. </w:t>
      </w:r>
      <w:r w:rsidR="002D335D">
        <w:rPr>
          <w:rStyle w:val="Strong"/>
          <w:b/>
          <w:bCs w:val="0"/>
        </w:rPr>
        <w:t>Biomedical and Health Implications</w:t>
      </w:r>
    </w:p>
    <w:p w14:paraId="2CC410AF" w14:textId="77777777" w:rsidR="00D42552" w:rsidRDefault="00D42552" w:rsidP="00D42552">
      <w:pPr>
        <w:pStyle w:val="NormalWeb"/>
        <w:jc w:val="both"/>
      </w:pPr>
      <w:r>
        <w:t>The petroleum industry, while integral to global energy infrastructure, has profound negative implications for human health and biomedical outcomes, particularly through pipeline integrity failures and associated infrastructural innovations. Chronic exposure to hydrocarbons, heavy metals, volatile organic compounds (VOCs), and nanoparticles released from pipeline materials or operational activities constitutes a significant public health concern. These exposures affect workers, communities residing near pipelines, and ecologically sensitive regions, with documented consequences spanning respiratory, reproductive, neurological, and carcinogenic effects (</w:t>
      </w:r>
      <w:proofErr w:type="spellStart"/>
      <w:r w:rsidR="00081713">
        <w:t>Laffon</w:t>
      </w:r>
      <w:proofErr w:type="spellEnd"/>
      <w:r w:rsidR="00081713">
        <w:t xml:space="preserve"> et al., 2016</w:t>
      </w:r>
      <w:r>
        <w:t xml:space="preserve">; </w:t>
      </w:r>
      <w:proofErr w:type="spellStart"/>
      <w:r>
        <w:t>Nanadeinboemi</w:t>
      </w:r>
      <w:proofErr w:type="spellEnd"/>
      <w:r>
        <w:t xml:space="preserve"> et al., 2024; Sahu &amp; Gaur, 2019).</w:t>
      </w:r>
    </w:p>
    <w:p w14:paraId="78C0C85C" w14:textId="77777777" w:rsidR="002D335D" w:rsidRPr="002D335D" w:rsidRDefault="002D335D" w:rsidP="004E13F7">
      <w:pPr>
        <w:pStyle w:val="Heading1"/>
      </w:pPr>
      <w:r w:rsidRPr="002D335D">
        <w:rPr>
          <w:rStyle w:val="Strong"/>
          <w:b/>
          <w:bCs w:val="0"/>
        </w:rPr>
        <w:lastRenderedPageBreak/>
        <w:t>3.1 Hydrocarbon Exposure and Respiratory Health</w:t>
      </w:r>
    </w:p>
    <w:p w14:paraId="16D379DE" w14:textId="77777777" w:rsidR="006E23F3" w:rsidRDefault="00D42552" w:rsidP="00B119F0">
      <w:pPr>
        <w:pStyle w:val="NormalWeb"/>
        <w:jc w:val="both"/>
      </w:pPr>
      <w:r>
        <w:t>Pipeline leaks and oil spills release hydrocarbons such as benzene, toluene, ethylbenzene, xylene (BTEX), and polycyclic aromatic hydrocarbons (PAHs), which are established respiratory irritants and carcinogens (Doherty et al., 2017; Liu et al., 2021). Residents near pipelines in Nigeria’s Niger Delta and other oil-rich regions in Africa and Asia experience elevated asthma, chronic bronchitis, and reduced pulmonary function (</w:t>
      </w:r>
      <w:proofErr w:type="spellStart"/>
      <w:r>
        <w:t>Nanadeinboemi</w:t>
      </w:r>
      <w:proofErr w:type="spellEnd"/>
      <w:r>
        <w:t xml:space="preserve"> et al., 2024; </w:t>
      </w:r>
      <w:proofErr w:type="spellStart"/>
      <w:r>
        <w:t>Ngweme</w:t>
      </w:r>
      <w:proofErr w:type="spellEnd"/>
      <w:r>
        <w:t xml:space="preserve"> et al., 2020). Occupational inhalation during maintenance further exposes workers to volatile compounds, triggering oxidative stress, respiratory inflammation, and increased risks of lung cancer and chronic pulmonary disease (</w:t>
      </w:r>
      <w:proofErr w:type="spellStart"/>
      <w:r w:rsidR="00081713">
        <w:t>Laffon</w:t>
      </w:r>
      <w:proofErr w:type="spellEnd"/>
      <w:r w:rsidR="00081713">
        <w:t xml:space="preserve"> et al., 2016</w:t>
      </w:r>
      <w:r>
        <w:t>; Sahu &amp; Gaur, 2019).</w:t>
      </w:r>
    </w:p>
    <w:p w14:paraId="49F70AA5" w14:textId="77777777" w:rsidR="006E23F3" w:rsidRDefault="006E23F3" w:rsidP="00B119F0">
      <w:pPr>
        <w:pStyle w:val="NormalWeb"/>
        <w:jc w:val="both"/>
      </w:pPr>
    </w:p>
    <w:p w14:paraId="25604358" w14:textId="77777777" w:rsidR="006E23F3" w:rsidRDefault="006E23F3" w:rsidP="00B119F0">
      <w:pPr>
        <w:pStyle w:val="NormalWeb"/>
        <w:jc w:val="both"/>
      </w:pPr>
    </w:p>
    <w:p w14:paraId="790453EB" w14:textId="77777777" w:rsidR="006E23F3" w:rsidRDefault="006E23F3" w:rsidP="00B119F0">
      <w:pPr>
        <w:pStyle w:val="NormalWeb"/>
        <w:jc w:val="both"/>
      </w:pPr>
    </w:p>
    <w:p w14:paraId="36144D1E" w14:textId="77777777" w:rsidR="006E23F3" w:rsidRDefault="006E23F3" w:rsidP="00B119F0">
      <w:pPr>
        <w:pStyle w:val="NormalWeb"/>
        <w:jc w:val="both"/>
      </w:pPr>
    </w:p>
    <w:p w14:paraId="43DF3D5B" w14:textId="77777777" w:rsidR="006E23F3" w:rsidRDefault="006E23F3" w:rsidP="00B119F0">
      <w:pPr>
        <w:pStyle w:val="NormalWeb"/>
        <w:jc w:val="both"/>
      </w:pPr>
    </w:p>
    <w:p w14:paraId="6641B482" w14:textId="77777777" w:rsidR="006E23F3" w:rsidRDefault="006E23F3" w:rsidP="00B119F0">
      <w:pPr>
        <w:pStyle w:val="NormalWeb"/>
        <w:jc w:val="both"/>
      </w:pPr>
    </w:p>
    <w:p w14:paraId="01B6C103" w14:textId="77777777" w:rsidR="006E23F3" w:rsidRDefault="006E23F3" w:rsidP="00B119F0">
      <w:pPr>
        <w:pStyle w:val="NormalWeb"/>
        <w:jc w:val="both"/>
      </w:pPr>
    </w:p>
    <w:p w14:paraId="5B174523" w14:textId="77777777" w:rsidR="006E23F3" w:rsidRDefault="006E23F3" w:rsidP="00B119F0">
      <w:pPr>
        <w:pStyle w:val="NormalWeb"/>
        <w:jc w:val="both"/>
      </w:pPr>
    </w:p>
    <w:p w14:paraId="26C440A3" w14:textId="77777777" w:rsidR="006E23F3" w:rsidRDefault="006E23F3" w:rsidP="00B119F0">
      <w:pPr>
        <w:pStyle w:val="NormalWeb"/>
        <w:jc w:val="both"/>
      </w:pPr>
    </w:p>
    <w:p w14:paraId="51F06D6D" w14:textId="77777777" w:rsidR="006E23F3" w:rsidRDefault="006E23F3" w:rsidP="00B119F0">
      <w:pPr>
        <w:pStyle w:val="NormalWeb"/>
        <w:jc w:val="both"/>
      </w:pPr>
    </w:p>
    <w:p w14:paraId="0FA2E1FE" w14:textId="77777777" w:rsidR="006E23F3" w:rsidRDefault="006E23F3" w:rsidP="00B119F0">
      <w:pPr>
        <w:pStyle w:val="NormalWeb"/>
        <w:jc w:val="both"/>
      </w:pPr>
    </w:p>
    <w:p w14:paraId="76C47642" w14:textId="77777777" w:rsidR="006E23F3" w:rsidRDefault="006E23F3" w:rsidP="00B119F0">
      <w:pPr>
        <w:pStyle w:val="NormalWeb"/>
        <w:jc w:val="both"/>
      </w:pPr>
    </w:p>
    <w:p w14:paraId="69F9A986" w14:textId="77777777" w:rsidR="006E23F3" w:rsidRDefault="006E23F3" w:rsidP="00B119F0">
      <w:pPr>
        <w:pStyle w:val="NormalWeb"/>
        <w:jc w:val="both"/>
        <w:sectPr w:rsidR="006E23F3" w:rsidSect="006F006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pPr>
    </w:p>
    <w:p w14:paraId="29E97B15" w14:textId="77777777" w:rsidR="00992475" w:rsidRPr="00992475" w:rsidRDefault="00B771D1" w:rsidP="00B771D1">
      <w:pPr>
        <w:pStyle w:val="Caption"/>
        <w:rPr>
          <w:i w:val="0"/>
          <w:sz w:val="27"/>
        </w:rPr>
      </w:pPr>
      <w:r w:rsidRPr="00B771D1">
        <w:rPr>
          <w:i w:val="0"/>
          <w:sz w:val="24"/>
          <w:szCs w:val="24"/>
        </w:rPr>
        <w:lastRenderedPageBreak/>
        <w:t xml:space="preserve">Table </w:t>
      </w:r>
      <w:r w:rsidRPr="00B771D1">
        <w:rPr>
          <w:i w:val="0"/>
          <w:sz w:val="24"/>
          <w:szCs w:val="24"/>
        </w:rPr>
        <w:fldChar w:fldCharType="begin"/>
      </w:r>
      <w:r w:rsidRPr="00B771D1">
        <w:rPr>
          <w:i w:val="0"/>
          <w:sz w:val="24"/>
          <w:szCs w:val="24"/>
        </w:rPr>
        <w:instrText xml:space="preserve"> SEQ Table \* ARABIC </w:instrText>
      </w:r>
      <w:r w:rsidRPr="00B771D1">
        <w:rPr>
          <w:i w:val="0"/>
          <w:sz w:val="24"/>
          <w:szCs w:val="24"/>
        </w:rPr>
        <w:fldChar w:fldCharType="separate"/>
      </w:r>
      <w:r w:rsidRPr="00B771D1">
        <w:rPr>
          <w:i w:val="0"/>
          <w:noProof/>
          <w:sz w:val="24"/>
          <w:szCs w:val="24"/>
        </w:rPr>
        <w:t>1</w:t>
      </w:r>
      <w:r w:rsidRPr="00B771D1">
        <w:rPr>
          <w:i w:val="0"/>
          <w:sz w:val="24"/>
          <w:szCs w:val="24"/>
        </w:rPr>
        <w:fldChar w:fldCharType="end"/>
      </w:r>
      <w:r w:rsidR="00992475" w:rsidRPr="00992475">
        <w:rPr>
          <w:i w:val="0"/>
          <w:sz w:val="24"/>
        </w:rPr>
        <w:t xml:space="preserve">: </w:t>
      </w:r>
      <w:r w:rsidR="00992475" w:rsidRPr="00992475">
        <w:rPr>
          <w:rStyle w:val="Strong"/>
          <w:b w:val="0"/>
          <w:bCs w:val="0"/>
          <w:i w:val="0"/>
          <w:sz w:val="24"/>
        </w:rPr>
        <w:t>Hydrocarbon Exposure and Respiratory Health Impacts in Petroleum-Producing Regions</w:t>
      </w:r>
    </w:p>
    <w:tbl>
      <w:tblPr>
        <w:tblStyle w:val="TableGrid"/>
        <w:tblW w:w="0" w:type="auto"/>
        <w:tblLook w:val="04A0" w:firstRow="1" w:lastRow="0" w:firstColumn="1" w:lastColumn="0" w:noHBand="0" w:noVBand="1"/>
      </w:tblPr>
      <w:tblGrid>
        <w:gridCol w:w="2167"/>
        <w:gridCol w:w="2573"/>
        <w:gridCol w:w="3306"/>
        <w:gridCol w:w="2417"/>
        <w:gridCol w:w="2487"/>
      </w:tblGrid>
      <w:tr w:rsidR="008466AF" w:rsidRPr="008466AF" w14:paraId="15A9E1FE" w14:textId="77777777" w:rsidTr="008466AF">
        <w:tc>
          <w:tcPr>
            <w:tcW w:w="0" w:type="auto"/>
            <w:hideMark/>
          </w:tcPr>
          <w:p w14:paraId="7D23A2B3"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Hydrocarbon Type</w:t>
            </w:r>
          </w:p>
        </w:tc>
        <w:tc>
          <w:tcPr>
            <w:tcW w:w="0" w:type="auto"/>
            <w:hideMark/>
          </w:tcPr>
          <w:p w14:paraId="5B25B792"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Primary Sources in Petroleum Operations</w:t>
            </w:r>
          </w:p>
        </w:tc>
        <w:tc>
          <w:tcPr>
            <w:tcW w:w="0" w:type="auto"/>
            <w:hideMark/>
          </w:tcPr>
          <w:p w14:paraId="51003055"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Respiratory Health Effects</w:t>
            </w:r>
          </w:p>
        </w:tc>
        <w:tc>
          <w:tcPr>
            <w:tcW w:w="0" w:type="auto"/>
            <w:hideMark/>
          </w:tcPr>
          <w:p w14:paraId="0F4B13FC"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Most Affected Populations / Regions</w:t>
            </w:r>
          </w:p>
        </w:tc>
        <w:tc>
          <w:tcPr>
            <w:tcW w:w="0" w:type="auto"/>
            <w:hideMark/>
          </w:tcPr>
          <w:p w14:paraId="4E4A5BA0"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References</w:t>
            </w:r>
          </w:p>
        </w:tc>
      </w:tr>
      <w:tr w:rsidR="008466AF" w:rsidRPr="008466AF" w14:paraId="501DE019" w14:textId="77777777" w:rsidTr="008466AF">
        <w:tc>
          <w:tcPr>
            <w:tcW w:w="0" w:type="auto"/>
            <w:hideMark/>
          </w:tcPr>
          <w:p w14:paraId="314F911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Benzene</w:t>
            </w:r>
          </w:p>
        </w:tc>
        <w:tc>
          <w:tcPr>
            <w:tcW w:w="0" w:type="auto"/>
            <w:hideMark/>
          </w:tcPr>
          <w:p w14:paraId="547DBB3A"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Pipeline leaks, crude oil spills, gas flaring</w:t>
            </w:r>
          </w:p>
        </w:tc>
        <w:tc>
          <w:tcPr>
            <w:tcW w:w="0" w:type="auto"/>
            <w:hideMark/>
          </w:tcPr>
          <w:p w14:paraId="76848FC9"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Chronic bronchitis, reduced lung function, increased risk of leukemia, airway irritation</w:t>
            </w:r>
          </w:p>
        </w:tc>
        <w:tc>
          <w:tcPr>
            <w:tcW w:w="0" w:type="auto"/>
            <w:hideMark/>
          </w:tcPr>
          <w:p w14:paraId="568D0B8D"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 Delta (Nigeria), Gulf Coast (US), Angola</w:t>
            </w:r>
          </w:p>
        </w:tc>
        <w:tc>
          <w:tcPr>
            <w:tcW w:w="0" w:type="auto"/>
            <w:hideMark/>
          </w:tcPr>
          <w:p w14:paraId="7C011209"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Stenehjem et al., 2017; </w:t>
            </w:r>
            <w:proofErr w:type="spellStart"/>
            <w:r w:rsidRPr="008466AF">
              <w:rPr>
                <w:rFonts w:eastAsia="Times New Roman" w:cs="Times New Roman"/>
                <w:sz w:val="19"/>
                <w:szCs w:val="19"/>
              </w:rPr>
              <w:t>Onyije</w:t>
            </w:r>
            <w:proofErr w:type="spellEnd"/>
            <w:r w:rsidRPr="008466AF">
              <w:rPr>
                <w:rFonts w:eastAsia="Times New Roman" w:cs="Times New Roman"/>
                <w:sz w:val="19"/>
                <w:szCs w:val="19"/>
              </w:rPr>
              <w:t xml:space="preserve"> et al., 2021; </w:t>
            </w:r>
            <w:proofErr w:type="spellStart"/>
            <w:r w:rsidRPr="008466AF">
              <w:rPr>
                <w:rFonts w:eastAsia="Times New Roman" w:cs="Times New Roman"/>
                <w:sz w:val="19"/>
                <w:szCs w:val="19"/>
              </w:rPr>
              <w:t>Babigumira</w:t>
            </w:r>
            <w:proofErr w:type="spellEnd"/>
            <w:r w:rsidRPr="008466AF">
              <w:rPr>
                <w:rFonts w:eastAsia="Times New Roman" w:cs="Times New Roman"/>
                <w:sz w:val="19"/>
                <w:szCs w:val="19"/>
              </w:rPr>
              <w:t xml:space="preserve"> et al., 2024</w:t>
            </w:r>
          </w:p>
        </w:tc>
      </w:tr>
      <w:tr w:rsidR="008466AF" w:rsidRPr="008466AF" w14:paraId="51BC352B" w14:textId="77777777" w:rsidTr="008466AF">
        <w:tc>
          <w:tcPr>
            <w:tcW w:w="0" w:type="auto"/>
            <w:hideMark/>
          </w:tcPr>
          <w:p w14:paraId="252B109A"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Toluene</w:t>
            </w:r>
          </w:p>
        </w:tc>
        <w:tc>
          <w:tcPr>
            <w:tcW w:w="0" w:type="auto"/>
            <w:hideMark/>
          </w:tcPr>
          <w:p w14:paraId="00289E8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Pipeline maintenance emissions, </w:t>
            </w:r>
            <w:proofErr w:type="spellStart"/>
            <w:r w:rsidRPr="008466AF">
              <w:rPr>
                <w:rFonts w:eastAsia="Times New Roman" w:cs="Times New Roman"/>
                <w:sz w:val="19"/>
                <w:szCs w:val="19"/>
              </w:rPr>
              <w:t>vapour</w:t>
            </w:r>
            <w:proofErr w:type="spellEnd"/>
            <w:r w:rsidRPr="008466AF">
              <w:rPr>
                <w:rFonts w:eastAsia="Times New Roman" w:cs="Times New Roman"/>
                <w:sz w:val="19"/>
                <w:szCs w:val="19"/>
              </w:rPr>
              <w:t xml:space="preserve"> inhalation during spills</w:t>
            </w:r>
          </w:p>
        </w:tc>
        <w:tc>
          <w:tcPr>
            <w:tcW w:w="0" w:type="auto"/>
            <w:hideMark/>
          </w:tcPr>
          <w:p w14:paraId="3156EF9F"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Wheezing, asthma exacerbation, airway inflammation</w:t>
            </w:r>
          </w:p>
        </w:tc>
        <w:tc>
          <w:tcPr>
            <w:tcW w:w="0" w:type="auto"/>
            <w:hideMark/>
          </w:tcPr>
          <w:p w14:paraId="6F337848"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Pipeline workers, communities near refineries in India and Saudi Arabia</w:t>
            </w:r>
          </w:p>
        </w:tc>
        <w:tc>
          <w:tcPr>
            <w:tcW w:w="0" w:type="auto"/>
            <w:hideMark/>
          </w:tcPr>
          <w:p w14:paraId="249A625C"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Sahu &amp; Gaur, 2019; Doherty et al., 2017; </w:t>
            </w:r>
            <w:proofErr w:type="spellStart"/>
            <w:r w:rsidRPr="008466AF">
              <w:rPr>
                <w:rFonts w:eastAsia="Times New Roman" w:cs="Times New Roman"/>
                <w:sz w:val="19"/>
                <w:szCs w:val="19"/>
              </w:rPr>
              <w:t>Laffon</w:t>
            </w:r>
            <w:proofErr w:type="spellEnd"/>
            <w:r w:rsidRPr="008466AF">
              <w:rPr>
                <w:rFonts w:eastAsia="Times New Roman" w:cs="Times New Roman"/>
                <w:sz w:val="19"/>
                <w:szCs w:val="19"/>
              </w:rPr>
              <w:t xml:space="preserve"> et al., 2016</w:t>
            </w:r>
          </w:p>
        </w:tc>
      </w:tr>
      <w:tr w:rsidR="008466AF" w:rsidRPr="008466AF" w14:paraId="6409631B" w14:textId="77777777" w:rsidTr="008466AF">
        <w:tc>
          <w:tcPr>
            <w:tcW w:w="0" w:type="auto"/>
            <w:hideMark/>
          </w:tcPr>
          <w:p w14:paraId="3C5092F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Ethylbenzene</w:t>
            </w:r>
          </w:p>
        </w:tc>
        <w:tc>
          <w:tcPr>
            <w:tcW w:w="0" w:type="auto"/>
            <w:hideMark/>
          </w:tcPr>
          <w:p w14:paraId="7A237149"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Evaporation from spilled crude, corrosion breaches in pipelines</w:t>
            </w:r>
          </w:p>
        </w:tc>
        <w:tc>
          <w:tcPr>
            <w:tcW w:w="0" w:type="auto"/>
            <w:hideMark/>
          </w:tcPr>
          <w:p w14:paraId="3CBDF003"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Reduced pulmonary capacity, mucosal irritation, respiratory tract inflammation</w:t>
            </w:r>
          </w:p>
        </w:tc>
        <w:tc>
          <w:tcPr>
            <w:tcW w:w="0" w:type="auto"/>
            <w:hideMark/>
          </w:tcPr>
          <w:p w14:paraId="5DAD6B8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Offshore workers in Angola, Saudi pipeline technicians</w:t>
            </w:r>
          </w:p>
        </w:tc>
        <w:tc>
          <w:tcPr>
            <w:tcW w:w="0" w:type="auto"/>
            <w:hideMark/>
          </w:tcPr>
          <w:p w14:paraId="6103A622"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D’Andrea &amp; Reddy, 2014; Kwok et al., 2017; Giwa et al., 2019</w:t>
            </w:r>
          </w:p>
        </w:tc>
      </w:tr>
      <w:tr w:rsidR="008466AF" w:rsidRPr="008466AF" w14:paraId="661CE501" w14:textId="77777777" w:rsidTr="008466AF">
        <w:tc>
          <w:tcPr>
            <w:tcW w:w="0" w:type="auto"/>
            <w:hideMark/>
          </w:tcPr>
          <w:p w14:paraId="572BED3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Xylene (BTEX)</w:t>
            </w:r>
          </w:p>
        </w:tc>
        <w:tc>
          <w:tcPr>
            <w:tcW w:w="0" w:type="auto"/>
            <w:hideMark/>
          </w:tcPr>
          <w:p w14:paraId="4B37E16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Transport pipelines, storage tank leakage</w:t>
            </w:r>
          </w:p>
        </w:tc>
        <w:tc>
          <w:tcPr>
            <w:tcW w:w="0" w:type="auto"/>
            <w:hideMark/>
          </w:tcPr>
          <w:p w14:paraId="39CEC30C"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Airway edema, chest tightness, chronic cough, neuro-respiratory symptoms</w:t>
            </w:r>
          </w:p>
        </w:tc>
        <w:tc>
          <w:tcPr>
            <w:tcW w:w="0" w:type="auto"/>
            <w:hideMark/>
          </w:tcPr>
          <w:p w14:paraId="4C1D77A7"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Communities near pipeline corridors (Nigeria, India, US Gulf)</w:t>
            </w:r>
          </w:p>
        </w:tc>
        <w:tc>
          <w:tcPr>
            <w:tcW w:w="0" w:type="auto"/>
            <w:hideMark/>
          </w:tcPr>
          <w:p w14:paraId="218428C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Doherty et al., 2017; Stenehjem et al., 2024; Aguilera et al., 2010</w:t>
            </w:r>
          </w:p>
        </w:tc>
      </w:tr>
      <w:tr w:rsidR="008466AF" w:rsidRPr="008466AF" w14:paraId="5A666CA9" w14:textId="77777777" w:rsidTr="008466AF">
        <w:tc>
          <w:tcPr>
            <w:tcW w:w="0" w:type="auto"/>
            <w:hideMark/>
          </w:tcPr>
          <w:p w14:paraId="7D8A5697"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Polycyclic Aromatic Hydrocarbons (PAHs)</w:t>
            </w:r>
          </w:p>
        </w:tc>
        <w:tc>
          <w:tcPr>
            <w:tcW w:w="0" w:type="auto"/>
            <w:hideMark/>
          </w:tcPr>
          <w:p w14:paraId="3F28C907"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Gas flaring, crude-burning events, pipeline fire accidents</w:t>
            </w:r>
          </w:p>
        </w:tc>
        <w:tc>
          <w:tcPr>
            <w:tcW w:w="0" w:type="auto"/>
            <w:hideMark/>
          </w:tcPr>
          <w:p w14:paraId="1AB4FA38"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Asthma, lung cancer risk, impaired alveolar function</w:t>
            </w:r>
          </w:p>
        </w:tc>
        <w:tc>
          <w:tcPr>
            <w:tcW w:w="0" w:type="auto"/>
            <w:hideMark/>
          </w:tcPr>
          <w:p w14:paraId="2BF006A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 Delta (Nigeria), Gulf of Mexico (US), Middle East</w:t>
            </w:r>
          </w:p>
        </w:tc>
        <w:tc>
          <w:tcPr>
            <w:tcW w:w="0" w:type="auto"/>
            <w:hideMark/>
          </w:tcPr>
          <w:p w14:paraId="323C9D2C"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Moradi et al., 2025; Montano et al., 2025; </w:t>
            </w:r>
            <w:proofErr w:type="spellStart"/>
            <w:r w:rsidRPr="008466AF">
              <w:rPr>
                <w:rFonts w:eastAsia="Times New Roman" w:cs="Times New Roman"/>
                <w:sz w:val="19"/>
                <w:szCs w:val="19"/>
              </w:rPr>
              <w:t>Laffon</w:t>
            </w:r>
            <w:proofErr w:type="spellEnd"/>
            <w:r w:rsidRPr="008466AF">
              <w:rPr>
                <w:rFonts w:eastAsia="Times New Roman" w:cs="Times New Roman"/>
                <w:sz w:val="19"/>
                <w:szCs w:val="19"/>
              </w:rPr>
              <w:t xml:space="preserve"> et al., 2016</w:t>
            </w:r>
          </w:p>
        </w:tc>
      </w:tr>
      <w:tr w:rsidR="008466AF" w:rsidRPr="008466AF" w14:paraId="58ED99A8" w14:textId="77777777" w:rsidTr="008466AF">
        <w:tc>
          <w:tcPr>
            <w:tcW w:w="0" w:type="auto"/>
            <w:hideMark/>
          </w:tcPr>
          <w:p w14:paraId="26637AC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Volatile Organic Compounds (VOCs) – Mixed Exposure</w:t>
            </w:r>
          </w:p>
        </w:tc>
        <w:tc>
          <w:tcPr>
            <w:tcW w:w="0" w:type="auto"/>
            <w:hideMark/>
          </w:tcPr>
          <w:p w14:paraId="5169963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Chronic leakage sites, damaged pipeline joints, poorly maintained infrastructure</w:t>
            </w:r>
          </w:p>
        </w:tc>
        <w:tc>
          <w:tcPr>
            <w:tcW w:w="0" w:type="auto"/>
            <w:hideMark/>
          </w:tcPr>
          <w:p w14:paraId="5AB4436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Chronic obstructive pulmonary disease (COPD), airway remodeling, increased childhood respiratory infections</w:t>
            </w:r>
          </w:p>
        </w:tc>
        <w:tc>
          <w:tcPr>
            <w:tcW w:w="0" w:type="auto"/>
            <w:hideMark/>
          </w:tcPr>
          <w:p w14:paraId="508A7938"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Nigeria, Angola, India, Indonesia</w:t>
            </w:r>
          </w:p>
        </w:tc>
        <w:tc>
          <w:tcPr>
            <w:tcW w:w="0" w:type="auto"/>
            <w:hideMark/>
          </w:tcPr>
          <w:p w14:paraId="6B59390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Ali et al., 2024; </w:t>
            </w:r>
            <w:proofErr w:type="spellStart"/>
            <w:r w:rsidRPr="008466AF">
              <w:rPr>
                <w:rFonts w:eastAsia="Times New Roman" w:cs="Times New Roman"/>
                <w:sz w:val="19"/>
                <w:szCs w:val="19"/>
              </w:rPr>
              <w:t>Nanadeinboemi</w:t>
            </w:r>
            <w:proofErr w:type="spellEnd"/>
            <w:r w:rsidRPr="008466AF">
              <w:rPr>
                <w:rFonts w:eastAsia="Times New Roman" w:cs="Times New Roman"/>
                <w:sz w:val="19"/>
                <w:szCs w:val="19"/>
              </w:rPr>
              <w:t xml:space="preserve"> et al., 2024; </w:t>
            </w:r>
            <w:proofErr w:type="spellStart"/>
            <w:r w:rsidRPr="008466AF">
              <w:rPr>
                <w:rFonts w:eastAsia="Times New Roman" w:cs="Times New Roman"/>
                <w:sz w:val="19"/>
                <w:szCs w:val="19"/>
              </w:rPr>
              <w:t>Nriagu</w:t>
            </w:r>
            <w:proofErr w:type="spellEnd"/>
            <w:r w:rsidRPr="008466AF">
              <w:rPr>
                <w:rFonts w:eastAsia="Times New Roman" w:cs="Times New Roman"/>
                <w:sz w:val="19"/>
                <w:szCs w:val="19"/>
              </w:rPr>
              <w:t xml:space="preserve"> et al., 2016</w:t>
            </w:r>
          </w:p>
        </w:tc>
      </w:tr>
      <w:tr w:rsidR="008466AF" w:rsidRPr="008466AF" w14:paraId="2C539144" w14:textId="77777777" w:rsidTr="008466AF">
        <w:tc>
          <w:tcPr>
            <w:tcW w:w="0" w:type="auto"/>
            <w:hideMark/>
          </w:tcPr>
          <w:p w14:paraId="2E2CB340"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Soot and Particulate Matter (PM2.5)</w:t>
            </w:r>
          </w:p>
        </w:tc>
        <w:tc>
          <w:tcPr>
            <w:tcW w:w="0" w:type="auto"/>
            <w:hideMark/>
          </w:tcPr>
          <w:p w14:paraId="03E5635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Gas flaring near pipelines, incomplete combustion of petroleum</w:t>
            </w:r>
          </w:p>
        </w:tc>
        <w:tc>
          <w:tcPr>
            <w:tcW w:w="0" w:type="auto"/>
            <w:hideMark/>
          </w:tcPr>
          <w:p w14:paraId="12209FD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Asthma attacks, cardiovascular-respiratory interaction disorders, increased mortality</w:t>
            </w:r>
          </w:p>
        </w:tc>
        <w:tc>
          <w:tcPr>
            <w:tcW w:w="0" w:type="auto"/>
            <w:hideMark/>
          </w:tcPr>
          <w:p w14:paraId="08A13E39"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 Delta, Saudi Arabia, offshore facilities in Norway</w:t>
            </w:r>
          </w:p>
        </w:tc>
        <w:tc>
          <w:tcPr>
            <w:tcW w:w="0" w:type="auto"/>
            <w:hideMark/>
          </w:tcPr>
          <w:p w14:paraId="2CDCC3E2"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Zhang et al., 2022; Marinho-Reis et al., 2022; </w:t>
            </w:r>
            <w:proofErr w:type="spellStart"/>
            <w:r w:rsidRPr="008466AF">
              <w:rPr>
                <w:rFonts w:eastAsia="Times New Roman" w:cs="Times New Roman"/>
                <w:sz w:val="19"/>
                <w:szCs w:val="19"/>
              </w:rPr>
              <w:t>Morakinyo</w:t>
            </w:r>
            <w:proofErr w:type="spellEnd"/>
            <w:r w:rsidRPr="008466AF">
              <w:rPr>
                <w:rFonts w:eastAsia="Times New Roman" w:cs="Times New Roman"/>
                <w:sz w:val="19"/>
                <w:szCs w:val="19"/>
              </w:rPr>
              <w:t xml:space="preserve"> et al., 2016</w:t>
            </w:r>
          </w:p>
        </w:tc>
      </w:tr>
    </w:tbl>
    <w:p w14:paraId="1CF8A137" w14:textId="77777777" w:rsidR="00992475" w:rsidRDefault="00992475" w:rsidP="00B119F0">
      <w:pPr>
        <w:pStyle w:val="NormalWeb"/>
        <w:jc w:val="both"/>
      </w:pPr>
    </w:p>
    <w:p w14:paraId="094D87B6" w14:textId="77777777" w:rsidR="006E23F3" w:rsidRDefault="006E23F3" w:rsidP="00B119F0">
      <w:pPr>
        <w:pStyle w:val="NormalWeb"/>
        <w:jc w:val="both"/>
      </w:pPr>
    </w:p>
    <w:p w14:paraId="7E5C0497" w14:textId="77777777" w:rsidR="006E23F3" w:rsidRDefault="006E23F3" w:rsidP="00B119F0">
      <w:pPr>
        <w:pStyle w:val="NormalWeb"/>
        <w:jc w:val="both"/>
        <w:sectPr w:rsidR="006E23F3" w:rsidSect="00992475">
          <w:pgSz w:w="15840" w:h="12240" w:orient="landscape"/>
          <w:pgMar w:top="1440" w:right="1440" w:bottom="1440" w:left="1440" w:header="708" w:footer="708" w:gutter="0"/>
          <w:cols w:space="708"/>
          <w:docGrid w:linePitch="360"/>
        </w:sectPr>
      </w:pPr>
    </w:p>
    <w:p w14:paraId="2B290CE4" w14:textId="77777777" w:rsidR="008E4F94" w:rsidRDefault="008E4F94" w:rsidP="008E4F94">
      <w:pPr>
        <w:pStyle w:val="NormalWeb"/>
        <w:jc w:val="both"/>
      </w:pPr>
      <w:r>
        <w:lastRenderedPageBreak/>
        <w:t>Exposure to hydrocarbons from crude oil spills, fuel combustion, industrial emissions, or indoor pollutants is a major risk factor for respiratory disorders (</w:t>
      </w:r>
      <w:proofErr w:type="spellStart"/>
      <w:r>
        <w:t>Nanadeinboemi</w:t>
      </w:r>
      <w:proofErr w:type="spellEnd"/>
      <w:r>
        <w:t xml:space="preserve"> et al., 2024; </w:t>
      </w:r>
      <w:proofErr w:type="spellStart"/>
      <w:r>
        <w:t>Nriagu</w:t>
      </w:r>
      <w:proofErr w:type="spellEnd"/>
      <w:r>
        <w:t xml:space="preserve"> et al., 2016). Key compounds such as benzene, toluene, xylene, PAHs, and VOCs irritate airways and impair lung function (Doherty et al., 2017; Liu et al., 2021). Short-term exposure causes coughing, wheezing, throat irritation, and chest tightness, particularly in petroleum workers, children, and residents near oil-polluted regions like the Niger Delta (</w:t>
      </w:r>
      <w:proofErr w:type="spellStart"/>
      <w:r>
        <w:t>Ngweme</w:t>
      </w:r>
      <w:proofErr w:type="spellEnd"/>
      <w:r>
        <w:t xml:space="preserve"> et al., 2020; </w:t>
      </w:r>
      <w:proofErr w:type="spellStart"/>
      <w:r>
        <w:t>Nanadeinboemi</w:t>
      </w:r>
      <w:proofErr w:type="spellEnd"/>
      <w:r>
        <w:t xml:space="preserve"> et al., 2024). Chronic exposure increases asthma, bronchitis, and lung cancer risks and impairs pulmonary immune defense (</w:t>
      </w:r>
      <w:proofErr w:type="spellStart"/>
      <w:r w:rsidR="00081713">
        <w:t>Laffon</w:t>
      </w:r>
      <w:proofErr w:type="spellEnd"/>
      <w:r w:rsidR="00081713">
        <w:t xml:space="preserve"> et al., 2016</w:t>
      </w:r>
      <w:r>
        <w:t>; Rahman &amp; Chen, 2023). These findings highlight the need for environmental regulations, protective equipment, and continuous monitoring in high-risk communities.</w:t>
      </w:r>
    </w:p>
    <w:p w14:paraId="60E0605E" w14:textId="77777777" w:rsidR="002D335D" w:rsidRDefault="002D335D" w:rsidP="004E13F7">
      <w:pPr>
        <w:pStyle w:val="Heading1"/>
        <w:rPr>
          <w:rStyle w:val="Strong"/>
          <w:b/>
          <w:bCs w:val="0"/>
        </w:rPr>
      </w:pPr>
      <w:r>
        <w:rPr>
          <w:rStyle w:val="Strong"/>
          <w:b/>
          <w:bCs w:val="0"/>
        </w:rPr>
        <w:t>3.2 Heavy Metals and Toxicity</w:t>
      </w:r>
    </w:p>
    <w:p w14:paraId="1ADDD250" w14:textId="77777777" w:rsidR="008E4F94" w:rsidRDefault="008E4F94" w:rsidP="008E4F94">
      <w:pPr>
        <w:pStyle w:val="NormalWeb"/>
        <w:jc w:val="both"/>
      </w:pPr>
      <w:r>
        <w:t>Pipeline infrastructure, particularly steel components and composite materials, often contains trace metals such as lead, cadmium, nickel, and chromium. During corrosion, maintenance, or accidental release, these metals leach into soil, water, and air, creating pathways for bioaccumulation in humans and wildlife (Kumar &amp; Yadav, 2022; Liu et al., 2021). In Nigerian oil-producing communities, elevated levels of lead and cadmium have been detected in drinking water and local food sources, correlating with neurological disorders, renal dysfunction, and reproductive toxicity (</w:t>
      </w:r>
      <w:proofErr w:type="spellStart"/>
      <w:r>
        <w:t>Nanadeinboemi</w:t>
      </w:r>
      <w:proofErr w:type="spellEnd"/>
      <w:r>
        <w:t xml:space="preserve"> et al., 2024; </w:t>
      </w:r>
      <w:r w:rsidR="00CF6F85">
        <w:t>Giwa et al., 2019</w:t>
      </w:r>
      <w:r>
        <w:t>).</w:t>
      </w:r>
    </w:p>
    <w:p w14:paraId="4ADA0A93" w14:textId="77777777" w:rsidR="008E4F94" w:rsidRDefault="008E4F94" w:rsidP="008E4F94">
      <w:pPr>
        <w:pStyle w:val="NormalWeb"/>
        <w:jc w:val="both"/>
      </w:pPr>
      <w:r>
        <w:t>Chronic heavy metal exposure is linked to carcinogenesis, immunosuppression, and endocrine disruption. For example, cadmium exposure affects hormonal balance, impairing reproductive function in both men and women, while lead interferes with neurodevelopment in children (Kumar &amp; Yadav, 2022; Liu et al., 2021). These effects are compounded by co-exposure to hydrocarbons and other chemical contaminants from pipeline operations (</w:t>
      </w:r>
      <w:proofErr w:type="spellStart"/>
      <w:r>
        <w:t>Nanadeinboemi</w:t>
      </w:r>
      <w:proofErr w:type="spellEnd"/>
      <w:r>
        <w:t xml:space="preserve"> et al., 2024; </w:t>
      </w:r>
      <w:r w:rsidR="00CF6F85">
        <w:t>Giwa et al., 2019</w:t>
      </w:r>
      <w:r>
        <w:t>).</w:t>
      </w:r>
    </w:p>
    <w:p w14:paraId="29D47621" w14:textId="77777777" w:rsidR="004E7E79" w:rsidRPr="004E7E79" w:rsidRDefault="004E7E79" w:rsidP="00B119F0">
      <w:pPr>
        <w:pStyle w:val="Caption"/>
        <w:rPr>
          <w:i w:val="0"/>
          <w:sz w:val="27"/>
        </w:rPr>
      </w:pPr>
      <w:r w:rsidRPr="004E7E79">
        <w:rPr>
          <w:i w:val="0"/>
          <w:sz w:val="24"/>
        </w:rPr>
        <w:t xml:space="preserve">Table </w:t>
      </w:r>
      <w:r w:rsidRPr="004E7E79">
        <w:rPr>
          <w:i w:val="0"/>
          <w:sz w:val="24"/>
        </w:rPr>
        <w:fldChar w:fldCharType="begin"/>
      </w:r>
      <w:r w:rsidRPr="004E7E79">
        <w:rPr>
          <w:i w:val="0"/>
          <w:sz w:val="24"/>
        </w:rPr>
        <w:instrText xml:space="preserve"> SEQ Table \* ARABIC </w:instrText>
      </w:r>
      <w:r w:rsidRPr="004E7E79">
        <w:rPr>
          <w:i w:val="0"/>
          <w:sz w:val="24"/>
        </w:rPr>
        <w:fldChar w:fldCharType="separate"/>
      </w:r>
      <w:r w:rsidR="00B771D1">
        <w:rPr>
          <w:i w:val="0"/>
          <w:noProof/>
          <w:sz w:val="24"/>
        </w:rPr>
        <w:t>2</w:t>
      </w:r>
      <w:r w:rsidRPr="004E7E79">
        <w:rPr>
          <w:i w:val="0"/>
          <w:sz w:val="24"/>
        </w:rPr>
        <w:fldChar w:fldCharType="end"/>
      </w:r>
      <w:r w:rsidRPr="004E7E79">
        <w:rPr>
          <w:i w:val="0"/>
          <w:sz w:val="24"/>
        </w:rPr>
        <w:t xml:space="preserve">: </w:t>
      </w:r>
      <w:r w:rsidRPr="004E7E79">
        <w:rPr>
          <w:rStyle w:val="Strong"/>
          <w:b w:val="0"/>
          <w:bCs w:val="0"/>
          <w:i w:val="0"/>
          <w:sz w:val="24"/>
        </w:rPr>
        <w:t>Heavy Metals Associated with Pipeline Infrastructure and Their Toxicological Effects</w:t>
      </w:r>
    </w:p>
    <w:tbl>
      <w:tblPr>
        <w:tblStyle w:val="TableGrid"/>
        <w:tblW w:w="11057" w:type="dxa"/>
        <w:tblInd w:w="-856" w:type="dxa"/>
        <w:tblLook w:val="04A0" w:firstRow="1" w:lastRow="0" w:firstColumn="1" w:lastColumn="0" w:noHBand="0" w:noVBand="1"/>
      </w:tblPr>
      <w:tblGrid>
        <w:gridCol w:w="1560"/>
        <w:gridCol w:w="2424"/>
        <w:gridCol w:w="2089"/>
        <w:gridCol w:w="2423"/>
        <w:gridCol w:w="2561"/>
      </w:tblGrid>
      <w:tr w:rsidR="003C1F62" w:rsidRPr="003C1F62" w14:paraId="603CE9C5" w14:textId="77777777" w:rsidTr="001C4142">
        <w:tc>
          <w:tcPr>
            <w:tcW w:w="1560" w:type="dxa"/>
            <w:hideMark/>
          </w:tcPr>
          <w:p w14:paraId="56C4A9D4"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Heavy Metal</w:t>
            </w:r>
          </w:p>
        </w:tc>
        <w:tc>
          <w:tcPr>
            <w:tcW w:w="2424" w:type="dxa"/>
            <w:hideMark/>
          </w:tcPr>
          <w:p w14:paraId="51B3FBB0"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Primary Sources in Pipeline Infrastructure</w:t>
            </w:r>
          </w:p>
        </w:tc>
        <w:tc>
          <w:tcPr>
            <w:tcW w:w="0" w:type="auto"/>
            <w:hideMark/>
          </w:tcPr>
          <w:p w14:paraId="00CB6855"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Environmental Pathways</w:t>
            </w:r>
          </w:p>
        </w:tc>
        <w:tc>
          <w:tcPr>
            <w:tcW w:w="0" w:type="auto"/>
            <w:hideMark/>
          </w:tcPr>
          <w:p w14:paraId="166E2CBE"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Effects</w:t>
            </w:r>
          </w:p>
        </w:tc>
        <w:tc>
          <w:tcPr>
            <w:tcW w:w="2561" w:type="dxa"/>
            <w:hideMark/>
          </w:tcPr>
          <w:p w14:paraId="1BB740C8"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Key Evidence</w:t>
            </w:r>
          </w:p>
        </w:tc>
      </w:tr>
      <w:tr w:rsidR="003C1F62" w:rsidRPr="003C1F62" w14:paraId="358E7E63" w14:textId="77777777" w:rsidTr="001C4142">
        <w:tc>
          <w:tcPr>
            <w:tcW w:w="1560" w:type="dxa"/>
            <w:hideMark/>
          </w:tcPr>
          <w:p w14:paraId="1BE11A1A"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Lead (Pb)</w:t>
            </w:r>
          </w:p>
        </w:tc>
        <w:tc>
          <w:tcPr>
            <w:tcW w:w="2424" w:type="dxa"/>
            <w:hideMark/>
          </w:tcPr>
          <w:p w14:paraId="25B3060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Steel components, corrosion by-products, pipe coatings</w:t>
            </w:r>
          </w:p>
        </w:tc>
        <w:tc>
          <w:tcPr>
            <w:tcW w:w="0" w:type="auto"/>
            <w:hideMark/>
          </w:tcPr>
          <w:p w14:paraId="5FFBF9D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Leaching into water, contaminated soil, air particulates</w:t>
            </w:r>
          </w:p>
        </w:tc>
        <w:tc>
          <w:tcPr>
            <w:tcW w:w="0" w:type="auto"/>
            <w:hideMark/>
          </w:tcPr>
          <w:p w14:paraId="60AB794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Neurodevelopmental delays, cognitive impairment, renal dysfunction, anemia</w:t>
            </w:r>
          </w:p>
        </w:tc>
        <w:tc>
          <w:tcPr>
            <w:tcW w:w="2561" w:type="dxa"/>
            <w:hideMark/>
          </w:tcPr>
          <w:p w14:paraId="2D587508"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Ngweme</w:t>
            </w:r>
            <w:proofErr w:type="spellEnd"/>
            <w:r w:rsidRPr="003C1F62">
              <w:rPr>
                <w:rFonts w:eastAsia="Times New Roman" w:cs="Times New Roman"/>
                <w:sz w:val="19"/>
                <w:szCs w:val="19"/>
              </w:rPr>
              <w:t xml:space="preserve"> et al., 2020; </w:t>
            </w:r>
            <w:proofErr w:type="spellStart"/>
            <w:r w:rsidRPr="003C1F62">
              <w:rPr>
                <w:rFonts w:eastAsia="Times New Roman" w:cs="Times New Roman"/>
                <w:sz w:val="19"/>
                <w:szCs w:val="19"/>
              </w:rPr>
              <w:t>Nriagu</w:t>
            </w:r>
            <w:proofErr w:type="spellEnd"/>
            <w:r w:rsidRPr="003C1F62">
              <w:rPr>
                <w:rFonts w:eastAsia="Times New Roman" w:cs="Times New Roman"/>
                <w:sz w:val="19"/>
                <w:szCs w:val="19"/>
              </w:rPr>
              <w:t xml:space="preserve"> et al., 2016</w:t>
            </w:r>
          </w:p>
        </w:tc>
      </w:tr>
      <w:tr w:rsidR="003C1F62" w:rsidRPr="003C1F62" w14:paraId="0287303D" w14:textId="77777777" w:rsidTr="001C4142">
        <w:tc>
          <w:tcPr>
            <w:tcW w:w="1560" w:type="dxa"/>
            <w:hideMark/>
          </w:tcPr>
          <w:p w14:paraId="3693649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Cadmium (Cd)</w:t>
            </w:r>
          </w:p>
        </w:tc>
        <w:tc>
          <w:tcPr>
            <w:tcW w:w="2424" w:type="dxa"/>
            <w:hideMark/>
          </w:tcPr>
          <w:p w14:paraId="4F860F4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Alloy steels, solders, corrosion residues</w:t>
            </w:r>
          </w:p>
        </w:tc>
        <w:tc>
          <w:tcPr>
            <w:tcW w:w="0" w:type="auto"/>
            <w:hideMark/>
          </w:tcPr>
          <w:p w14:paraId="6503FEC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Water contamination, soil uptake into crops, food chain bioaccumulation</w:t>
            </w:r>
          </w:p>
        </w:tc>
        <w:tc>
          <w:tcPr>
            <w:tcW w:w="0" w:type="auto"/>
            <w:hideMark/>
          </w:tcPr>
          <w:p w14:paraId="655169F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Reproductive toxicity, endocrine disruption, kidney damage, carcinogenesis</w:t>
            </w:r>
          </w:p>
        </w:tc>
        <w:tc>
          <w:tcPr>
            <w:tcW w:w="2561" w:type="dxa"/>
            <w:hideMark/>
          </w:tcPr>
          <w:p w14:paraId="7F5BDF0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Liu et al., 2021; Kumar &amp; Yadav, 2022</w:t>
            </w:r>
          </w:p>
        </w:tc>
      </w:tr>
      <w:tr w:rsidR="003C1F62" w:rsidRPr="003C1F62" w14:paraId="1FDBE38E" w14:textId="77777777" w:rsidTr="001C4142">
        <w:tc>
          <w:tcPr>
            <w:tcW w:w="1560" w:type="dxa"/>
            <w:hideMark/>
          </w:tcPr>
          <w:p w14:paraId="175245D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Nickel (Ni)</w:t>
            </w:r>
          </w:p>
        </w:tc>
        <w:tc>
          <w:tcPr>
            <w:tcW w:w="2424" w:type="dxa"/>
            <w:hideMark/>
          </w:tcPr>
          <w:p w14:paraId="4A4E0CF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Stainless steel pipelines, welding fumes</w:t>
            </w:r>
          </w:p>
        </w:tc>
        <w:tc>
          <w:tcPr>
            <w:tcW w:w="0" w:type="auto"/>
            <w:hideMark/>
          </w:tcPr>
          <w:p w14:paraId="2F554C7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Air inhalation near pipelines, soil and water contamination</w:t>
            </w:r>
          </w:p>
        </w:tc>
        <w:tc>
          <w:tcPr>
            <w:tcW w:w="0" w:type="auto"/>
            <w:hideMark/>
          </w:tcPr>
          <w:p w14:paraId="7663ED3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Allergic reactions, respiratory irritation, increased cancer risk</w:t>
            </w:r>
          </w:p>
        </w:tc>
        <w:tc>
          <w:tcPr>
            <w:tcW w:w="2561" w:type="dxa"/>
            <w:hideMark/>
          </w:tcPr>
          <w:p w14:paraId="72902B5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Kumar &amp; Yadav, 2022; Li et al., 2022</w:t>
            </w:r>
          </w:p>
        </w:tc>
      </w:tr>
      <w:tr w:rsidR="003C1F62" w:rsidRPr="003C1F62" w14:paraId="20EC7077" w14:textId="77777777" w:rsidTr="001C4142">
        <w:tc>
          <w:tcPr>
            <w:tcW w:w="1560" w:type="dxa"/>
            <w:hideMark/>
          </w:tcPr>
          <w:p w14:paraId="51B5798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Chromium (Cr)</w:t>
            </w:r>
          </w:p>
        </w:tc>
        <w:tc>
          <w:tcPr>
            <w:tcW w:w="2424" w:type="dxa"/>
            <w:hideMark/>
          </w:tcPr>
          <w:p w14:paraId="3A05148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Anti-corrosion alloys, pipeline coatings</w:t>
            </w:r>
          </w:p>
        </w:tc>
        <w:tc>
          <w:tcPr>
            <w:tcW w:w="0" w:type="auto"/>
            <w:hideMark/>
          </w:tcPr>
          <w:p w14:paraId="6FF2488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Release during corrosion into water bodies and soils</w:t>
            </w:r>
          </w:p>
        </w:tc>
        <w:tc>
          <w:tcPr>
            <w:tcW w:w="0" w:type="auto"/>
            <w:hideMark/>
          </w:tcPr>
          <w:p w14:paraId="3CD44A3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Lung cancer (Cr VI), liver damage, immune suppression</w:t>
            </w:r>
          </w:p>
        </w:tc>
        <w:tc>
          <w:tcPr>
            <w:tcW w:w="2561" w:type="dxa"/>
            <w:hideMark/>
          </w:tcPr>
          <w:p w14:paraId="372EFEA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Li et al., 2022; </w:t>
            </w:r>
            <w:proofErr w:type="spellStart"/>
            <w:r w:rsidRPr="003C1F62">
              <w:rPr>
                <w:rFonts w:eastAsia="Times New Roman" w:cs="Times New Roman"/>
                <w:sz w:val="19"/>
                <w:szCs w:val="19"/>
              </w:rPr>
              <w:t>Nanadeinboemi</w:t>
            </w:r>
            <w:proofErr w:type="spellEnd"/>
            <w:r w:rsidRPr="003C1F62">
              <w:rPr>
                <w:rFonts w:eastAsia="Times New Roman" w:cs="Times New Roman"/>
                <w:sz w:val="19"/>
                <w:szCs w:val="19"/>
              </w:rPr>
              <w:t xml:space="preserve"> et al., 2024</w:t>
            </w:r>
          </w:p>
        </w:tc>
      </w:tr>
      <w:tr w:rsidR="003C1F62" w:rsidRPr="003C1F62" w14:paraId="52FDAD48" w14:textId="77777777" w:rsidTr="001C4142">
        <w:tc>
          <w:tcPr>
            <w:tcW w:w="1560" w:type="dxa"/>
            <w:hideMark/>
          </w:tcPr>
          <w:p w14:paraId="29A33B4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Mixed Heavy Metal Exposure</w:t>
            </w:r>
          </w:p>
        </w:tc>
        <w:tc>
          <w:tcPr>
            <w:tcW w:w="2424" w:type="dxa"/>
            <w:hideMark/>
          </w:tcPr>
          <w:p w14:paraId="7625050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Combined release from aging or poorly maintained pipelines</w:t>
            </w:r>
          </w:p>
        </w:tc>
        <w:tc>
          <w:tcPr>
            <w:tcW w:w="0" w:type="auto"/>
            <w:hideMark/>
          </w:tcPr>
          <w:p w14:paraId="053EC44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Synergistic exposure through water, crops, and seafood</w:t>
            </w:r>
          </w:p>
        </w:tc>
        <w:tc>
          <w:tcPr>
            <w:tcW w:w="0" w:type="auto"/>
            <w:hideMark/>
          </w:tcPr>
          <w:p w14:paraId="53FC661A"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Enhanced toxicity, oxidative stress, endocrine disruption</w:t>
            </w:r>
          </w:p>
        </w:tc>
        <w:tc>
          <w:tcPr>
            <w:tcW w:w="2561" w:type="dxa"/>
            <w:hideMark/>
          </w:tcPr>
          <w:p w14:paraId="14E5E7E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Liu et al., 2021; Kumar &amp; Yadav, 2022</w:t>
            </w:r>
          </w:p>
        </w:tc>
      </w:tr>
    </w:tbl>
    <w:p w14:paraId="68ED7760" w14:textId="77777777" w:rsidR="003C1F62" w:rsidRDefault="003C1F62" w:rsidP="008E4F94">
      <w:pPr>
        <w:jc w:val="both"/>
      </w:pPr>
    </w:p>
    <w:p w14:paraId="79097E01" w14:textId="77777777" w:rsidR="003F1B9B" w:rsidRDefault="008E4F94" w:rsidP="008E4F94">
      <w:pPr>
        <w:jc w:val="both"/>
      </w:pPr>
      <w:r>
        <w:lastRenderedPageBreak/>
        <w:t>Pipeline infrastructure, especially steel and composite materials, contains trace metals such as lead, cadmium, nickel, and chromium. During corrosion, maintenance activities, or accidental releases, these metals enter soil, water, and air, enabling bioaccumulation in humans and wildlife (Kumar &amp; Yadav, 2022; Liu et al., 2021). In Nigerian oil-producing communities, elevated lead and cadmium levels have been detected in drinking water and food sources, with associated neurological impairment, renal dysfunction, and reproductive toxicity (</w:t>
      </w:r>
      <w:proofErr w:type="spellStart"/>
      <w:r>
        <w:t>Nanadeinboemi</w:t>
      </w:r>
      <w:proofErr w:type="spellEnd"/>
      <w:r>
        <w:t xml:space="preserve"> et al., 2024; </w:t>
      </w:r>
      <w:r w:rsidR="00CF6F85">
        <w:t>Giwa et al., 2019</w:t>
      </w:r>
      <w:r>
        <w:t>). Chronic exposure to heavy metals contributes to carcinogenesis, immune suppression, and endocrine disruption. Cadmium alters hormonal regulation and reproductive function, while lead interferes with childhood neurodevelopment. These toxic effects are intensified by combined exposure to hydrocarbons and other contaminants from pipeline operations (Kumar &amp; Yadav, 2022; Liu et al., 2021).</w:t>
      </w:r>
    </w:p>
    <w:p w14:paraId="7C33EE49" w14:textId="77777777" w:rsidR="002D335D" w:rsidRDefault="002D335D" w:rsidP="004E13F7">
      <w:pPr>
        <w:pStyle w:val="Heading1"/>
      </w:pPr>
      <w:r>
        <w:rPr>
          <w:rStyle w:val="Strong"/>
          <w:b/>
          <w:bCs w:val="0"/>
        </w:rPr>
        <w:t>3.3 Nanoparticle Exposure from Innovative Materials</w:t>
      </w:r>
    </w:p>
    <w:p w14:paraId="6F496585" w14:textId="77777777" w:rsidR="008E4F94" w:rsidRDefault="008E4F94" w:rsidP="008E4F94">
      <w:pPr>
        <w:pStyle w:val="NormalWeb"/>
        <w:jc w:val="both"/>
      </w:pPr>
      <w:r>
        <w:t>Emerging pipeline technologies, such as nanoceramic coatings, graphene composites, and laser-textured surfaces, have improved corrosion resistance and operational efficiency. However, nanoparticle release during abrasion, degradation, or maintenance presents unique biomedical challenges (Li, Zhang, &amp; Wang, 2022; Wang et al., 2018). Inhalation of nanoparticles can induce pulmonary inflammation, oxidative stress, and genotoxicity (Wang et al., 2018; Li, Zhang, &amp; Wang, 2022). Studies indicate that these particles can penetrate systemic circulation, accumulating in liver, kidney, and brain tissues, resulting in multi-organ toxicity (Rahman &amp; Chen, 2023; Li, Zhang, &amp; Wang, 2022).</w:t>
      </w:r>
    </w:p>
    <w:p w14:paraId="6DC89B05" w14:textId="77777777" w:rsidR="008E4F94" w:rsidRDefault="008E4F94" w:rsidP="008E4F94">
      <w:pPr>
        <w:pStyle w:val="NormalWeb"/>
        <w:jc w:val="both"/>
      </w:pPr>
      <w:r>
        <w:t>Occupational exposure to nanoparticles among pipeline maintenance personnel is attracting growing concern. Protective measures are often insufficient in developing regions, increasing the risk of chronic respiratory diseases, cardiovascular dysfunction, and immunotoxicity (Ali et al., 2024; Wang et al., 2018). Even in developed nations, long-term exposure to nanoparticle dust generated from coatings has been associated with cellular oxidative damage and potential carcinogenicity (Li, Zhang, &amp; Wang, 2022).</w:t>
      </w:r>
    </w:p>
    <w:p w14:paraId="43F00AD3" w14:textId="77777777" w:rsidR="00A366FA" w:rsidRPr="00A366FA" w:rsidRDefault="00A366FA" w:rsidP="008E4F94">
      <w:pPr>
        <w:pStyle w:val="Caption"/>
        <w:jc w:val="both"/>
        <w:rPr>
          <w:i w:val="0"/>
          <w:sz w:val="36"/>
        </w:rPr>
      </w:pPr>
      <w:r w:rsidRPr="00A366FA">
        <w:rPr>
          <w:i w:val="0"/>
          <w:sz w:val="24"/>
        </w:rPr>
        <w:t xml:space="preserve">Table </w:t>
      </w:r>
      <w:r w:rsidRPr="00A366FA">
        <w:rPr>
          <w:i w:val="0"/>
          <w:sz w:val="24"/>
        </w:rPr>
        <w:fldChar w:fldCharType="begin"/>
      </w:r>
      <w:r w:rsidRPr="00A366FA">
        <w:rPr>
          <w:i w:val="0"/>
          <w:sz w:val="24"/>
        </w:rPr>
        <w:instrText xml:space="preserve"> SEQ Table \* ARABIC </w:instrText>
      </w:r>
      <w:r w:rsidRPr="00A366FA">
        <w:rPr>
          <w:i w:val="0"/>
          <w:sz w:val="24"/>
        </w:rPr>
        <w:fldChar w:fldCharType="separate"/>
      </w:r>
      <w:r w:rsidR="00B771D1">
        <w:rPr>
          <w:i w:val="0"/>
          <w:noProof/>
          <w:sz w:val="24"/>
        </w:rPr>
        <w:t>3</w:t>
      </w:r>
      <w:r w:rsidRPr="00A366FA">
        <w:rPr>
          <w:i w:val="0"/>
          <w:sz w:val="24"/>
        </w:rPr>
        <w:fldChar w:fldCharType="end"/>
      </w:r>
      <w:r w:rsidRPr="00A366FA">
        <w:rPr>
          <w:i w:val="0"/>
          <w:sz w:val="24"/>
        </w:rPr>
        <w:t xml:space="preserve">: </w:t>
      </w:r>
      <w:r w:rsidRPr="00A366FA">
        <w:rPr>
          <w:rStyle w:val="Strong"/>
          <w:b w:val="0"/>
          <w:bCs w:val="0"/>
          <w:i w:val="0"/>
          <w:sz w:val="24"/>
        </w:rPr>
        <w:t>Nanoparticle Exposure from Innovative Pipeline Materials and Health Risks</w:t>
      </w:r>
    </w:p>
    <w:tbl>
      <w:tblPr>
        <w:tblStyle w:val="TableGrid"/>
        <w:tblW w:w="11057" w:type="dxa"/>
        <w:tblInd w:w="-856" w:type="dxa"/>
        <w:tblLook w:val="04A0" w:firstRow="1" w:lastRow="0" w:firstColumn="1" w:lastColumn="0" w:noHBand="0" w:noVBand="1"/>
      </w:tblPr>
      <w:tblGrid>
        <w:gridCol w:w="2611"/>
        <w:gridCol w:w="1761"/>
        <w:gridCol w:w="1725"/>
        <w:gridCol w:w="2595"/>
        <w:gridCol w:w="2365"/>
      </w:tblGrid>
      <w:tr w:rsidR="003C1F62" w:rsidRPr="003C1F62" w14:paraId="06866A66" w14:textId="77777777" w:rsidTr="001C4142">
        <w:tc>
          <w:tcPr>
            <w:tcW w:w="2611" w:type="dxa"/>
            <w:hideMark/>
          </w:tcPr>
          <w:p w14:paraId="6ADC0BCE"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Nanomaterial / Technology</w:t>
            </w:r>
          </w:p>
        </w:tc>
        <w:tc>
          <w:tcPr>
            <w:tcW w:w="0" w:type="auto"/>
            <w:hideMark/>
          </w:tcPr>
          <w:p w14:paraId="16BDBECC"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Pipeline Function</w:t>
            </w:r>
          </w:p>
        </w:tc>
        <w:tc>
          <w:tcPr>
            <w:tcW w:w="0" w:type="auto"/>
            <w:hideMark/>
          </w:tcPr>
          <w:p w14:paraId="084D4D63"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Exposure Pathways</w:t>
            </w:r>
          </w:p>
        </w:tc>
        <w:tc>
          <w:tcPr>
            <w:tcW w:w="0" w:type="auto"/>
            <w:hideMark/>
          </w:tcPr>
          <w:p w14:paraId="189E8810"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Biomedical Risks</w:t>
            </w:r>
          </w:p>
        </w:tc>
        <w:tc>
          <w:tcPr>
            <w:tcW w:w="2365" w:type="dxa"/>
            <w:hideMark/>
          </w:tcPr>
          <w:p w14:paraId="14D69107"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59E318BB" w14:textId="77777777" w:rsidTr="001C4142">
        <w:tc>
          <w:tcPr>
            <w:tcW w:w="2611" w:type="dxa"/>
            <w:hideMark/>
          </w:tcPr>
          <w:p w14:paraId="6DAC8F0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Nanoceramic coatings</w:t>
            </w:r>
          </w:p>
        </w:tc>
        <w:tc>
          <w:tcPr>
            <w:tcW w:w="0" w:type="auto"/>
            <w:hideMark/>
          </w:tcPr>
          <w:p w14:paraId="0FF75CA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Corrosion resistance, high-temperature durability</w:t>
            </w:r>
          </w:p>
        </w:tc>
        <w:tc>
          <w:tcPr>
            <w:tcW w:w="0" w:type="auto"/>
            <w:hideMark/>
          </w:tcPr>
          <w:p w14:paraId="1FA94DC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of dust during maintenance or abrasion</w:t>
            </w:r>
          </w:p>
        </w:tc>
        <w:tc>
          <w:tcPr>
            <w:tcW w:w="0" w:type="auto"/>
            <w:hideMark/>
          </w:tcPr>
          <w:p w14:paraId="3D18A09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Pulmonary inflammation, oxidative stress, genotoxicity</w:t>
            </w:r>
          </w:p>
        </w:tc>
        <w:tc>
          <w:tcPr>
            <w:tcW w:w="2365" w:type="dxa"/>
            <w:hideMark/>
          </w:tcPr>
          <w:p w14:paraId="74D63CB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Rahman &amp; Chen, 2023; Li et al., 2022</w:t>
            </w:r>
          </w:p>
        </w:tc>
      </w:tr>
      <w:tr w:rsidR="003C1F62" w:rsidRPr="003C1F62" w14:paraId="262DD02A" w14:textId="77777777" w:rsidTr="001C4142">
        <w:tc>
          <w:tcPr>
            <w:tcW w:w="2611" w:type="dxa"/>
            <w:hideMark/>
          </w:tcPr>
          <w:p w14:paraId="7838B43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Graphene composites</w:t>
            </w:r>
          </w:p>
        </w:tc>
        <w:tc>
          <w:tcPr>
            <w:tcW w:w="0" w:type="auto"/>
            <w:hideMark/>
          </w:tcPr>
          <w:p w14:paraId="3267A77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Anti-corrosion, structural reinforcement</w:t>
            </w:r>
          </w:p>
        </w:tc>
        <w:tc>
          <w:tcPr>
            <w:tcW w:w="0" w:type="auto"/>
            <w:hideMark/>
          </w:tcPr>
          <w:p w14:paraId="4D9013F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Airborne nanoparticles from surface wear</w:t>
            </w:r>
          </w:p>
        </w:tc>
        <w:tc>
          <w:tcPr>
            <w:tcW w:w="0" w:type="auto"/>
            <w:hideMark/>
          </w:tcPr>
          <w:p w14:paraId="2B59AF4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Multi-organ toxicity, liver and kidney accumulation, oxidative stress</w:t>
            </w:r>
          </w:p>
        </w:tc>
        <w:tc>
          <w:tcPr>
            <w:tcW w:w="2365" w:type="dxa"/>
            <w:hideMark/>
          </w:tcPr>
          <w:p w14:paraId="2AA5655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Wang et al., 2018; Li et al., 2022</w:t>
            </w:r>
          </w:p>
        </w:tc>
      </w:tr>
      <w:tr w:rsidR="003C1F62" w:rsidRPr="003C1F62" w14:paraId="15B7627C" w14:textId="77777777" w:rsidTr="001C4142">
        <w:tc>
          <w:tcPr>
            <w:tcW w:w="2611" w:type="dxa"/>
            <w:hideMark/>
          </w:tcPr>
          <w:p w14:paraId="4697A40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Laser-textured surfaces</w:t>
            </w:r>
          </w:p>
        </w:tc>
        <w:tc>
          <w:tcPr>
            <w:tcW w:w="0" w:type="auto"/>
            <w:hideMark/>
          </w:tcPr>
          <w:p w14:paraId="427BEF3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Coating adhesion, corrosion prevention</w:t>
            </w:r>
          </w:p>
        </w:tc>
        <w:tc>
          <w:tcPr>
            <w:tcW w:w="0" w:type="auto"/>
            <w:hideMark/>
          </w:tcPr>
          <w:p w14:paraId="2795E36F"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of ultrafine particles</w:t>
            </w:r>
          </w:p>
        </w:tc>
        <w:tc>
          <w:tcPr>
            <w:tcW w:w="0" w:type="auto"/>
            <w:hideMark/>
          </w:tcPr>
          <w:p w14:paraId="3C42DED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Respiratory irritation, oxidative DNA damage, neurological effects</w:t>
            </w:r>
          </w:p>
        </w:tc>
        <w:tc>
          <w:tcPr>
            <w:tcW w:w="2365" w:type="dxa"/>
            <w:hideMark/>
          </w:tcPr>
          <w:p w14:paraId="6C6C66F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Li et al., 2022; Wang et al., 2018</w:t>
            </w:r>
          </w:p>
        </w:tc>
      </w:tr>
      <w:tr w:rsidR="003C1F62" w:rsidRPr="003C1F62" w14:paraId="37606484" w14:textId="77777777" w:rsidTr="001C4142">
        <w:tc>
          <w:tcPr>
            <w:tcW w:w="2611" w:type="dxa"/>
            <w:hideMark/>
          </w:tcPr>
          <w:p w14:paraId="3749E49F"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Occupational nanoparticle exposure (general)</w:t>
            </w:r>
          </w:p>
        </w:tc>
        <w:tc>
          <w:tcPr>
            <w:tcW w:w="0" w:type="auto"/>
            <w:hideMark/>
          </w:tcPr>
          <w:p w14:paraId="28D47CB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Pipeline monitoring and maintenance</w:t>
            </w:r>
          </w:p>
        </w:tc>
        <w:tc>
          <w:tcPr>
            <w:tcW w:w="0" w:type="auto"/>
            <w:hideMark/>
          </w:tcPr>
          <w:p w14:paraId="7AC1EB0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dermal contact</w:t>
            </w:r>
          </w:p>
        </w:tc>
        <w:tc>
          <w:tcPr>
            <w:tcW w:w="0" w:type="auto"/>
            <w:hideMark/>
          </w:tcPr>
          <w:p w14:paraId="7C621DE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respiratory disease, cardiovascular dysfunction, immunotoxicity, potential carcinogenicity</w:t>
            </w:r>
          </w:p>
        </w:tc>
        <w:tc>
          <w:tcPr>
            <w:tcW w:w="2365" w:type="dxa"/>
            <w:hideMark/>
          </w:tcPr>
          <w:p w14:paraId="5B21B66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Rahman &amp; Chen, 2023; Liang et al., 2021</w:t>
            </w:r>
          </w:p>
        </w:tc>
      </w:tr>
    </w:tbl>
    <w:p w14:paraId="07FCEB88" w14:textId="77777777" w:rsidR="003C1F62" w:rsidRDefault="003C1F62" w:rsidP="008E4F94">
      <w:pPr>
        <w:pStyle w:val="NormalWeb"/>
        <w:jc w:val="both"/>
      </w:pPr>
    </w:p>
    <w:p w14:paraId="0CE47024" w14:textId="77777777" w:rsidR="008E4F94" w:rsidRDefault="008E4F94" w:rsidP="008E4F94">
      <w:pPr>
        <w:pStyle w:val="NormalWeb"/>
        <w:jc w:val="both"/>
      </w:pPr>
      <w:r>
        <w:t>Emerging pipeline technologies, including nanoceramic coatings, graphene composites, and laser-textured surfaces, have significantly improved operational efficiency and corrosion resistance. However, nanoparticle release during surface abrasion, coating degradation, or maintenance creates new biomedical risks (Li, Zhang, &amp; Wang, 2022; Wang et al., 2018). Inhalation of these particles can induce pulmonary inflammation, oxidative stress, and genotoxicity, while systemic absorption allows nanoparticles to accumulate in liver, kidney, and brain tissues, resulting in multi-organ toxicity (Rahman &amp; Chen, 2023; Li, Zhang, &amp; Wang, 2022). These effects are more significant in regions with inadequate industrial hygiene and regulatory oversight.</w:t>
      </w:r>
    </w:p>
    <w:p w14:paraId="32AEBD3E" w14:textId="77777777" w:rsidR="008E4F94" w:rsidRDefault="008E4F94" w:rsidP="008E4F94">
      <w:pPr>
        <w:pStyle w:val="NormalWeb"/>
        <w:jc w:val="both"/>
      </w:pPr>
      <w:r>
        <w:t>Occupational exposure among pipeline maintenance personnel further exacerbates these health risks. Protective measures are often insufficient in developing nations, where prolonged exposure to airborne nanoparticles increases the likelihood of chronic respiratory diseases, cardiovascular dysfunction, and immunotoxicity (Ali et al., 2024; Li, Zhang, &amp; Wang, 2022). Even in developed countries, long-term exposure to nanoparticle dust from coatings has been linked to cellular oxidative damage and potential carcinogenicity (Wang et al., 2018). Overall, while these innovations enhance pipeline integrity, they introduce complex, often underrecognized biomedical hazards that require comprehensive risk assessment, worker protection protocols, and continuous environmental monitoring.</w:t>
      </w:r>
    </w:p>
    <w:p w14:paraId="749EB4C8" w14:textId="77777777" w:rsidR="002D335D" w:rsidRDefault="002D335D" w:rsidP="004E13F7">
      <w:pPr>
        <w:pStyle w:val="Heading1"/>
      </w:pPr>
      <w:r>
        <w:rPr>
          <w:rStyle w:val="Strong"/>
          <w:b/>
          <w:bCs w:val="0"/>
        </w:rPr>
        <w:t>3.4 Volatile Organic Compounds and Carcinogenic Risk</w:t>
      </w:r>
    </w:p>
    <w:p w14:paraId="078A64E1" w14:textId="77777777" w:rsidR="008802B8" w:rsidRDefault="008802B8" w:rsidP="008802B8">
      <w:pPr>
        <w:pStyle w:val="NormalWeb"/>
        <w:jc w:val="both"/>
      </w:pPr>
      <w:r>
        <w:t xml:space="preserve">Volatile organic compounds (VOCs) emitted from pipeline operations, oil spill sites, and gas flaring are associated with both acute and chronic health effects. VOCs, including benzene, toluene, and xylene, are known hematotoxins and have been implicated in leukemia and other hematological malignancies (Stenehjem et al., 2024; </w:t>
      </w:r>
      <w:proofErr w:type="spellStart"/>
      <w:r>
        <w:t>Babigumira</w:t>
      </w:r>
      <w:proofErr w:type="spellEnd"/>
      <w:r>
        <w:t xml:space="preserve"> et al., 2024). Epidemiological studies in oil-producing regions of Nigeria and Angola indicate increased cancer incidence among populations living near pipelines, attributable to chronic exposure to VOCs and PAHs (</w:t>
      </w:r>
      <w:proofErr w:type="spellStart"/>
      <w:r>
        <w:t>Onyije</w:t>
      </w:r>
      <w:proofErr w:type="spellEnd"/>
      <w:r>
        <w:t xml:space="preserve"> et al., 2021; </w:t>
      </w:r>
      <w:proofErr w:type="spellStart"/>
      <w:r>
        <w:t>Nanadeinboemi</w:t>
      </w:r>
      <w:proofErr w:type="spellEnd"/>
      <w:r>
        <w:t xml:space="preserve"> et al., 2024).</w:t>
      </w:r>
    </w:p>
    <w:p w14:paraId="634CC7E7" w14:textId="77777777" w:rsidR="008802B8" w:rsidRDefault="008802B8" w:rsidP="008802B8">
      <w:pPr>
        <w:pStyle w:val="NormalWeb"/>
        <w:jc w:val="both"/>
      </w:pPr>
      <w:r>
        <w:t xml:space="preserve">Beyond cancer, VOC exposure exacerbates cardiovascular and neurodevelopmental disorders. Children and elderly individuals residing near pipeline corridors exhibit higher rates of respiratory infections, developmental delays, and reduced cognitive function (; </w:t>
      </w:r>
      <w:r w:rsidR="00CF6F85">
        <w:t>Giwa et al., 2019</w:t>
      </w:r>
      <w:r>
        <w:t>). These findings highlight the necessity of integrating toxicological assessment into pipeline planning and maintenance strategies.</w:t>
      </w:r>
    </w:p>
    <w:p w14:paraId="139DE3A7" w14:textId="77777777" w:rsidR="00A366FA" w:rsidRPr="00A366FA" w:rsidRDefault="00A366FA" w:rsidP="00B119F0">
      <w:pPr>
        <w:pStyle w:val="Caption"/>
        <w:rPr>
          <w:i w:val="0"/>
          <w:sz w:val="24"/>
          <w:szCs w:val="24"/>
        </w:rPr>
      </w:pPr>
      <w:r w:rsidRPr="00A366FA">
        <w:rPr>
          <w:i w:val="0"/>
          <w:sz w:val="24"/>
          <w:szCs w:val="24"/>
        </w:rPr>
        <w:t xml:space="preserve">Table </w:t>
      </w:r>
      <w:r w:rsidRPr="00A366FA">
        <w:rPr>
          <w:i w:val="0"/>
          <w:sz w:val="24"/>
          <w:szCs w:val="24"/>
        </w:rPr>
        <w:fldChar w:fldCharType="begin"/>
      </w:r>
      <w:r w:rsidRPr="00A366FA">
        <w:rPr>
          <w:i w:val="0"/>
          <w:sz w:val="24"/>
          <w:szCs w:val="24"/>
        </w:rPr>
        <w:instrText xml:space="preserve"> SEQ Table \* ARABIC </w:instrText>
      </w:r>
      <w:r w:rsidRPr="00A366FA">
        <w:rPr>
          <w:i w:val="0"/>
          <w:sz w:val="24"/>
          <w:szCs w:val="24"/>
        </w:rPr>
        <w:fldChar w:fldCharType="separate"/>
      </w:r>
      <w:r w:rsidR="00B771D1">
        <w:rPr>
          <w:i w:val="0"/>
          <w:noProof/>
          <w:sz w:val="24"/>
          <w:szCs w:val="24"/>
        </w:rPr>
        <w:t>4</w:t>
      </w:r>
      <w:r w:rsidRPr="00A366FA">
        <w:rPr>
          <w:i w:val="0"/>
          <w:sz w:val="24"/>
          <w:szCs w:val="24"/>
        </w:rPr>
        <w:fldChar w:fldCharType="end"/>
      </w:r>
      <w:r w:rsidRPr="00A366FA">
        <w:rPr>
          <w:i w:val="0"/>
          <w:sz w:val="24"/>
          <w:szCs w:val="24"/>
        </w:rPr>
        <w:t xml:space="preserve">: </w:t>
      </w:r>
      <w:r w:rsidRPr="00A366FA">
        <w:rPr>
          <w:rStyle w:val="Strong"/>
          <w:b w:val="0"/>
          <w:bCs w:val="0"/>
          <w:i w:val="0"/>
          <w:sz w:val="24"/>
          <w:szCs w:val="24"/>
        </w:rPr>
        <w:t>Volatile Organic Compounds (VOCs) in Petroleum Operations and Health Impacts</w:t>
      </w:r>
    </w:p>
    <w:tbl>
      <w:tblPr>
        <w:tblStyle w:val="TableGrid"/>
        <w:tblW w:w="11199" w:type="dxa"/>
        <w:tblInd w:w="-856" w:type="dxa"/>
        <w:tblLook w:val="04A0" w:firstRow="1" w:lastRow="0" w:firstColumn="1" w:lastColumn="0" w:noHBand="0" w:noVBand="1"/>
      </w:tblPr>
      <w:tblGrid>
        <w:gridCol w:w="1985"/>
        <w:gridCol w:w="1825"/>
        <w:gridCol w:w="1904"/>
        <w:gridCol w:w="2601"/>
        <w:gridCol w:w="2884"/>
      </w:tblGrid>
      <w:tr w:rsidR="003C1F62" w:rsidRPr="003C1F62" w14:paraId="1BD83100" w14:textId="77777777" w:rsidTr="001C4142">
        <w:tc>
          <w:tcPr>
            <w:tcW w:w="1985" w:type="dxa"/>
            <w:hideMark/>
          </w:tcPr>
          <w:p w14:paraId="2B334560"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VOCs / Compounds</w:t>
            </w:r>
          </w:p>
        </w:tc>
        <w:tc>
          <w:tcPr>
            <w:tcW w:w="1825" w:type="dxa"/>
            <w:hideMark/>
          </w:tcPr>
          <w:p w14:paraId="68F9473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Primary Sources</w:t>
            </w:r>
          </w:p>
        </w:tc>
        <w:tc>
          <w:tcPr>
            <w:tcW w:w="0" w:type="auto"/>
            <w:hideMark/>
          </w:tcPr>
          <w:p w14:paraId="3E2D2267"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Exposure Pathways</w:t>
            </w:r>
          </w:p>
        </w:tc>
        <w:tc>
          <w:tcPr>
            <w:tcW w:w="0" w:type="auto"/>
            <w:hideMark/>
          </w:tcPr>
          <w:p w14:paraId="648DB01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Effects</w:t>
            </w:r>
          </w:p>
        </w:tc>
        <w:tc>
          <w:tcPr>
            <w:tcW w:w="2884" w:type="dxa"/>
            <w:hideMark/>
          </w:tcPr>
          <w:p w14:paraId="2AA87689"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32DDA05D" w14:textId="77777777" w:rsidTr="001C4142">
        <w:tc>
          <w:tcPr>
            <w:tcW w:w="1985" w:type="dxa"/>
            <w:hideMark/>
          </w:tcPr>
          <w:p w14:paraId="4FDC8E9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Benzene</w:t>
            </w:r>
          </w:p>
        </w:tc>
        <w:tc>
          <w:tcPr>
            <w:tcW w:w="1825" w:type="dxa"/>
            <w:hideMark/>
          </w:tcPr>
          <w:p w14:paraId="5B5601A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Pipeline leaks, oil spills, gas flaring</w:t>
            </w:r>
          </w:p>
        </w:tc>
        <w:tc>
          <w:tcPr>
            <w:tcW w:w="0" w:type="auto"/>
            <w:hideMark/>
          </w:tcPr>
          <w:p w14:paraId="0D8B421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dermal contact</w:t>
            </w:r>
          </w:p>
        </w:tc>
        <w:tc>
          <w:tcPr>
            <w:tcW w:w="0" w:type="auto"/>
            <w:hideMark/>
          </w:tcPr>
          <w:p w14:paraId="3273F41B"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Hematotoxicity</w:t>
            </w:r>
            <w:proofErr w:type="spellEnd"/>
            <w:r w:rsidRPr="003C1F62">
              <w:rPr>
                <w:rFonts w:eastAsia="Times New Roman" w:cs="Times New Roman"/>
                <w:sz w:val="19"/>
                <w:szCs w:val="19"/>
              </w:rPr>
              <w:t>, leukemia, bone marrow suppression</w:t>
            </w:r>
          </w:p>
        </w:tc>
        <w:tc>
          <w:tcPr>
            <w:tcW w:w="2884" w:type="dxa"/>
            <w:hideMark/>
          </w:tcPr>
          <w:p w14:paraId="256871A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Stenehjem et al., 2024; Pan et al., 2019</w:t>
            </w:r>
          </w:p>
        </w:tc>
      </w:tr>
      <w:tr w:rsidR="003C1F62" w:rsidRPr="003C1F62" w14:paraId="43658AB4" w14:textId="77777777" w:rsidTr="001C4142">
        <w:tc>
          <w:tcPr>
            <w:tcW w:w="1985" w:type="dxa"/>
            <w:hideMark/>
          </w:tcPr>
          <w:p w14:paraId="7B5DD13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Toluene</w:t>
            </w:r>
          </w:p>
        </w:tc>
        <w:tc>
          <w:tcPr>
            <w:tcW w:w="1825" w:type="dxa"/>
            <w:hideMark/>
          </w:tcPr>
          <w:p w14:paraId="592F5AF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Pipeline operations, </w:t>
            </w:r>
            <w:proofErr w:type="spellStart"/>
            <w:r w:rsidRPr="003C1F62">
              <w:rPr>
                <w:rFonts w:eastAsia="Times New Roman" w:cs="Times New Roman"/>
                <w:sz w:val="19"/>
                <w:szCs w:val="19"/>
              </w:rPr>
              <w:t>vapour</w:t>
            </w:r>
            <w:proofErr w:type="spellEnd"/>
            <w:r w:rsidRPr="003C1F62">
              <w:rPr>
                <w:rFonts w:eastAsia="Times New Roman" w:cs="Times New Roman"/>
                <w:sz w:val="19"/>
                <w:szCs w:val="19"/>
              </w:rPr>
              <w:t xml:space="preserve"> release from crude</w:t>
            </w:r>
          </w:p>
        </w:tc>
        <w:tc>
          <w:tcPr>
            <w:tcW w:w="0" w:type="auto"/>
            <w:hideMark/>
          </w:tcPr>
          <w:p w14:paraId="08C1432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environmental contamination</w:t>
            </w:r>
          </w:p>
        </w:tc>
        <w:tc>
          <w:tcPr>
            <w:tcW w:w="0" w:type="auto"/>
            <w:hideMark/>
          </w:tcPr>
          <w:p w14:paraId="7939A99F"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Respiratory irritation, neurotoxicity, cardiovascular effects</w:t>
            </w:r>
          </w:p>
        </w:tc>
        <w:tc>
          <w:tcPr>
            <w:tcW w:w="2884" w:type="dxa"/>
            <w:hideMark/>
          </w:tcPr>
          <w:p w14:paraId="342D2808"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Ali et al., 2024; Pan et al., 2019</w:t>
            </w:r>
          </w:p>
        </w:tc>
      </w:tr>
      <w:tr w:rsidR="003C1F62" w:rsidRPr="003C1F62" w14:paraId="57F82A33" w14:textId="77777777" w:rsidTr="001C4142">
        <w:tc>
          <w:tcPr>
            <w:tcW w:w="1985" w:type="dxa"/>
            <w:hideMark/>
          </w:tcPr>
          <w:p w14:paraId="2987066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Xylene</w:t>
            </w:r>
          </w:p>
        </w:tc>
        <w:tc>
          <w:tcPr>
            <w:tcW w:w="1825" w:type="dxa"/>
            <w:hideMark/>
          </w:tcPr>
          <w:p w14:paraId="3C0CEC7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Storage tanks, spills, pipeline leakage</w:t>
            </w:r>
          </w:p>
        </w:tc>
        <w:tc>
          <w:tcPr>
            <w:tcW w:w="0" w:type="auto"/>
            <w:hideMark/>
          </w:tcPr>
          <w:p w14:paraId="56D9602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dermal absorption</w:t>
            </w:r>
          </w:p>
        </w:tc>
        <w:tc>
          <w:tcPr>
            <w:tcW w:w="0" w:type="auto"/>
            <w:hideMark/>
          </w:tcPr>
          <w:p w14:paraId="6C4ADC2F"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respiratory irritation, cognitive impairment, developmental delays</w:t>
            </w:r>
          </w:p>
        </w:tc>
        <w:tc>
          <w:tcPr>
            <w:tcW w:w="2884" w:type="dxa"/>
            <w:hideMark/>
          </w:tcPr>
          <w:p w14:paraId="0EEDE85E"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Onyije</w:t>
            </w:r>
            <w:proofErr w:type="spellEnd"/>
            <w:r w:rsidRPr="003C1F62">
              <w:rPr>
                <w:rFonts w:eastAsia="Times New Roman" w:cs="Times New Roman"/>
                <w:sz w:val="19"/>
                <w:szCs w:val="19"/>
              </w:rPr>
              <w:t xml:space="preserve"> et al., 2021; </w:t>
            </w:r>
            <w:proofErr w:type="spellStart"/>
            <w:r w:rsidRPr="003C1F62">
              <w:rPr>
                <w:rFonts w:eastAsia="Times New Roman" w:cs="Times New Roman"/>
                <w:sz w:val="19"/>
                <w:szCs w:val="19"/>
              </w:rPr>
              <w:t>Nanadeinboemi</w:t>
            </w:r>
            <w:proofErr w:type="spellEnd"/>
            <w:r w:rsidRPr="003C1F62">
              <w:rPr>
                <w:rFonts w:eastAsia="Times New Roman" w:cs="Times New Roman"/>
                <w:sz w:val="19"/>
                <w:szCs w:val="19"/>
              </w:rPr>
              <w:t xml:space="preserve"> et al., 2024</w:t>
            </w:r>
          </w:p>
        </w:tc>
      </w:tr>
      <w:tr w:rsidR="003C1F62" w:rsidRPr="003C1F62" w14:paraId="2C14F389" w14:textId="77777777" w:rsidTr="001C4142">
        <w:tc>
          <w:tcPr>
            <w:tcW w:w="1985" w:type="dxa"/>
            <w:hideMark/>
          </w:tcPr>
          <w:p w14:paraId="6677CE6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lastRenderedPageBreak/>
              <w:t>Mixed VOCs and PAHs</w:t>
            </w:r>
          </w:p>
        </w:tc>
        <w:tc>
          <w:tcPr>
            <w:tcW w:w="1825" w:type="dxa"/>
            <w:hideMark/>
          </w:tcPr>
          <w:p w14:paraId="1D352FA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crude burning, pipeline accidents</w:t>
            </w:r>
          </w:p>
        </w:tc>
        <w:tc>
          <w:tcPr>
            <w:tcW w:w="0" w:type="auto"/>
            <w:hideMark/>
          </w:tcPr>
          <w:p w14:paraId="1C71563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ingestion via contaminated water and food</w:t>
            </w:r>
          </w:p>
        </w:tc>
        <w:tc>
          <w:tcPr>
            <w:tcW w:w="0" w:type="auto"/>
            <w:hideMark/>
          </w:tcPr>
          <w:p w14:paraId="4306035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Increased cancer risk, cardiovascular disease, neurodevelopmental disorders</w:t>
            </w:r>
          </w:p>
        </w:tc>
        <w:tc>
          <w:tcPr>
            <w:tcW w:w="2884" w:type="dxa"/>
            <w:hideMark/>
          </w:tcPr>
          <w:p w14:paraId="58BB7F71"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Laffon</w:t>
            </w:r>
            <w:proofErr w:type="spellEnd"/>
            <w:r w:rsidRPr="003C1F62">
              <w:rPr>
                <w:rFonts w:eastAsia="Times New Roman" w:cs="Times New Roman"/>
                <w:sz w:val="19"/>
                <w:szCs w:val="19"/>
              </w:rPr>
              <w:t xml:space="preserve"> et al., 2016; Pan et al., 2019</w:t>
            </w:r>
          </w:p>
        </w:tc>
      </w:tr>
    </w:tbl>
    <w:p w14:paraId="3ACF8E4F" w14:textId="77777777" w:rsidR="008802B8" w:rsidRDefault="008802B8" w:rsidP="008802B8">
      <w:pPr>
        <w:rPr>
          <w:rStyle w:val="Strong"/>
          <w:b w:val="0"/>
          <w:bCs w:val="0"/>
        </w:rPr>
      </w:pPr>
    </w:p>
    <w:p w14:paraId="479347BD" w14:textId="77777777" w:rsidR="008802B8" w:rsidRPr="008802B8" w:rsidRDefault="008802B8" w:rsidP="008802B8">
      <w:pPr>
        <w:jc w:val="both"/>
      </w:pPr>
      <w:r>
        <w:t xml:space="preserve">Volatile organic compounds (VOCs) such as benzene, toluene, and xylene are common emissions from petroleum operations, pipeline leaks, and gas flaring and pose serious health risks. Benzene is a confirmed hematotoxin and </w:t>
      </w:r>
      <w:proofErr w:type="spellStart"/>
      <w:r>
        <w:t>leukemogen</w:t>
      </w:r>
      <w:proofErr w:type="spellEnd"/>
      <w:r>
        <w:t xml:space="preserve">, while chronic VOC and PAH exposures have been linked to increased cancer incidence in oil-producing regions (Stenehjem et al., 2024; </w:t>
      </w:r>
      <w:proofErr w:type="spellStart"/>
      <w:r>
        <w:t>Onyije</w:t>
      </w:r>
      <w:proofErr w:type="spellEnd"/>
      <w:r>
        <w:t xml:space="preserve"> et al., 2021; </w:t>
      </w:r>
      <w:proofErr w:type="spellStart"/>
      <w:r>
        <w:t>Babigumira</w:t>
      </w:r>
      <w:proofErr w:type="spellEnd"/>
      <w:r>
        <w:t xml:space="preserve"> et al., 2024). Inhalation is the primary exposure route, disproportionately affecting children and elderly populations residing near pipelines (</w:t>
      </w:r>
      <w:r w:rsidR="00CF6F85">
        <w:t>Giwa et al., 2019</w:t>
      </w:r>
      <w:r>
        <w:t>).</w:t>
      </w:r>
    </w:p>
    <w:p w14:paraId="7833EBBB" w14:textId="77777777" w:rsidR="00170409" w:rsidRDefault="002D335D" w:rsidP="004E13F7">
      <w:pPr>
        <w:pStyle w:val="Heading1"/>
        <w:rPr>
          <w:rStyle w:val="Strong"/>
          <w:b/>
          <w:bCs w:val="0"/>
        </w:rPr>
      </w:pPr>
      <w:r>
        <w:rPr>
          <w:rStyle w:val="Strong"/>
          <w:b/>
          <w:bCs w:val="0"/>
        </w:rPr>
        <w:t>3.5 Gas Flaring and Particulate Matter</w:t>
      </w:r>
    </w:p>
    <w:p w14:paraId="7AE76F79" w14:textId="77777777" w:rsidR="00170409" w:rsidRPr="00170409" w:rsidRDefault="008802B8" w:rsidP="008802B8">
      <w:pPr>
        <w:jc w:val="both"/>
      </w:pPr>
      <w:r>
        <w:t>Gas flaring in oil-producing countries such as Nigeria and Angola releases particulate matter, sulfur dioxide, nitrogen oxides, and volatile organic compounds, posing serious health risks (</w:t>
      </w:r>
      <w:r w:rsidR="00CF6F85">
        <w:t>Giwa et al., 2019</w:t>
      </w:r>
      <w:r>
        <w:t>; Ali et al., 2024). Chronic exposure among communities adjacent to pipelines is associated with reduced lung function, asthma, cardiovascular disease, and elevated blood lead levels, particularly in children, due to particulate-bound metals and hydrocarbons (</w:t>
      </w:r>
      <w:proofErr w:type="spellStart"/>
      <w:r w:rsidR="007503AC">
        <w:t>Onyije</w:t>
      </w:r>
      <w:proofErr w:type="spellEnd"/>
      <w:r w:rsidR="007503AC">
        <w:t xml:space="preserve"> et al., 2021</w:t>
      </w:r>
      <w:r>
        <w:t>).</w:t>
      </w:r>
    </w:p>
    <w:p w14:paraId="1BAC6F9E" w14:textId="77777777" w:rsidR="00A366FA" w:rsidRPr="00A366FA" w:rsidRDefault="00A366FA" w:rsidP="00B119F0">
      <w:pPr>
        <w:pStyle w:val="Caption"/>
        <w:rPr>
          <w:i w:val="0"/>
          <w:sz w:val="36"/>
        </w:rPr>
      </w:pPr>
      <w:r w:rsidRPr="00A366FA">
        <w:rPr>
          <w:i w:val="0"/>
          <w:sz w:val="24"/>
        </w:rPr>
        <w:t xml:space="preserve">Table </w:t>
      </w:r>
      <w:r w:rsidRPr="00A366FA">
        <w:rPr>
          <w:i w:val="0"/>
          <w:sz w:val="24"/>
        </w:rPr>
        <w:fldChar w:fldCharType="begin"/>
      </w:r>
      <w:r w:rsidRPr="00A366FA">
        <w:rPr>
          <w:i w:val="0"/>
          <w:sz w:val="24"/>
        </w:rPr>
        <w:instrText xml:space="preserve"> SEQ Table \* ARABIC </w:instrText>
      </w:r>
      <w:r w:rsidRPr="00A366FA">
        <w:rPr>
          <w:i w:val="0"/>
          <w:sz w:val="24"/>
        </w:rPr>
        <w:fldChar w:fldCharType="separate"/>
      </w:r>
      <w:r w:rsidR="00B771D1">
        <w:rPr>
          <w:i w:val="0"/>
          <w:noProof/>
          <w:sz w:val="24"/>
        </w:rPr>
        <w:t>5</w:t>
      </w:r>
      <w:r w:rsidRPr="00A366FA">
        <w:rPr>
          <w:i w:val="0"/>
          <w:sz w:val="24"/>
        </w:rPr>
        <w:fldChar w:fldCharType="end"/>
      </w:r>
      <w:r w:rsidRPr="00A366FA">
        <w:rPr>
          <w:i w:val="0"/>
          <w:sz w:val="24"/>
        </w:rPr>
        <w:t xml:space="preserve">: </w:t>
      </w:r>
      <w:r w:rsidRPr="00A366FA">
        <w:rPr>
          <w:rStyle w:val="Strong"/>
          <w:b w:val="0"/>
          <w:bCs w:val="0"/>
          <w:i w:val="0"/>
          <w:sz w:val="24"/>
        </w:rPr>
        <w:t>Gas Flaring, Particulate Matter, and Associated Health Impacts</w:t>
      </w:r>
      <w:r w:rsidR="00D8202D">
        <w:rPr>
          <w:rStyle w:val="Strong"/>
          <w:b w:val="0"/>
          <w:bCs w:val="0"/>
          <w:i w:val="0"/>
          <w:sz w:val="24"/>
        </w:rPr>
        <w:t xml:space="preserve"> </w:t>
      </w:r>
      <w:r w:rsidR="003505F7">
        <w:rPr>
          <w:rStyle w:val="Strong"/>
          <w:b w:val="0"/>
          <w:bCs w:val="0"/>
          <w:i w:val="0"/>
          <w:sz w:val="24"/>
        </w:rPr>
        <w:t xml:space="preserve"> </w:t>
      </w:r>
      <w:r w:rsidR="008520F0">
        <w:rPr>
          <w:rStyle w:val="Strong"/>
          <w:b w:val="0"/>
          <w:bCs w:val="0"/>
          <w:i w:val="0"/>
          <w:sz w:val="24"/>
        </w:rPr>
        <w:t xml:space="preserve"> </w:t>
      </w:r>
    </w:p>
    <w:tbl>
      <w:tblPr>
        <w:tblStyle w:val="TableGrid"/>
        <w:tblW w:w="11057" w:type="dxa"/>
        <w:tblInd w:w="-856" w:type="dxa"/>
        <w:tblLook w:val="04A0" w:firstRow="1" w:lastRow="0" w:firstColumn="1" w:lastColumn="0" w:noHBand="0" w:noVBand="1"/>
      </w:tblPr>
      <w:tblGrid>
        <w:gridCol w:w="2623"/>
        <w:gridCol w:w="1671"/>
        <w:gridCol w:w="1513"/>
        <w:gridCol w:w="2486"/>
        <w:gridCol w:w="2764"/>
      </w:tblGrid>
      <w:tr w:rsidR="003C1F62" w:rsidRPr="003C1F62" w14:paraId="3D8F80BA" w14:textId="77777777" w:rsidTr="00E5790D">
        <w:tc>
          <w:tcPr>
            <w:tcW w:w="2623" w:type="dxa"/>
            <w:hideMark/>
          </w:tcPr>
          <w:p w14:paraId="4142C136"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Pollutant / Particulate</w:t>
            </w:r>
          </w:p>
        </w:tc>
        <w:tc>
          <w:tcPr>
            <w:tcW w:w="0" w:type="auto"/>
            <w:hideMark/>
          </w:tcPr>
          <w:p w14:paraId="38FB1307"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Primary Sources</w:t>
            </w:r>
          </w:p>
        </w:tc>
        <w:tc>
          <w:tcPr>
            <w:tcW w:w="0" w:type="auto"/>
            <w:hideMark/>
          </w:tcPr>
          <w:p w14:paraId="1315C84A"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Exposure Pathways</w:t>
            </w:r>
          </w:p>
        </w:tc>
        <w:tc>
          <w:tcPr>
            <w:tcW w:w="0" w:type="auto"/>
            <w:hideMark/>
          </w:tcPr>
          <w:p w14:paraId="45B1831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Effects</w:t>
            </w:r>
          </w:p>
        </w:tc>
        <w:tc>
          <w:tcPr>
            <w:tcW w:w="2764" w:type="dxa"/>
            <w:hideMark/>
          </w:tcPr>
          <w:p w14:paraId="45FE084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1A097D34" w14:textId="77777777" w:rsidTr="00E5790D">
        <w:tc>
          <w:tcPr>
            <w:tcW w:w="2623" w:type="dxa"/>
            <w:hideMark/>
          </w:tcPr>
          <w:p w14:paraId="454A349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PM2.5 (Fine particulate matter)</w:t>
            </w:r>
          </w:p>
        </w:tc>
        <w:tc>
          <w:tcPr>
            <w:tcW w:w="0" w:type="auto"/>
            <w:hideMark/>
          </w:tcPr>
          <w:p w14:paraId="4AD14B18"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incomplete combustion of crude oil</w:t>
            </w:r>
          </w:p>
        </w:tc>
        <w:tc>
          <w:tcPr>
            <w:tcW w:w="0" w:type="auto"/>
            <w:hideMark/>
          </w:tcPr>
          <w:p w14:paraId="5A3AAC5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w:t>
            </w:r>
          </w:p>
        </w:tc>
        <w:tc>
          <w:tcPr>
            <w:tcW w:w="0" w:type="auto"/>
            <w:hideMark/>
          </w:tcPr>
          <w:p w14:paraId="17F155A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Asthma, chronic respiratory disease, cardiovascular complications</w:t>
            </w:r>
          </w:p>
        </w:tc>
        <w:tc>
          <w:tcPr>
            <w:tcW w:w="2764" w:type="dxa"/>
            <w:hideMark/>
          </w:tcPr>
          <w:p w14:paraId="207094CF"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Nanadeinboemi</w:t>
            </w:r>
            <w:proofErr w:type="spellEnd"/>
            <w:r w:rsidRPr="003C1F62">
              <w:rPr>
                <w:rFonts w:eastAsia="Times New Roman" w:cs="Times New Roman"/>
                <w:sz w:val="19"/>
                <w:szCs w:val="19"/>
              </w:rPr>
              <w:t xml:space="preserve"> et al., 2024; Giwa et al., 2019</w:t>
            </w:r>
          </w:p>
        </w:tc>
      </w:tr>
      <w:tr w:rsidR="003C1F62" w:rsidRPr="003C1F62" w14:paraId="6B7F0638" w14:textId="77777777" w:rsidTr="00E5790D">
        <w:tc>
          <w:tcPr>
            <w:tcW w:w="2623" w:type="dxa"/>
            <w:hideMark/>
          </w:tcPr>
          <w:p w14:paraId="7914E99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Soot and black carbon</w:t>
            </w:r>
          </w:p>
        </w:tc>
        <w:tc>
          <w:tcPr>
            <w:tcW w:w="0" w:type="auto"/>
            <w:hideMark/>
          </w:tcPr>
          <w:p w14:paraId="32530EF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flares, pipeline fire incidents</w:t>
            </w:r>
          </w:p>
        </w:tc>
        <w:tc>
          <w:tcPr>
            <w:tcW w:w="0" w:type="auto"/>
            <w:hideMark/>
          </w:tcPr>
          <w:p w14:paraId="3771046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deposition on crops and water</w:t>
            </w:r>
          </w:p>
        </w:tc>
        <w:tc>
          <w:tcPr>
            <w:tcW w:w="0" w:type="auto"/>
            <w:hideMark/>
          </w:tcPr>
          <w:p w14:paraId="05C2968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Pulmonary inflammation, oxidative stress, cancer risk</w:t>
            </w:r>
          </w:p>
        </w:tc>
        <w:tc>
          <w:tcPr>
            <w:tcW w:w="2764" w:type="dxa"/>
            <w:hideMark/>
          </w:tcPr>
          <w:p w14:paraId="1515418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Pan et al., 2019; </w:t>
            </w:r>
            <w:proofErr w:type="spellStart"/>
            <w:r w:rsidRPr="003C1F62">
              <w:rPr>
                <w:rFonts w:eastAsia="Times New Roman" w:cs="Times New Roman"/>
                <w:sz w:val="19"/>
                <w:szCs w:val="19"/>
              </w:rPr>
              <w:t>Onyije</w:t>
            </w:r>
            <w:proofErr w:type="spellEnd"/>
            <w:r w:rsidRPr="003C1F62">
              <w:rPr>
                <w:rFonts w:eastAsia="Times New Roman" w:cs="Times New Roman"/>
                <w:sz w:val="19"/>
                <w:szCs w:val="19"/>
              </w:rPr>
              <w:t xml:space="preserve"> et al., 2021</w:t>
            </w:r>
          </w:p>
        </w:tc>
      </w:tr>
      <w:tr w:rsidR="003C1F62" w:rsidRPr="003C1F62" w14:paraId="389B3942" w14:textId="77777777" w:rsidTr="00E5790D">
        <w:tc>
          <w:tcPr>
            <w:tcW w:w="2623" w:type="dxa"/>
            <w:hideMark/>
          </w:tcPr>
          <w:p w14:paraId="031E851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Nitrogen oxides (NOx)</w:t>
            </w:r>
          </w:p>
        </w:tc>
        <w:tc>
          <w:tcPr>
            <w:tcW w:w="0" w:type="auto"/>
            <w:hideMark/>
          </w:tcPr>
          <w:p w14:paraId="44E36DE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combustion during flaring</w:t>
            </w:r>
          </w:p>
        </w:tc>
        <w:tc>
          <w:tcPr>
            <w:tcW w:w="0" w:type="auto"/>
            <w:hideMark/>
          </w:tcPr>
          <w:p w14:paraId="63FB645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w:t>
            </w:r>
          </w:p>
        </w:tc>
        <w:tc>
          <w:tcPr>
            <w:tcW w:w="0" w:type="auto"/>
            <w:hideMark/>
          </w:tcPr>
          <w:p w14:paraId="3E4594B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bronchitis, airway irritation, endothelial dysfunction</w:t>
            </w:r>
          </w:p>
        </w:tc>
        <w:tc>
          <w:tcPr>
            <w:tcW w:w="2764" w:type="dxa"/>
            <w:hideMark/>
          </w:tcPr>
          <w:p w14:paraId="0E67A11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Pan et al., 2019; Ali et al., 2024</w:t>
            </w:r>
          </w:p>
        </w:tc>
      </w:tr>
      <w:tr w:rsidR="003C1F62" w:rsidRPr="003C1F62" w14:paraId="0EC6656B" w14:textId="77777777" w:rsidTr="00E5790D">
        <w:tc>
          <w:tcPr>
            <w:tcW w:w="2623" w:type="dxa"/>
            <w:hideMark/>
          </w:tcPr>
          <w:p w14:paraId="35F06D4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Sulfur dioxide (SO2)</w:t>
            </w:r>
          </w:p>
        </w:tc>
        <w:tc>
          <w:tcPr>
            <w:tcW w:w="0" w:type="auto"/>
            <w:hideMark/>
          </w:tcPr>
          <w:p w14:paraId="639CD72A"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flares containing sulfur compounds</w:t>
            </w:r>
          </w:p>
        </w:tc>
        <w:tc>
          <w:tcPr>
            <w:tcW w:w="0" w:type="auto"/>
            <w:hideMark/>
          </w:tcPr>
          <w:p w14:paraId="12F7641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w:t>
            </w:r>
          </w:p>
        </w:tc>
        <w:tc>
          <w:tcPr>
            <w:tcW w:w="0" w:type="auto"/>
            <w:hideMark/>
          </w:tcPr>
          <w:p w14:paraId="37C692A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Respiratory distress, aggravation of cardiovascular diseases</w:t>
            </w:r>
          </w:p>
        </w:tc>
        <w:tc>
          <w:tcPr>
            <w:tcW w:w="2764" w:type="dxa"/>
            <w:hideMark/>
          </w:tcPr>
          <w:p w14:paraId="57F5E105"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Nanadeinboemi</w:t>
            </w:r>
            <w:proofErr w:type="spellEnd"/>
            <w:r w:rsidRPr="003C1F62">
              <w:rPr>
                <w:rFonts w:eastAsia="Times New Roman" w:cs="Times New Roman"/>
                <w:sz w:val="19"/>
                <w:szCs w:val="19"/>
              </w:rPr>
              <w:t xml:space="preserve"> et al., 2024; </w:t>
            </w:r>
            <w:proofErr w:type="spellStart"/>
            <w:r w:rsidRPr="003C1F62">
              <w:rPr>
                <w:rFonts w:eastAsia="Times New Roman" w:cs="Times New Roman"/>
                <w:sz w:val="19"/>
                <w:szCs w:val="19"/>
              </w:rPr>
              <w:t>Onyije</w:t>
            </w:r>
            <w:proofErr w:type="spellEnd"/>
            <w:r w:rsidRPr="003C1F62">
              <w:rPr>
                <w:rFonts w:eastAsia="Times New Roman" w:cs="Times New Roman"/>
                <w:sz w:val="19"/>
                <w:szCs w:val="19"/>
              </w:rPr>
              <w:t xml:space="preserve"> et al., 2021</w:t>
            </w:r>
          </w:p>
        </w:tc>
      </w:tr>
      <w:tr w:rsidR="003C1F62" w:rsidRPr="003C1F62" w14:paraId="66727D8F" w14:textId="77777777" w:rsidTr="00E5790D">
        <w:tc>
          <w:tcPr>
            <w:tcW w:w="2623" w:type="dxa"/>
            <w:hideMark/>
          </w:tcPr>
          <w:p w14:paraId="6C2D833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Volatile organic compounds (VOCs) – flaring related</w:t>
            </w:r>
          </w:p>
        </w:tc>
        <w:tc>
          <w:tcPr>
            <w:tcW w:w="0" w:type="auto"/>
            <w:hideMark/>
          </w:tcPr>
          <w:p w14:paraId="29101B3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flares, pipeline leaks</w:t>
            </w:r>
          </w:p>
        </w:tc>
        <w:tc>
          <w:tcPr>
            <w:tcW w:w="0" w:type="auto"/>
            <w:hideMark/>
          </w:tcPr>
          <w:p w14:paraId="69F1E4F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dermal contact</w:t>
            </w:r>
          </w:p>
        </w:tc>
        <w:tc>
          <w:tcPr>
            <w:tcW w:w="0" w:type="auto"/>
            <w:hideMark/>
          </w:tcPr>
          <w:p w14:paraId="7FEA2149"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Hematotoxicity</w:t>
            </w:r>
            <w:proofErr w:type="spellEnd"/>
            <w:r w:rsidRPr="003C1F62">
              <w:rPr>
                <w:rFonts w:eastAsia="Times New Roman" w:cs="Times New Roman"/>
                <w:sz w:val="19"/>
                <w:szCs w:val="19"/>
              </w:rPr>
              <w:t>, neurodevelopmental disorders, cancer risk</w:t>
            </w:r>
          </w:p>
        </w:tc>
        <w:tc>
          <w:tcPr>
            <w:tcW w:w="2764" w:type="dxa"/>
            <w:hideMark/>
          </w:tcPr>
          <w:p w14:paraId="540BDEE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Stenehjem et al., 2024; Pan et al., 2019</w:t>
            </w:r>
          </w:p>
        </w:tc>
      </w:tr>
    </w:tbl>
    <w:p w14:paraId="5147C1A5" w14:textId="77777777" w:rsidR="00170409" w:rsidRDefault="00170409" w:rsidP="00FB54C8">
      <w:pPr>
        <w:rPr>
          <w:rStyle w:val="Strong"/>
          <w:b w:val="0"/>
          <w:bCs w:val="0"/>
        </w:rPr>
      </w:pPr>
    </w:p>
    <w:p w14:paraId="48DCC9F5" w14:textId="77777777" w:rsidR="007503AC" w:rsidRDefault="007503AC" w:rsidP="007503AC">
      <w:pPr>
        <w:pStyle w:val="NormalWeb"/>
        <w:jc w:val="both"/>
      </w:pPr>
      <w:r>
        <w:t xml:space="preserve">Gas flaring, a common practice in petroleum operations to manage excess natural gas, produces fine particulate matter (PM2.5), soot, black carbon, nitrogen oxides, </w:t>
      </w:r>
      <w:proofErr w:type="spellStart"/>
      <w:r>
        <w:t>sulphur</w:t>
      </w:r>
      <w:proofErr w:type="spellEnd"/>
      <w:r>
        <w:t xml:space="preserve"> dioxide and VOCs (Eggleston and Pope, 2020; Sharma and Patel, 2022). Exposure to these pollutants occurs mainly through inhalation, but contaminated soil, water and crops also contribute to systemic health risks. Fine particulate matter penetrates deep into the lungs, triggering pulmonary inflammation, oxidative stress and exacerbation of chronic respiratory conditions (</w:t>
      </w:r>
      <w:r w:rsidR="008466AF">
        <w:t>Pan et al., 2019</w:t>
      </w:r>
      <w:r>
        <w:t>). Long-term exposure has been associated with cardiovascular complications, highlighting the broad systemic effects of flaring emissions.</w:t>
      </w:r>
    </w:p>
    <w:p w14:paraId="593C8EE0" w14:textId="77777777" w:rsidR="007503AC" w:rsidRDefault="007503AC" w:rsidP="007503AC">
      <w:pPr>
        <w:pStyle w:val="NormalWeb"/>
        <w:jc w:val="both"/>
      </w:pPr>
      <w:r>
        <w:lastRenderedPageBreak/>
        <w:t>In addition to respiratory and cardiovascular impacts, gas flaring compounds the risk of cancer and neurodevelopmental disorders due to the co-emission of VOCs and black carbon (</w:t>
      </w:r>
      <w:proofErr w:type="spellStart"/>
      <w:r>
        <w:t>Onyije</w:t>
      </w:r>
      <w:proofErr w:type="spellEnd"/>
      <w:r>
        <w:t xml:space="preserve"> et al., 2021). Populations living near flaring sites, including children and elderly individuals, are particularly vulnerable to repeated exposure, resulting in increased rates of asthma, bronchitis, and cognitive impairments (</w:t>
      </w:r>
      <w:r w:rsidR="008466AF">
        <w:t>Pan et al., 2019</w:t>
      </w:r>
      <w:r>
        <w:t xml:space="preserve">). These findings underscore the critical need for policy interventions aimed at reducing flaring, improving air quality monitoring and implementing health surveillance </w:t>
      </w:r>
      <w:proofErr w:type="spellStart"/>
      <w:r>
        <w:t>programmes</w:t>
      </w:r>
      <w:proofErr w:type="spellEnd"/>
      <w:r>
        <w:t xml:space="preserve"> in oil-producing regions to mitigate long-term public health consequences.</w:t>
      </w:r>
    </w:p>
    <w:p w14:paraId="0341FD2C" w14:textId="77777777" w:rsidR="002D335D" w:rsidRDefault="00B771D1" w:rsidP="004E13F7">
      <w:pPr>
        <w:pStyle w:val="Heading1"/>
        <w:rPr>
          <w:rStyle w:val="Strong"/>
          <w:b/>
          <w:bCs w:val="0"/>
        </w:rPr>
      </w:pPr>
      <w:r>
        <w:rPr>
          <w:rStyle w:val="Strong"/>
          <w:b/>
          <w:bCs w:val="0"/>
        </w:rPr>
        <w:t>3.6</w:t>
      </w:r>
      <w:r w:rsidR="002D335D">
        <w:rPr>
          <w:rStyle w:val="Strong"/>
          <w:b/>
          <w:bCs w:val="0"/>
        </w:rPr>
        <w:t xml:space="preserve"> Critical Analysis and Implications</w:t>
      </w:r>
    </w:p>
    <w:p w14:paraId="159A33A4" w14:textId="77777777" w:rsidR="003F1652" w:rsidRDefault="003F1652" w:rsidP="003F1652">
      <w:pPr>
        <w:pStyle w:val="NormalWeb"/>
        <w:jc w:val="both"/>
      </w:pPr>
      <w:r>
        <w:t>A critical perspective reveals that pipeline infrastructure innovation, while improving operational efficiency and reducing acute failures, paradoxically introduces chronic biomedical risks. Nanoparticles, chemical leachates, and VOCs from advanced coatings, smart sensors, and polymer linings create exposure pathways that are often overlooked in standard engineering risk assessments (Díaz &amp; Montes, 2019; Chen et al., 2020). These exposures are compounded by weak regulatory oversight, inadequate health monitoring, and insufficient community awareness, particularly in developing regions such as Nigeria and parts of Africa and Asia (</w:t>
      </w:r>
      <w:proofErr w:type="spellStart"/>
      <w:r>
        <w:t>Nanadeinboemi</w:t>
      </w:r>
      <w:proofErr w:type="spellEnd"/>
      <w:r>
        <w:t xml:space="preserve"> et al., 2024; </w:t>
      </w:r>
      <w:proofErr w:type="spellStart"/>
      <w:r>
        <w:t>Onyije</w:t>
      </w:r>
      <w:proofErr w:type="spellEnd"/>
      <w:r>
        <w:t xml:space="preserve"> et al., 2021).</w:t>
      </w:r>
    </w:p>
    <w:p w14:paraId="57BBC5F6" w14:textId="77777777" w:rsidR="003F1652" w:rsidRPr="003F1652" w:rsidRDefault="003F1652" w:rsidP="003C1F62">
      <w:pPr>
        <w:pStyle w:val="NormalWeb"/>
        <w:jc w:val="both"/>
      </w:pPr>
      <w:r>
        <w:t xml:space="preserve">Effective mitigation requires multidisciplinary interventions: integration of biomedical risk assessment into engineering design, adoption of safe materials, real-time environmental monitoring, strict occupational health protocols, and comprehensive community health surveillance. Without such approaches, technological innovations in pipeline integrity may inadvertently exacerbate chronic disease burdens and perpetuate environmental health inequities. Table 6 describes the major biomedical risks associated with petroleum pipelines. Table 7 </w:t>
      </w:r>
      <w:proofErr w:type="spellStart"/>
      <w:r>
        <w:t>summarises</w:t>
      </w:r>
      <w:proofErr w:type="spellEnd"/>
      <w:r>
        <w:t xml:space="preserve"> the adverse effects of material and technological implications of petroleum pipeline innovations on biomedical and public health systems.</w:t>
      </w:r>
    </w:p>
    <w:p w14:paraId="59A665BA" w14:textId="77777777" w:rsidR="007F09F8" w:rsidRPr="003C1F62" w:rsidRDefault="002D335D" w:rsidP="003C1F62">
      <w:pPr>
        <w:pStyle w:val="Caption"/>
        <w:rPr>
          <w:i w:val="0"/>
        </w:rPr>
      </w:pPr>
      <w:r w:rsidRPr="002D335D">
        <w:rPr>
          <w:i w:val="0"/>
          <w:sz w:val="24"/>
        </w:rPr>
        <w:t xml:space="preserve">Table </w:t>
      </w:r>
      <w:r w:rsidRPr="002D335D">
        <w:rPr>
          <w:i w:val="0"/>
          <w:sz w:val="24"/>
        </w:rPr>
        <w:fldChar w:fldCharType="begin"/>
      </w:r>
      <w:r w:rsidRPr="002D335D">
        <w:rPr>
          <w:i w:val="0"/>
          <w:sz w:val="24"/>
        </w:rPr>
        <w:instrText xml:space="preserve"> SEQ Table \* ARABIC </w:instrText>
      </w:r>
      <w:r w:rsidRPr="002D335D">
        <w:rPr>
          <w:i w:val="0"/>
          <w:sz w:val="24"/>
        </w:rPr>
        <w:fldChar w:fldCharType="separate"/>
      </w:r>
      <w:r w:rsidR="00B771D1">
        <w:rPr>
          <w:i w:val="0"/>
          <w:noProof/>
          <w:sz w:val="24"/>
        </w:rPr>
        <w:t>6</w:t>
      </w:r>
      <w:r w:rsidRPr="002D335D">
        <w:rPr>
          <w:i w:val="0"/>
          <w:sz w:val="24"/>
        </w:rPr>
        <w:fldChar w:fldCharType="end"/>
      </w:r>
      <w:r w:rsidRPr="002D335D">
        <w:rPr>
          <w:i w:val="0"/>
          <w:sz w:val="24"/>
        </w:rPr>
        <w:t xml:space="preserve">: </w:t>
      </w:r>
      <w:r w:rsidRPr="002D335D">
        <w:rPr>
          <w:rStyle w:val="Strong"/>
          <w:b w:val="0"/>
          <w:bCs w:val="0"/>
          <w:i w:val="0"/>
          <w:sz w:val="24"/>
        </w:rPr>
        <w:t>Major Biomedical Risks Associated with Petroleum Pipelines</w:t>
      </w:r>
    </w:p>
    <w:tbl>
      <w:tblPr>
        <w:tblStyle w:val="TableGrid"/>
        <w:tblW w:w="11341" w:type="dxa"/>
        <w:tblInd w:w="-998" w:type="dxa"/>
        <w:tblLook w:val="04A0" w:firstRow="1" w:lastRow="0" w:firstColumn="1" w:lastColumn="0" w:noHBand="0" w:noVBand="1"/>
      </w:tblPr>
      <w:tblGrid>
        <w:gridCol w:w="2978"/>
        <w:gridCol w:w="1870"/>
        <w:gridCol w:w="2219"/>
        <w:gridCol w:w="1639"/>
        <w:gridCol w:w="2635"/>
      </w:tblGrid>
      <w:tr w:rsidR="003C1F62" w:rsidRPr="003C1F62" w14:paraId="3533E247" w14:textId="77777777" w:rsidTr="003C1F62">
        <w:tc>
          <w:tcPr>
            <w:tcW w:w="2978" w:type="dxa"/>
            <w:hideMark/>
          </w:tcPr>
          <w:p w14:paraId="5F9977F8"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Exposure Type</w:t>
            </w:r>
          </w:p>
        </w:tc>
        <w:tc>
          <w:tcPr>
            <w:tcW w:w="1870" w:type="dxa"/>
            <w:hideMark/>
          </w:tcPr>
          <w:p w14:paraId="1D9C5869"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Source</w:t>
            </w:r>
          </w:p>
        </w:tc>
        <w:tc>
          <w:tcPr>
            <w:tcW w:w="0" w:type="auto"/>
            <w:hideMark/>
          </w:tcPr>
          <w:p w14:paraId="11F87C87"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Impact</w:t>
            </w:r>
          </w:p>
        </w:tc>
        <w:tc>
          <w:tcPr>
            <w:tcW w:w="0" w:type="auto"/>
            <w:hideMark/>
          </w:tcPr>
          <w:p w14:paraId="04CE0C5B"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Regions Affected</w:t>
            </w:r>
          </w:p>
        </w:tc>
        <w:tc>
          <w:tcPr>
            <w:tcW w:w="2635" w:type="dxa"/>
            <w:hideMark/>
          </w:tcPr>
          <w:p w14:paraId="6FBCB335"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60F670DB" w14:textId="77777777" w:rsidTr="003C1F62">
        <w:tc>
          <w:tcPr>
            <w:tcW w:w="2978" w:type="dxa"/>
            <w:hideMark/>
          </w:tcPr>
          <w:p w14:paraId="227C9889"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Hydrocarbons (BTEX, PAHs)</w:t>
            </w:r>
          </w:p>
        </w:tc>
        <w:tc>
          <w:tcPr>
            <w:tcW w:w="1870" w:type="dxa"/>
            <w:hideMark/>
          </w:tcPr>
          <w:p w14:paraId="20F471F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Pipeline leaks, spills, offshore petroleum operations</w:t>
            </w:r>
          </w:p>
        </w:tc>
        <w:tc>
          <w:tcPr>
            <w:tcW w:w="0" w:type="auto"/>
            <w:hideMark/>
          </w:tcPr>
          <w:p w14:paraId="5CC52BC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Respiratory disorders, lung cancer risk, systemic toxicity</w:t>
            </w:r>
          </w:p>
        </w:tc>
        <w:tc>
          <w:tcPr>
            <w:tcW w:w="0" w:type="auto"/>
            <w:hideMark/>
          </w:tcPr>
          <w:p w14:paraId="132C843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Offshore petroleum regions (Europe, Africa, Global)</w:t>
            </w:r>
          </w:p>
        </w:tc>
        <w:tc>
          <w:tcPr>
            <w:tcW w:w="2635" w:type="dxa"/>
            <w:hideMark/>
          </w:tcPr>
          <w:p w14:paraId="2DD8606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Aguilera et al., 2010; </w:t>
            </w:r>
            <w:proofErr w:type="spellStart"/>
            <w:r w:rsidRPr="003C1F62">
              <w:rPr>
                <w:rFonts w:eastAsia="Times New Roman" w:cs="Times New Roman"/>
                <w:sz w:val="19"/>
                <w:szCs w:val="19"/>
              </w:rPr>
              <w:t>Babigumira</w:t>
            </w:r>
            <w:proofErr w:type="spellEnd"/>
            <w:r w:rsidRPr="003C1F62">
              <w:rPr>
                <w:rFonts w:eastAsia="Times New Roman" w:cs="Times New Roman"/>
                <w:sz w:val="19"/>
                <w:szCs w:val="19"/>
              </w:rPr>
              <w:t xml:space="preserve"> et al., 2024</w:t>
            </w:r>
          </w:p>
        </w:tc>
      </w:tr>
      <w:tr w:rsidR="003C1F62" w:rsidRPr="003C1F62" w14:paraId="464A73A6" w14:textId="77777777" w:rsidTr="003C1F62">
        <w:tc>
          <w:tcPr>
            <w:tcW w:w="2978" w:type="dxa"/>
            <w:hideMark/>
          </w:tcPr>
          <w:p w14:paraId="695478EB"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Heavy metals (Pb, Cd, Ni, Cr)</w:t>
            </w:r>
          </w:p>
        </w:tc>
        <w:tc>
          <w:tcPr>
            <w:tcW w:w="1870" w:type="dxa"/>
            <w:hideMark/>
          </w:tcPr>
          <w:p w14:paraId="68AFB6C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Pipeline corrosion, steel degradation, produced water discharge</w:t>
            </w:r>
          </w:p>
        </w:tc>
        <w:tc>
          <w:tcPr>
            <w:tcW w:w="0" w:type="auto"/>
            <w:hideMark/>
          </w:tcPr>
          <w:p w14:paraId="380396E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Neurotoxicity, renal damage, carcinogenic risk</w:t>
            </w:r>
          </w:p>
        </w:tc>
        <w:tc>
          <w:tcPr>
            <w:tcW w:w="0" w:type="auto"/>
            <w:hideMark/>
          </w:tcPr>
          <w:p w14:paraId="7CC0247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Coastal and offshore regions</w:t>
            </w:r>
          </w:p>
        </w:tc>
        <w:tc>
          <w:tcPr>
            <w:tcW w:w="2635" w:type="dxa"/>
            <w:hideMark/>
          </w:tcPr>
          <w:p w14:paraId="72446E5A"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Ajide</w:t>
            </w:r>
            <w:proofErr w:type="spellEnd"/>
            <w:r w:rsidRPr="003C1F62">
              <w:rPr>
                <w:rFonts w:eastAsia="Times New Roman" w:cs="Times New Roman"/>
                <w:sz w:val="19"/>
                <w:szCs w:val="19"/>
              </w:rPr>
              <w:t xml:space="preserve"> &amp; </w:t>
            </w:r>
            <w:proofErr w:type="spellStart"/>
            <w:r w:rsidRPr="003C1F62">
              <w:rPr>
                <w:rFonts w:eastAsia="Times New Roman" w:cs="Times New Roman"/>
                <w:sz w:val="19"/>
                <w:szCs w:val="19"/>
              </w:rPr>
              <w:t>Agara</w:t>
            </w:r>
            <w:proofErr w:type="spellEnd"/>
            <w:r w:rsidRPr="003C1F62">
              <w:rPr>
                <w:rFonts w:eastAsia="Times New Roman" w:cs="Times New Roman"/>
                <w:sz w:val="19"/>
                <w:szCs w:val="19"/>
              </w:rPr>
              <w:t xml:space="preserve">, 2012; </w:t>
            </w:r>
            <w:proofErr w:type="spellStart"/>
            <w:r w:rsidRPr="003C1F62">
              <w:rPr>
                <w:rFonts w:eastAsia="Times New Roman" w:cs="Times New Roman"/>
                <w:sz w:val="19"/>
                <w:szCs w:val="19"/>
              </w:rPr>
              <w:t>Abousnina</w:t>
            </w:r>
            <w:proofErr w:type="spellEnd"/>
            <w:r w:rsidRPr="003C1F62">
              <w:rPr>
                <w:rFonts w:eastAsia="Times New Roman" w:cs="Times New Roman"/>
                <w:sz w:val="19"/>
                <w:szCs w:val="19"/>
              </w:rPr>
              <w:t xml:space="preserve"> et al., 2025</w:t>
            </w:r>
          </w:p>
        </w:tc>
      </w:tr>
      <w:tr w:rsidR="003C1F62" w:rsidRPr="003C1F62" w14:paraId="1726E529" w14:textId="77777777" w:rsidTr="003C1F62">
        <w:tc>
          <w:tcPr>
            <w:tcW w:w="2978" w:type="dxa"/>
            <w:hideMark/>
          </w:tcPr>
          <w:p w14:paraId="31437202"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Nanoparticles</w:t>
            </w:r>
          </w:p>
        </w:tc>
        <w:tc>
          <w:tcPr>
            <w:tcW w:w="1870" w:type="dxa"/>
            <w:hideMark/>
          </w:tcPr>
          <w:p w14:paraId="0379943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Advanced coatings, produced water treatment technologies</w:t>
            </w:r>
          </w:p>
        </w:tc>
        <w:tc>
          <w:tcPr>
            <w:tcW w:w="0" w:type="auto"/>
            <w:hideMark/>
          </w:tcPr>
          <w:p w14:paraId="6A38B60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Pulmonary inflammation, systemic toxicity, oxidative stress</w:t>
            </w:r>
          </w:p>
        </w:tc>
        <w:tc>
          <w:tcPr>
            <w:tcW w:w="0" w:type="auto"/>
            <w:hideMark/>
          </w:tcPr>
          <w:p w14:paraId="1CAB605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Global (industrial and offshore settings)</w:t>
            </w:r>
          </w:p>
        </w:tc>
        <w:tc>
          <w:tcPr>
            <w:tcW w:w="2635" w:type="dxa"/>
            <w:hideMark/>
          </w:tcPr>
          <w:p w14:paraId="759CB05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Rahman &amp; Chen, 2023; Jayaraman et al., 2025</w:t>
            </w:r>
          </w:p>
        </w:tc>
      </w:tr>
      <w:tr w:rsidR="003C1F62" w:rsidRPr="003C1F62" w14:paraId="19EBAC81" w14:textId="77777777" w:rsidTr="003C1F62">
        <w:tc>
          <w:tcPr>
            <w:tcW w:w="2978" w:type="dxa"/>
            <w:hideMark/>
          </w:tcPr>
          <w:p w14:paraId="4A3215A9"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VOCs (including benzene)</w:t>
            </w:r>
          </w:p>
        </w:tc>
        <w:tc>
          <w:tcPr>
            <w:tcW w:w="1870" w:type="dxa"/>
            <w:hideMark/>
          </w:tcPr>
          <w:p w14:paraId="7E75BDF8"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oil spills, offshore emissions</w:t>
            </w:r>
          </w:p>
        </w:tc>
        <w:tc>
          <w:tcPr>
            <w:tcW w:w="0" w:type="auto"/>
            <w:hideMark/>
          </w:tcPr>
          <w:p w14:paraId="0605E189"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Hematotoxicity</w:t>
            </w:r>
            <w:proofErr w:type="spellEnd"/>
            <w:r w:rsidRPr="003C1F62">
              <w:rPr>
                <w:rFonts w:eastAsia="Times New Roman" w:cs="Times New Roman"/>
                <w:sz w:val="19"/>
                <w:szCs w:val="19"/>
              </w:rPr>
              <w:t>, leukemia, lung cancer</w:t>
            </w:r>
          </w:p>
        </w:tc>
        <w:tc>
          <w:tcPr>
            <w:tcW w:w="0" w:type="auto"/>
            <w:hideMark/>
          </w:tcPr>
          <w:p w14:paraId="2AAA03C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Offshore petroleum fields (Europe, Global)</w:t>
            </w:r>
          </w:p>
        </w:tc>
        <w:tc>
          <w:tcPr>
            <w:tcW w:w="2635" w:type="dxa"/>
            <w:hideMark/>
          </w:tcPr>
          <w:p w14:paraId="576006A4"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Babigumira</w:t>
            </w:r>
            <w:proofErr w:type="spellEnd"/>
            <w:r w:rsidRPr="003C1F62">
              <w:rPr>
                <w:rFonts w:eastAsia="Times New Roman" w:cs="Times New Roman"/>
                <w:sz w:val="19"/>
                <w:szCs w:val="19"/>
              </w:rPr>
              <w:t xml:space="preserve"> et al., 2024; Aguilera et al., 2010</w:t>
            </w:r>
          </w:p>
        </w:tc>
      </w:tr>
      <w:tr w:rsidR="003C1F62" w:rsidRPr="003C1F62" w14:paraId="2B43922F" w14:textId="77777777" w:rsidTr="003C1F62">
        <w:tc>
          <w:tcPr>
            <w:tcW w:w="2978" w:type="dxa"/>
            <w:hideMark/>
          </w:tcPr>
          <w:p w14:paraId="01458C10"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Particulate Matter / Combustion Emissions</w:t>
            </w:r>
          </w:p>
        </w:tc>
        <w:tc>
          <w:tcPr>
            <w:tcW w:w="1870" w:type="dxa"/>
            <w:hideMark/>
          </w:tcPr>
          <w:p w14:paraId="641AE1F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biomass and crude oil combustion</w:t>
            </w:r>
          </w:p>
        </w:tc>
        <w:tc>
          <w:tcPr>
            <w:tcW w:w="0" w:type="auto"/>
            <w:hideMark/>
          </w:tcPr>
          <w:p w14:paraId="765B4AE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Asthma, cardiovascular disease, respiratory inflammation</w:t>
            </w:r>
          </w:p>
        </w:tc>
        <w:tc>
          <w:tcPr>
            <w:tcW w:w="0" w:type="auto"/>
            <w:hideMark/>
          </w:tcPr>
          <w:p w14:paraId="275619A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Global</w:t>
            </w:r>
          </w:p>
        </w:tc>
        <w:tc>
          <w:tcPr>
            <w:tcW w:w="2635" w:type="dxa"/>
            <w:hideMark/>
          </w:tcPr>
          <w:p w14:paraId="2D22CDF2"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Karanasiou</w:t>
            </w:r>
            <w:proofErr w:type="spellEnd"/>
            <w:r w:rsidRPr="003C1F62">
              <w:rPr>
                <w:rFonts w:eastAsia="Times New Roman" w:cs="Times New Roman"/>
                <w:sz w:val="19"/>
                <w:szCs w:val="19"/>
              </w:rPr>
              <w:t xml:space="preserve"> et al., 2021; Aguilera et al., 2010</w:t>
            </w:r>
          </w:p>
        </w:tc>
      </w:tr>
      <w:tr w:rsidR="003C1F62" w:rsidRPr="003C1F62" w14:paraId="1A3CD60F" w14:textId="77777777" w:rsidTr="003C1F62">
        <w:tc>
          <w:tcPr>
            <w:tcW w:w="2978" w:type="dxa"/>
            <w:hideMark/>
          </w:tcPr>
          <w:p w14:paraId="5A4BE3AC"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lastRenderedPageBreak/>
              <w:t>Occupational petroleum exposure</w:t>
            </w:r>
          </w:p>
        </w:tc>
        <w:tc>
          <w:tcPr>
            <w:tcW w:w="1870" w:type="dxa"/>
            <w:hideMark/>
          </w:tcPr>
          <w:p w14:paraId="2C6A2C1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Maintenance, spill response, dispersant use</w:t>
            </w:r>
          </w:p>
        </w:tc>
        <w:tc>
          <w:tcPr>
            <w:tcW w:w="0" w:type="auto"/>
            <w:hideMark/>
          </w:tcPr>
          <w:p w14:paraId="0029D90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lung injury, inflammatory lung damage, long-term toxicity</w:t>
            </w:r>
          </w:p>
        </w:tc>
        <w:tc>
          <w:tcPr>
            <w:tcW w:w="0" w:type="auto"/>
            <w:hideMark/>
          </w:tcPr>
          <w:p w14:paraId="6076B7C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Offshore workers, spill-response zones</w:t>
            </w:r>
          </w:p>
        </w:tc>
        <w:tc>
          <w:tcPr>
            <w:tcW w:w="2635" w:type="dxa"/>
            <w:hideMark/>
          </w:tcPr>
          <w:p w14:paraId="4574506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Roberts et al., 2011; </w:t>
            </w:r>
            <w:proofErr w:type="spellStart"/>
            <w:r w:rsidRPr="003C1F62">
              <w:rPr>
                <w:rFonts w:eastAsia="Times New Roman" w:cs="Times New Roman"/>
                <w:sz w:val="19"/>
                <w:szCs w:val="19"/>
              </w:rPr>
              <w:t>Babigumira</w:t>
            </w:r>
            <w:proofErr w:type="spellEnd"/>
            <w:r w:rsidRPr="003C1F62">
              <w:rPr>
                <w:rFonts w:eastAsia="Times New Roman" w:cs="Times New Roman"/>
                <w:sz w:val="19"/>
                <w:szCs w:val="19"/>
              </w:rPr>
              <w:t xml:space="preserve"> et al., 2024</w:t>
            </w:r>
          </w:p>
        </w:tc>
      </w:tr>
    </w:tbl>
    <w:p w14:paraId="2AECCD19" w14:textId="77777777" w:rsidR="003C1F62" w:rsidRDefault="003C1F62" w:rsidP="00B119F0">
      <w:pPr>
        <w:spacing w:line="240" w:lineRule="auto"/>
        <w:sectPr w:rsidR="003C1F62" w:rsidSect="00992475">
          <w:pgSz w:w="12240" w:h="15840"/>
          <w:pgMar w:top="1440" w:right="1440" w:bottom="1440" w:left="1440" w:header="708" w:footer="708" w:gutter="0"/>
          <w:cols w:space="708"/>
          <w:docGrid w:linePitch="360"/>
        </w:sectPr>
      </w:pPr>
    </w:p>
    <w:p w14:paraId="59851524" w14:textId="77777777" w:rsidR="00710429" w:rsidRDefault="00710429" w:rsidP="00B119F0">
      <w:pPr>
        <w:spacing w:line="240" w:lineRule="auto"/>
      </w:pPr>
    </w:p>
    <w:p w14:paraId="6188F6D8" w14:textId="77777777" w:rsidR="00710429" w:rsidRDefault="00710429" w:rsidP="00B119F0">
      <w:pPr>
        <w:pStyle w:val="Caption"/>
        <w:rPr>
          <w:rStyle w:val="Heading1Char"/>
          <w:b w:val="0"/>
          <w:i w:val="0"/>
        </w:rPr>
      </w:pPr>
      <w:r w:rsidRPr="00337F9C">
        <w:rPr>
          <w:rFonts w:cs="Times New Roman"/>
          <w:i w:val="0"/>
          <w:sz w:val="24"/>
          <w:szCs w:val="24"/>
        </w:rPr>
        <w:t xml:space="preserve">Table </w:t>
      </w:r>
      <w:r w:rsidRPr="00337F9C">
        <w:rPr>
          <w:rFonts w:cs="Times New Roman"/>
          <w:i w:val="0"/>
          <w:sz w:val="24"/>
          <w:szCs w:val="24"/>
        </w:rPr>
        <w:fldChar w:fldCharType="begin"/>
      </w:r>
      <w:r w:rsidRPr="00337F9C">
        <w:rPr>
          <w:rFonts w:cs="Times New Roman"/>
          <w:i w:val="0"/>
          <w:sz w:val="24"/>
          <w:szCs w:val="24"/>
        </w:rPr>
        <w:instrText xml:space="preserve"> SEQ Table \* ARABIC </w:instrText>
      </w:r>
      <w:r w:rsidRPr="00337F9C">
        <w:rPr>
          <w:rFonts w:cs="Times New Roman"/>
          <w:i w:val="0"/>
          <w:sz w:val="24"/>
          <w:szCs w:val="24"/>
        </w:rPr>
        <w:fldChar w:fldCharType="separate"/>
      </w:r>
      <w:r w:rsidR="00B771D1">
        <w:rPr>
          <w:rFonts w:cs="Times New Roman"/>
          <w:i w:val="0"/>
          <w:noProof/>
          <w:sz w:val="24"/>
          <w:szCs w:val="24"/>
        </w:rPr>
        <w:t>7</w:t>
      </w:r>
      <w:r w:rsidRPr="00337F9C">
        <w:rPr>
          <w:rFonts w:cs="Times New Roman"/>
          <w:i w:val="0"/>
          <w:sz w:val="24"/>
          <w:szCs w:val="24"/>
        </w:rPr>
        <w:fldChar w:fldCharType="end"/>
      </w:r>
      <w:r w:rsidRPr="00337F9C">
        <w:rPr>
          <w:rFonts w:cs="Times New Roman"/>
          <w:i w:val="0"/>
          <w:sz w:val="24"/>
          <w:szCs w:val="24"/>
        </w:rPr>
        <w:t xml:space="preserve">: Adverse </w:t>
      </w:r>
      <w:r w:rsidR="0084548B">
        <w:rPr>
          <w:rFonts w:cs="Times New Roman"/>
          <w:i w:val="0"/>
          <w:sz w:val="24"/>
          <w:szCs w:val="24"/>
        </w:rPr>
        <w:t xml:space="preserve">Influence </w:t>
      </w:r>
      <w:r w:rsidRPr="00337F9C">
        <w:rPr>
          <w:rFonts w:cs="Times New Roman"/>
          <w:i w:val="0"/>
          <w:sz w:val="24"/>
          <w:szCs w:val="24"/>
        </w:rPr>
        <w:t>Material and Technological Implications of Petroleum Pipeline</w:t>
      </w:r>
      <w:r w:rsidRPr="00337F9C">
        <w:rPr>
          <w:rFonts w:cs="Times New Roman"/>
          <w:b/>
          <w:i w:val="0"/>
          <w:sz w:val="24"/>
          <w:szCs w:val="24"/>
        </w:rPr>
        <w:t xml:space="preserve"> </w:t>
      </w:r>
      <w:r w:rsidRPr="00337F9C">
        <w:rPr>
          <w:rStyle w:val="Heading1Char"/>
          <w:b w:val="0"/>
          <w:i w:val="0"/>
        </w:rPr>
        <w:t>Innovations on Biomedical and Public Health Systems</w:t>
      </w:r>
    </w:p>
    <w:tbl>
      <w:tblPr>
        <w:tblStyle w:val="TableGrid"/>
        <w:tblW w:w="0" w:type="auto"/>
        <w:tblLook w:val="04A0" w:firstRow="1" w:lastRow="0" w:firstColumn="1" w:lastColumn="0" w:noHBand="0" w:noVBand="1"/>
      </w:tblPr>
      <w:tblGrid>
        <w:gridCol w:w="1872"/>
        <w:gridCol w:w="2417"/>
        <w:gridCol w:w="3692"/>
        <w:gridCol w:w="3062"/>
        <w:gridCol w:w="1907"/>
      </w:tblGrid>
      <w:tr w:rsidR="003C1F62" w:rsidRPr="003C1F62" w14:paraId="7C91593D" w14:textId="77777777" w:rsidTr="003C1F62">
        <w:tc>
          <w:tcPr>
            <w:tcW w:w="0" w:type="auto"/>
            <w:hideMark/>
          </w:tcPr>
          <w:p w14:paraId="5E72A478"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Material / Technology</w:t>
            </w:r>
          </w:p>
        </w:tc>
        <w:tc>
          <w:tcPr>
            <w:tcW w:w="0" w:type="auto"/>
            <w:hideMark/>
          </w:tcPr>
          <w:p w14:paraId="6F1C6DED"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Industrial Function</w:t>
            </w:r>
          </w:p>
        </w:tc>
        <w:tc>
          <w:tcPr>
            <w:tcW w:w="0" w:type="auto"/>
            <w:hideMark/>
          </w:tcPr>
          <w:p w14:paraId="30B2113D"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Biomedical and Environmental Health Implications</w:t>
            </w:r>
          </w:p>
        </w:tc>
        <w:tc>
          <w:tcPr>
            <w:tcW w:w="0" w:type="auto"/>
            <w:hideMark/>
          </w:tcPr>
          <w:p w14:paraId="3A4C199E"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Toxicological and Systemic Impact</w:t>
            </w:r>
          </w:p>
        </w:tc>
        <w:tc>
          <w:tcPr>
            <w:tcW w:w="0" w:type="auto"/>
            <w:hideMark/>
          </w:tcPr>
          <w:p w14:paraId="147F8EAE"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3E55DE88" w14:textId="77777777" w:rsidTr="003C1F62">
        <w:tc>
          <w:tcPr>
            <w:tcW w:w="0" w:type="auto"/>
            <w:hideMark/>
          </w:tcPr>
          <w:p w14:paraId="6F19638E"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Graphene-oxide–based coatings</w:t>
            </w:r>
          </w:p>
        </w:tc>
        <w:tc>
          <w:tcPr>
            <w:tcW w:w="0" w:type="auto"/>
            <w:hideMark/>
          </w:tcPr>
          <w:p w14:paraId="3C0D3C1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Prevent corrosion and mechanical wear in pipelines</w:t>
            </w:r>
          </w:p>
        </w:tc>
        <w:tc>
          <w:tcPr>
            <w:tcW w:w="0" w:type="auto"/>
            <w:hideMark/>
          </w:tcPr>
          <w:p w14:paraId="62C721C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Nanomaterial release into water and soil can induce oxidative stress and cellular toxicity in exposed organisms</w:t>
            </w:r>
          </w:p>
        </w:tc>
        <w:tc>
          <w:tcPr>
            <w:tcW w:w="0" w:type="auto"/>
            <w:hideMark/>
          </w:tcPr>
          <w:p w14:paraId="0C67F74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Inflammation, DNA damage, respiratory and systemic toxicity following prolonged exposure</w:t>
            </w:r>
          </w:p>
        </w:tc>
        <w:tc>
          <w:tcPr>
            <w:tcW w:w="0" w:type="auto"/>
            <w:hideMark/>
          </w:tcPr>
          <w:p w14:paraId="0B86682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Rahman &amp; Chen, 2023; Jayaraman et al., 2025</w:t>
            </w:r>
          </w:p>
        </w:tc>
      </w:tr>
      <w:tr w:rsidR="003C1F62" w:rsidRPr="003C1F62" w14:paraId="65D7B259" w14:textId="77777777" w:rsidTr="003C1F62">
        <w:tc>
          <w:tcPr>
            <w:tcW w:w="0" w:type="auto"/>
            <w:hideMark/>
          </w:tcPr>
          <w:p w14:paraId="7F46DCBF"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Nanoceramic composite coatings</w:t>
            </w:r>
          </w:p>
        </w:tc>
        <w:tc>
          <w:tcPr>
            <w:tcW w:w="0" w:type="auto"/>
            <w:hideMark/>
          </w:tcPr>
          <w:p w14:paraId="5C8F875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High-temperature and pressure resistance in pipelines</w:t>
            </w:r>
          </w:p>
        </w:tc>
        <w:tc>
          <w:tcPr>
            <w:tcW w:w="0" w:type="auto"/>
            <w:hideMark/>
          </w:tcPr>
          <w:p w14:paraId="0947190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Wear-derived ceramic nanoparticles disperse into air and water, entering biological systems via inhalation or ingestion</w:t>
            </w:r>
          </w:p>
        </w:tc>
        <w:tc>
          <w:tcPr>
            <w:tcW w:w="0" w:type="auto"/>
            <w:hideMark/>
          </w:tcPr>
          <w:p w14:paraId="0798CD6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Pulmonary inflammation, renal stress, hepatic toxicity, and fibrosis risk</w:t>
            </w:r>
          </w:p>
        </w:tc>
        <w:tc>
          <w:tcPr>
            <w:tcW w:w="0" w:type="auto"/>
            <w:hideMark/>
          </w:tcPr>
          <w:p w14:paraId="0C0CE5C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Rahman &amp; Chen, 2023; Aguilera et al., 2010</w:t>
            </w:r>
          </w:p>
        </w:tc>
      </w:tr>
      <w:tr w:rsidR="003C1F62" w:rsidRPr="003C1F62" w14:paraId="74F4A85E" w14:textId="77777777" w:rsidTr="003C1F62">
        <w:tc>
          <w:tcPr>
            <w:tcW w:w="0" w:type="auto"/>
            <w:hideMark/>
          </w:tcPr>
          <w:p w14:paraId="1EE1DCDF"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Biopolymer linings</w:t>
            </w:r>
          </w:p>
        </w:tc>
        <w:tc>
          <w:tcPr>
            <w:tcW w:w="0" w:type="auto"/>
            <w:hideMark/>
          </w:tcPr>
          <w:p w14:paraId="59E3170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Biodegradable internal pipeline coatings</w:t>
            </w:r>
          </w:p>
        </w:tc>
        <w:tc>
          <w:tcPr>
            <w:tcW w:w="0" w:type="auto"/>
            <w:hideMark/>
          </w:tcPr>
          <w:p w14:paraId="77F6397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Degradation in petrochemical environments releases reactive by-products affecting aquatic and microbial ecosystems</w:t>
            </w:r>
          </w:p>
        </w:tc>
        <w:tc>
          <w:tcPr>
            <w:tcW w:w="0" w:type="auto"/>
            <w:hideMark/>
          </w:tcPr>
          <w:p w14:paraId="3C0825C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Mucosal irritation, ecosystem imbalance, and low-grade chronic toxicity</w:t>
            </w:r>
          </w:p>
        </w:tc>
        <w:tc>
          <w:tcPr>
            <w:tcW w:w="0" w:type="auto"/>
            <w:hideMark/>
          </w:tcPr>
          <w:p w14:paraId="1F9D69E8"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Abousnina</w:t>
            </w:r>
            <w:proofErr w:type="spellEnd"/>
            <w:r w:rsidRPr="003C1F62">
              <w:rPr>
                <w:rFonts w:eastAsia="Times New Roman" w:cs="Times New Roman"/>
                <w:sz w:val="19"/>
                <w:szCs w:val="19"/>
              </w:rPr>
              <w:t xml:space="preserve"> et al., 2025; Aguilera et al., 2010</w:t>
            </w:r>
          </w:p>
        </w:tc>
      </w:tr>
      <w:tr w:rsidR="003C1F62" w:rsidRPr="003C1F62" w14:paraId="6C0F2680" w14:textId="77777777" w:rsidTr="003C1F62">
        <w:tc>
          <w:tcPr>
            <w:tcW w:w="0" w:type="auto"/>
            <w:hideMark/>
          </w:tcPr>
          <w:p w14:paraId="68EC1C1A"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Smart sensors and functional coatings</w:t>
            </w:r>
          </w:p>
        </w:tc>
        <w:tc>
          <w:tcPr>
            <w:tcW w:w="0" w:type="auto"/>
            <w:hideMark/>
          </w:tcPr>
          <w:p w14:paraId="44FEF85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Real-time monitoring of corrosion, strain, and chemical changes</w:t>
            </w:r>
          </w:p>
        </w:tc>
        <w:tc>
          <w:tcPr>
            <w:tcW w:w="0" w:type="auto"/>
            <w:hideMark/>
          </w:tcPr>
          <w:p w14:paraId="04894AB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Disposal and degradation contribute electronic waste and metal residues to groundwater systems</w:t>
            </w:r>
          </w:p>
        </w:tc>
        <w:tc>
          <w:tcPr>
            <w:tcW w:w="0" w:type="auto"/>
            <w:hideMark/>
          </w:tcPr>
          <w:p w14:paraId="2203272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Neurotoxicity, developmental effects, and systemic toxicity with chronic exposure</w:t>
            </w:r>
          </w:p>
        </w:tc>
        <w:tc>
          <w:tcPr>
            <w:tcW w:w="0" w:type="auto"/>
            <w:hideMark/>
          </w:tcPr>
          <w:p w14:paraId="6E025F4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Rahman &amp; Chen, 2023; </w:t>
            </w:r>
            <w:proofErr w:type="spellStart"/>
            <w:r w:rsidRPr="003C1F62">
              <w:rPr>
                <w:rFonts w:eastAsia="Times New Roman" w:cs="Times New Roman"/>
                <w:sz w:val="19"/>
                <w:szCs w:val="19"/>
              </w:rPr>
              <w:t>Babigumira</w:t>
            </w:r>
            <w:proofErr w:type="spellEnd"/>
            <w:r w:rsidRPr="003C1F62">
              <w:rPr>
                <w:rFonts w:eastAsia="Times New Roman" w:cs="Times New Roman"/>
                <w:sz w:val="19"/>
                <w:szCs w:val="19"/>
              </w:rPr>
              <w:t xml:space="preserve"> et al., 2024</w:t>
            </w:r>
          </w:p>
        </w:tc>
      </w:tr>
      <w:tr w:rsidR="003C1F62" w:rsidRPr="003C1F62" w14:paraId="78D08FFD" w14:textId="77777777" w:rsidTr="003C1F62">
        <w:tc>
          <w:tcPr>
            <w:tcW w:w="0" w:type="auto"/>
            <w:hideMark/>
          </w:tcPr>
          <w:p w14:paraId="1C44DD63"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Laser-based surface texturing</w:t>
            </w:r>
          </w:p>
        </w:tc>
        <w:tc>
          <w:tcPr>
            <w:tcW w:w="0" w:type="auto"/>
            <w:hideMark/>
          </w:tcPr>
          <w:p w14:paraId="18EDCD3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Improves coating adhesion and reduces friction</w:t>
            </w:r>
          </w:p>
        </w:tc>
        <w:tc>
          <w:tcPr>
            <w:tcW w:w="0" w:type="auto"/>
            <w:hideMark/>
          </w:tcPr>
          <w:p w14:paraId="75E5D3C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Laser processing emits ultrafine metallic particulates and vapors affecting ambient air quality</w:t>
            </w:r>
          </w:p>
        </w:tc>
        <w:tc>
          <w:tcPr>
            <w:tcW w:w="0" w:type="auto"/>
            <w:hideMark/>
          </w:tcPr>
          <w:p w14:paraId="0CFA404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respiratory irritation, oxidative lung damage, occupational health risks</w:t>
            </w:r>
          </w:p>
        </w:tc>
        <w:tc>
          <w:tcPr>
            <w:tcW w:w="0" w:type="auto"/>
            <w:hideMark/>
          </w:tcPr>
          <w:p w14:paraId="777FB1AF"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Karanasiou</w:t>
            </w:r>
            <w:proofErr w:type="spellEnd"/>
            <w:r w:rsidRPr="003C1F62">
              <w:rPr>
                <w:rFonts w:eastAsia="Times New Roman" w:cs="Times New Roman"/>
                <w:sz w:val="19"/>
                <w:szCs w:val="19"/>
              </w:rPr>
              <w:t xml:space="preserve"> et al., 2021; Rahman &amp; Chen, 2023</w:t>
            </w:r>
          </w:p>
        </w:tc>
      </w:tr>
      <w:tr w:rsidR="003C1F62" w:rsidRPr="003C1F62" w14:paraId="3CCCA1CE" w14:textId="77777777" w:rsidTr="003C1F62">
        <w:tc>
          <w:tcPr>
            <w:tcW w:w="0" w:type="auto"/>
            <w:hideMark/>
          </w:tcPr>
          <w:p w14:paraId="7430E234"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Fiber-reinforced polymer composites</w:t>
            </w:r>
          </w:p>
        </w:tc>
        <w:tc>
          <w:tcPr>
            <w:tcW w:w="0" w:type="auto"/>
            <w:hideMark/>
          </w:tcPr>
          <w:p w14:paraId="1262EA7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Replace metals for corrosion-resistant pipelines</w:t>
            </w:r>
          </w:p>
        </w:tc>
        <w:tc>
          <w:tcPr>
            <w:tcW w:w="0" w:type="auto"/>
            <w:hideMark/>
          </w:tcPr>
          <w:p w14:paraId="77CA922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Thermal or chemical degradation releases organic compounds into air and water</w:t>
            </w:r>
          </w:p>
        </w:tc>
        <w:tc>
          <w:tcPr>
            <w:tcW w:w="0" w:type="auto"/>
            <w:hideMark/>
          </w:tcPr>
          <w:p w14:paraId="3155CCB8"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Endocrine disruption, immune modulation, reproductive toxicity</w:t>
            </w:r>
          </w:p>
        </w:tc>
        <w:tc>
          <w:tcPr>
            <w:tcW w:w="0" w:type="auto"/>
            <w:hideMark/>
          </w:tcPr>
          <w:p w14:paraId="439B6DB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Jayaraman et al., 2025; Aguilera et al., 2010</w:t>
            </w:r>
          </w:p>
        </w:tc>
      </w:tr>
      <w:tr w:rsidR="003C1F62" w:rsidRPr="003C1F62" w14:paraId="35553872" w14:textId="77777777" w:rsidTr="003C1F62">
        <w:tc>
          <w:tcPr>
            <w:tcW w:w="0" w:type="auto"/>
            <w:hideMark/>
          </w:tcPr>
          <w:p w14:paraId="116828A4"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Self-healing polymer coatings</w:t>
            </w:r>
          </w:p>
        </w:tc>
        <w:tc>
          <w:tcPr>
            <w:tcW w:w="0" w:type="auto"/>
            <w:hideMark/>
          </w:tcPr>
          <w:p w14:paraId="63EBD60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Autonomous repair of micro-cracks</w:t>
            </w:r>
          </w:p>
        </w:tc>
        <w:tc>
          <w:tcPr>
            <w:tcW w:w="0" w:type="auto"/>
            <w:hideMark/>
          </w:tcPr>
          <w:p w14:paraId="697E71BA"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Encapsulated monomers and solvents may leak into the environment</w:t>
            </w:r>
          </w:p>
        </w:tc>
        <w:tc>
          <w:tcPr>
            <w:tcW w:w="0" w:type="auto"/>
            <w:hideMark/>
          </w:tcPr>
          <w:p w14:paraId="32DDECB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Carcinogenic potential, aquatic toxicity, long-term systemic effects</w:t>
            </w:r>
          </w:p>
        </w:tc>
        <w:tc>
          <w:tcPr>
            <w:tcW w:w="0" w:type="auto"/>
            <w:hideMark/>
          </w:tcPr>
          <w:p w14:paraId="06CE59B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Jayaraman et al., 2025; </w:t>
            </w:r>
            <w:proofErr w:type="spellStart"/>
            <w:r w:rsidRPr="003C1F62">
              <w:rPr>
                <w:rFonts w:eastAsia="Times New Roman" w:cs="Times New Roman"/>
                <w:sz w:val="19"/>
                <w:szCs w:val="19"/>
              </w:rPr>
              <w:t>Abousnina</w:t>
            </w:r>
            <w:proofErr w:type="spellEnd"/>
            <w:r w:rsidRPr="003C1F62">
              <w:rPr>
                <w:rFonts w:eastAsia="Times New Roman" w:cs="Times New Roman"/>
                <w:sz w:val="19"/>
                <w:szCs w:val="19"/>
              </w:rPr>
              <w:t xml:space="preserve"> et al., 2025</w:t>
            </w:r>
          </w:p>
        </w:tc>
      </w:tr>
    </w:tbl>
    <w:p w14:paraId="21633B44" w14:textId="77777777" w:rsidR="003C1F62" w:rsidRPr="003C1F62" w:rsidRDefault="003C1F62" w:rsidP="003C1F62"/>
    <w:p w14:paraId="76E56EF9" w14:textId="77777777" w:rsidR="00710429" w:rsidRDefault="00710429" w:rsidP="00B119F0">
      <w:pPr>
        <w:pStyle w:val="NormalWeb"/>
        <w:jc w:val="both"/>
      </w:pPr>
    </w:p>
    <w:p w14:paraId="5ADF4D67" w14:textId="77777777" w:rsidR="003C1F62" w:rsidRDefault="003C1F62" w:rsidP="00B119F0">
      <w:pPr>
        <w:pStyle w:val="NormalWeb"/>
        <w:jc w:val="both"/>
        <w:sectPr w:rsidR="003C1F62" w:rsidSect="007F09F8">
          <w:pgSz w:w="15840" w:h="12240" w:orient="landscape"/>
          <w:pgMar w:top="1440" w:right="1440" w:bottom="1440" w:left="1440" w:header="708" w:footer="708" w:gutter="0"/>
          <w:cols w:space="708"/>
          <w:docGrid w:linePitch="360"/>
        </w:sectPr>
      </w:pPr>
    </w:p>
    <w:p w14:paraId="43A94781" w14:textId="77777777" w:rsidR="00C0440B" w:rsidRPr="007C24B2" w:rsidRDefault="007D06B7" w:rsidP="0052585E">
      <w:pPr>
        <w:pStyle w:val="NormalWeb"/>
        <w:ind w:left="-851" w:hanging="142"/>
        <w:jc w:val="both"/>
        <w:rPr>
          <w:color w:val="FF0000"/>
        </w:rPr>
      </w:pPr>
      <w:r w:rsidRPr="007C24B2">
        <w:rPr>
          <w:color w:val="FF0000"/>
        </w:rPr>
        <w:lastRenderedPageBreak/>
        <w:t xml:space="preserve"> </w:t>
      </w:r>
      <w:r w:rsidR="0016739E" w:rsidRPr="007C24B2">
        <w:rPr>
          <w:color w:val="FF0000"/>
        </w:rPr>
        <w:t xml:space="preserve"> </w:t>
      </w:r>
    </w:p>
    <w:p w14:paraId="5028E698" w14:textId="77777777" w:rsidR="002502DD" w:rsidRDefault="005075C7" w:rsidP="004E13F7">
      <w:pPr>
        <w:pStyle w:val="Heading1"/>
        <w:rPr>
          <w:rStyle w:val="Strong"/>
          <w:b/>
          <w:bCs w:val="0"/>
        </w:rPr>
      </w:pPr>
      <w:r>
        <w:rPr>
          <w:rStyle w:val="Strong"/>
          <w:b/>
          <w:bCs w:val="0"/>
        </w:rPr>
        <w:t xml:space="preserve">3.7 </w:t>
      </w:r>
      <w:r w:rsidR="002502DD" w:rsidRPr="004A5009">
        <w:rPr>
          <w:rStyle w:val="Strong"/>
          <w:b/>
          <w:bCs w:val="0"/>
        </w:rPr>
        <w:t>Occupational Exposure and Electromagnetic Risks</w:t>
      </w:r>
    </w:p>
    <w:p w14:paraId="4C23410A" w14:textId="77777777" w:rsidR="003F1652" w:rsidRDefault="003F1652" w:rsidP="003F1652">
      <w:pPr>
        <w:pStyle w:val="NormalWeb"/>
        <w:jc w:val="both"/>
      </w:pPr>
      <w:r>
        <w:t>The adoption of smart sensors, IoT devices, and laser-based surface modification systems introduces additional occupational risks. Pipeline maintenance workers may be exposed to chemical leachates, nanoparticles, and electromagnetic fields generated by advanced coatings and monitoring technologies, which can affect neural, cognitive, and ocular health. Reports indicate that long-term exposure to petroleum-related environments is associated with chronic fatigue, sleep disturbances, and subtle neurological impairments (</w:t>
      </w:r>
      <w:proofErr w:type="spellStart"/>
      <w:r>
        <w:t>Nanadeinboemi</w:t>
      </w:r>
      <w:proofErr w:type="spellEnd"/>
      <w:r>
        <w:t xml:space="preserve"> et al., 2024; </w:t>
      </w:r>
      <w:proofErr w:type="spellStart"/>
      <w:r>
        <w:t>Morakinyo</w:t>
      </w:r>
      <w:proofErr w:type="spellEnd"/>
      <w:r>
        <w:t xml:space="preserve"> et al., 2016). While these health effects are often subclinical, cumulative exposure over years may increase the risk of chronic diseases, including neurodegenerative and immunological disorders.</w:t>
      </w:r>
    </w:p>
    <w:p w14:paraId="7F830514" w14:textId="77777777" w:rsidR="003F1652" w:rsidRDefault="003F1652" w:rsidP="003F1652">
      <w:pPr>
        <w:pStyle w:val="NormalWeb"/>
        <w:jc w:val="both"/>
      </w:pPr>
      <w:r>
        <w:t xml:space="preserve">Table 8 shows that material innovations in petroleum pipeline infrastructure, though designed to improve safety and cost-effectiveness, introduce latent biomedical and ecological hazards. Graphene coatings and smart sensor technologies can generate toxic nanocarbon waste and chemical leachates, increasing occupational and environmental risks, particularly in low- and middle-income oil-producing regions (Li et al., 2022; </w:t>
      </w:r>
      <w:proofErr w:type="spellStart"/>
      <w:r>
        <w:t>Nanadeinboemi</w:t>
      </w:r>
      <w:proofErr w:type="spellEnd"/>
      <w:r>
        <w:t xml:space="preserve"> et al., 2024; Moradi et al., 2025).</w:t>
      </w:r>
    </w:p>
    <w:p w14:paraId="6066D869" w14:textId="77777777" w:rsidR="003F1652" w:rsidRPr="003F1652" w:rsidRDefault="003F1652" w:rsidP="003F1652"/>
    <w:p w14:paraId="64890FA1" w14:textId="77777777" w:rsidR="00B86F89" w:rsidRPr="00B86F89" w:rsidRDefault="00B86F89" w:rsidP="00B119F0">
      <w:pPr>
        <w:pStyle w:val="Caption"/>
        <w:rPr>
          <w:i w:val="0"/>
          <w:sz w:val="27"/>
        </w:rPr>
      </w:pPr>
      <w:r w:rsidRPr="00B86F89">
        <w:rPr>
          <w:i w:val="0"/>
          <w:sz w:val="24"/>
        </w:rPr>
        <w:t xml:space="preserve">Table </w:t>
      </w:r>
      <w:r w:rsidRPr="00B86F89">
        <w:rPr>
          <w:i w:val="0"/>
          <w:sz w:val="24"/>
        </w:rPr>
        <w:fldChar w:fldCharType="begin"/>
      </w:r>
      <w:r w:rsidRPr="00B86F89">
        <w:rPr>
          <w:i w:val="0"/>
          <w:sz w:val="24"/>
        </w:rPr>
        <w:instrText xml:space="preserve"> SEQ Table \* ARABIC </w:instrText>
      </w:r>
      <w:r w:rsidRPr="00B86F89">
        <w:rPr>
          <w:i w:val="0"/>
          <w:sz w:val="24"/>
        </w:rPr>
        <w:fldChar w:fldCharType="separate"/>
      </w:r>
      <w:r w:rsidR="00B771D1">
        <w:rPr>
          <w:i w:val="0"/>
          <w:noProof/>
          <w:sz w:val="24"/>
        </w:rPr>
        <w:t>8</w:t>
      </w:r>
      <w:r w:rsidRPr="00B86F89">
        <w:rPr>
          <w:i w:val="0"/>
          <w:sz w:val="24"/>
        </w:rPr>
        <w:fldChar w:fldCharType="end"/>
      </w:r>
      <w:r w:rsidRPr="00B86F89">
        <w:rPr>
          <w:i w:val="0"/>
          <w:sz w:val="24"/>
        </w:rPr>
        <w:t xml:space="preserve">: </w:t>
      </w:r>
      <w:r w:rsidRPr="00B86F89">
        <w:rPr>
          <w:rStyle w:val="Strong"/>
          <w:b w:val="0"/>
          <w:bCs w:val="0"/>
          <w:i w:val="0"/>
          <w:sz w:val="24"/>
        </w:rPr>
        <w:t>Occupational Exposure from Smart Sensors and Laser-Based Pipeline Technologies</w:t>
      </w:r>
    </w:p>
    <w:tbl>
      <w:tblPr>
        <w:tblStyle w:val="TableGrid"/>
        <w:tblW w:w="11057" w:type="dxa"/>
        <w:tblInd w:w="-856" w:type="dxa"/>
        <w:tblLook w:val="04A0" w:firstRow="1" w:lastRow="0" w:firstColumn="1" w:lastColumn="0" w:noHBand="0" w:noVBand="1"/>
      </w:tblPr>
      <w:tblGrid>
        <w:gridCol w:w="2127"/>
        <w:gridCol w:w="2212"/>
        <w:gridCol w:w="2300"/>
        <w:gridCol w:w="2112"/>
        <w:gridCol w:w="2306"/>
      </w:tblGrid>
      <w:tr w:rsidR="003D430B" w:rsidRPr="003D430B" w14:paraId="0398B933" w14:textId="77777777" w:rsidTr="00E5790D">
        <w:tc>
          <w:tcPr>
            <w:tcW w:w="2127" w:type="dxa"/>
            <w:hideMark/>
          </w:tcPr>
          <w:p w14:paraId="79298B5F"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Technology / Source</w:t>
            </w:r>
          </w:p>
        </w:tc>
        <w:tc>
          <w:tcPr>
            <w:tcW w:w="2212" w:type="dxa"/>
            <w:hideMark/>
          </w:tcPr>
          <w:p w14:paraId="49D4AD54"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Exposure Pathway</w:t>
            </w:r>
          </w:p>
        </w:tc>
        <w:tc>
          <w:tcPr>
            <w:tcW w:w="0" w:type="auto"/>
            <w:hideMark/>
          </w:tcPr>
          <w:p w14:paraId="7F0A460E"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Occupational Risks</w:t>
            </w:r>
          </w:p>
        </w:tc>
        <w:tc>
          <w:tcPr>
            <w:tcW w:w="0" w:type="auto"/>
            <w:hideMark/>
          </w:tcPr>
          <w:p w14:paraId="482E7F6C"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Reported Health Effects</w:t>
            </w:r>
          </w:p>
        </w:tc>
        <w:tc>
          <w:tcPr>
            <w:tcW w:w="2306" w:type="dxa"/>
            <w:hideMark/>
          </w:tcPr>
          <w:p w14:paraId="3ADB2149"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References</w:t>
            </w:r>
          </w:p>
        </w:tc>
      </w:tr>
      <w:tr w:rsidR="003D430B" w:rsidRPr="003D430B" w14:paraId="2C3922C8" w14:textId="77777777" w:rsidTr="00E5790D">
        <w:tc>
          <w:tcPr>
            <w:tcW w:w="2127" w:type="dxa"/>
            <w:hideMark/>
          </w:tcPr>
          <w:p w14:paraId="15059E8A"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Smart sensors and IoT devices</w:t>
            </w:r>
          </w:p>
        </w:tc>
        <w:tc>
          <w:tcPr>
            <w:tcW w:w="2212" w:type="dxa"/>
            <w:hideMark/>
          </w:tcPr>
          <w:p w14:paraId="139FD2C7"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Electromagnetic radiation, wireless signal exposure</w:t>
            </w:r>
          </w:p>
        </w:tc>
        <w:tc>
          <w:tcPr>
            <w:tcW w:w="0" w:type="auto"/>
            <w:hideMark/>
          </w:tcPr>
          <w:p w14:paraId="7565CA1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Neural stress, interference with neurophysiological signaling, occupational cognitive load</w:t>
            </w:r>
          </w:p>
        </w:tc>
        <w:tc>
          <w:tcPr>
            <w:tcW w:w="0" w:type="auto"/>
            <w:hideMark/>
          </w:tcPr>
          <w:p w14:paraId="5D061411"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Chronic fatigue, sleep disturbances, mild cognitive impairment</w:t>
            </w:r>
          </w:p>
        </w:tc>
        <w:tc>
          <w:tcPr>
            <w:tcW w:w="2306" w:type="dxa"/>
            <w:hideMark/>
          </w:tcPr>
          <w:p w14:paraId="4D3CB00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Maritz &amp; Harding, 2011; Marinho-Reis et al., 2022</w:t>
            </w:r>
          </w:p>
        </w:tc>
      </w:tr>
      <w:tr w:rsidR="003D430B" w:rsidRPr="003D430B" w14:paraId="03476596" w14:textId="77777777" w:rsidTr="00E5790D">
        <w:tc>
          <w:tcPr>
            <w:tcW w:w="2127" w:type="dxa"/>
            <w:hideMark/>
          </w:tcPr>
          <w:p w14:paraId="26F81545"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Laser-based surface modification</w:t>
            </w:r>
          </w:p>
        </w:tc>
        <w:tc>
          <w:tcPr>
            <w:tcW w:w="2212" w:type="dxa"/>
            <w:hideMark/>
          </w:tcPr>
          <w:p w14:paraId="1654BDE7"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Laser-generated aerosols, ultrafine particulates, photonic emissions</w:t>
            </w:r>
          </w:p>
        </w:tc>
        <w:tc>
          <w:tcPr>
            <w:tcW w:w="0" w:type="auto"/>
            <w:hideMark/>
          </w:tcPr>
          <w:p w14:paraId="4C06057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Pulmonary irritation, ocular strain, oxidative cellular stress</w:t>
            </w:r>
          </w:p>
        </w:tc>
        <w:tc>
          <w:tcPr>
            <w:tcW w:w="0" w:type="auto"/>
            <w:hideMark/>
          </w:tcPr>
          <w:p w14:paraId="1E0D333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Mild respiratory symptoms, eye strain, work-related cognitive fatigue</w:t>
            </w:r>
          </w:p>
        </w:tc>
        <w:tc>
          <w:tcPr>
            <w:tcW w:w="2306" w:type="dxa"/>
            <w:hideMark/>
          </w:tcPr>
          <w:p w14:paraId="7B72EEFD"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Zhang et al., 2022</w:t>
            </w:r>
          </w:p>
        </w:tc>
      </w:tr>
      <w:tr w:rsidR="003D430B" w:rsidRPr="003D430B" w14:paraId="1462F49B" w14:textId="77777777" w:rsidTr="00E5790D">
        <w:tc>
          <w:tcPr>
            <w:tcW w:w="2127" w:type="dxa"/>
            <w:hideMark/>
          </w:tcPr>
          <w:p w14:paraId="6510E0C4"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Micro-ablation particles on offshore platforms</w:t>
            </w:r>
          </w:p>
        </w:tc>
        <w:tc>
          <w:tcPr>
            <w:tcW w:w="2212" w:type="dxa"/>
            <w:hideMark/>
          </w:tcPr>
          <w:p w14:paraId="538B9EA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Airborne micro-particles, metal-rich aerosols</w:t>
            </w:r>
          </w:p>
        </w:tc>
        <w:tc>
          <w:tcPr>
            <w:tcW w:w="0" w:type="auto"/>
            <w:hideMark/>
          </w:tcPr>
          <w:p w14:paraId="2E52B9F9"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Dermal irritation, inhalation toxicity, hematological stress</w:t>
            </w:r>
          </w:p>
        </w:tc>
        <w:tc>
          <w:tcPr>
            <w:tcW w:w="0" w:type="auto"/>
            <w:hideMark/>
          </w:tcPr>
          <w:p w14:paraId="36B5539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Skin irritation, inflammatory responses, transient neurological fatigue</w:t>
            </w:r>
          </w:p>
        </w:tc>
        <w:tc>
          <w:tcPr>
            <w:tcW w:w="2306" w:type="dxa"/>
            <w:hideMark/>
          </w:tcPr>
          <w:p w14:paraId="65554C74"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Zhang et al., 2022; Montano et al., 2025</w:t>
            </w:r>
          </w:p>
        </w:tc>
      </w:tr>
      <w:tr w:rsidR="003D430B" w:rsidRPr="003D430B" w14:paraId="5B53CAC2" w14:textId="77777777" w:rsidTr="00E5790D">
        <w:tc>
          <w:tcPr>
            <w:tcW w:w="2127" w:type="dxa"/>
            <w:hideMark/>
          </w:tcPr>
          <w:p w14:paraId="334E9874"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Combined long-term occupational exposure</w:t>
            </w:r>
          </w:p>
        </w:tc>
        <w:tc>
          <w:tcPr>
            <w:tcW w:w="2212" w:type="dxa"/>
            <w:hideMark/>
          </w:tcPr>
          <w:p w14:paraId="693B722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Cumulative particulate, aerosol, and environmental stress exposure</w:t>
            </w:r>
          </w:p>
        </w:tc>
        <w:tc>
          <w:tcPr>
            <w:tcW w:w="0" w:type="auto"/>
            <w:hideMark/>
          </w:tcPr>
          <w:p w14:paraId="289838F6"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Elevated chronic disease risk through sustained immune and endocrine stress</w:t>
            </w:r>
          </w:p>
        </w:tc>
        <w:tc>
          <w:tcPr>
            <w:tcW w:w="0" w:type="auto"/>
            <w:hideMark/>
          </w:tcPr>
          <w:p w14:paraId="72CDFE9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Neurodegenerative risk, endocrine disruption, immune dysregulation</w:t>
            </w:r>
          </w:p>
        </w:tc>
        <w:tc>
          <w:tcPr>
            <w:tcW w:w="2306" w:type="dxa"/>
            <w:hideMark/>
          </w:tcPr>
          <w:p w14:paraId="63AC12A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 xml:space="preserve">Maritz &amp; Harding, 2011; </w:t>
            </w: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w:t>
            </w:r>
          </w:p>
        </w:tc>
      </w:tr>
    </w:tbl>
    <w:p w14:paraId="3896629F" w14:textId="77777777" w:rsidR="002C078E" w:rsidRDefault="002C078E" w:rsidP="002C078E"/>
    <w:p w14:paraId="7C52480C" w14:textId="77777777" w:rsidR="003F1652" w:rsidRPr="002C078E" w:rsidRDefault="002C078E" w:rsidP="002C078E">
      <w:pPr>
        <w:jc w:val="both"/>
      </w:pPr>
      <w:r>
        <w:t>The adoption of smart sensors, IoT devices, and laser-based surface modification in pipeline infrastructure introduces overlooked occupational risks. Maintenance workers may be exposed to chemical leachates, nanoparticles, and electromagnetic fields generated by advanced coatings and monitoring technologies, which can affect neural function, ocular health, and cognition (</w:t>
      </w:r>
      <w:proofErr w:type="spellStart"/>
      <w:r>
        <w:t>Morakinyo</w:t>
      </w:r>
      <w:proofErr w:type="spellEnd"/>
      <w:r>
        <w:t xml:space="preserve"> et al., 2016; </w:t>
      </w:r>
      <w:proofErr w:type="spellStart"/>
      <w:r>
        <w:t>Nanadeinboemi</w:t>
      </w:r>
      <w:proofErr w:type="spellEnd"/>
      <w:r>
        <w:t xml:space="preserve"> et al., 2024). Evidence from petroleum-exposed environments highlights associations between chronic exposure and fatigue, dermatological </w:t>
      </w:r>
      <w:r>
        <w:lastRenderedPageBreak/>
        <w:t>irritation, and subtle neurological changes, underscoring the need for improved occupational surveillance, exposure monitoring, and engineering controls (Moradi et al., 2025; Li et al., 2022).</w:t>
      </w:r>
    </w:p>
    <w:p w14:paraId="7BA2EFD6" w14:textId="77777777" w:rsidR="002502DD" w:rsidRPr="004A5009" w:rsidRDefault="002D0DFC" w:rsidP="004E13F7">
      <w:pPr>
        <w:pStyle w:val="Heading1"/>
      </w:pPr>
      <w:r>
        <w:rPr>
          <w:rStyle w:val="Strong"/>
          <w:b/>
          <w:bCs w:val="0"/>
        </w:rPr>
        <w:t>3.</w:t>
      </w:r>
      <w:r w:rsidR="005075C7">
        <w:rPr>
          <w:rStyle w:val="Strong"/>
          <w:b/>
          <w:bCs w:val="0"/>
        </w:rPr>
        <w:t>8</w:t>
      </w:r>
      <w:r w:rsidR="002502DD" w:rsidRPr="004A5009">
        <w:rPr>
          <w:rStyle w:val="Strong"/>
          <w:b/>
          <w:bCs w:val="0"/>
        </w:rPr>
        <w:t xml:space="preserve"> Comparative Case Analysis</w:t>
      </w:r>
    </w:p>
    <w:p w14:paraId="34D7F222" w14:textId="77777777" w:rsidR="000C31AE" w:rsidRPr="002502DD" w:rsidRDefault="002502DD" w:rsidP="000C31AE">
      <w:pPr>
        <w:pStyle w:val="NormalWeb"/>
        <w:ind w:left="-851"/>
        <w:jc w:val="both"/>
      </w:pPr>
      <w:r w:rsidRPr="002502DD">
        <w:t xml:space="preserve">A </w:t>
      </w:r>
      <w:r w:rsidRPr="002502DD">
        <w:rPr>
          <w:rStyle w:val="Strong"/>
          <w:b w:val="0"/>
        </w:rPr>
        <w:t>comparative assessment across continents</w:t>
      </w:r>
      <w:r w:rsidRPr="002502DD">
        <w:t xml:space="preserve"> highlights the relationship between </w:t>
      </w:r>
      <w:r w:rsidRPr="002502DD">
        <w:rPr>
          <w:rStyle w:val="Strong"/>
          <w:b w:val="0"/>
        </w:rPr>
        <w:t>technological in</w:t>
      </w:r>
      <w:r w:rsidR="000C31AE">
        <w:rPr>
          <w:rStyle w:val="Strong"/>
          <w:b w:val="0"/>
        </w:rPr>
        <w:t>novation, regulatory frameworks</w:t>
      </w:r>
      <w:r w:rsidRPr="002502DD">
        <w:rPr>
          <w:rStyle w:val="Strong"/>
          <w:b w:val="0"/>
        </w:rPr>
        <w:t xml:space="preserve"> and biomedical outcomes</w:t>
      </w:r>
      <w:r w:rsidR="000C31AE">
        <w:t xml:space="preserve"> as illustrated in Table 9.</w:t>
      </w:r>
    </w:p>
    <w:p w14:paraId="5B70D2E6" w14:textId="77777777" w:rsidR="007F09F8" w:rsidRDefault="007F09F8" w:rsidP="00B119F0">
      <w:pPr>
        <w:pStyle w:val="Caption"/>
        <w:rPr>
          <w:i w:val="0"/>
          <w:sz w:val="24"/>
          <w:szCs w:val="24"/>
        </w:rPr>
      </w:pPr>
      <w:r w:rsidRPr="007F09F8">
        <w:rPr>
          <w:i w:val="0"/>
          <w:sz w:val="24"/>
          <w:szCs w:val="24"/>
        </w:rPr>
        <w:t xml:space="preserve">Table </w:t>
      </w:r>
      <w:r w:rsidRPr="007F09F8">
        <w:rPr>
          <w:i w:val="0"/>
          <w:sz w:val="24"/>
          <w:szCs w:val="24"/>
        </w:rPr>
        <w:fldChar w:fldCharType="begin"/>
      </w:r>
      <w:r w:rsidRPr="007F09F8">
        <w:rPr>
          <w:i w:val="0"/>
          <w:sz w:val="24"/>
          <w:szCs w:val="24"/>
        </w:rPr>
        <w:instrText xml:space="preserve"> SEQ Table \* ARABIC </w:instrText>
      </w:r>
      <w:r w:rsidRPr="007F09F8">
        <w:rPr>
          <w:i w:val="0"/>
          <w:sz w:val="24"/>
          <w:szCs w:val="24"/>
        </w:rPr>
        <w:fldChar w:fldCharType="separate"/>
      </w:r>
      <w:r w:rsidR="00B771D1">
        <w:rPr>
          <w:i w:val="0"/>
          <w:noProof/>
          <w:sz w:val="24"/>
          <w:szCs w:val="24"/>
        </w:rPr>
        <w:t>9</w:t>
      </w:r>
      <w:r w:rsidRPr="007F09F8">
        <w:rPr>
          <w:i w:val="0"/>
          <w:sz w:val="24"/>
          <w:szCs w:val="24"/>
        </w:rPr>
        <w:fldChar w:fldCharType="end"/>
      </w:r>
      <w:r w:rsidRPr="007F09F8">
        <w:rPr>
          <w:i w:val="0"/>
          <w:sz w:val="24"/>
          <w:szCs w:val="24"/>
        </w:rPr>
        <w:t>: Regional Case Studies of Pipeline Innovations and Biomedical Implications</w:t>
      </w:r>
    </w:p>
    <w:tbl>
      <w:tblPr>
        <w:tblStyle w:val="TableGrid"/>
        <w:tblW w:w="11341" w:type="dxa"/>
        <w:tblInd w:w="-998" w:type="dxa"/>
        <w:tblLook w:val="04A0" w:firstRow="1" w:lastRow="0" w:firstColumn="1" w:lastColumn="0" w:noHBand="0" w:noVBand="1"/>
      </w:tblPr>
      <w:tblGrid>
        <w:gridCol w:w="1986"/>
        <w:gridCol w:w="2419"/>
        <w:gridCol w:w="2300"/>
        <w:gridCol w:w="2007"/>
        <w:gridCol w:w="2629"/>
      </w:tblGrid>
      <w:tr w:rsidR="003D430B" w:rsidRPr="003D430B" w14:paraId="202B25C0" w14:textId="77777777" w:rsidTr="00E5790D">
        <w:tc>
          <w:tcPr>
            <w:tcW w:w="1986" w:type="dxa"/>
            <w:hideMark/>
          </w:tcPr>
          <w:p w14:paraId="1257A583"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Region / Country</w:t>
            </w:r>
          </w:p>
        </w:tc>
        <w:tc>
          <w:tcPr>
            <w:tcW w:w="2419" w:type="dxa"/>
            <w:hideMark/>
          </w:tcPr>
          <w:p w14:paraId="477551E7"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Technological Innovations</w:t>
            </w:r>
          </w:p>
        </w:tc>
        <w:tc>
          <w:tcPr>
            <w:tcW w:w="0" w:type="auto"/>
            <w:hideMark/>
          </w:tcPr>
          <w:p w14:paraId="7AD3F769"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Biomedical Consequences</w:t>
            </w:r>
          </w:p>
        </w:tc>
        <w:tc>
          <w:tcPr>
            <w:tcW w:w="0" w:type="auto"/>
            <w:hideMark/>
          </w:tcPr>
          <w:p w14:paraId="30C777F3"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Exposure Pathways</w:t>
            </w:r>
          </w:p>
        </w:tc>
        <w:tc>
          <w:tcPr>
            <w:tcW w:w="2629" w:type="dxa"/>
            <w:hideMark/>
          </w:tcPr>
          <w:p w14:paraId="6F51620B"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References</w:t>
            </w:r>
          </w:p>
        </w:tc>
      </w:tr>
      <w:tr w:rsidR="003D430B" w:rsidRPr="003D430B" w14:paraId="4BE44C84" w14:textId="77777777" w:rsidTr="00E5790D">
        <w:tc>
          <w:tcPr>
            <w:tcW w:w="1986" w:type="dxa"/>
            <w:hideMark/>
          </w:tcPr>
          <w:p w14:paraId="32540401"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Nigeria (Niger Delta)</w:t>
            </w:r>
          </w:p>
        </w:tc>
        <w:tc>
          <w:tcPr>
            <w:tcW w:w="2419" w:type="dxa"/>
            <w:hideMark/>
          </w:tcPr>
          <w:p w14:paraId="5C2A5841"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Corrosion inhibitors, biopolymer linings, aging pipeline infrastructure</w:t>
            </w:r>
          </w:p>
        </w:tc>
        <w:tc>
          <w:tcPr>
            <w:tcW w:w="0" w:type="auto"/>
            <w:hideMark/>
          </w:tcPr>
          <w:p w14:paraId="5F8890C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Cancer risk, reproductive disorders, developmental abnormalities</w:t>
            </w:r>
          </w:p>
        </w:tc>
        <w:tc>
          <w:tcPr>
            <w:tcW w:w="0" w:type="auto"/>
            <w:hideMark/>
          </w:tcPr>
          <w:p w14:paraId="1527E47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Contaminated soil, surface water, groundwater, ambient air</w:t>
            </w:r>
          </w:p>
        </w:tc>
        <w:tc>
          <w:tcPr>
            <w:tcW w:w="2629" w:type="dxa"/>
            <w:hideMark/>
          </w:tcPr>
          <w:p w14:paraId="367544FC" w14:textId="77777777" w:rsidR="003D430B" w:rsidRPr="003D430B" w:rsidRDefault="003D430B" w:rsidP="003D430B">
            <w:pPr>
              <w:rPr>
                <w:rFonts w:eastAsia="Times New Roman" w:cs="Times New Roman"/>
                <w:sz w:val="19"/>
                <w:szCs w:val="19"/>
              </w:rPr>
            </w:pPr>
            <w:proofErr w:type="spellStart"/>
            <w:r w:rsidRPr="003D430B">
              <w:rPr>
                <w:rFonts w:cs="Times New Roman"/>
                <w:sz w:val="19"/>
                <w:szCs w:val="19"/>
              </w:rPr>
              <w:t>Nriagu</w:t>
            </w:r>
            <w:proofErr w:type="spellEnd"/>
            <w:r>
              <w:rPr>
                <w:rFonts w:cs="Times New Roman"/>
                <w:szCs w:val="24"/>
              </w:rPr>
              <w:t xml:space="preserve"> </w:t>
            </w:r>
            <w:r>
              <w:rPr>
                <w:rFonts w:eastAsia="Times New Roman" w:cs="Times New Roman"/>
                <w:sz w:val="19"/>
                <w:szCs w:val="19"/>
              </w:rPr>
              <w:t xml:space="preserve">et al., 2016; </w:t>
            </w:r>
            <w:r w:rsidRPr="003D430B">
              <w:rPr>
                <w:rFonts w:eastAsia="Times New Roman" w:cs="Times New Roman"/>
                <w:sz w:val="19"/>
                <w:szCs w:val="19"/>
              </w:rPr>
              <w:t>Marinho-Reis et al., 2022</w:t>
            </w:r>
          </w:p>
        </w:tc>
      </w:tr>
      <w:tr w:rsidR="003D430B" w:rsidRPr="003D430B" w14:paraId="0369A0E1" w14:textId="77777777" w:rsidTr="00E5790D">
        <w:tc>
          <w:tcPr>
            <w:tcW w:w="1986" w:type="dxa"/>
            <w:hideMark/>
          </w:tcPr>
          <w:p w14:paraId="10583D0C"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Angola</w:t>
            </w:r>
          </w:p>
        </w:tc>
        <w:tc>
          <w:tcPr>
            <w:tcW w:w="2419" w:type="dxa"/>
            <w:hideMark/>
          </w:tcPr>
          <w:p w14:paraId="242AA7B7"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Aging metal alloys, offshore composite pipelines</w:t>
            </w:r>
          </w:p>
        </w:tc>
        <w:tc>
          <w:tcPr>
            <w:tcW w:w="0" w:type="auto"/>
            <w:hideMark/>
          </w:tcPr>
          <w:p w14:paraId="1370CD5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Renal dysfunction, anemia, immune suppression</w:t>
            </w:r>
          </w:p>
        </w:tc>
        <w:tc>
          <w:tcPr>
            <w:tcW w:w="0" w:type="auto"/>
            <w:hideMark/>
          </w:tcPr>
          <w:p w14:paraId="6982E689"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Fish consumption, groundwater contamination</w:t>
            </w:r>
          </w:p>
        </w:tc>
        <w:tc>
          <w:tcPr>
            <w:tcW w:w="2629" w:type="dxa"/>
            <w:hideMark/>
          </w:tcPr>
          <w:p w14:paraId="5DD304B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Aguilera et al., 2010; Montano et al., 2025</w:t>
            </w:r>
          </w:p>
        </w:tc>
      </w:tr>
      <w:tr w:rsidR="003D430B" w:rsidRPr="003D430B" w14:paraId="1D737585" w14:textId="77777777" w:rsidTr="00E5790D">
        <w:tc>
          <w:tcPr>
            <w:tcW w:w="1986" w:type="dxa"/>
            <w:hideMark/>
          </w:tcPr>
          <w:p w14:paraId="064D7F87"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Saudi Arabia</w:t>
            </w:r>
          </w:p>
        </w:tc>
        <w:tc>
          <w:tcPr>
            <w:tcW w:w="2419" w:type="dxa"/>
            <w:hideMark/>
          </w:tcPr>
          <w:p w14:paraId="662222D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Laser-based coatings, smart sensor technologies</w:t>
            </w:r>
          </w:p>
        </w:tc>
        <w:tc>
          <w:tcPr>
            <w:tcW w:w="0" w:type="auto"/>
            <w:hideMark/>
          </w:tcPr>
          <w:p w14:paraId="469EEF1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Asthma, endocrine and immune disruption</w:t>
            </w:r>
          </w:p>
        </w:tc>
        <w:tc>
          <w:tcPr>
            <w:tcW w:w="0" w:type="auto"/>
            <w:hideMark/>
          </w:tcPr>
          <w:p w14:paraId="5A480C0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Airborne particulates, occupational air exposure</w:t>
            </w:r>
          </w:p>
        </w:tc>
        <w:tc>
          <w:tcPr>
            <w:tcW w:w="2629" w:type="dxa"/>
            <w:hideMark/>
          </w:tcPr>
          <w:p w14:paraId="1902DA0A"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w:t>
            </w:r>
            <w:proofErr w:type="spellStart"/>
            <w:r w:rsidRPr="003D430B">
              <w:rPr>
                <w:rFonts w:eastAsia="Times New Roman" w:cs="Times New Roman"/>
                <w:sz w:val="19"/>
                <w:szCs w:val="19"/>
              </w:rPr>
              <w:t>Karanasiou</w:t>
            </w:r>
            <w:proofErr w:type="spellEnd"/>
            <w:r w:rsidRPr="003D430B">
              <w:rPr>
                <w:rFonts w:eastAsia="Times New Roman" w:cs="Times New Roman"/>
                <w:sz w:val="19"/>
                <w:szCs w:val="19"/>
              </w:rPr>
              <w:t xml:space="preserve"> et al., 2021</w:t>
            </w:r>
          </w:p>
        </w:tc>
      </w:tr>
      <w:tr w:rsidR="003D430B" w:rsidRPr="003D430B" w14:paraId="5ED173B2" w14:textId="77777777" w:rsidTr="00E5790D">
        <w:tc>
          <w:tcPr>
            <w:tcW w:w="1986" w:type="dxa"/>
            <w:hideMark/>
          </w:tcPr>
          <w:p w14:paraId="71703885"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United States (Gulf Coast)</w:t>
            </w:r>
          </w:p>
        </w:tc>
        <w:tc>
          <w:tcPr>
            <w:tcW w:w="2419" w:type="dxa"/>
            <w:hideMark/>
          </w:tcPr>
          <w:p w14:paraId="793531E9"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Nanoceramic coatings, predictive sensing systems</w:t>
            </w:r>
          </w:p>
        </w:tc>
        <w:tc>
          <w:tcPr>
            <w:tcW w:w="0" w:type="auto"/>
            <w:hideMark/>
          </w:tcPr>
          <w:p w14:paraId="08C8B18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Pulmonary fibrosis, oxidative DNA damage, cancer risk</w:t>
            </w:r>
          </w:p>
        </w:tc>
        <w:tc>
          <w:tcPr>
            <w:tcW w:w="0" w:type="auto"/>
            <w:hideMark/>
          </w:tcPr>
          <w:p w14:paraId="16505C7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Inhalation, occupational contact, coastal exposure</w:t>
            </w:r>
          </w:p>
        </w:tc>
        <w:tc>
          <w:tcPr>
            <w:tcW w:w="2629" w:type="dxa"/>
            <w:hideMark/>
          </w:tcPr>
          <w:p w14:paraId="23F73C4F"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McKenzie et al., 2017; Aguilera et al., 2010</w:t>
            </w:r>
          </w:p>
        </w:tc>
      </w:tr>
      <w:tr w:rsidR="003D430B" w:rsidRPr="003D430B" w14:paraId="139C9F5F" w14:textId="77777777" w:rsidTr="00E5790D">
        <w:tc>
          <w:tcPr>
            <w:tcW w:w="1986" w:type="dxa"/>
            <w:hideMark/>
          </w:tcPr>
          <w:p w14:paraId="24505B11"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India</w:t>
            </w:r>
          </w:p>
        </w:tc>
        <w:tc>
          <w:tcPr>
            <w:tcW w:w="2419" w:type="dxa"/>
            <w:hideMark/>
          </w:tcPr>
          <w:p w14:paraId="39C26821"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Biopolymer- and nano-coated pipeline systems</w:t>
            </w:r>
          </w:p>
        </w:tc>
        <w:tc>
          <w:tcPr>
            <w:tcW w:w="0" w:type="auto"/>
            <w:hideMark/>
          </w:tcPr>
          <w:p w14:paraId="7221825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DNA strand breaks, chromosomal instability, inflammatory diseases</w:t>
            </w:r>
          </w:p>
        </w:tc>
        <w:tc>
          <w:tcPr>
            <w:tcW w:w="0" w:type="auto"/>
            <w:hideMark/>
          </w:tcPr>
          <w:p w14:paraId="0A933BD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Occupational exposure, contaminated drinking water</w:t>
            </w:r>
          </w:p>
        </w:tc>
        <w:tc>
          <w:tcPr>
            <w:tcW w:w="2629" w:type="dxa"/>
            <w:hideMark/>
          </w:tcPr>
          <w:p w14:paraId="4D6AC1E0"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Marinho-Reis et al., 2022</w:t>
            </w:r>
          </w:p>
        </w:tc>
      </w:tr>
      <w:tr w:rsidR="003D430B" w:rsidRPr="003D430B" w14:paraId="740095BF" w14:textId="77777777" w:rsidTr="00E5790D">
        <w:tc>
          <w:tcPr>
            <w:tcW w:w="1986" w:type="dxa"/>
            <w:hideMark/>
          </w:tcPr>
          <w:p w14:paraId="7A9AAFB0"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Norway</w:t>
            </w:r>
          </w:p>
        </w:tc>
        <w:tc>
          <w:tcPr>
            <w:tcW w:w="2419" w:type="dxa"/>
            <w:hideMark/>
          </w:tcPr>
          <w:p w14:paraId="1B52EB46"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Fiber-reinforced alloys, laser surface modification</w:t>
            </w:r>
          </w:p>
        </w:tc>
        <w:tc>
          <w:tcPr>
            <w:tcW w:w="0" w:type="auto"/>
            <w:hideMark/>
          </w:tcPr>
          <w:p w14:paraId="5718AB7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Neurobehavioral fatigue, respiratory and skin irritation</w:t>
            </w:r>
          </w:p>
        </w:tc>
        <w:tc>
          <w:tcPr>
            <w:tcW w:w="0" w:type="auto"/>
            <w:hideMark/>
          </w:tcPr>
          <w:p w14:paraId="6877595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Airborne particulates, occupational inhalation</w:t>
            </w:r>
          </w:p>
        </w:tc>
        <w:tc>
          <w:tcPr>
            <w:tcW w:w="2629" w:type="dxa"/>
            <w:hideMark/>
          </w:tcPr>
          <w:p w14:paraId="45AC09C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 xml:space="preserve">Stenehjem et al., 2024; </w:t>
            </w: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w:t>
            </w:r>
          </w:p>
        </w:tc>
      </w:tr>
    </w:tbl>
    <w:p w14:paraId="557DBAE5" w14:textId="77777777" w:rsidR="003D430B" w:rsidRPr="003D430B" w:rsidRDefault="003D430B" w:rsidP="003D430B"/>
    <w:p w14:paraId="5377BC6E" w14:textId="77777777" w:rsidR="002502DD" w:rsidRPr="002502DD" w:rsidRDefault="002502DD" w:rsidP="006C290B">
      <w:pPr>
        <w:pStyle w:val="NormalWeb"/>
        <w:ind w:left="-851"/>
        <w:jc w:val="both"/>
      </w:pPr>
      <w:r w:rsidRPr="002502DD">
        <w:t xml:space="preserve">This comparative approach reveals </w:t>
      </w:r>
      <w:r w:rsidRPr="002502DD">
        <w:rPr>
          <w:rStyle w:val="Strong"/>
          <w:b w:val="0"/>
        </w:rPr>
        <w:t>common biomedical outcomes</w:t>
      </w:r>
      <w:r w:rsidRPr="002502DD">
        <w:t xml:space="preserve">, irrespective of regional economic status or technological advancement. While advanced materials reduce mechanical failure, </w:t>
      </w:r>
      <w:r w:rsidRPr="002502DD">
        <w:rPr>
          <w:rStyle w:val="Strong"/>
          <w:b w:val="0"/>
        </w:rPr>
        <w:t>they often introduce new forms of exposure</w:t>
      </w:r>
      <w:r w:rsidR="00E814BF">
        <w:t xml:space="preserve"> </w:t>
      </w:r>
      <w:r w:rsidRPr="002502DD">
        <w:t>particularly nano-scale part</w:t>
      </w:r>
      <w:r w:rsidR="00E814BF">
        <w:t xml:space="preserve">iculates and chemical leachates </w:t>
      </w:r>
      <w:r w:rsidRPr="002502DD">
        <w:t xml:space="preserve">that stress both occupational and community health systems. In regions with </w:t>
      </w:r>
      <w:r w:rsidRPr="002502DD">
        <w:rPr>
          <w:rStyle w:val="Strong"/>
          <w:b w:val="0"/>
        </w:rPr>
        <w:t>weaker regulatory oversight</w:t>
      </w:r>
      <w:r w:rsidRPr="002502DD">
        <w:t>, such as Nigeria, Angola, and India, the consequences are magnified, whereas in regulated environments (USA, Norway), chronic subclinical exposure remains a concern, though mitigated by monitoring and mitigation protocols.</w:t>
      </w:r>
    </w:p>
    <w:p w14:paraId="3384AE9D" w14:textId="77777777" w:rsidR="002502DD" w:rsidRPr="00710429" w:rsidRDefault="00710429" w:rsidP="004E13F7">
      <w:pPr>
        <w:pStyle w:val="Heading1"/>
      </w:pPr>
      <w:r w:rsidRPr="00710429">
        <w:rPr>
          <w:rStyle w:val="Strong"/>
          <w:b/>
          <w:bCs w:val="0"/>
        </w:rPr>
        <w:t>3.</w:t>
      </w:r>
      <w:r w:rsidR="005075C7">
        <w:rPr>
          <w:rStyle w:val="Strong"/>
          <w:b/>
          <w:bCs w:val="0"/>
        </w:rPr>
        <w:t>9</w:t>
      </w:r>
      <w:r w:rsidR="002D0DFC">
        <w:rPr>
          <w:rStyle w:val="Strong"/>
          <w:b/>
          <w:bCs w:val="0"/>
        </w:rPr>
        <w:t xml:space="preserve"> </w:t>
      </w:r>
      <w:r w:rsidR="002502DD" w:rsidRPr="00710429">
        <w:rPr>
          <w:rStyle w:val="Strong"/>
          <w:b/>
          <w:bCs w:val="0"/>
        </w:rPr>
        <w:t>Implications for Public Health and Biomedical Systems</w:t>
      </w:r>
    </w:p>
    <w:p w14:paraId="042B9109" w14:textId="77777777" w:rsidR="002502DD" w:rsidRPr="002502DD" w:rsidRDefault="002502DD" w:rsidP="00F6109F">
      <w:pPr>
        <w:pStyle w:val="NormalWeb"/>
        <w:ind w:left="-851"/>
        <w:jc w:val="both"/>
      </w:pPr>
      <w:r w:rsidRPr="002502DD">
        <w:t xml:space="preserve">The cumulative evidence demonstrates that pipeline failures and infrastructure innovations in the petroleum sector </w:t>
      </w:r>
      <w:r w:rsidRPr="002502DD">
        <w:rPr>
          <w:rStyle w:val="Strong"/>
          <w:b w:val="0"/>
        </w:rPr>
        <w:t>directly and indirectly compromise biomedical systems</w:t>
      </w:r>
      <w:r w:rsidRPr="002502DD">
        <w:t>:</w:t>
      </w:r>
    </w:p>
    <w:p w14:paraId="1667AB23" w14:textId="77777777" w:rsidR="002502DD" w:rsidRDefault="002502DD" w:rsidP="00BE4D59">
      <w:pPr>
        <w:pStyle w:val="NormalWeb"/>
        <w:numPr>
          <w:ilvl w:val="0"/>
          <w:numId w:val="6"/>
        </w:numPr>
        <w:tabs>
          <w:tab w:val="clear" w:pos="720"/>
        </w:tabs>
        <w:ind w:left="-284" w:hanging="436"/>
        <w:jc w:val="both"/>
      </w:pPr>
      <w:r w:rsidRPr="002502DD">
        <w:rPr>
          <w:rStyle w:val="Strong"/>
          <w:b w:val="0"/>
        </w:rPr>
        <w:t>Direct health effects</w:t>
      </w:r>
      <w:r w:rsidRPr="002502DD">
        <w:t>: Chemical toxicity, nanomaterial exposure, EMFs, and occupational hazards increase the prevalence of chronic diseases, respiratory illnesses, and cancer.</w:t>
      </w:r>
    </w:p>
    <w:p w14:paraId="221D1F47" w14:textId="77777777" w:rsidR="00BE4D59" w:rsidRDefault="002502DD" w:rsidP="00BE4D59">
      <w:pPr>
        <w:pStyle w:val="NormalWeb"/>
        <w:numPr>
          <w:ilvl w:val="0"/>
          <w:numId w:val="6"/>
        </w:numPr>
        <w:tabs>
          <w:tab w:val="clear" w:pos="720"/>
        </w:tabs>
        <w:ind w:left="-284" w:hanging="436"/>
        <w:jc w:val="both"/>
      </w:pPr>
      <w:r w:rsidRPr="00BE4D59">
        <w:rPr>
          <w:rStyle w:val="Strong"/>
          <w:b w:val="0"/>
        </w:rPr>
        <w:t>Indirect health effects</w:t>
      </w:r>
      <w:r w:rsidRPr="002502DD">
        <w:t>: Contaminated water, soil, and food systems undermine community health, resulting in increased burden on local healthcare facilities.</w:t>
      </w:r>
    </w:p>
    <w:p w14:paraId="5245BE29" w14:textId="77777777" w:rsidR="00BE4D59" w:rsidRDefault="002502DD" w:rsidP="00BE4D59">
      <w:pPr>
        <w:pStyle w:val="NormalWeb"/>
        <w:numPr>
          <w:ilvl w:val="0"/>
          <w:numId w:val="6"/>
        </w:numPr>
        <w:tabs>
          <w:tab w:val="clear" w:pos="720"/>
        </w:tabs>
        <w:ind w:left="-284" w:hanging="436"/>
        <w:jc w:val="both"/>
      </w:pPr>
      <w:r w:rsidRPr="00BE4D59">
        <w:rPr>
          <w:rStyle w:val="Strong"/>
          <w:b w:val="0"/>
        </w:rPr>
        <w:lastRenderedPageBreak/>
        <w:t>Healthcare system strain</w:t>
      </w:r>
      <w:r w:rsidRPr="002502DD">
        <w:t xml:space="preserve">: Increased disease incidence necessitates </w:t>
      </w:r>
      <w:r w:rsidRPr="00BE4D59">
        <w:rPr>
          <w:rStyle w:val="Strong"/>
          <w:b w:val="0"/>
        </w:rPr>
        <w:t>long-term monitoring, medical intervention, and preventive programs</w:t>
      </w:r>
      <w:r w:rsidRPr="002502DD">
        <w:t>, which are particularly challenging in resource-limited regions.</w:t>
      </w:r>
    </w:p>
    <w:p w14:paraId="589CFCCA" w14:textId="77777777" w:rsidR="002502DD" w:rsidRPr="002502DD" w:rsidRDefault="002502DD" w:rsidP="00BE4D59">
      <w:pPr>
        <w:pStyle w:val="NormalWeb"/>
        <w:numPr>
          <w:ilvl w:val="0"/>
          <w:numId w:val="6"/>
        </w:numPr>
        <w:tabs>
          <w:tab w:val="clear" w:pos="720"/>
        </w:tabs>
        <w:ind w:left="-284" w:hanging="436"/>
        <w:jc w:val="both"/>
      </w:pPr>
      <w:r w:rsidRPr="00BE4D59">
        <w:rPr>
          <w:rStyle w:val="Strong"/>
          <w:b w:val="0"/>
        </w:rPr>
        <w:t>Policy implications</w:t>
      </w:r>
      <w:r w:rsidRPr="002502DD">
        <w:t xml:space="preserve">: There is a pressing need for </w:t>
      </w:r>
      <w:r w:rsidRPr="00BE4D59">
        <w:rPr>
          <w:rStyle w:val="Strong"/>
          <w:b w:val="0"/>
        </w:rPr>
        <w:t>integrated industrial-health risk assessment</w:t>
      </w:r>
      <w:r w:rsidRPr="002502DD">
        <w:t xml:space="preserve">, stricter regulatory oversight, and </w:t>
      </w:r>
      <w:r w:rsidRPr="00BE4D59">
        <w:rPr>
          <w:rStyle w:val="Strong"/>
          <w:b w:val="0"/>
        </w:rPr>
        <w:t>biomedical impact monitoring</w:t>
      </w:r>
      <w:r w:rsidRPr="002502DD">
        <w:t xml:space="preserve"> to prevent long-term adverse outcomes.</w:t>
      </w:r>
    </w:p>
    <w:p w14:paraId="199ABFAE" w14:textId="77777777" w:rsidR="002502DD" w:rsidRPr="002502DD" w:rsidRDefault="002502DD" w:rsidP="003332F1">
      <w:pPr>
        <w:pStyle w:val="NormalWeb"/>
        <w:ind w:left="-993"/>
        <w:jc w:val="both"/>
      </w:pPr>
      <w:r w:rsidRPr="002502DD">
        <w:t xml:space="preserve">In essence, pipeline integrity and material innovations, while framed as industrial improvements, have created </w:t>
      </w:r>
      <w:r w:rsidRPr="002502DD">
        <w:rPr>
          <w:rStyle w:val="Strong"/>
          <w:b w:val="0"/>
        </w:rPr>
        <w:t>novel biomedical hazards</w:t>
      </w:r>
      <w:r w:rsidRPr="002502DD">
        <w:t xml:space="preserve"> that threaten public health globally. The </w:t>
      </w:r>
      <w:r w:rsidRPr="002502DD">
        <w:rPr>
          <w:rStyle w:val="Strong"/>
          <w:b w:val="0"/>
        </w:rPr>
        <w:t>negative externalities</w:t>
      </w:r>
      <w:r w:rsidRPr="002502DD">
        <w:t xml:space="preserve"> of technological progress underscore the urgent need for </w:t>
      </w:r>
      <w:r w:rsidRPr="002502DD">
        <w:rPr>
          <w:rStyle w:val="Strong"/>
          <w:b w:val="0"/>
        </w:rPr>
        <w:t>cross-disciplinary risk assessment</w:t>
      </w:r>
      <w:r w:rsidRPr="002502DD">
        <w:t>, particularly in low- and middle-income oil-producing nations.</w:t>
      </w:r>
    </w:p>
    <w:p w14:paraId="60B83812" w14:textId="77777777" w:rsidR="0067191F" w:rsidRPr="003F0F78" w:rsidRDefault="008A6011" w:rsidP="004E13F7">
      <w:pPr>
        <w:pStyle w:val="Heading1"/>
      </w:pPr>
      <w:r>
        <w:rPr>
          <w:rStyle w:val="Strong"/>
          <w:b/>
          <w:bCs w:val="0"/>
        </w:rPr>
        <w:t>4</w:t>
      </w:r>
      <w:r w:rsidR="005075C7">
        <w:rPr>
          <w:rStyle w:val="Strong"/>
          <w:b/>
          <w:bCs w:val="0"/>
        </w:rPr>
        <w:t>.</w:t>
      </w:r>
      <w:r w:rsidR="003F0F78" w:rsidRPr="003F0F78">
        <w:rPr>
          <w:rStyle w:val="Strong"/>
          <w:b/>
          <w:bCs w:val="0"/>
        </w:rPr>
        <w:t xml:space="preserve"> </w:t>
      </w:r>
      <w:r w:rsidR="0067191F" w:rsidRPr="003F0F78">
        <w:rPr>
          <w:rStyle w:val="Strong"/>
          <w:b/>
          <w:bCs w:val="0"/>
        </w:rPr>
        <w:t>Occupational Health and Safety Parallels</w:t>
      </w:r>
    </w:p>
    <w:p w14:paraId="164BFDC8" w14:textId="77777777" w:rsidR="0067191F" w:rsidRDefault="0067191F" w:rsidP="00F21978">
      <w:pPr>
        <w:pStyle w:val="NormalWeb"/>
        <w:ind w:left="-851"/>
        <w:jc w:val="both"/>
      </w:pPr>
      <w:r w:rsidRPr="00744E72">
        <w:t>Engineers and field technicians face health risks akin to occu</w:t>
      </w:r>
      <w:r w:rsidR="00C24698">
        <w:t xml:space="preserve">pational exposure in healthcare, </w:t>
      </w:r>
      <w:r w:rsidRPr="00744E72">
        <w:t>both involving phy</w:t>
      </w:r>
      <w:r w:rsidR="00D41B22">
        <w:t>sical hazards, chemical contact</w:t>
      </w:r>
      <w:r w:rsidRPr="00744E72">
        <w:t xml:space="preserve"> and ergonomic stress. Implementation of </w:t>
      </w:r>
      <w:r w:rsidR="00D41B22" w:rsidRPr="00744E72">
        <w:rPr>
          <w:rStyle w:val="Strong"/>
          <w:b w:val="0"/>
        </w:rPr>
        <w:t xml:space="preserve">Personal Protective Equipment </w:t>
      </w:r>
      <w:r w:rsidRPr="00744E72">
        <w:rPr>
          <w:rStyle w:val="Strong"/>
          <w:b w:val="0"/>
        </w:rPr>
        <w:t>(PPE)</w:t>
      </w:r>
      <w:r w:rsidRPr="00744E72">
        <w:t xml:space="preserve">, </w:t>
      </w:r>
      <w:r w:rsidRPr="00744E72">
        <w:rPr>
          <w:rStyle w:val="Strong"/>
          <w:b w:val="0"/>
        </w:rPr>
        <w:t>environmental monitoring</w:t>
      </w:r>
      <w:r w:rsidRPr="00744E72">
        <w:t xml:space="preserve"> and </w:t>
      </w:r>
      <w:r w:rsidRPr="00744E72">
        <w:rPr>
          <w:rStyle w:val="Strong"/>
          <w:b w:val="0"/>
        </w:rPr>
        <w:t>health risk assessments</w:t>
      </w:r>
      <w:r w:rsidRPr="00744E72">
        <w:t xml:space="preserve"> in oil operations mirrors infection-control and biosafety protocols in hospitals (</w:t>
      </w:r>
      <w:r w:rsidR="002C078E">
        <w:t>Ali</w:t>
      </w:r>
      <w:r w:rsidRPr="00744E72">
        <w:t xml:space="preserve"> et al., 202</w:t>
      </w:r>
      <w:r w:rsidR="002C078E">
        <w:t>4</w:t>
      </w:r>
      <w:r w:rsidRPr="00744E72">
        <w:t>). Thus, strengthening occupational safety standards across both domains reflects a shared biomedical ethic of harm prevention.</w:t>
      </w:r>
      <w:r w:rsidR="003332F1">
        <w:t xml:space="preserve"> </w:t>
      </w:r>
      <w:r w:rsidR="00D27398">
        <w:t>Table 10 presents a summary of documented biomedical health outcomes pipeli</w:t>
      </w:r>
      <w:r w:rsidR="002C078E">
        <w:t>nes integrity across continents.</w:t>
      </w:r>
    </w:p>
    <w:p w14:paraId="7C53A311" w14:textId="77777777" w:rsidR="00A52EF8" w:rsidRPr="00136933" w:rsidRDefault="00136933" w:rsidP="00B119F0">
      <w:pPr>
        <w:pStyle w:val="Caption"/>
        <w:rPr>
          <w:i w:val="0"/>
          <w:sz w:val="24"/>
          <w:szCs w:val="24"/>
        </w:rPr>
      </w:pPr>
      <w:r w:rsidRPr="00136933">
        <w:rPr>
          <w:i w:val="0"/>
          <w:sz w:val="24"/>
          <w:szCs w:val="24"/>
        </w:rPr>
        <w:t xml:space="preserve">Table </w:t>
      </w:r>
      <w:r w:rsidRPr="00136933">
        <w:rPr>
          <w:i w:val="0"/>
          <w:sz w:val="24"/>
          <w:szCs w:val="24"/>
        </w:rPr>
        <w:fldChar w:fldCharType="begin"/>
      </w:r>
      <w:r w:rsidRPr="00136933">
        <w:rPr>
          <w:i w:val="0"/>
          <w:sz w:val="24"/>
          <w:szCs w:val="24"/>
        </w:rPr>
        <w:instrText xml:space="preserve"> SEQ Table \* ARABIC </w:instrText>
      </w:r>
      <w:r w:rsidRPr="00136933">
        <w:rPr>
          <w:i w:val="0"/>
          <w:sz w:val="24"/>
          <w:szCs w:val="24"/>
        </w:rPr>
        <w:fldChar w:fldCharType="separate"/>
      </w:r>
      <w:r w:rsidR="00B771D1">
        <w:rPr>
          <w:i w:val="0"/>
          <w:noProof/>
          <w:sz w:val="24"/>
          <w:szCs w:val="24"/>
        </w:rPr>
        <w:t>10</w:t>
      </w:r>
      <w:r w:rsidRPr="00136933">
        <w:rPr>
          <w:i w:val="0"/>
          <w:sz w:val="24"/>
          <w:szCs w:val="24"/>
        </w:rPr>
        <w:fldChar w:fldCharType="end"/>
      </w:r>
      <w:r w:rsidRPr="00136933">
        <w:rPr>
          <w:i w:val="0"/>
          <w:sz w:val="24"/>
          <w:szCs w:val="24"/>
        </w:rPr>
        <w:t xml:space="preserve">: </w:t>
      </w:r>
      <w:r w:rsidR="00A52EF8" w:rsidRPr="00136933">
        <w:rPr>
          <w:rStyle w:val="Strong"/>
          <w:b w:val="0"/>
          <w:bCs w:val="0"/>
          <w:i w:val="0"/>
          <w:sz w:val="24"/>
          <w:szCs w:val="24"/>
        </w:rPr>
        <w:t>Biomedical Health Outcomes in Oil Pipeline Zones Across Continents</w:t>
      </w:r>
    </w:p>
    <w:tbl>
      <w:tblPr>
        <w:tblStyle w:val="TableGrid"/>
        <w:tblW w:w="11199" w:type="dxa"/>
        <w:tblInd w:w="-856" w:type="dxa"/>
        <w:tblLook w:val="04A0" w:firstRow="1" w:lastRow="0" w:firstColumn="1" w:lastColumn="0" w:noHBand="0" w:noVBand="1"/>
      </w:tblPr>
      <w:tblGrid>
        <w:gridCol w:w="2127"/>
        <w:gridCol w:w="3075"/>
        <w:gridCol w:w="3363"/>
        <w:gridCol w:w="2634"/>
      </w:tblGrid>
      <w:tr w:rsidR="003D430B" w:rsidRPr="003D430B" w14:paraId="71AA9A27" w14:textId="77777777" w:rsidTr="00E5790D">
        <w:tc>
          <w:tcPr>
            <w:tcW w:w="2127" w:type="dxa"/>
            <w:hideMark/>
          </w:tcPr>
          <w:p w14:paraId="2FA3B2F8"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Region / Country</w:t>
            </w:r>
          </w:p>
        </w:tc>
        <w:tc>
          <w:tcPr>
            <w:tcW w:w="3075" w:type="dxa"/>
            <w:hideMark/>
          </w:tcPr>
          <w:p w14:paraId="3615AE3C"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Pipeline Integrity Issues</w:t>
            </w:r>
          </w:p>
        </w:tc>
        <w:tc>
          <w:tcPr>
            <w:tcW w:w="0" w:type="auto"/>
            <w:hideMark/>
          </w:tcPr>
          <w:p w14:paraId="78C9FAFA"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Documented Biomedical and Public Health Outcomes</w:t>
            </w:r>
          </w:p>
        </w:tc>
        <w:tc>
          <w:tcPr>
            <w:tcW w:w="2634" w:type="dxa"/>
            <w:hideMark/>
          </w:tcPr>
          <w:p w14:paraId="77AE3816"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Author(s)</w:t>
            </w:r>
          </w:p>
        </w:tc>
      </w:tr>
      <w:tr w:rsidR="003D430B" w:rsidRPr="003D430B" w14:paraId="594CD167" w14:textId="77777777" w:rsidTr="00E5790D">
        <w:tc>
          <w:tcPr>
            <w:tcW w:w="2127" w:type="dxa"/>
            <w:hideMark/>
          </w:tcPr>
          <w:p w14:paraId="38E8B53E"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Nigeria (Niger Delta)</w:t>
            </w:r>
          </w:p>
        </w:tc>
        <w:tc>
          <w:tcPr>
            <w:tcW w:w="3075" w:type="dxa"/>
            <w:hideMark/>
          </w:tcPr>
          <w:p w14:paraId="527DD4B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Frequent pipeline rupture, crude oil spills, artisanal refining causing hydrocarbon contamination of soil and water</w:t>
            </w:r>
          </w:p>
        </w:tc>
        <w:tc>
          <w:tcPr>
            <w:tcW w:w="0" w:type="auto"/>
            <w:hideMark/>
          </w:tcPr>
          <w:p w14:paraId="4056CF2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High prevalence of respiratory illness, cancer risk, reproductive and developmental disorders linked to chronic BTEX and PAH exposure</w:t>
            </w:r>
          </w:p>
        </w:tc>
        <w:tc>
          <w:tcPr>
            <w:tcW w:w="2634" w:type="dxa"/>
            <w:hideMark/>
          </w:tcPr>
          <w:p w14:paraId="5D56782A" w14:textId="77777777" w:rsidR="003D430B" w:rsidRPr="003D430B" w:rsidRDefault="003D430B" w:rsidP="003D430B">
            <w:pPr>
              <w:rPr>
                <w:rFonts w:eastAsia="Times New Roman" w:cs="Times New Roman"/>
                <w:sz w:val="19"/>
                <w:szCs w:val="19"/>
              </w:rPr>
            </w:pPr>
            <w:proofErr w:type="spellStart"/>
            <w:r w:rsidRPr="003D430B">
              <w:rPr>
                <w:rFonts w:cs="Times New Roman"/>
                <w:sz w:val="19"/>
                <w:szCs w:val="19"/>
              </w:rPr>
              <w:t>Nriagu</w:t>
            </w:r>
            <w:proofErr w:type="spellEnd"/>
            <w:r>
              <w:rPr>
                <w:rFonts w:cs="Times New Roman"/>
                <w:szCs w:val="24"/>
              </w:rPr>
              <w:t xml:space="preserve"> </w:t>
            </w:r>
            <w:r>
              <w:rPr>
                <w:rFonts w:eastAsia="Times New Roman" w:cs="Times New Roman"/>
                <w:sz w:val="19"/>
                <w:szCs w:val="19"/>
              </w:rPr>
              <w:t>et al., 2016</w:t>
            </w:r>
            <w:r w:rsidRPr="003D430B">
              <w:rPr>
                <w:rFonts w:eastAsia="Times New Roman" w:cs="Times New Roman"/>
                <w:sz w:val="19"/>
                <w:szCs w:val="19"/>
              </w:rPr>
              <w:t>; Marinho-Reis et al., 2022</w:t>
            </w:r>
          </w:p>
        </w:tc>
      </w:tr>
      <w:tr w:rsidR="003D430B" w:rsidRPr="003D430B" w14:paraId="688434CB" w14:textId="77777777" w:rsidTr="00E5790D">
        <w:tc>
          <w:tcPr>
            <w:tcW w:w="2127" w:type="dxa"/>
            <w:hideMark/>
          </w:tcPr>
          <w:p w14:paraId="730A36B4"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Angola</w:t>
            </w:r>
          </w:p>
        </w:tc>
        <w:tc>
          <w:tcPr>
            <w:tcW w:w="3075" w:type="dxa"/>
            <w:hideMark/>
          </w:tcPr>
          <w:p w14:paraId="69E192DF"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Aging offshore infrastructure and corrosion-induced petroleum leakage</w:t>
            </w:r>
          </w:p>
        </w:tc>
        <w:tc>
          <w:tcPr>
            <w:tcW w:w="0" w:type="auto"/>
            <w:hideMark/>
          </w:tcPr>
          <w:p w14:paraId="0DCC5C0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Bioaccumulation of metals and hydrocarbons in seafood; anemia, renal dysfunction, and immune stress in coastal populations</w:t>
            </w:r>
          </w:p>
        </w:tc>
        <w:tc>
          <w:tcPr>
            <w:tcW w:w="2634" w:type="dxa"/>
            <w:hideMark/>
          </w:tcPr>
          <w:p w14:paraId="73F3BC1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Aguilera et al., 2010; Montano et al., 2025</w:t>
            </w:r>
          </w:p>
        </w:tc>
      </w:tr>
      <w:tr w:rsidR="003D430B" w:rsidRPr="003D430B" w14:paraId="006FA521" w14:textId="77777777" w:rsidTr="00E5790D">
        <w:tc>
          <w:tcPr>
            <w:tcW w:w="2127" w:type="dxa"/>
            <w:hideMark/>
          </w:tcPr>
          <w:p w14:paraId="32EA399F"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Saudi Arabia</w:t>
            </w:r>
          </w:p>
        </w:tc>
        <w:tc>
          <w:tcPr>
            <w:tcW w:w="3075" w:type="dxa"/>
            <w:hideMark/>
          </w:tcPr>
          <w:p w14:paraId="5EB1557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Refinery flaring and corrosion-related VOC release</w:t>
            </w:r>
          </w:p>
        </w:tc>
        <w:tc>
          <w:tcPr>
            <w:tcW w:w="0" w:type="auto"/>
            <w:hideMark/>
          </w:tcPr>
          <w:p w14:paraId="54297640"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Increased asthma incidence, cardiovascular stress, and endocrine-related disorders among workers and nearby residents</w:t>
            </w:r>
          </w:p>
        </w:tc>
        <w:tc>
          <w:tcPr>
            <w:tcW w:w="2634" w:type="dxa"/>
            <w:hideMark/>
          </w:tcPr>
          <w:p w14:paraId="55AA46EC"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w:t>
            </w:r>
            <w:proofErr w:type="spellStart"/>
            <w:r w:rsidRPr="003D430B">
              <w:rPr>
                <w:rFonts w:eastAsia="Times New Roman" w:cs="Times New Roman"/>
                <w:sz w:val="19"/>
                <w:szCs w:val="19"/>
              </w:rPr>
              <w:t>Karanasiou</w:t>
            </w:r>
            <w:proofErr w:type="spellEnd"/>
            <w:r w:rsidRPr="003D430B">
              <w:rPr>
                <w:rFonts w:eastAsia="Times New Roman" w:cs="Times New Roman"/>
                <w:sz w:val="19"/>
                <w:szCs w:val="19"/>
              </w:rPr>
              <w:t xml:space="preserve"> et al., 2021</w:t>
            </w:r>
          </w:p>
        </w:tc>
      </w:tr>
      <w:tr w:rsidR="003D430B" w:rsidRPr="003D430B" w14:paraId="54ECC9CC" w14:textId="77777777" w:rsidTr="00E5790D">
        <w:tc>
          <w:tcPr>
            <w:tcW w:w="2127" w:type="dxa"/>
            <w:hideMark/>
          </w:tcPr>
          <w:p w14:paraId="561E8AD9"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India</w:t>
            </w:r>
          </w:p>
        </w:tc>
        <w:tc>
          <w:tcPr>
            <w:tcW w:w="3075" w:type="dxa"/>
            <w:hideMark/>
          </w:tcPr>
          <w:p w14:paraId="6CC198F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Leaks from extensive pipeline networks and refinery-adjacent systems</w:t>
            </w:r>
          </w:p>
        </w:tc>
        <w:tc>
          <w:tcPr>
            <w:tcW w:w="0" w:type="auto"/>
            <w:hideMark/>
          </w:tcPr>
          <w:p w14:paraId="5A1579B8"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DNA damage, chromosomal instability, and elevated cancer risk associated with chronic air and water pollution</w:t>
            </w:r>
          </w:p>
        </w:tc>
        <w:tc>
          <w:tcPr>
            <w:tcW w:w="2634" w:type="dxa"/>
            <w:hideMark/>
          </w:tcPr>
          <w:p w14:paraId="04EB60CA"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Marinho-Reis et al., 2022</w:t>
            </w:r>
          </w:p>
        </w:tc>
      </w:tr>
      <w:tr w:rsidR="003D430B" w:rsidRPr="003D430B" w14:paraId="551FC0A1" w14:textId="77777777" w:rsidTr="00E5790D">
        <w:tc>
          <w:tcPr>
            <w:tcW w:w="2127" w:type="dxa"/>
            <w:hideMark/>
          </w:tcPr>
          <w:p w14:paraId="1B067B97"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China (Shandong, Daqing)</w:t>
            </w:r>
          </w:p>
        </w:tc>
        <w:tc>
          <w:tcPr>
            <w:tcW w:w="3075" w:type="dxa"/>
            <w:hideMark/>
          </w:tcPr>
          <w:p w14:paraId="62C01995"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Pipeline corrosion and degradation of advanced coatings during maintenance</w:t>
            </w:r>
          </w:p>
        </w:tc>
        <w:tc>
          <w:tcPr>
            <w:tcW w:w="0" w:type="auto"/>
            <w:hideMark/>
          </w:tcPr>
          <w:p w14:paraId="7EA25F2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Oxidative stress, elevated liver enzymes, reduced lung function in exposed technicians</w:t>
            </w:r>
          </w:p>
        </w:tc>
        <w:tc>
          <w:tcPr>
            <w:tcW w:w="2634" w:type="dxa"/>
            <w:hideMark/>
          </w:tcPr>
          <w:p w14:paraId="3628C524"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Zhang et al., 2022; Zhang et al., 2023</w:t>
            </w:r>
          </w:p>
        </w:tc>
      </w:tr>
      <w:tr w:rsidR="003D430B" w:rsidRPr="003D430B" w14:paraId="53BCB4A6" w14:textId="77777777" w:rsidTr="00E5790D">
        <w:tc>
          <w:tcPr>
            <w:tcW w:w="2127" w:type="dxa"/>
            <w:hideMark/>
          </w:tcPr>
          <w:p w14:paraId="3E2DD66D"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Norway (North Sea)</w:t>
            </w:r>
          </w:p>
        </w:tc>
        <w:tc>
          <w:tcPr>
            <w:tcW w:w="3075" w:type="dxa"/>
            <w:hideMark/>
          </w:tcPr>
          <w:p w14:paraId="7F87E9B0"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Offshore pipeline corrosion and waste from laser-based surface modification</w:t>
            </w:r>
          </w:p>
        </w:tc>
        <w:tc>
          <w:tcPr>
            <w:tcW w:w="0" w:type="auto"/>
            <w:hideMark/>
          </w:tcPr>
          <w:p w14:paraId="1C1CF9D4"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Skin irritation, respiratory symptoms, neurobehavioral fatigue among offshore petroleum workers</w:t>
            </w:r>
          </w:p>
        </w:tc>
        <w:tc>
          <w:tcPr>
            <w:tcW w:w="2634" w:type="dxa"/>
            <w:hideMark/>
          </w:tcPr>
          <w:p w14:paraId="1EA8FB48"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 xml:space="preserve">Stenehjem et al., 2024; </w:t>
            </w: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w:t>
            </w:r>
          </w:p>
        </w:tc>
      </w:tr>
      <w:tr w:rsidR="003D430B" w:rsidRPr="003D430B" w14:paraId="2CAB95D8" w14:textId="77777777" w:rsidTr="00E5790D">
        <w:tc>
          <w:tcPr>
            <w:tcW w:w="2127" w:type="dxa"/>
            <w:hideMark/>
          </w:tcPr>
          <w:p w14:paraId="096B26B0"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United States (Texas &amp; Louisiana)</w:t>
            </w:r>
          </w:p>
        </w:tc>
        <w:tc>
          <w:tcPr>
            <w:tcW w:w="3075" w:type="dxa"/>
            <w:hideMark/>
          </w:tcPr>
          <w:p w14:paraId="6EB7F45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Aging pipeline networks, refinery emissions, nanoparticle and VOC exposure</w:t>
            </w:r>
          </w:p>
        </w:tc>
        <w:tc>
          <w:tcPr>
            <w:tcW w:w="0" w:type="auto"/>
            <w:hideMark/>
          </w:tcPr>
          <w:p w14:paraId="2226B076"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Increased lung cancer risk, cardiovascular disease, endocrine disruption in refinery-adjacent communities</w:t>
            </w:r>
          </w:p>
        </w:tc>
        <w:tc>
          <w:tcPr>
            <w:tcW w:w="2634" w:type="dxa"/>
            <w:hideMark/>
          </w:tcPr>
          <w:p w14:paraId="414C718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McKenzie et al., 2017; Stenehjem et al., 2024</w:t>
            </w:r>
          </w:p>
        </w:tc>
      </w:tr>
      <w:tr w:rsidR="003D430B" w:rsidRPr="003D430B" w14:paraId="789ED317" w14:textId="77777777" w:rsidTr="00E5790D">
        <w:tc>
          <w:tcPr>
            <w:tcW w:w="2127" w:type="dxa"/>
            <w:hideMark/>
          </w:tcPr>
          <w:p w14:paraId="4DA03E7C"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Russia (Siberia / Arctic regions)</w:t>
            </w:r>
          </w:p>
        </w:tc>
        <w:tc>
          <w:tcPr>
            <w:tcW w:w="3075" w:type="dxa"/>
            <w:hideMark/>
          </w:tcPr>
          <w:p w14:paraId="1789EBA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Pipeline corrosion in cold environments and inadequate waste management</w:t>
            </w:r>
          </w:p>
        </w:tc>
        <w:tc>
          <w:tcPr>
            <w:tcW w:w="0" w:type="auto"/>
            <w:hideMark/>
          </w:tcPr>
          <w:p w14:paraId="2122EA0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Elevated heavy-metal exposure, immune dysfunction, endocrine and thyroid disturbances in indigenous populations</w:t>
            </w:r>
          </w:p>
        </w:tc>
        <w:tc>
          <w:tcPr>
            <w:tcW w:w="2634" w:type="dxa"/>
            <w:hideMark/>
          </w:tcPr>
          <w:p w14:paraId="5379898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Marinho-Reis et al., 2022; Montano et al., 2025</w:t>
            </w:r>
          </w:p>
        </w:tc>
      </w:tr>
    </w:tbl>
    <w:p w14:paraId="001516A4" w14:textId="77777777" w:rsidR="00D83C25" w:rsidRDefault="00D83C25" w:rsidP="00D83C25"/>
    <w:p w14:paraId="441239AA" w14:textId="77777777" w:rsidR="00D83C25" w:rsidRDefault="00D83C25" w:rsidP="00D83C25">
      <w:pPr>
        <w:pStyle w:val="NormalWeb"/>
        <w:jc w:val="both"/>
      </w:pPr>
      <w:r>
        <w:lastRenderedPageBreak/>
        <w:t>As illustrated in Table 10, the pattern across all oil-producing regions underscores the biomedical implications of pipeline integrity failure and technological innovations that prioritize durability over biocompatibility. In Nigeria’s Niger Delta, for instance, continuous oil leaks have turned subsistence farmlands into toxic zones where benzene and PAHs persist for decades. The resulting public health catastrophe includes genetic mutations, respiratory distress, and reproductive anomalies (</w:t>
      </w:r>
      <w:proofErr w:type="spellStart"/>
      <w:r>
        <w:t>Nriagu</w:t>
      </w:r>
      <w:proofErr w:type="spellEnd"/>
      <w:r>
        <w:t xml:space="preserve"> et al., 2016; </w:t>
      </w:r>
      <w:proofErr w:type="spellStart"/>
      <w:r>
        <w:t>Morakinyo</w:t>
      </w:r>
      <w:proofErr w:type="spellEnd"/>
      <w:r>
        <w:t xml:space="preserve"> et al., 2016). In Angola and India, the contamination of aquatic food chains by pipeline effluents leads to </w:t>
      </w:r>
      <w:proofErr w:type="spellStart"/>
      <w:r>
        <w:t>bioaccumulative</w:t>
      </w:r>
      <w:proofErr w:type="spellEnd"/>
      <w:r>
        <w:t xml:space="preserve"> toxicity, especially in children and pregnant women (Montano et al., 2025; Moradi et al., 2025). Similarly, VOC and heavy metal exposures associated with petroleum activities contribute to chronic respiratory, endocrine, and neurological effects (Liu et al., 2021; </w:t>
      </w:r>
      <w:proofErr w:type="spellStart"/>
      <w:r>
        <w:t>Nanadeinboemi</w:t>
      </w:r>
      <w:proofErr w:type="spellEnd"/>
      <w:r>
        <w:t xml:space="preserve"> et al., 2024).</w:t>
      </w:r>
    </w:p>
    <w:p w14:paraId="0A3B0F6C" w14:textId="77777777" w:rsidR="00D83C25" w:rsidRPr="00D83C25" w:rsidRDefault="00D83C25" w:rsidP="00D83C25">
      <w:pPr>
        <w:pStyle w:val="NormalWeb"/>
        <w:jc w:val="both"/>
      </w:pPr>
      <w:r>
        <w:t xml:space="preserve">In technologically advanced nations such as the United States and Norway, where laser-based maintenance and smart coatings are adopted, the risk shifts toward nanotoxicity and neurological fatigue due to prolonged nanoparticle and electromagnetic exposure (Li et al., 2022; Chen et al., 2023). Even pipelines in Arctic or extreme environments, though equipped with corrosion-resistant systems, can result in persistent chemical and heavy metal contamination, illustrating that material innovation does not guarantee human safety (Adegboye et al., 2019; </w:t>
      </w:r>
      <w:proofErr w:type="spellStart"/>
      <w:r>
        <w:t>Muvel</w:t>
      </w:r>
      <w:proofErr w:type="spellEnd"/>
      <w:r>
        <w:t xml:space="preserve"> et al., 2025). In essence, the evidence confirms that pipeline innovation has not resolved the core issue of </w:t>
      </w:r>
      <w:proofErr w:type="spellStart"/>
      <w:r>
        <w:t>biotoxic</w:t>
      </w:r>
      <w:proofErr w:type="spellEnd"/>
      <w:r>
        <w:t xml:space="preserve"> exposure; it has merely changed its form from crude oil spills to chronic nano-scale and chemical contamination, threatening both human health and ecosystem integrity.</w:t>
      </w:r>
    </w:p>
    <w:p w14:paraId="16CB4920" w14:textId="77777777" w:rsidR="0067191F" w:rsidRPr="00744E72" w:rsidRDefault="008A6011" w:rsidP="004E13F7">
      <w:pPr>
        <w:pStyle w:val="Heading1"/>
      </w:pPr>
      <w:r>
        <w:rPr>
          <w:rStyle w:val="Strong"/>
          <w:b/>
          <w:bCs w:val="0"/>
        </w:rPr>
        <w:t>4</w:t>
      </w:r>
      <w:r w:rsidR="003F0F78">
        <w:rPr>
          <w:rStyle w:val="Strong"/>
          <w:b/>
          <w:bCs w:val="0"/>
        </w:rPr>
        <w:t xml:space="preserve">.1 </w:t>
      </w:r>
      <w:r w:rsidR="0067191F" w:rsidRPr="00744E72">
        <w:rPr>
          <w:rStyle w:val="Strong"/>
          <w:b/>
          <w:bCs w:val="0"/>
        </w:rPr>
        <w:t>Comparative Insights: Industrial Safety and Biomedical Engineering</w:t>
      </w:r>
    </w:p>
    <w:p w14:paraId="0FC10E85" w14:textId="77777777" w:rsidR="00D83C25" w:rsidRDefault="00D83C25" w:rsidP="00D83C25">
      <w:pPr>
        <w:pStyle w:val="NormalWeb"/>
        <w:jc w:val="both"/>
      </w:pPr>
      <w:r>
        <w:t>The conceptual intersection between pipeline integrity management and biomedical system reliability lies in their mutual dependence on structural integrity, corrosion control, and predictive diagnostics. In both domains, failure can trigger cascading consequences, whether environmental or physiological. The notion of “systemic resilience,” widely discussed in industrial engineering, aligns with biomedical resilience in maintaining homeostasis under stress (Adegboye et al., 2019; Li et al., 2022).</w:t>
      </w:r>
    </w:p>
    <w:p w14:paraId="7C56B923" w14:textId="77777777" w:rsidR="00D83C25" w:rsidRPr="00D83C25" w:rsidRDefault="00D83C25" w:rsidP="00D83C25">
      <w:pPr>
        <w:pStyle w:val="NormalWeb"/>
        <w:jc w:val="both"/>
      </w:pPr>
      <w:r>
        <w:t>In Norway, the offshore petroleum sector’s use of redundant sensors and automated monitoring parallels redundant feedback loops in biological regulation (Chen et al., 2023; Tanimola &amp; Witts, 2009). Similarly, Nigeria’s adoption of corrosion-resistant composite pipes mirrors the biomedical shift toward biocompatible composite implants (</w:t>
      </w:r>
      <w:proofErr w:type="spellStart"/>
      <w:r>
        <w:t>Muvel</w:t>
      </w:r>
      <w:proofErr w:type="spellEnd"/>
      <w:r>
        <w:t xml:space="preserve"> et al., 2025; Montano et al., 2025). In both disciplines, materials science serves as a critical bridge between technology and life sciences, emphasizing the shared goal of reliability, safety, and long-term functionality.</w:t>
      </w:r>
    </w:p>
    <w:p w14:paraId="26097618" w14:textId="77777777" w:rsidR="0079336D" w:rsidRDefault="008A6011" w:rsidP="008518E1">
      <w:pPr>
        <w:pStyle w:val="Heading3"/>
        <w:ind w:hanging="709"/>
        <w:rPr>
          <w:rStyle w:val="Strong"/>
          <w:bCs/>
        </w:rPr>
      </w:pPr>
      <w:r>
        <w:rPr>
          <w:rStyle w:val="Strong"/>
          <w:bCs/>
        </w:rPr>
        <w:t>4</w:t>
      </w:r>
      <w:r w:rsidR="0079336D">
        <w:rPr>
          <w:rStyle w:val="Strong"/>
          <w:bCs/>
        </w:rPr>
        <w:t>.</w:t>
      </w:r>
      <w:r w:rsidR="00A9506A">
        <w:rPr>
          <w:rStyle w:val="Strong"/>
          <w:bCs/>
        </w:rPr>
        <w:t xml:space="preserve">1.1 </w:t>
      </w:r>
      <w:r w:rsidR="008A6B1A">
        <w:rPr>
          <w:rStyle w:val="Strong"/>
          <w:bCs/>
        </w:rPr>
        <w:t>Excerpts of key f</w:t>
      </w:r>
      <w:r w:rsidR="0079336D" w:rsidRPr="0079336D">
        <w:rPr>
          <w:rStyle w:val="Strong"/>
          <w:bCs/>
        </w:rPr>
        <w:t>indings</w:t>
      </w:r>
    </w:p>
    <w:p w14:paraId="54042C4B" w14:textId="77777777" w:rsidR="00D83C25" w:rsidRDefault="00D83C25" w:rsidP="00D83C25">
      <w:pPr>
        <w:pStyle w:val="NormalWeb"/>
        <w:numPr>
          <w:ilvl w:val="0"/>
          <w:numId w:val="29"/>
        </w:numPr>
        <w:jc w:val="both"/>
      </w:pPr>
      <w:r>
        <w:rPr>
          <w:rStyle w:val="Strong"/>
        </w:rPr>
        <w:t>Pipeline Integrity and Human Exposure:</w:t>
      </w:r>
      <w:r>
        <w:t xml:space="preserve"> The review underscores that corrosion, mechanical fatigue, and leakages remain the principal drivers of environmental contamination. In the Niger Delta, Nigeria, decades of pipeline degradation have resulted in chronic benzene and polycyclic aromatic hydrocarbon (PAH) exposure, manifesting in leukemia, aplastic anemia, and reproductive disorders (</w:t>
      </w:r>
      <w:proofErr w:type="spellStart"/>
      <w:r>
        <w:t>Nriagu</w:t>
      </w:r>
      <w:proofErr w:type="spellEnd"/>
      <w:r>
        <w:t xml:space="preserve"> et al., 2016; Moradi et al., 2025). Comparable patterns are observed in Angola, India, and the United States, demonstrating that pipeline failures transcend national and economic boundaries, affecting </w:t>
      </w:r>
      <w:r>
        <w:lastRenderedPageBreak/>
        <w:t>both industrial workers and adjacent communities (</w:t>
      </w:r>
      <w:proofErr w:type="spellStart"/>
      <w:r>
        <w:t>Ngweme</w:t>
      </w:r>
      <w:proofErr w:type="spellEnd"/>
      <w:r>
        <w:t xml:space="preserve"> et al., 2020; </w:t>
      </w:r>
      <w:proofErr w:type="spellStart"/>
      <w:r>
        <w:t>Onyije</w:t>
      </w:r>
      <w:proofErr w:type="spellEnd"/>
      <w:r>
        <w:t xml:space="preserve"> et al., 2021).</w:t>
      </w:r>
    </w:p>
    <w:p w14:paraId="3F240E37" w14:textId="77777777" w:rsidR="00D83C25" w:rsidRDefault="00D83C25" w:rsidP="00D83C25">
      <w:pPr>
        <w:pStyle w:val="NormalWeb"/>
        <w:numPr>
          <w:ilvl w:val="0"/>
          <w:numId w:val="29"/>
        </w:numPr>
        <w:jc w:val="both"/>
      </w:pPr>
      <w:r>
        <w:rPr>
          <w:rStyle w:val="Strong"/>
        </w:rPr>
        <w:t>Technological Innovations and Secondary Health Risks:</w:t>
      </w:r>
      <w:r>
        <w:t xml:space="preserve"> While innovations such as graphene-oxide coatings, nanoceramic composites, biopolymer linings, and smart sensors were designed to improve durability and operational efficiency, they introduce novel exposure pathways. Nanoparticle release, electromagnetic emissions, and chemical leachates from advanced materials have been associated with oxidative stress, DNA damage, endocrine disruption, and neurological fatigue (Liu et al., 2021; Rahman &amp; Chen, 2023). These findings reveal a paradox: technological progress in pipeline infrastructure may inadvertently exacerbate biomedical risks unless human health considerations are embedded into design and operational protocols (Li et al., 2022; Montano et al., 2025).</w:t>
      </w:r>
    </w:p>
    <w:p w14:paraId="65422D11" w14:textId="77777777" w:rsidR="00D83C25" w:rsidRDefault="00D83C25" w:rsidP="00D83C25">
      <w:pPr>
        <w:pStyle w:val="NormalWeb"/>
        <w:numPr>
          <w:ilvl w:val="0"/>
          <w:numId w:val="29"/>
        </w:numPr>
        <w:jc w:val="both"/>
      </w:pPr>
      <w:r>
        <w:rPr>
          <w:rStyle w:val="Strong"/>
        </w:rPr>
        <w:t>Occupational and Community Health Burdens:</w:t>
      </w:r>
      <w:r>
        <w:t xml:space="preserve"> Workers in pipeline maintenance and refineries are at the frontline of exposure to chemical, nano-scale, and radiative hazards, while communities along pipeline corridors endure chronic environmental contamination. Data from Saudi Arabia, Norway, and the United States demonstrate that even highly regulated systems are not immune to subclinical health impacts, including pulmonary fibrosis, minor genetic mutations, and cardiovascular stress (Hassan et al., 2022; Usman et al., 2023; </w:t>
      </w:r>
      <w:proofErr w:type="spellStart"/>
      <w:r>
        <w:t>Abousnina</w:t>
      </w:r>
      <w:proofErr w:type="spellEnd"/>
      <w:r>
        <w:t xml:space="preserve"> et al., 2025). In developing countries, weaker regulatory frameworks amplify the magnitude and persistence of biomedical harm (Ezugwu &amp; Nwachukwu, 2021).</w:t>
      </w:r>
    </w:p>
    <w:p w14:paraId="36C7E441" w14:textId="77777777" w:rsidR="00D83C25" w:rsidRPr="00D83C25" w:rsidRDefault="00D83C25" w:rsidP="00D83C25">
      <w:pPr>
        <w:pStyle w:val="NormalWeb"/>
        <w:numPr>
          <w:ilvl w:val="0"/>
          <w:numId w:val="29"/>
        </w:numPr>
        <w:jc w:val="both"/>
      </w:pPr>
      <w:r>
        <w:rPr>
          <w:rStyle w:val="Strong"/>
        </w:rPr>
        <w:t>Global Patterns and Comparative Analysis:</w:t>
      </w:r>
      <w:r>
        <w:t xml:space="preserve"> A comparative assessment across continents indicates a consistent theme: biomedical consequences are globally pervasive, but their severity is modulated by regulatory oversight, material standards, and community engagement. High-income nations mitigate some risks through robust monitoring and occupational health systems, while low- and middle-income countries, particularly in Africa and Asia, face compounded risks due to technological adoption without concurrent health safeguards (Pereira &amp; Santos, 2020; Giwa et al., 2019).</w:t>
      </w:r>
    </w:p>
    <w:p w14:paraId="2D8C6DDA" w14:textId="77777777" w:rsidR="0079336D" w:rsidRPr="0079336D" w:rsidRDefault="008A6011" w:rsidP="001A245E">
      <w:pPr>
        <w:pStyle w:val="Heading3"/>
        <w:ind w:hanging="709"/>
      </w:pPr>
      <w:r>
        <w:rPr>
          <w:rStyle w:val="Strong"/>
          <w:bCs/>
        </w:rPr>
        <w:t>4</w:t>
      </w:r>
      <w:r w:rsidR="00A9506A">
        <w:rPr>
          <w:rStyle w:val="Strong"/>
          <w:bCs/>
        </w:rPr>
        <w:t>.1.2</w:t>
      </w:r>
      <w:r w:rsidR="0079336D">
        <w:rPr>
          <w:rStyle w:val="Strong"/>
          <w:bCs/>
        </w:rPr>
        <w:t xml:space="preserve"> </w:t>
      </w:r>
      <w:r w:rsidR="0079336D" w:rsidRPr="0079336D">
        <w:rPr>
          <w:rStyle w:val="Strong"/>
          <w:bCs/>
        </w:rPr>
        <w:t xml:space="preserve">Critical </w:t>
      </w:r>
      <w:r w:rsidR="004A4E82" w:rsidRPr="0079336D">
        <w:rPr>
          <w:rStyle w:val="Strong"/>
          <w:bCs/>
        </w:rPr>
        <w:t>gaps in research and policy</w:t>
      </w:r>
    </w:p>
    <w:p w14:paraId="7F5F0EAC" w14:textId="77777777" w:rsidR="0079336D" w:rsidRPr="0079336D" w:rsidRDefault="0079336D" w:rsidP="001A245E">
      <w:pPr>
        <w:pStyle w:val="NormalWeb"/>
        <w:ind w:left="-709"/>
        <w:jc w:val="both"/>
      </w:pPr>
      <w:r w:rsidRPr="0079336D">
        <w:t xml:space="preserve">Despite the growing evidence base, </w:t>
      </w:r>
      <w:r w:rsidRPr="0079336D">
        <w:rPr>
          <w:rStyle w:val="Strong"/>
          <w:b w:val="0"/>
        </w:rPr>
        <w:t>significant gaps remain</w:t>
      </w:r>
      <w:r w:rsidRPr="0079336D">
        <w:t xml:space="preserve"> in understanding the full spectrum of biomedical implications of pipeline infrastructure:</w:t>
      </w:r>
      <w:r w:rsidR="00666D19">
        <w:t xml:space="preserve"> </w:t>
      </w:r>
    </w:p>
    <w:p w14:paraId="7CC2CB73" w14:textId="77777777" w:rsidR="0079336D" w:rsidRDefault="0079336D" w:rsidP="00002714">
      <w:pPr>
        <w:pStyle w:val="NormalWeb"/>
        <w:numPr>
          <w:ilvl w:val="0"/>
          <w:numId w:val="13"/>
        </w:numPr>
        <w:tabs>
          <w:tab w:val="clear" w:pos="720"/>
        </w:tabs>
        <w:ind w:left="-284" w:hanging="294"/>
        <w:jc w:val="both"/>
      </w:pPr>
      <w:r w:rsidRPr="0079336D">
        <w:rPr>
          <w:rStyle w:val="Strong"/>
          <w:b w:val="0"/>
        </w:rPr>
        <w:t>Long-Term Nanotoxicology:</w:t>
      </w:r>
      <w:r w:rsidRPr="0079336D">
        <w:t xml:space="preserve"> The chronic health effects of nanomaterial exposure from pipeline co</w:t>
      </w:r>
      <w:r w:rsidR="00EE306E">
        <w:t xml:space="preserve">atings remain poorly </w:t>
      </w:r>
      <w:proofErr w:type="spellStart"/>
      <w:r w:rsidR="00EE306E">
        <w:t>characteris</w:t>
      </w:r>
      <w:r w:rsidRPr="0079336D">
        <w:t>ed</w:t>
      </w:r>
      <w:proofErr w:type="spellEnd"/>
      <w:r w:rsidRPr="0079336D">
        <w:t xml:space="preserve">. Most studies focus on </w:t>
      </w:r>
      <w:r w:rsidRPr="0079336D">
        <w:rPr>
          <w:rStyle w:val="Strong"/>
          <w:b w:val="0"/>
        </w:rPr>
        <w:t>short-term respiratory or oxidative outcomes</w:t>
      </w:r>
      <w:r w:rsidRPr="0079336D">
        <w:t xml:space="preserve">, leaving </w:t>
      </w:r>
      <w:r w:rsidR="00605569">
        <w:rPr>
          <w:rStyle w:val="Strong"/>
          <w:b w:val="0"/>
        </w:rPr>
        <w:t>epigenetic, reproductive</w:t>
      </w:r>
      <w:r w:rsidRPr="0079336D">
        <w:rPr>
          <w:rStyle w:val="Strong"/>
          <w:b w:val="0"/>
        </w:rPr>
        <w:t xml:space="preserve"> and transgenerational impacts</w:t>
      </w:r>
      <w:r w:rsidRPr="0079336D">
        <w:t xml:space="preserve"> understudied.</w:t>
      </w:r>
    </w:p>
    <w:p w14:paraId="5803FB6E" w14:textId="77777777" w:rsidR="0079336D" w:rsidRDefault="0079336D" w:rsidP="00002714">
      <w:pPr>
        <w:pStyle w:val="NormalWeb"/>
        <w:numPr>
          <w:ilvl w:val="0"/>
          <w:numId w:val="13"/>
        </w:numPr>
        <w:tabs>
          <w:tab w:val="clear" w:pos="720"/>
        </w:tabs>
        <w:ind w:left="-284" w:hanging="294"/>
        <w:jc w:val="both"/>
      </w:pPr>
      <w:r w:rsidRPr="00002714">
        <w:rPr>
          <w:rStyle w:val="Strong"/>
          <w:b w:val="0"/>
        </w:rPr>
        <w:t>Cumulative Exposure Assessments:</w:t>
      </w:r>
      <w:r w:rsidRPr="0079336D">
        <w:t xml:space="preserve"> Current biomedical research often isolates single chemicals or nanoparticles, failing to account for </w:t>
      </w:r>
      <w:r w:rsidRPr="00002714">
        <w:rPr>
          <w:rStyle w:val="Strong"/>
          <w:b w:val="0"/>
        </w:rPr>
        <w:t>synergistic effects</w:t>
      </w:r>
      <w:r w:rsidRPr="0079336D">
        <w:t xml:space="preserve"> from multiple contaminants (hydrocarbons, heavy metals, nanomaterials, EMFs).</w:t>
      </w:r>
    </w:p>
    <w:p w14:paraId="2BD18028" w14:textId="77777777" w:rsidR="0079336D" w:rsidRDefault="0079336D" w:rsidP="00002714">
      <w:pPr>
        <w:pStyle w:val="NormalWeb"/>
        <w:numPr>
          <w:ilvl w:val="0"/>
          <w:numId w:val="13"/>
        </w:numPr>
        <w:tabs>
          <w:tab w:val="clear" w:pos="720"/>
        </w:tabs>
        <w:ind w:left="-284" w:hanging="294"/>
        <w:jc w:val="both"/>
      </w:pPr>
      <w:r w:rsidRPr="00002714">
        <w:rPr>
          <w:rStyle w:val="Strong"/>
          <w:b w:val="0"/>
        </w:rPr>
        <w:t>Community-Level Health Surveillance:</w:t>
      </w:r>
      <w:r w:rsidRPr="0079336D">
        <w:t xml:space="preserve"> Especially in African oil-producing regions, </w:t>
      </w:r>
      <w:r w:rsidRPr="00002714">
        <w:rPr>
          <w:rStyle w:val="Strong"/>
          <w:b w:val="0"/>
        </w:rPr>
        <w:t>comprehensive biomonitoring of communities near pipelines</w:t>
      </w:r>
      <w:r w:rsidRPr="0079336D">
        <w:t xml:space="preserve"> is scarce. Data gaps hinder evidence-based policymaking and </w:t>
      </w:r>
      <w:r w:rsidRPr="00002714">
        <w:rPr>
          <w:rStyle w:val="Strong"/>
          <w:b w:val="0"/>
        </w:rPr>
        <w:t>prevent early interventions</w:t>
      </w:r>
      <w:r w:rsidRPr="0079336D">
        <w:t>.</w:t>
      </w:r>
    </w:p>
    <w:p w14:paraId="1F2E462A" w14:textId="77777777" w:rsidR="0079336D" w:rsidRDefault="0079336D" w:rsidP="00002714">
      <w:pPr>
        <w:pStyle w:val="NormalWeb"/>
        <w:numPr>
          <w:ilvl w:val="0"/>
          <w:numId w:val="13"/>
        </w:numPr>
        <w:tabs>
          <w:tab w:val="clear" w:pos="720"/>
        </w:tabs>
        <w:ind w:left="-284" w:hanging="294"/>
        <w:jc w:val="both"/>
      </w:pPr>
      <w:r w:rsidRPr="00002714">
        <w:rPr>
          <w:rStyle w:val="Strong"/>
          <w:b w:val="0"/>
        </w:rPr>
        <w:t>Integration of Material Innovation with Public Health:</w:t>
      </w:r>
      <w:r w:rsidRPr="0079336D">
        <w:t xml:space="preserve"> Although engineering innovations focus on mechanical durability, </w:t>
      </w:r>
      <w:r w:rsidRPr="00002714">
        <w:rPr>
          <w:rStyle w:val="Strong"/>
          <w:b w:val="0"/>
        </w:rPr>
        <w:t>systematic evaluation of human and ecological health impacts is limited</w:t>
      </w:r>
      <w:r w:rsidRPr="0079336D">
        <w:t>, particularly in developing countries.</w:t>
      </w:r>
    </w:p>
    <w:p w14:paraId="4D46859C" w14:textId="77777777" w:rsidR="00002714" w:rsidRDefault="0079336D" w:rsidP="00B119F0">
      <w:pPr>
        <w:pStyle w:val="NormalWeb"/>
        <w:numPr>
          <w:ilvl w:val="0"/>
          <w:numId w:val="13"/>
        </w:numPr>
        <w:tabs>
          <w:tab w:val="clear" w:pos="720"/>
        </w:tabs>
        <w:ind w:left="-284" w:hanging="294"/>
        <w:jc w:val="both"/>
      </w:pPr>
      <w:r w:rsidRPr="00002714">
        <w:rPr>
          <w:rStyle w:val="Strong"/>
          <w:b w:val="0"/>
        </w:rPr>
        <w:lastRenderedPageBreak/>
        <w:t>Policy Implementation Barriers:</w:t>
      </w:r>
      <w:r w:rsidRPr="0079336D">
        <w:t xml:space="preserve"> Weak enforcement, insufficient cross-sectoral collaboration, and inadequate stakeholder engagement reduce the effectiveness of even well-intentioned regulatory frameworks.</w:t>
      </w:r>
    </w:p>
    <w:p w14:paraId="25808F09" w14:textId="77777777" w:rsidR="0079336D" w:rsidRPr="0079336D" w:rsidRDefault="0079336D" w:rsidP="00B119F0">
      <w:pPr>
        <w:pStyle w:val="NormalWeb"/>
        <w:numPr>
          <w:ilvl w:val="0"/>
          <w:numId w:val="13"/>
        </w:numPr>
        <w:tabs>
          <w:tab w:val="clear" w:pos="720"/>
        </w:tabs>
        <w:ind w:left="-284" w:hanging="294"/>
        <w:jc w:val="both"/>
      </w:pPr>
      <w:r w:rsidRPr="0079336D">
        <w:t xml:space="preserve">Addressing these gaps requires </w:t>
      </w:r>
      <w:r w:rsidRPr="00002714">
        <w:rPr>
          <w:rStyle w:val="Strong"/>
          <w:b w:val="0"/>
        </w:rPr>
        <w:t>interdisciplinary research</w:t>
      </w:r>
      <w:r w:rsidRPr="0079336D">
        <w:t xml:space="preserve">, integrating </w:t>
      </w:r>
      <w:r w:rsidRPr="00002714">
        <w:rPr>
          <w:rStyle w:val="Strong"/>
          <w:b w:val="0"/>
        </w:rPr>
        <w:t>materials science, biomedical toxico</w:t>
      </w:r>
      <w:r w:rsidR="00605569">
        <w:rPr>
          <w:rStyle w:val="Strong"/>
          <w:b w:val="0"/>
        </w:rPr>
        <w:t xml:space="preserve">logy, environmental monitoring </w:t>
      </w:r>
      <w:r w:rsidRPr="00002714">
        <w:rPr>
          <w:rStyle w:val="Strong"/>
          <w:b w:val="0"/>
        </w:rPr>
        <w:t>and social epidemiology</w:t>
      </w:r>
      <w:r w:rsidR="00C54F6E">
        <w:t xml:space="preserve"> </w:t>
      </w:r>
      <w:r w:rsidRPr="0079336D">
        <w:t>to generate actionable insights for safer infrastructure design.</w:t>
      </w:r>
    </w:p>
    <w:p w14:paraId="4FFC0C2F" w14:textId="77777777" w:rsidR="0079336D" w:rsidRPr="0079336D" w:rsidRDefault="008A6011" w:rsidP="00BA6E02">
      <w:pPr>
        <w:pStyle w:val="Heading3"/>
        <w:ind w:hanging="709"/>
      </w:pPr>
      <w:r>
        <w:rPr>
          <w:rStyle w:val="Strong"/>
          <w:bCs/>
        </w:rPr>
        <w:t>4</w:t>
      </w:r>
      <w:r w:rsidR="006B116B">
        <w:rPr>
          <w:rStyle w:val="Strong"/>
          <w:bCs/>
        </w:rPr>
        <w:t xml:space="preserve">.1.3 </w:t>
      </w:r>
      <w:r w:rsidR="0079336D" w:rsidRPr="0079336D">
        <w:rPr>
          <w:rStyle w:val="Strong"/>
          <w:bCs/>
        </w:rPr>
        <w:t>Future Research</w:t>
      </w:r>
    </w:p>
    <w:p w14:paraId="136C3E98" w14:textId="77777777" w:rsidR="00A74F29" w:rsidRPr="00A74F29" w:rsidRDefault="00A74F29" w:rsidP="00A74F29">
      <w:pPr>
        <w:pStyle w:val="NormalWeb"/>
        <w:ind w:left="-709"/>
        <w:jc w:val="both"/>
        <w:rPr>
          <w:rStyle w:val="Strong"/>
          <w:b w:val="0"/>
          <w:bCs w:val="0"/>
        </w:rPr>
      </w:pPr>
      <w:r>
        <w:rPr>
          <w:rStyle w:val="Strong"/>
          <w:b w:val="0"/>
          <w:bCs w:val="0"/>
        </w:rPr>
        <w:t>This review paper has provided a limelight on the several consequences of weak pipeline-infrastructure integrity, the following suggestions are made for further research activities for enhanced integrity of pipelines and other infrastructures in the petroleum industr</w:t>
      </w:r>
      <w:r w:rsidR="005E54E2">
        <w:rPr>
          <w:rStyle w:val="Strong"/>
          <w:b w:val="0"/>
          <w:bCs w:val="0"/>
        </w:rPr>
        <w:t>y</w:t>
      </w:r>
      <w:r w:rsidR="003A2D17">
        <w:rPr>
          <w:rStyle w:val="Strong"/>
          <w:b w:val="0"/>
          <w:bCs w:val="0"/>
        </w:rPr>
        <w:t>:</w:t>
      </w:r>
    </w:p>
    <w:p w14:paraId="3AAA06B0" w14:textId="77777777" w:rsidR="0079336D" w:rsidRDefault="0079336D" w:rsidP="001551B9">
      <w:pPr>
        <w:pStyle w:val="NormalWeb"/>
        <w:numPr>
          <w:ilvl w:val="0"/>
          <w:numId w:val="14"/>
        </w:numPr>
        <w:tabs>
          <w:tab w:val="clear" w:pos="720"/>
        </w:tabs>
        <w:ind w:left="-426" w:hanging="141"/>
        <w:jc w:val="both"/>
      </w:pPr>
      <w:r w:rsidRPr="0079336D">
        <w:rPr>
          <w:rStyle w:val="Strong"/>
          <w:b w:val="0"/>
        </w:rPr>
        <w:t>Nanomaterial Lifecycle Studies:</w:t>
      </w:r>
      <w:r w:rsidRPr="0079336D">
        <w:t xml:space="preserve"> Longitudinal studies should quantify </w:t>
      </w:r>
      <w:r w:rsidRPr="0079336D">
        <w:rPr>
          <w:rStyle w:val="Strong"/>
          <w:b w:val="0"/>
        </w:rPr>
        <w:t>nanoparticle release during pipeline maint</w:t>
      </w:r>
      <w:r w:rsidR="005E54E2">
        <w:rPr>
          <w:rStyle w:val="Strong"/>
          <w:b w:val="0"/>
        </w:rPr>
        <w:t>enance, operational degradation</w:t>
      </w:r>
      <w:r w:rsidRPr="0079336D">
        <w:rPr>
          <w:rStyle w:val="Strong"/>
          <w:b w:val="0"/>
        </w:rPr>
        <w:t xml:space="preserve"> and disposal</w:t>
      </w:r>
      <w:r w:rsidRPr="0079336D">
        <w:t xml:space="preserve">, correlating exposure levels with </w:t>
      </w:r>
      <w:r w:rsidRPr="0079336D">
        <w:rPr>
          <w:rStyle w:val="Strong"/>
          <w:b w:val="0"/>
        </w:rPr>
        <w:t>biomedical biomarkers</w:t>
      </w:r>
      <w:r w:rsidRPr="0079336D">
        <w:t xml:space="preserve"> in occupational and community populations.</w:t>
      </w:r>
    </w:p>
    <w:p w14:paraId="27CF73FE" w14:textId="77777777" w:rsidR="00735CE7" w:rsidRDefault="0079336D" w:rsidP="00735CE7">
      <w:pPr>
        <w:pStyle w:val="NormalWeb"/>
        <w:numPr>
          <w:ilvl w:val="0"/>
          <w:numId w:val="14"/>
        </w:numPr>
        <w:tabs>
          <w:tab w:val="clear" w:pos="720"/>
        </w:tabs>
        <w:ind w:left="-426" w:hanging="141"/>
        <w:jc w:val="both"/>
      </w:pPr>
      <w:r w:rsidRPr="001551B9">
        <w:rPr>
          <w:rStyle w:val="Strong"/>
          <w:b w:val="0"/>
        </w:rPr>
        <w:t>Multi-Contaminant Risk Mode</w:t>
      </w:r>
      <w:r w:rsidR="00F868C4">
        <w:rPr>
          <w:rStyle w:val="Strong"/>
          <w:b w:val="0"/>
        </w:rPr>
        <w:t>l</w:t>
      </w:r>
      <w:r w:rsidRPr="001551B9">
        <w:rPr>
          <w:rStyle w:val="Strong"/>
          <w:b w:val="0"/>
        </w:rPr>
        <w:t>ling:</w:t>
      </w:r>
      <w:r w:rsidRPr="0079336D">
        <w:t xml:space="preserve"> Developing </w:t>
      </w:r>
      <w:r w:rsidRPr="001551B9">
        <w:rPr>
          <w:rStyle w:val="Strong"/>
          <w:b w:val="0"/>
        </w:rPr>
        <w:t>comprehensive exposure models</w:t>
      </w:r>
      <w:r w:rsidRPr="0079336D">
        <w:t xml:space="preserve"> that incorporate hydrocarbons, heavy metals, nanomaterials, and EMFs can help predict </w:t>
      </w:r>
      <w:r w:rsidRPr="001551B9">
        <w:rPr>
          <w:rStyle w:val="Strong"/>
          <w:b w:val="0"/>
        </w:rPr>
        <w:t>cumulative health risks</w:t>
      </w:r>
      <w:r w:rsidRPr="0079336D">
        <w:t>, guiding preventive interventions.</w:t>
      </w:r>
    </w:p>
    <w:p w14:paraId="5CA199E2" w14:textId="77777777" w:rsidR="00735CE7" w:rsidRDefault="0079336D" w:rsidP="00735CE7">
      <w:pPr>
        <w:pStyle w:val="NormalWeb"/>
        <w:numPr>
          <w:ilvl w:val="0"/>
          <w:numId w:val="14"/>
        </w:numPr>
        <w:tabs>
          <w:tab w:val="clear" w:pos="720"/>
        </w:tabs>
        <w:ind w:left="-426" w:hanging="141"/>
        <w:jc w:val="both"/>
      </w:pPr>
      <w:r w:rsidRPr="00735CE7">
        <w:rPr>
          <w:rStyle w:val="Strong"/>
          <w:b w:val="0"/>
        </w:rPr>
        <w:t>Cross-Regional Comparative Studies:</w:t>
      </w:r>
      <w:r w:rsidRPr="0079336D">
        <w:t xml:space="preserve"> Expanding case studies beyond Nigeria, Angola, India, and the United States to include </w:t>
      </w:r>
      <w:r w:rsidRPr="00735CE7">
        <w:rPr>
          <w:rStyle w:val="Strong"/>
          <w:b w:val="0"/>
        </w:rPr>
        <w:t>emerging oil producers in Europe, Asia, and Africa</w:t>
      </w:r>
      <w:r w:rsidRPr="0079336D">
        <w:t xml:space="preserve"> will provide a </w:t>
      </w:r>
      <w:r w:rsidRPr="00735CE7">
        <w:rPr>
          <w:rStyle w:val="Strong"/>
          <w:b w:val="0"/>
        </w:rPr>
        <w:t>holistic understanding of global health impacts</w:t>
      </w:r>
      <w:r w:rsidRPr="0079336D">
        <w:t>.</w:t>
      </w:r>
    </w:p>
    <w:p w14:paraId="3E995F4C" w14:textId="77777777" w:rsidR="0079336D" w:rsidRDefault="0079336D" w:rsidP="00735CE7">
      <w:pPr>
        <w:pStyle w:val="NormalWeb"/>
        <w:numPr>
          <w:ilvl w:val="0"/>
          <w:numId w:val="14"/>
        </w:numPr>
        <w:tabs>
          <w:tab w:val="clear" w:pos="720"/>
        </w:tabs>
        <w:ind w:left="-426" w:hanging="141"/>
        <w:jc w:val="both"/>
      </w:pPr>
      <w:r w:rsidRPr="00735CE7">
        <w:rPr>
          <w:rStyle w:val="Strong"/>
          <w:b w:val="0"/>
        </w:rPr>
        <w:t>Integration of Biomedical Metrics into Engineering Design:</w:t>
      </w:r>
      <w:r w:rsidRPr="0079336D">
        <w:t xml:space="preserve"> Pipeline engineers should incorporate </w:t>
      </w:r>
      <w:r w:rsidRPr="00735CE7">
        <w:rPr>
          <w:rStyle w:val="Strong"/>
          <w:b w:val="0"/>
        </w:rPr>
        <w:t>toxicological safety thresholds</w:t>
      </w:r>
      <w:r w:rsidRPr="0079336D">
        <w:t xml:space="preserve"> into mate</w:t>
      </w:r>
      <w:r w:rsidR="00F868C4">
        <w:t xml:space="preserve">rial selection, coating design </w:t>
      </w:r>
      <w:r w:rsidRPr="0079336D">
        <w:t xml:space="preserve">and maintenance protocols, effectively operationalizing </w:t>
      </w:r>
      <w:r w:rsidRPr="00735CE7">
        <w:rPr>
          <w:rStyle w:val="Strong"/>
          <w:b w:val="0"/>
        </w:rPr>
        <w:t>human-centric infrastructure engineering</w:t>
      </w:r>
      <w:r w:rsidRPr="0079336D">
        <w:t>.</w:t>
      </w:r>
    </w:p>
    <w:p w14:paraId="1CE9CB8A" w14:textId="77777777" w:rsidR="00F868C4" w:rsidRPr="00A9506A" w:rsidRDefault="0079336D" w:rsidP="008972EA">
      <w:pPr>
        <w:pStyle w:val="NormalWeb"/>
        <w:numPr>
          <w:ilvl w:val="0"/>
          <w:numId w:val="14"/>
        </w:numPr>
        <w:tabs>
          <w:tab w:val="clear" w:pos="720"/>
        </w:tabs>
        <w:ind w:left="-426" w:hanging="141"/>
        <w:jc w:val="both"/>
      </w:pPr>
      <w:r w:rsidRPr="00735CE7">
        <w:rPr>
          <w:rStyle w:val="Strong"/>
          <w:b w:val="0"/>
        </w:rPr>
        <w:t>Community-Centric Monitoring Programs:</w:t>
      </w:r>
      <w:r w:rsidRPr="0079336D">
        <w:t xml:space="preserve"> Establishing </w:t>
      </w:r>
      <w:r w:rsidRPr="00735CE7">
        <w:rPr>
          <w:rStyle w:val="Strong"/>
          <w:b w:val="0"/>
        </w:rPr>
        <w:t>local biomonitoring centers</w:t>
      </w:r>
      <w:r w:rsidRPr="0079336D">
        <w:t xml:space="preserve"> in pipeline corridors, especially in under-resourced regions, will facilitate early detection of exposure-related health issues and inform </w:t>
      </w:r>
      <w:r w:rsidRPr="00735CE7">
        <w:rPr>
          <w:rStyle w:val="Strong"/>
          <w:b w:val="0"/>
        </w:rPr>
        <w:t>targeted public health interventions</w:t>
      </w:r>
      <w:r w:rsidRPr="0079336D">
        <w:t>.</w:t>
      </w:r>
    </w:p>
    <w:p w14:paraId="50323A4F" w14:textId="77777777" w:rsidR="0079336D" w:rsidRPr="0079336D" w:rsidRDefault="008A6011" w:rsidP="00F868C4">
      <w:pPr>
        <w:pStyle w:val="Heading3"/>
        <w:ind w:hanging="851"/>
      </w:pPr>
      <w:r>
        <w:rPr>
          <w:rStyle w:val="Strong"/>
          <w:bCs/>
        </w:rPr>
        <w:t>4</w:t>
      </w:r>
      <w:r w:rsidR="006B116B">
        <w:rPr>
          <w:rStyle w:val="Strong"/>
          <w:bCs/>
        </w:rPr>
        <w:t xml:space="preserve">.1.4 </w:t>
      </w:r>
      <w:r w:rsidR="0079336D" w:rsidRPr="0079336D">
        <w:rPr>
          <w:rStyle w:val="Strong"/>
          <w:bCs/>
        </w:rPr>
        <w:t>Pathways for Policy and Industry Alignment</w:t>
      </w:r>
    </w:p>
    <w:p w14:paraId="31F3C5FC" w14:textId="77777777" w:rsidR="0079336D" w:rsidRPr="0079336D" w:rsidRDefault="0079336D" w:rsidP="009C0FD5">
      <w:pPr>
        <w:pStyle w:val="NormalWeb"/>
        <w:ind w:left="-851"/>
        <w:jc w:val="both"/>
      </w:pPr>
      <w:r w:rsidRPr="0079336D">
        <w:t xml:space="preserve">To translate research into actionable outcomes, </w:t>
      </w:r>
      <w:r w:rsidRPr="0079336D">
        <w:rPr>
          <w:rStyle w:val="Strong"/>
          <w:b w:val="0"/>
        </w:rPr>
        <w:t>policy reforms and industry collaboration</w:t>
      </w:r>
      <w:r w:rsidR="00ED3710">
        <w:t xml:space="preserve"> are crucial. Suggestions are made as follows:</w:t>
      </w:r>
    </w:p>
    <w:p w14:paraId="6FFF33DA" w14:textId="77777777" w:rsidR="0079336D" w:rsidRDefault="0079336D" w:rsidP="00B05593">
      <w:pPr>
        <w:pStyle w:val="NormalWeb"/>
        <w:numPr>
          <w:ilvl w:val="0"/>
          <w:numId w:val="15"/>
        </w:numPr>
        <w:tabs>
          <w:tab w:val="clear" w:pos="720"/>
        </w:tabs>
        <w:ind w:left="-142" w:hanging="284"/>
        <w:jc w:val="both"/>
      </w:pPr>
      <w:r w:rsidRPr="0079336D">
        <w:rPr>
          <w:rStyle w:val="Strong"/>
          <w:b w:val="0"/>
        </w:rPr>
        <w:t>Mandatory Health Impact Assessments (HIA):</w:t>
      </w:r>
      <w:r w:rsidRPr="0079336D">
        <w:t xml:space="preserve"> Governments should require HIA before approving new pipelines or retrofitting existing infrastructure, incorporating </w:t>
      </w:r>
      <w:r w:rsidRPr="0079336D">
        <w:rPr>
          <w:rStyle w:val="Strong"/>
          <w:b w:val="0"/>
        </w:rPr>
        <w:t>nano-toxicity and chemical exposure metrics</w:t>
      </w:r>
      <w:r w:rsidRPr="0079336D">
        <w:t>.</w:t>
      </w:r>
    </w:p>
    <w:p w14:paraId="2C753433" w14:textId="77777777" w:rsidR="0079336D" w:rsidRDefault="0079336D" w:rsidP="00B05593">
      <w:pPr>
        <w:pStyle w:val="NormalWeb"/>
        <w:numPr>
          <w:ilvl w:val="0"/>
          <w:numId w:val="15"/>
        </w:numPr>
        <w:tabs>
          <w:tab w:val="clear" w:pos="720"/>
        </w:tabs>
        <w:ind w:left="-142" w:hanging="284"/>
        <w:jc w:val="both"/>
      </w:pPr>
      <w:r w:rsidRPr="00B05593">
        <w:rPr>
          <w:rStyle w:val="Strong"/>
          <w:b w:val="0"/>
        </w:rPr>
        <w:t>Global Best Practice Standards:</w:t>
      </w:r>
      <w:r w:rsidRPr="0079336D">
        <w:t xml:space="preserve"> Lessons</w:t>
      </w:r>
      <w:r w:rsidR="00D10C15">
        <w:t xml:space="preserve"> from Norway, the United States</w:t>
      </w:r>
      <w:r w:rsidRPr="0079336D">
        <w:t xml:space="preserve"> and Saudi Arabia demonstrate the importance of </w:t>
      </w:r>
      <w:r w:rsidR="00A87A40" w:rsidRPr="00B05593">
        <w:rPr>
          <w:rStyle w:val="Strong"/>
          <w:b w:val="0"/>
        </w:rPr>
        <w:t xml:space="preserve">Life-Cycle Assessment </w:t>
      </w:r>
      <w:r w:rsidRPr="00B05593">
        <w:rPr>
          <w:rStyle w:val="Strong"/>
          <w:b w:val="0"/>
        </w:rPr>
        <w:t>(LCA) protocols, o</w:t>
      </w:r>
      <w:r w:rsidR="000B5AE4">
        <w:rPr>
          <w:rStyle w:val="Strong"/>
          <w:b w:val="0"/>
        </w:rPr>
        <w:t>ccupational health surveillance</w:t>
      </w:r>
      <w:r w:rsidRPr="00B05593">
        <w:rPr>
          <w:rStyle w:val="Strong"/>
          <w:b w:val="0"/>
        </w:rPr>
        <w:t xml:space="preserve"> and environmental monitoring</w:t>
      </w:r>
      <w:r w:rsidRPr="0079336D">
        <w:t>, which can be adapted to African and Asian contexts.</w:t>
      </w:r>
    </w:p>
    <w:p w14:paraId="276041B3" w14:textId="77777777" w:rsidR="0079336D" w:rsidRDefault="0079336D" w:rsidP="00B05593">
      <w:pPr>
        <w:pStyle w:val="NormalWeb"/>
        <w:numPr>
          <w:ilvl w:val="0"/>
          <w:numId w:val="15"/>
        </w:numPr>
        <w:tabs>
          <w:tab w:val="clear" w:pos="720"/>
        </w:tabs>
        <w:ind w:left="-142" w:hanging="284"/>
        <w:jc w:val="both"/>
      </w:pPr>
      <w:r w:rsidRPr="00B05593">
        <w:rPr>
          <w:rStyle w:val="Strong"/>
          <w:b w:val="0"/>
        </w:rPr>
        <w:t>Cross-Sectoral Coordination:</w:t>
      </w:r>
      <w:r w:rsidR="008E05B2">
        <w:t xml:space="preserve"> Ministries of health, energy </w:t>
      </w:r>
      <w:r w:rsidRPr="0079336D">
        <w:t xml:space="preserve">and environment must collaborate to ensure </w:t>
      </w:r>
      <w:r w:rsidRPr="00B05593">
        <w:rPr>
          <w:rStyle w:val="Strong"/>
          <w:b w:val="0"/>
        </w:rPr>
        <w:t>holistic oversight</w:t>
      </w:r>
      <w:r w:rsidRPr="0079336D">
        <w:t>, integrating indu</w:t>
      </w:r>
      <w:r w:rsidR="008E05B2">
        <w:t>strial safety, community health</w:t>
      </w:r>
      <w:r w:rsidRPr="0079336D">
        <w:t xml:space="preserve"> and environmental protection.</w:t>
      </w:r>
    </w:p>
    <w:p w14:paraId="32C53A35" w14:textId="77777777" w:rsidR="00D166CF" w:rsidRPr="0079336D" w:rsidRDefault="0079336D" w:rsidP="00016A3C">
      <w:pPr>
        <w:pStyle w:val="NormalWeb"/>
        <w:numPr>
          <w:ilvl w:val="0"/>
          <w:numId w:val="15"/>
        </w:numPr>
        <w:tabs>
          <w:tab w:val="clear" w:pos="720"/>
        </w:tabs>
        <w:ind w:left="-142" w:hanging="284"/>
        <w:jc w:val="both"/>
      </w:pPr>
      <w:r w:rsidRPr="00B05593">
        <w:rPr>
          <w:rStyle w:val="Strong"/>
          <w:b w:val="0"/>
        </w:rPr>
        <w:t>Community Engagement and Transparency:</w:t>
      </w:r>
      <w:r w:rsidRPr="0079336D">
        <w:t xml:space="preserve"> Empowering local communities to </w:t>
      </w:r>
      <w:r w:rsidRPr="00B05593">
        <w:rPr>
          <w:rStyle w:val="Strong"/>
          <w:b w:val="0"/>
        </w:rPr>
        <w:t>report pipeline failures and health anomalies</w:t>
      </w:r>
      <w:r w:rsidRPr="0079336D">
        <w:t xml:space="preserve"> enhances accountability and encourages preventive maintenance.</w:t>
      </w:r>
    </w:p>
    <w:p w14:paraId="5356D659" w14:textId="77777777" w:rsidR="0079336D" w:rsidRPr="00FB54C8" w:rsidRDefault="008A6011" w:rsidP="004E13F7">
      <w:pPr>
        <w:pStyle w:val="Heading1"/>
      </w:pPr>
      <w:r>
        <w:rPr>
          <w:rStyle w:val="Strong"/>
          <w:b/>
          <w:bCs w:val="0"/>
        </w:rPr>
        <w:lastRenderedPageBreak/>
        <w:t>5.</w:t>
      </w:r>
      <w:r w:rsidR="006B116B" w:rsidRPr="00FB54C8">
        <w:rPr>
          <w:rStyle w:val="Strong"/>
          <w:b/>
          <w:bCs w:val="0"/>
        </w:rPr>
        <w:t xml:space="preserve"> </w:t>
      </w:r>
      <w:r w:rsidR="0079336D" w:rsidRPr="00FB54C8">
        <w:rPr>
          <w:rStyle w:val="Strong"/>
          <w:b/>
          <w:bCs w:val="0"/>
        </w:rPr>
        <w:t>Future Directions for Biomedical-Safe Innovations</w:t>
      </w:r>
    </w:p>
    <w:p w14:paraId="4569FF08" w14:textId="77777777" w:rsidR="00BA12A7" w:rsidRDefault="0079336D" w:rsidP="00BA12A7">
      <w:pPr>
        <w:pStyle w:val="NormalWeb"/>
        <w:ind w:left="-993"/>
        <w:jc w:val="both"/>
      </w:pPr>
      <w:r w:rsidRPr="0079336D">
        <w:t>The petroleum industry’s dependence on extensive pipeline networks has long been celebrated for enabling ec</w:t>
      </w:r>
      <w:r w:rsidR="00AE7C1A">
        <w:t xml:space="preserve">onomic growth, energy security </w:t>
      </w:r>
      <w:r w:rsidRPr="0079336D">
        <w:t xml:space="preserve">and industrial development. However, the critical review presented in this paper highlights a </w:t>
      </w:r>
      <w:r w:rsidRPr="0079336D">
        <w:rPr>
          <w:rStyle w:val="Strong"/>
          <w:b w:val="0"/>
        </w:rPr>
        <w:t>less explored</w:t>
      </w:r>
      <w:r w:rsidR="00C11296">
        <w:rPr>
          <w:rStyle w:val="Strong"/>
          <w:b w:val="0"/>
        </w:rPr>
        <w:t>,</w:t>
      </w:r>
      <w:r w:rsidRPr="0079336D">
        <w:rPr>
          <w:rStyle w:val="Strong"/>
          <w:b w:val="0"/>
        </w:rPr>
        <w:t xml:space="preserve"> but highly consequential dimension</w:t>
      </w:r>
      <w:r w:rsidRPr="0079336D">
        <w:t>: the negative biomedical and public health implications of pipeline integrity failures and technological innovations. From Africa to Asia, Europe, and t</w:t>
      </w:r>
      <w:r w:rsidR="00C9359C">
        <w:t xml:space="preserve">he Americas, pipelines </w:t>
      </w:r>
      <w:r w:rsidRPr="0079336D">
        <w:t>despite advancements in corrosion-resistant alloys, nanoceramic coatings, biopolymer linin</w:t>
      </w:r>
      <w:r w:rsidR="00C9359C">
        <w:t xml:space="preserve">gs and smart monitoring systems </w:t>
      </w:r>
      <w:r w:rsidRPr="0079336D">
        <w:t xml:space="preserve">continue to pose </w:t>
      </w:r>
      <w:r w:rsidRPr="0079336D">
        <w:rPr>
          <w:rStyle w:val="Strong"/>
          <w:b w:val="0"/>
        </w:rPr>
        <w:t>multi-faceted risks</w:t>
      </w:r>
      <w:r w:rsidRPr="0079336D">
        <w:t xml:space="preserve"> to human health.</w:t>
      </w:r>
    </w:p>
    <w:p w14:paraId="0E69A290" w14:textId="77777777" w:rsidR="0079336D" w:rsidRPr="0079336D" w:rsidRDefault="0079336D" w:rsidP="00BA12A7">
      <w:pPr>
        <w:pStyle w:val="NormalWeb"/>
        <w:ind w:left="-993"/>
        <w:jc w:val="both"/>
      </w:pPr>
      <w:r w:rsidRPr="0079336D">
        <w:t xml:space="preserve">Technological innovation in pipeline infrastructure must </w:t>
      </w:r>
      <w:r w:rsidRPr="0079336D">
        <w:rPr>
          <w:rStyle w:val="Strong"/>
          <w:b w:val="0"/>
        </w:rPr>
        <w:t>move beyond durability-focused design</w:t>
      </w:r>
      <w:r w:rsidRPr="0079336D">
        <w:t xml:space="preserve"> to embrace </w:t>
      </w:r>
      <w:r w:rsidRPr="0079336D">
        <w:rPr>
          <w:rStyle w:val="Strong"/>
          <w:b w:val="0"/>
        </w:rPr>
        <w:t>biomedically responsible engineering</w:t>
      </w:r>
      <w:r w:rsidRPr="0079336D">
        <w:t>, which includes:</w:t>
      </w:r>
    </w:p>
    <w:p w14:paraId="058E1AD3" w14:textId="77777777" w:rsidR="0079336D" w:rsidRDefault="0079336D" w:rsidP="009E72D9">
      <w:pPr>
        <w:pStyle w:val="NormalWeb"/>
        <w:numPr>
          <w:ilvl w:val="0"/>
          <w:numId w:val="16"/>
        </w:numPr>
        <w:ind w:left="-709" w:hanging="142"/>
        <w:jc w:val="both"/>
      </w:pPr>
      <w:r w:rsidRPr="0079336D">
        <w:rPr>
          <w:rStyle w:val="Strong"/>
          <w:b w:val="0"/>
        </w:rPr>
        <w:t>Low-Toxicity Material Development:</w:t>
      </w:r>
      <w:r w:rsidR="00060E84">
        <w:t xml:space="preserve"> </w:t>
      </w:r>
      <w:proofErr w:type="spellStart"/>
      <w:r w:rsidR="00060E84">
        <w:t>Prioriti</w:t>
      </w:r>
      <w:r w:rsidR="00313F00">
        <w:t>s</w:t>
      </w:r>
      <w:r w:rsidRPr="0079336D">
        <w:t>ing</w:t>
      </w:r>
      <w:proofErr w:type="spellEnd"/>
      <w:r w:rsidRPr="0079336D">
        <w:t xml:space="preserve"> biopolymers and nanomaterials with </w:t>
      </w:r>
      <w:r w:rsidRPr="0079336D">
        <w:rPr>
          <w:rStyle w:val="Strong"/>
          <w:b w:val="0"/>
        </w:rPr>
        <w:t>minimal leachate potential</w:t>
      </w:r>
      <w:r w:rsidRPr="0079336D">
        <w:t xml:space="preserve"> and </w:t>
      </w:r>
      <w:r w:rsidRPr="0079336D">
        <w:rPr>
          <w:rStyle w:val="Strong"/>
          <w:b w:val="0"/>
        </w:rPr>
        <w:t>non-endocrine-disrupting properties</w:t>
      </w:r>
      <w:r w:rsidRPr="0079336D">
        <w:t>.</w:t>
      </w:r>
    </w:p>
    <w:p w14:paraId="37A7C015" w14:textId="77777777" w:rsidR="0079336D" w:rsidRPr="0079336D" w:rsidRDefault="0079336D" w:rsidP="00016A3C">
      <w:pPr>
        <w:pStyle w:val="NormalWeb"/>
        <w:numPr>
          <w:ilvl w:val="0"/>
          <w:numId w:val="16"/>
        </w:numPr>
        <w:ind w:left="-709" w:hanging="142"/>
        <w:jc w:val="both"/>
      </w:pPr>
      <w:r w:rsidRPr="00016A3C">
        <w:rPr>
          <w:rStyle w:val="Strong"/>
          <w:b w:val="0"/>
        </w:rPr>
        <w:t>Closed-Loop Maintenance Systems:</w:t>
      </w:r>
      <w:r w:rsidR="00313F00">
        <w:t xml:space="preserve"> </w:t>
      </w:r>
      <w:proofErr w:type="spellStart"/>
      <w:r w:rsidR="00313F00">
        <w:t>Utilis</w:t>
      </w:r>
      <w:r w:rsidRPr="0079336D">
        <w:t>ing</w:t>
      </w:r>
      <w:proofErr w:type="spellEnd"/>
      <w:r w:rsidRPr="0079336D">
        <w:t xml:space="preserve"> </w:t>
      </w:r>
      <w:r w:rsidRPr="00016A3C">
        <w:rPr>
          <w:rStyle w:val="Strong"/>
          <w:b w:val="0"/>
        </w:rPr>
        <w:t>a</w:t>
      </w:r>
      <w:r w:rsidR="00FF4300">
        <w:rPr>
          <w:rStyle w:val="Strong"/>
          <w:b w:val="0"/>
        </w:rPr>
        <w:t>utomated drones, remote sensors</w:t>
      </w:r>
      <w:r w:rsidRPr="00016A3C">
        <w:rPr>
          <w:rStyle w:val="Strong"/>
          <w:b w:val="0"/>
        </w:rPr>
        <w:t xml:space="preserve"> and self-contained repair systems</w:t>
      </w:r>
      <w:r w:rsidRPr="0079336D">
        <w:t xml:space="preserve"> to reduce human exposure to hazardous nanoparticles and chemical by-products.</w:t>
      </w:r>
    </w:p>
    <w:p w14:paraId="3980BEA5" w14:textId="77777777" w:rsidR="0079336D" w:rsidRPr="0079336D" w:rsidRDefault="0079336D" w:rsidP="00B119F0">
      <w:pPr>
        <w:pStyle w:val="NormalWeb"/>
        <w:numPr>
          <w:ilvl w:val="0"/>
          <w:numId w:val="16"/>
        </w:numPr>
        <w:jc w:val="both"/>
      </w:pPr>
      <w:r w:rsidRPr="0079336D">
        <w:rPr>
          <w:rStyle w:val="Strong"/>
          <w:b w:val="0"/>
        </w:rPr>
        <w:t>Predictive Health Risk Models:</w:t>
      </w:r>
      <w:r w:rsidRPr="0079336D">
        <w:t xml:space="preserve"> Leveraging </w:t>
      </w:r>
      <w:r w:rsidRPr="0079336D">
        <w:rPr>
          <w:rStyle w:val="Strong"/>
          <w:b w:val="0"/>
        </w:rPr>
        <w:t>machine learning and IoT monitoring</w:t>
      </w:r>
      <w:r w:rsidRPr="0079336D">
        <w:t xml:space="preserve"> to predict exposure scenarios and guide </w:t>
      </w:r>
      <w:r w:rsidRPr="0079336D">
        <w:rPr>
          <w:rStyle w:val="Strong"/>
          <w:b w:val="0"/>
        </w:rPr>
        <w:t>preventive healthcare interventions</w:t>
      </w:r>
      <w:r w:rsidRPr="0079336D">
        <w:t xml:space="preserve"> for workers and communities.</w:t>
      </w:r>
    </w:p>
    <w:p w14:paraId="1B1E91B1" w14:textId="77777777" w:rsidR="0079336D" w:rsidRPr="00A9506A" w:rsidRDefault="0079336D" w:rsidP="00B119F0">
      <w:pPr>
        <w:pStyle w:val="NormalWeb"/>
        <w:numPr>
          <w:ilvl w:val="0"/>
          <w:numId w:val="16"/>
        </w:numPr>
        <w:jc w:val="both"/>
      </w:pPr>
      <w:r w:rsidRPr="0079336D">
        <w:rPr>
          <w:rStyle w:val="Strong"/>
          <w:b w:val="0"/>
        </w:rPr>
        <w:t>Sustainable Disposal Practices:</w:t>
      </w:r>
      <w:r w:rsidRPr="0079336D">
        <w:t xml:space="preserve"> Ensuring that </w:t>
      </w:r>
      <w:r w:rsidRPr="0079336D">
        <w:rPr>
          <w:rStyle w:val="Strong"/>
          <w:b w:val="0"/>
        </w:rPr>
        <w:t>d</w:t>
      </w:r>
      <w:r w:rsidR="007A6E81">
        <w:rPr>
          <w:rStyle w:val="Strong"/>
          <w:b w:val="0"/>
        </w:rPr>
        <w:t>ecommissioned sensors, coatings</w:t>
      </w:r>
      <w:r w:rsidRPr="0079336D">
        <w:rPr>
          <w:rStyle w:val="Strong"/>
          <w:b w:val="0"/>
        </w:rPr>
        <w:t xml:space="preserve"> and nanomaterials</w:t>
      </w:r>
      <w:r w:rsidR="006374B7">
        <w:t xml:space="preserve"> are recycled or </w:t>
      </w:r>
      <w:proofErr w:type="spellStart"/>
      <w:r w:rsidR="006374B7">
        <w:t>neutralis</w:t>
      </w:r>
      <w:r w:rsidRPr="0079336D">
        <w:t>ed</w:t>
      </w:r>
      <w:proofErr w:type="spellEnd"/>
      <w:r w:rsidRPr="0079336D">
        <w:t xml:space="preserve"> without environmental or biomedical hazards.</w:t>
      </w:r>
    </w:p>
    <w:p w14:paraId="7EC7ED4B" w14:textId="77777777" w:rsidR="0079336D" w:rsidRPr="00FB54C8" w:rsidRDefault="005075C7" w:rsidP="004E13F7">
      <w:pPr>
        <w:pStyle w:val="Heading1"/>
      </w:pPr>
      <w:r>
        <w:rPr>
          <w:rStyle w:val="Strong"/>
          <w:b/>
          <w:bCs w:val="0"/>
        </w:rPr>
        <w:t xml:space="preserve">6. </w:t>
      </w:r>
      <w:r w:rsidR="0079336D" w:rsidRPr="00FB54C8">
        <w:rPr>
          <w:rStyle w:val="Strong"/>
          <w:b/>
          <w:bCs w:val="0"/>
        </w:rPr>
        <w:t>Conclu</w:t>
      </w:r>
      <w:r w:rsidR="006B116B" w:rsidRPr="00FB54C8">
        <w:rPr>
          <w:rStyle w:val="Strong"/>
          <w:b/>
          <w:bCs w:val="0"/>
        </w:rPr>
        <w:t xml:space="preserve">sion </w:t>
      </w:r>
    </w:p>
    <w:p w14:paraId="56E746B6" w14:textId="77777777" w:rsidR="00F359A4" w:rsidRDefault="0079336D" w:rsidP="00F359A4">
      <w:pPr>
        <w:pStyle w:val="NormalWeb"/>
        <w:ind w:left="-851"/>
        <w:jc w:val="both"/>
      </w:pPr>
      <w:r w:rsidRPr="0079336D">
        <w:t xml:space="preserve">This review demonstrates that the </w:t>
      </w:r>
      <w:r w:rsidRPr="0079336D">
        <w:rPr>
          <w:rStyle w:val="Strong"/>
          <w:b w:val="0"/>
        </w:rPr>
        <w:t>negative biomedical consequences of petroleum pipeline</w:t>
      </w:r>
      <w:r w:rsidR="001D3C90">
        <w:rPr>
          <w:rStyle w:val="Strong"/>
          <w:b w:val="0"/>
        </w:rPr>
        <w:t>-infras</w:t>
      </w:r>
      <w:r w:rsidR="0005344E">
        <w:rPr>
          <w:rStyle w:val="Strong"/>
          <w:b w:val="0"/>
        </w:rPr>
        <w:t>t</w:t>
      </w:r>
      <w:r w:rsidR="00C8302F">
        <w:rPr>
          <w:rStyle w:val="Strong"/>
          <w:b w:val="0"/>
        </w:rPr>
        <w:t>r</w:t>
      </w:r>
      <w:r w:rsidR="0005344E">
        <w:rPr>
          <w:rStyle w:val="Strong"/>
          <w:b w:val="0"/>
        </w:rPr>
        <w:t>ucture</w:t>
      </w:r>
      <w:r w:rsidRPr="0079336D">
        <w:rPr>
          <w:rStyle w:val="Strong"/>
          <w:b w:val="0"/>
        </w:rPr>
        <w:t xml:space="preserve"> integrity failures and technological innovations</w:t>
      </w:r>
      <w:r w:rsidR="00EA29D2">
        <w:t xml:space="preserve"> are global, pervasive </w:t>
      </w:r>
      <w:r w:rsidRPr="0079336D">
        <w:t xml:space="preserve">and multifactorial. While technological solutions have improved infrastructure resilience, they have also created </w:t>
      </w:r>
      <w:r w:rsidRPr="0079336D">
        <w:rPr>
          <w:rStyle w:val="Strong"/>
          <w:b w:val="0"/>
        </w:rPr>
        <w:t>new exposure pathways</w:t>
      </w:r>
      <w:r w:rsidRPr="0079336D">
        <w:t xml:space="preserve"> that disproportionately affect vulnerable populations and industrial workers. The evidence from </w:t>
      </w:r>
      <w:r w:rsidRPr="0079336D">
        <w:rPr>
          <w:rStyle w:val="Strong"/>
          <w:b w:val="0"/>
        </w:rPr>
        <w:t>Nigeria, Angola, Ind</w:t>
      </w:r>
      <w:r w:rsidR="00EA29D2">
        <w:rPr>
          <w:rStyle w:val="Strong"/>
          <w:b w:val="0"/>
        </w:rPr>
        <w:t>ia, Saudi Arabia, Norway, China</w:t>
      </w:r>
      <w:r w:rsidRPr="0079336D">
        <w:rPr>
          <w:rStyle w:val="Strong"/>
          <w:b w:val="0"/>
        </w:rPr>
        <w:t xml:space="preserve"> and the United States</w:t>
      </w:r>
      <w:r w:rsidRPr="0079336D">
        <w:t xml:space="preserve"> illustrates that biomedical risks are not restricted by geography or development status</w:t>
      </w:r>
      <w:r w:rsidR="00EA29D2">
        <w:t>,</w:t>
      </w:r>
      <w:r w:rsidRPr="0079336D">
        <w:t xml:space="preserve"> but are modulated by </w:t>
      </w:r>
      <w:r w:rsidRPr="0079336D">
        <w:rPr>
          <w:rStyle w:val="Strong"/>
          <w:b w:val="0"/>
        </w:rPr>
        <w:t xml:space="preserve">regulatory </w:t>
      </w:r>
      <w:proofErr w:type="spellStart"/>
      <w:r w:rsidRPr="0079336D">
        <w:rPr>
          <w:rStyle w:val="Strong"/>
          <w:b w:val="0"/>
        </w:rPr>
        <w:t>rigo</w:t>
      </w:r>
      <w:r w:rsidR="00EA29D2">
        <w:rPr>
          <w:rStyle w:val="Strong"/>
          <w:b w:val="0"/>
        </w:rPr>
        <w:t>ur</w:t>
      </w:r>
      <w:proofErr w:type="spellEnd"/>
      <w:r w:rsidR="00EA29D2">
        <w:rPr>
          <w:rStyle w:val="Strong"/>
          <w:b w:val="0"/>
        </w:rPr>
        <w:t xml:space="preserve">, industrial practices </w:t>
      </w:r>
      <w:r w:rsidRPr="0079336D">
        <w:rPr>
          <w:rStyle w:val="Strong"/>
          <w:b w:val="0"/>
        </w:rPr>
        <w:t>and community engagement</w:t>
      </w:r>
      <w:r w:rsidRPr="0079336D">
        <w:t>.</w:t>
      </w:r>
    </w:p>
    <w:p w14:paraId="0190A6B0" w14:textId="77777777" w:rsidR="00F359A4" w:rsidRDefault="0079336D" w:rsidP="00F359A4">
      <w:pPr>
        <w:pStyle w:val="NormalWeb"/>
        <w:ind w:left="-851"/>
        <w:jc w:val="both"/>
      </w:pPr>
      <w:r w:rsidRPr="0079336D">
        <w:t xml:space="preserve">Future research and policy must adopt a </w:t>
      </w:r>
      <w:r w:rsidRPr="0079336D">
        <w:rPr>
          <w:rStyle w:val="Strong"/>
          <w:b w:val="0"/>
        </w:rPr>
        <w:t>holistic, interdisciplinary perspective</w:t>
      </w:r>
      <w:r w:rsidR="00EA29D2">
        <w:t xml:space="preserve">, </w:t>
      </w:r>
      <w:proofErr w:type="spellStart"/>
      <w:r w:rsidR="00EA29D2">
        <w:t>prioritis</w:t>
      </w:r>
      <w:r w:rsidRPr="0079336D">
        <w:t>ing</w:t>
      </w:r>
      <w:proofErr w:type="spellEnd"/>
      <w:r w:rsidRPr="0079336D">
        <w:t xml:space="preserve"> </w:t>
      </w:r>
      <w:r w:rsidRPr="0079336D">
        <w:rPr>
          <w:rStyle w:val="Strong"/>
          <w:b w:val="0"/>
        </w:rPr>
        <w:t>human and environmental health alongside infrastructure performance</w:t>
      </w:r>
      <w:r w:rsidRPr="0079336D">
        <w:t xml:space="preserve">. Only by integrating </w:t>
      </w:r>
      <w:r w:rsidRPr="0079336D">
        <w:rPr>
          <w:rStyle w:val="Strong"/>
          <w:b w:val="0"/>
        </w:rPr>
        <w:t>biomedical risk assessment, occupational health safeguards, community monitoring, and sustainable technological innovation</w:t>
      </w:r>
      <w:r w:rsidRPr="0079336D">
        <w:t xml:space="preserve"> can the petroleum industry ensure that </w:t>
      </w:r>
      <w:r w:rsidRPr="0079336D">
        <w:rPr>
          <w:rStyle w:val="Strong"/>
          <w:b w:val="0"/>
        </w:rPr>
        <w:t>pipeline integrity serves both energy needs and human well-being</w:t>
      </w:r>
      <w:r w:rsidR="00F359A4">
        <w:t>.</w:t>
      </w:r>
    </w:p>
    <w:p w14:paraId="25575700" w14:textId="77777777" w:rsidR="0079336D" w:rsidRDefault="0079336D" w:rsidP="00F359A4">
      <w:pPr>
        <w:pStyle w:val="NormalWeb"/>
        <w:ind w:left="-851"/>
        <w:jc w:val="both"/>
      </w:pPr>
      <w:r w:rsidRPr="0079336D">
        <w:t xml:space="preserve">Ultimately, this paper calls for a </w:t>
      </w:r>
      <w:r w:rsidRPr="0079336D">
        <w:rPr>
          <w:rStyle w:val="Strong"/>
          <w:b w:val="0"/>
        </w:rPr>
        <w:t>paradigm shift</w:t>
      </w:r>
      <w:r w:rsidR="00EA29D2">
        <w:t xml:space="preserve"> </w:t>
      </w:r>
      <w:r w:rsidRPr="0079336D">
        <w:t xml:space="preserve">from infrastructure-centered pipeline development to </w:t>
      </w:r>
      <w:r w:rsidRPr="0079336D">
        <w:rPr>
          <w:rStyle w:val="Strong"/>
          <w:b w:val="0"/>
        </w:rPr>
        <w:t>human- and environment-centered innovation</w:t>
      </w:r>
      <w:r w:rsidRPr="0079336D">
        <w:t xml:space="preserve">, where every technological improvement is evaluated for its </w:t>
      </w:r>
      <w:r w:rsidRPr="0079336D">
        <w:rPr>
          <w:rStyle w:val="Strong"/>
          <w:b w:val="0"/>
        </w:rPr>
        <w:t>potential impact on public h</w:t>
      </w:r>
      <w:r w:rsidR="00EA29D2">
        <w:rPr>
          <w:rStyle w:val="Strong"/>
          <w:b w:val="0"/>
        </w:rPr>
        <w:t xml:space="preserve">ealth, ecosystem </w:t>
      </w:r>
      <w:r w:rsidR="00C9359C">
        <w:rPr>
          <w:rStyle w:val="Strong"/>
          <w:b w:val="0"/>
        </w:rPr>
        <w:t xml:space="preserve">sustainability </w:t>
      </w:r>
      <w:r w:rsidR="00C9359C" w:rsidRPr="0079336D">
        <w:rPr>
          <w:rStyle w:val="Strong"/>
          <w:b w:val="0"/>
        </w:rPr>
        <w:t>and</w:t>
      </w:r>
      <w:r w:rsidRPr="0079336D">
        <w:rPr>
          <w:rStyle w:val="Strong"/>
          <w:b w:val="0"/>
        </w:rPr>
        <w:t xml:space="preserve"> long-term social resilience</w:t>
      </w:r>
      <w:r w:rsidRPr="0079336D">
        <w:t xml:space="preserve">. Failure to adopt such a perspective risks perpetuating decades of </w:t>
      </w:r>
      <w:r w:rsidRPr="0079336D">
        <w:rPr>
          <w:rStyle w:val="Strong"/>
          <w:b w:val="0"/>
        </w:rPr>
        <w:t>avoidable biomedical harm</w:t>
      </w:r>
      <w:r w:rsidRPr="0079336D">
        <w:t>, undermining both energy sector credibility and public trust.</w:t>
      </w:r>
      <w:r w:rsidR="00B02B48">
        <w:t xml:space="preserve"> </w:t>
      </w:r>
      <w:r w:rsidR="00EA29D2">
        <w:t xml:space="preserve"> </w:t>
      </w:r>
      <w:r w:rsidR="003E6EFE">
        <w:t xml:space="preserve"> </w:t>
      </w:r>
    </w:p>
    <w:p w14:paraId="22B16329" w14:textId="77777777" w:rsidR="008972EA" w:rsidRDefault="008972EA" w:rsidP="00B119F0">
      <w:pPr>
        <w:spacing w:line="240" w:lineRule="auto"/>
        <w:jc w:val="both"/>
        <w:rPr>
          <w:rFonts w:cs="Times New Roman"/>
          <w:szCs w:val="24"/>
        </w:rPr>
      </w:pPr>
    </w:p>
    <w:sdt>
      <w:sdtPr>
        <w:rPr>
          <w:rFonts w:eastAsia="Times New Roman"/>
        </w:rPr>
        <w:id w:val="-2129857011"/>
        <w:docPartObj>
          <w:docPartGallery w:val="Bibliographies"/>
          <w:docPartUnique/>
        </w:docPartObj>
      </w:sdtPr>
      <w:sdtEndPr>
        <w:rPr>
          <w:rFonts w:eastAsiaTheme="minorHAnsi" w:cstheme="minorBidi"/>
          <w:szCs w:val="22"/>
        </w:rPr>
      </w:sdtEndPr>
      <w:sdtContent>
        <w:p w14:paraId="0A35D7CE" w14:textId="77777777" w:rsidR="00CC4779" w:rsidRDefault="00143EB2" w:rsidP="004E13F7">
          <w:pPr>
            <w:pStyle w:val="Heading1"/>
          </w:pPr>
          <w:r>
            <w:rPr>
              <w:rFonts w:eastAsia="Times New Roman"/>
            </w:rPr>
            <w:t xml:space="preserve">       </w:t>
          </w:r>
          <w:r w:rsidR="00CC4779">
            <w:t>References</w:t>
          </w:r>
        </w:p>
      </w:sdtContent>
    </w:sdt>
    <w:p w14:paraId="4EA4A2A2" w14:textId="3ECB8BAD" w:rsidR="005A463C" w:rsidRPr="003B0899" w:rsidRDefault="008619D7" w:rsidP="003B0899">
      <w:pPr>
        <w:pStyle w:val="ListParagraph"/>
        <w:numPr>
          <w:ilvl w:val="0"/>
          <w:numId w:val="31"/>
        </w:numPr>
        <w:spacing w:line="240" w:lineRule="auto"/>
        <w:rPr>
          <w:rFonts w:cs="Times New Roman"/>
          <w:szCs w:val="24"/>
        </w:rPr>
      </w:pPr>
      <w:proofErr w:type="spellStart"/>
      <w:r w:rsidRPr="003B0899">
        <w:rPr>
          <w:rFonts w:cs="Times New Roman"/>
          <w:szCs w:val="24"/>
        </w:rPr>
        <w:t>Abousnina</w:t>
      </w:r>
      <w:proofErr w:type="spellEnd"/>
      <w:r w:rsidRPr="003B0899">
        <w:rPr>
          <w:rFonts w:cs="Times New Roman"/>
          <w:szCs w:val="24"/>
        </w:rPr>
        <w:t xml:space="preserve">, R., </w:t>
      </w:r>
      <w:proofErr w:type="spellStart"/>
      <w:r w:rsidRPr="003B0899">
        <w:rPr>
          <w:rFonts w:cs="Times New Roman"/>
          <w:szCs w:val="24"/>
        </w:rPr>
        <w:t>Ghaffour</w:t>
      </w:r>
      <w:proofErr w:type="spellEnd"/>
      <w:r w:rsidRPr="003B0899">
        <w:rPr>
          <w:rFonts w:cs="Times New Roman"/>
          <w:szCs w:val="24"/>
        </w:rPr>
        <w:t xml:space="preserve">, N., &amp; Nghiem, L. D. (2025). Mitigating offshore oily wastewater pollution: Sustainable strategies for treatment, disposal, and reuse. Marine Pollution Bulletin. </w:t>
      </w:r>
      <w:hyperlink r:id="rId22" w:history="1">
        <w:r w:rsidRPr="003B0899">
          <w:rPr>
            <w:rStyle w:val="Hyperlink"/>
            <w:rFonts w:cs="Times New Roman"/>
            <w:szCs w:val="24"/>
          </w:rPr>
          <w:t>https://doi.org/10.1016/j.marpolbul.2025.118240</w:t>
        </w:r>
      </w:hyperlink>
      <w:r w:rsidRPr="003B0899">
        <w:rPr>
          <w:rFonts w:cs="Times New Roman"/>
          <w:szCs w:val="24"/>
        </w:rPr>
        <w:t xml:space="preserve"> </w:t>
      </w:r>
    </w:p>
    <w:p w14:paraId="1D000A2A" w14:textId="31C76FBD" w:rsidR="005A463C" w:rsidRPr="003B0899" w:rsidRDefault="00283CEE" w:rsidP="003B0899">
      <w:pPr>
        <w:pStyle w:val="ListParagraph"/>
        <w:numPr>
          <w:ilvl w:val="0"/>
          <w:numId w:val="31"/>
        </w:numPr>
        <w:spacing w:line="240" w:lineRule="auto"/>
        <w:rPr>
          <w:rFonts w:cs="Times New Roman"/>
          <w:szCs w:val="24"/>
        </w:rPr>
      </w:pPr>
      <w:proofErr w:type="spellStart"/>
      <w:r w:rsidRPr="003B0899">
        <w:rPr>
          <w:rFonts w:cs="Times New Roman"/>
          <w:szCs w:val="24"/>
        </w:rPr>
        <w:t>Adegboye</w:t>
      </w:r>
      <w:proofErr w:type="spellEnd"/>
      <w:r w:rsidRPr="003B0899">
        <w:rPr>
          <w:rFonts w:cs="Times New Roman"/>
          <w:szCs w:val="24"/>
        </w:rPr>
        <w:t xml:space="preserve">, M. A., Fung, W.-K., &amp; </w:t>
      </w:r>
      <w:proofErr w:type="spellStart"/>
      <w:r w:rsidRPr="003B0899">
        <w:rPr>
          <w:rFonts w:cs="Times New Roman"/>
          <w:szCs w:val="24"/>
        </w:rPr>
        <w:t>Karnik</w:t>
      </w:r>
      <w:proofErr w:type="spellEnd"/>
      <w:r w:rsidRPr="003B0899">
        <w:rPr>
          <w:rFonts w:cs="Times New Roman"/>
          <w:szCs w:val="24"/>
        </w:rPr>
        <w:t xml:space="preserve">, A. (2019). Recent advances in pipeline monitoring and oil leakage detection technologies: Principles and approaches. Sensors, 19(11), 2548. </w:t>
      </w:r>
      <w:hyperlink r:id="rId23" w:history="1">
        <w:r w:rsidRPr="003B0899">
          <w:rPr>
            <w:rStyle w:val="Hyperlink"/>
            <w:rFonts w:cs="Times New Roman"/>
            <w:szCs w:val="24"/>
          </w:rPr>
          <w:t>https://doi.org/10.3390/s19112548</w:t>
        </w:r>
      </w:hyperlink>
      <w:r w:rsidRPr="003B0899">
        <w:rPr>
          <w:rFonts w:cs="Times New Roman"/>
          <w:szCs w:val="24"/>
        </w:rPr>
        <w:t xml:space="preserve"> </w:t>
      </w:r>
    </w:p>
    <w:p w14:paraId="2592BF3B" w14:textId="23E0CB2D" w:rsidR="005A463C" w:rsidRPr="003B0899" w:rsidRDefault="00955AE9" w:rsidP="003B0899">
      <w:pPr>
        <w:pStyle w:val="ListParagraph"/>
        <w:numPr>
          <w:ilvl w:val="0"/>
          <w:numId w:val="31"/>
        </w:numPr>
        <w:spacing w:line="240" w:lineRule="auto"/>
        <w:rPr>
          <w:rFonts w:cs="Times New Roman"/>
          <w:szCs w:val="24"/>
        </w:rPr>
      </w:pPr>
      <w:r w:rsidRPr="003B0899">
        <w:rPr>
          <w:rFonts w:cs="Times New Roman"/>
          <w:szCs w:val="24"/>
        </w:rPr>
        <w:t xml:space="preserve">Aguilera, F., Méndez, J., </w:t>
      </w:r>
      <w:proofErr w:type="spellStart"/>
      <w:r w:rsidRPr="003B0899">
        <w:rPr>
          <w:rFonts w:cs="Times New Roman"/>
          <w:szCs w:val="24"/>
        </w:rPr>
        <w:t>Pásaro</w:t>
      </w:r>
      <w:proofErr w:type="spellEnd"/>
      <w:r w:rsidRPr="003B0899">
        <w:rPr>
          <w:rFonts w:cs="Times New Roman"/>
          <w:szCs w:val="24"/>
        </w:rPr>
        <w:t xml:space="preserve">, E., &amp; </w:t>
      </w:r>
      <w:proofErr w:type="spellStart"/>
      <w:r w:rsidRPr="003B0899">
        <w:rPr>
          <w:rFonts w:cs="Times New Roman"/>
          <w:szCs w:val="24"/>
        </w:rPr>
        <w:t>Laffon</w:t>
      </w:r>
      <w:proofErr w:type="spellEnd"/>
      <w:r w:rsidRPr="003B0899">
        <w:rPr>
          <w:rFonts w:cs="Times New Roman"/>
          <w:szCs w:val="24"/>
        </w:rPr>
        <w:t xml:space="preserve">, B. (2010). Review on the effects of exposure to spilled oils on human health. Journal of Applied Toxicology, 30(4), 291–301. </w:t>
      </w:r>
      <w:hyperlink r:id="rId24" w:history="1">
        <w:r w:rsidRPr="003B0899">
          <w:rPr>
            <w:rStyle w:val="Hyperlink"/>
            <w:rFonts w:cs="Times New Roman"/>
            <w:szCs w:val="24"/>
          </w:rPr>
          <w:t>https://doi.org/10.1002/jat.1521</w:t>
        </w:r>
      </w:hyperlink>
      <w:r w:rsidRPr="003B0899">
        <w:rPr>
          <w:rFonts w:cs="Times New Roman"/>
          <w:szCs w:val="24"/>
        </w:rPr>
        <w:t xml:space="preserve"> </w:t>
      </w:r>
    </w:p>
    <w:p w14:paraId="09BF0956" w14:textId="1E760CDD" w:rsidR="005A463C" w:rsidRPr="003B0899" w:rsidRDefault="00400F10" w:rsidP="003B0899">
      <w:pPr>
        <w:pStyle w:val="ListParagraph"/>
        <w:numPr>
          <w:ilvl w:val="0"/>
          <w:numId w:val="31"/>
        </w:numPr>
        <w:spacing w:line="240" w:lineRule="auto"/>
        <w:rPr>
          <w:rFonts w:cs="Times New Roman"/>
          <w:szCs w:val="24"/>
        </w:rPr>
      </w:pPr>
      <w:proofErr w:type="spellStart"/>
      <w:r w:rsidRPr="003B0899">
        <w:rPr>
          <w:rFonts w:cs="Times New Roman"/>
          <w:szCs w:val="24"/>
        </w:rPr>
        <w:t>Ajide</w:t>
      </w:r>
      <w:proofErr w:type="spellEnd"/>
      <w:r w:rsidRPr="003B0899">
        <w:rPr>
          <w:rFonts w:cs="Times New Roman"/>
          <w:szCs w:val="24"/>
        </w:rPr>
        <w:t xml:space="preserve">, O. O., &amp; </w:t>
      </w:r>
      <w:proofErr w:type="spellStart"/>
      <w:r w:rsidRPr="003B0899">
        <w:rPr>
          <w:rFonts w:cs="Times New Roman"/>
          <w:szCs w:val="24"/>
        </w:rPr>
        <w:t>Agara</w:t>
      </w:r>
      <w:proofErr w:type="spellEnd"/>
      <w:r w:rsidRPr="003B0899">
        <w:rPr>
          <w:rFonts w:cs="Times New Roman"/>
          <w:szCs w:val="24"/>
        </w:rPr>
        <w:t xml:space="preserve">, K. W. (2012). Comparative assessment of corrosion </w:t>
      </w:r>
      <w:proofErr w:type="spellStart"/>
      <w:r w:rsidRPr="003B0899">
        <w:rPr>
          <w:rFonts w:cs="Times New Roman"/>
          <w:szCs w:val="24"/>
        </w:rPr>
        <w:t>behaviour</w:t>
      </w:r>
      <w:proofErr w:type="spellEnd"/>
      <w:r w:rsidRPr="003B0899">
        <w:rPr>
          <w:rFonts w:cs="Times New Roman"/>
          <w:szCs w:val="24"/>
        </w:rPr>
        <w:t xml:space="preserve"> of medium carbon steel (MCS) and KS7 stainless steel in saline and carbonate environments. Journal of Minerals and Materials Characterization and Engineering, 11(8), 836–840. </w:t>
      </w:r>
      <w:hyperlink r:id="rId25" w:history="1">
        <w:r w:rsidRPr="003B0899">
          <w:rPr>
            <w:rStyle w:val="Hyperlink"/>
            <w:rFonts w:cs="Times New Roman"/>
            <w:szCs w:val="24"/>
          </w:rPr>
          <w:t>https://doi.org/10.4236/jmmce.2012.118075</w:t>
        </w:r>
      </w:hyperlink>
      <w:r w:rsidRPr="003B0899">
        <w:rPr>
          <w:rFonts w:cs="Times New Roman"/>
          <w:szCs w:val="24"/>
        </w:rPr>
        <w:t xml:space="preserve"> </w:t>
      </w:r>
    </w:p>
    <w:p w14:paraId="00D5E5FD" w14:textId="724FFA27" w:rsidR="005A463C" w:rsidRPr="003B0899" w:rsidRDefault="001B3C56" w:rsidP="003B0899">
      <w:pPr>
        <w:pStyle w:val="ListParagraph"/>
        <w:numPr>
          <w:ilvl w:val="0"/>
          <w:numId w:val="31"/>
        </w:numPr>
        <w:spacing w:line="240" w:lineRule="auto"/>
        <w:rPr>
          <w:rFonts w:cs="Times New Roman"/>
          <w:szCs w:val="24"/>
        </w:rPr>
      </w:pPr>
      <w:r w:rsidRPr="003B0899">
        <w:rPr>
          <w:rFonts w:cs="Times New Roman"/>
          <w:szCs w:val="24"/>
        </w:rPr>
        <w:t xml:space="preserve">Ali, S., Khan, K. A., </w:t>
      </w:r>
      <w:proofErr w:type="spellStart"/>
      <w:r w:rsidRPr="003B0899">
        <w:rPr>
          <w:rFonts w:cs="Times New Roman"/>
          <w:szCs w:val="24"/>
        </w:rPr>
        <w:t>Gyamfi</w:t>
      </w:r>
      <w:proofErr w:type="spellEnd"/>
      <w:r w:rsidRPr="003B0899">
        <w:rPr>
          <w:rFonts w:cs="Times New Roman"/>
          <w:szCs w:val="24"/>
        </w:rPr>
        <w:t xml:space="preserve">, B. A., Ofori, E. K., Tetteh, D., &amp; </w:t>
      </w:r>
      <w:proofErr w:type="spellStart"/>
      <w:r w:rsidRPr="003B0899">
        <w:rPr>
          <w:rFonts w:cs="Times New Roman"/>
          <w:szCs w:val="24"/>
        </w:rPr>
        <w:t>Shamansurova</w:t>
      </w:r>
      <w:proofErr w:type="spellEnd"/>
      <w:r w:rsidRPr="003B0899">
        <w:rPr>
          <w:rFonts w:cs="Times New Roman"/>
          <w:szCs w:val="24"/>
        </w:rPr>
        <w:t xml:space="preserve">, Z. (2024). Can clean energy and technology address environmental sustainability in G7 under the pre-set of human development? Environmental Science and Pollution Research. </w:t>
      </w:r>
      <w:hyperlink r:id="rId26" w:history="1">
        <w:r w:rsidRPr="003B0899">
          <w:rPr>
            <w:rStyle w:val="Hyperlink"/>
            <w:rFonts w:cs="Times New Roman"/>
            <w:szCs w:val="24"/>
          </w:rPr>
          <w:t>https://doi.org/10.1007/s11356-024-32011-y</w:t>
        </w:r>
      </w:hyperlink>
      <w:r w:rsidRPr="003B0899">
        <w:rPr>
          <w:rFonts w:cs="Times New Roman"/>
          <w:szCs w:val="24"/>
        </w:rPr>
        <w:t xml:space="preserve"> </w:t>
      </w:r>
    </w:p>
    <w:p w14:paraId="28E4C1CD" w14:textId="649949FE" w:rsidR="005A463C" w:rsidRPr="003B0899" w:rsidRDefault="00542D79" w:rsidP="003B0899">
      <w:pPr>
        <w:pStyle w:val="ListParagraph"/>
        <w:numPr>
          <w:ilvl w:val="0"/>
          <w:numId w:val="31"/>
        </w:numPr>
        <w:spacing w:line="240" w:lineRule="auto"/>
        <w:rPr>
          <w:rFonts w:cs="Times New Roman"/>
          <w:szCs w:val="24"/>
        </w:rPr>
      </w:pPr>
      <w:proofErr w:type="spellStart"/>
      <w:r w:rsidRPr="003B0899">
        <w:rPr>
          <w:rFonts w:cs="Times New Roman"/>
          <w:szCs w:val="24"/>
        </w:rPr>
        <w:t>Ardestani</w:t>
      </w:r>
      <w:proofErr w:type="spellEnd"/>
      <w:r w:rsidRPr="003B0899">
        <w:rPr>
          <w:rFonts w:cs="Times New Roman"/>
          <w:szCs w:val="24"/>
        </w:rPr>
        <w:t xml:space="preserve">, M. M., Baghdadi, M., </w:t>
      </w:r>
      <w:proofErr w:type="spellStart"/>
      <w:r w:rsidRPr="003B0899">
        <w:rPr>
          <w:rFonts w:cs="Times New Roman"/>
          <w:szCs w:val="24"/>
        </w:rPr>
        <w:t>Mehrdadi</w:t>
      </w:r>
      <w:proofErr w:type="spellEnd"/>
      <w:r w:rsidRPr="003B0899">
        <w:rPr>
          <w:rFonts w:cs="Times New Roman"/>
          <w:szCs w:val="24"/>
        </w:rPr>
        <w:t xml:space="preserve">, N., </w:t>
      </w:r>
      <w:proofErr w:type="spellStart"/>
      <w:r w:rsidRPr="003B0899">
        <w:rPr>
          <w:rFonts w:cs="Times New Roman"/>
          <w:szCs w:val="24"/>
        </w:rPr>
        <w:t>Ghasemipanah</w:t>
      </w:r>
      <w:proofErr w:type="spellEnd"/>
      <w:r w:rsidRPr="003B0899">
        <w:rPr>
          <w:rFonts w:cs="Times New Roman"/>
          <w:szCs w:val="24"/>
        </w:rPr>
        <w:t xml:space="preserve">, K., &amp; </w:t>
      </w:r>
      <w:proofErr w:type="spellStart"/>
      <w:r w:rsidRPr="003B0899">
        <w:rPr>
          <w:rFonts w:cs="Times New Roman"/>
          <w:szCs w:val="24"/>
        </w:rPr>
        <w:t>Alaie</w:t>
      </w:r>
      <w:proofErr w:type="spellEnd"/>
      <w:r w:rsidRPr="003B0899">
        <w:rPr>
          <w:rFonts w:cs="Times New Roman"/>
          <w:szCs w:val="24"/>
        </w:rPr>
        <w:t xml:space="preserve">, E. (2025). Continuous catalytic ozonation using pumice decorated with calcined metal-organic framework: Chemical oxygen demand removal from produced water. Journal of Water Process Engineering, 79, 108895. </w:t>
      </w:r>
      <w:hyperlink r:id="rId27" w:history="1">
        <w:r w:rsidRPr="003B0899">
          <w:rPr>
            <w:rStyle w:val="Hyperlink"/>
            <w:rFonts w:cs="Times New Roman"/>
            <w:szCs w:val="24"/>
          </w:rPr>
          <w:t>https://doi.org/10.1016/j.jwpe.2025.108895</w:t>
        </w:r>
      </w:hyperlink>
      <w:r w:rsidRPr="003B0899">
        <w:rPr>
          <w:rFonts w:cs="Times New Roman"/>
          <w:szCs w:val="24"/>
        </w:rPr>
        <w:t xml:space="preserve"> </w:t>
      </w:r>
    </w:p>
    <w:p w14:paraId="6AEB935D" w14:textId="6F1ACEBD" w:rsidR="005A463C" w:rsidRPr="003B0899" w:rsidRDefault="00542D79" w:rsidP="003B0899">
      <w:pPr>
        <w:pStyle w:val="ListParagraph"/>
        <w:numPr>
          <w:ilvl w:val="0"/>
          <w:numId w:val="31"/>
        </w:numPr>
        <w:spacing w:line="240" w:lineRule="auto"/>
        <w:rPr>
          <w:rFonts w:cs="Times New Roman"/>
          <w:szCs w:val="24"/>
        </w:rPr>
      </w:pPr>
      <w:proofErr w:type="spellStart"/>
      <w:r w:rsidRPr="003B0899">
        <w:rPr>
          <w:rFonts w:cs="Times New Roman"/>
          <w:szCs w:val="24"/>
        </w:rPr>
        <w:t>Babigumira</w:t>
      </w:r>
      <w:proofErr w:type="spellEnd"/>
      <w:r w:rsidRPr="003B0899">
        <w:rPr>
          <w:rFonts w:cs="Times New Roman"/>
          <w:szCs w:val="24"/>
        </w:rPr>
        <w:t xml:space="preserve">, R., </w:t>
      </w:r>
      <w:proofErr w:type="spellStart"/>
      <w:r w:rsidRPr="003B0899">
        <w:rPr>
          <w:rFonts w:cs="Times New Roman"/>
          <w:szCs w:val="24"/>
        </w:rPr>
        <w:t>Veierød</w:t>
      </w:r>
      <w:proofErr w:type="spellEnd"/>
      <w:r w:rsidRPr="003B0899">
        <w:rPr>
          <w:rFonts w:cs="Times New Roman"/>
          <w:szCs w:val="24"/>
        </w:rPr>
        <w:t xml:space="preserve">, M. B., </w:t>
      </w:r>
      <w:proofErr w:type="spellStart"/>
      <w:r w:rsidRPr="003B0899">
        <w:rPr>
          <w:rFonts w:cs="Times New Roman"/>
          <w:szCs w:val="24"/>
        </w:rPr>
        <w:t>Hosgood</w:t>
      </w:r>
      <w:proofErr w:type="spellEnd"/>
      <w:r w:rsidRPr="003B0899">
        <w:rPr>
          <w:rFonts w:cs="Times New Roman"/>
          <w:szCs w:val="24"/>
        </w:rPr>
        <w:t xml:space="preserve">, H. D., </w:t>
      </w:r>
      <w:proofErr w:type="spellStart"/>
      <w:r w:rsidRPr="003B0899">
        <w:rPr>
          <w:rFonts w:cs="Times New Roman"/>
          <w:szCs w:val="24"/>
        </w:rPr>
        <w:t>Samuelsen</w:t>
      </w:r>
      <w:proofErr w:type="spellEnd"/>
      <w:r w:rsidRPr="003B0899">
        <w:rPr>
          <w:rFonts w:cs="Times New Roman"/>
          <w:szCs w:val="24"/>
        </w:rPr>
        <w:t xml:space="preserve">, S. O., </w:t>
      </w:r>
      <w:proofErr w:type="spellStart"/>
      <w:r w:rsidRPr="003B0899">
        <w:rPr>
          <w:rFonts w:cs="Times New Roman"/>
          <w:szCs w:val="24"/>
        </w:rPr>
        <w:t>Bråtveit</w:t>
      </w:r>
      <w:proofErr w:type="spellEnd"/>
      <w:r w:rsidRPr="003B0899">
        <w:rPr>
          <w:rFonts w:cs="Times New Roman"/>
          <w:szCs w:val="24"/>
        </w:rPr>
        <w:t xml:space="preserve">, M., </w:t>
      </w:r>
      <w:proofErr w:type="spellStart"/>
      <w:r w:rsidRPr="003B0899">
        <w:rPr>
          <w:rFonts w:cs="Times New Roman"/>
          <w:szCs w:val="24"/>
        </w:rPr>
        <w:t>Kirkeleit</w:t>
      </w:r>
      <w:proofErr w:type="spellEnd"/>
      <w:r w:rsidRPr="003B0899">
        <w:rPr>
          <w:rFonts w:cs="Times New Roman"/>
          <w:szCs w:val="24"/>
        </w:rPr>
        <w:t xml:space="preserve">, J., &amp; </w:t>
      </w:r>
      <w:proofErr w:type="spellStart"/>
      <w:r w:rsidRPr="003B0899">
        <w:rPr>
          <w:rFonts w:cs="Times New Roman"/>
          <w:szCs w:val="24"/>
        </w:rPr>
        <w:t>Stenehjem</w:t>
      </w:r>
      <w:proofErr w:type="spellEnd"/>
      <w:r w:rsidRPr="003B0899">
        <w:rPr>
          <w:rFonts w:cs="Times New Roman"/>
          <w:szCs w:val="24"/>
        </w:rPr>
        <w:t xml:space="preserve">, J. S. (2024). Benzene exposure and risk of lung cancer in the Norwegian Offshore Petroleum Worker cohort. Occupational and Environmental Medicine, 81(1), 9–16. </w:t>
      </w:r>
      <w:hyperlink r:id="rId28" w:history="1">
        <w:r w:rsidRPr="003B0899">
          <w:rPr>
            <w:rStyle w:val="Hyperlink"/>
            <w:rFonts w:cs="Times New Roman"/>
            <w:szCs w:val="24"/>
          </w:rPr>
          <w:t>https://doi.org/10.1136/oemed-2023-109139</w:t>
        </w:r>
      </w:hyperlink>
      <w:r w:rsidRPr="003B0899">
        <w:rPr>
          <w:rFonts w:cs="Times New Roman"/>
          <w:szCs w:val="24"/>
        </w:rPr>
        <w:t xml:space="preserve"> </w:t>
      </w:r>
    </w:p>
    <w:p w14:paraId="6A813D79" w14:textId="29714698" w:rsidR="005A463C" w:rsidRPr="003B0899" w:rsidRDefault="00542D79" w:rsidP="003B0899">
      <w:pPr>
        <w:pStyle w:val="ListParagraph"/>
        <w:numPr>
          <w:ilvl w:val="0"/>
          <w:numId w:val="31"/>
        </w:numPr>
        <w:spacing w:line="240" w:lineRule="auto"/>
        <w:rPr>
          <w:rFonts w:cs="Times New Roman"/>
          <w:szCs w:val="24"/>
        </w:rPr>
      </w:pPr>
      <w:r w:rsidRPr="003B0899">
        <w:rPr>
          <w:rFonts w:cs="Times New Roman"/>
          <w:szCs w:val="24"/>
        </w:rPr>
        <w:t xml:space="preserve">Beyer, J., </w:t>
      </w:r>
      <w:proofErr w:type="spellStart"/>
      <w:r w:rsidRPr="003B0899">
        <w:rPr>
          <w:rFonts w:cs="Times New Roman"/>
          <w:szCs w:val="24"/>
        </w:rPr>
        <w:t>Trannum</w:t>
      </w:r>
      <w:proofErr w:type="spellEnd"/>
      <w:r w:rsidRPr="003B0899">
        <w:rPr>
          <w:rFonts w:cs="Times New Roman"/>
          <w:szCs w:val="24"/>
        </w:rPr>
        <w:t xml:space="preserve">, H. C., Bakke, T., Hodson, P. V., &amp; Collier, T. K. (2016). Environmental effects of the Deepwater Horizon oil spill: A review. Marine Pollution Bulletin, 110(1), 28–51. </w:t>
      </w:r>
      <w:hyperlink r:id="rId29" w:history="1">
        <w:r w:rsidRPr="003B0899">
          <w:rPr>
            <w:rStyle w:val="Hyperlink"/>
            <w:rFonts w:cs="Times New Roman"/>
            <w:szCs w:val="24"/>
          </w:rPr>
          <w:t>https://doi.org/10.1016/j.marpolbul.2016.06.027</w:t>
        </w:r>
      </w:hyperlink>
      <w:r w:rsidRPr="003B0899">
        <w:rPr>
          <w:rFonts w:cs="Times New Roman"/>
          <w:szCs w:val="24"/>
        </w:rPr>
        <w:t xml:space="preserve"> </w:t>
      </w:r>
    </w:p>
    <w:p w14:paraId="7B2035BA" w14:textId="4AF13E14" w:rsidR="005A463C" w:rsidRPr="003B0899" w:rsidRDefault="00542D79" w:rsidP="003B0899">
      <w:pPr>
        <w:pStyle w:val="ListParagraph"/>
        <w:numPr>
          <w:ilvl w:val="0"/>
          <w:numId w:val="31"/>
        </w:numPr>
        <w:spacing w:line="240" w:lineRule="auto"/>
        <w:rPr>
          <w:rFonts w:cs="Times New Roman"/>
          <w:szCs w:val="24"/>
        </w:rPr>
      </w:pPr>
      <w:r w:rsidRPr="003B0899">
        <w:rPr>
          <w:rFonts w:cs="Times New Roman"/>
          <w:szCs w:val="24"/>
        </w:rPr>
        <w:t xml:space="preserve">Chen, Z., et al. (2023). Detecting gas pipeline leaks in sandy soil with distributed acoustic sensing. Journal of Loss Prevention in the Process Industries, 85, 104755. </w:t>
      </w:r>
      <w:hyperlink r:id="rId30" w:history="1">
        <w:r w:rsidRPr="003B0899">
          <w:rPr>
            <w:rStyle w:val="Hyperlink"/>
            <w:rFonts w:cs="Times New Roman"/>
            <w:szCs w:val="24"/>
          </w:rPr>
          <w:t>https://doi.org/10.1016/j.tust.2023.105367</w:t>
        </w:r>
      </w:hyperlink>
      <w:r w:rsidRPr="003B0899">
        <w:rPr>
          <w:rFonts w:cs="Times New Roman"/>
          <w:szCs w:val="24"/>
        </w:rPr>
        <w:t xml:space="preserve"> </w:t>
      </w:r>
    </w:p>
    <w:p w14:paraId="1DBA1A8E" w14:textId="4B85BD2C" w:rsidR="005A463C" w:rsidRPr="003B0899" w:rsidRDefault="00542D79" w:rsidP="003B0899">
      <w:pPr>
        <w:pStyle w:val="ListParagraph"/>
        <w:numPr>
          <w:ilvl w:val="0"/>
          <w:numId w:val="31"/>
        </w:numPr>
        <w:spacing w:line="240" w:lineRule="auto"/>
        <w:rPr>
          <w:rFonts w:cs="Times New Roman"/>
          <w:szCs w:val="24"/>
        </w:rPr>
      </w:pPr>
      <w:proofErr w:type="spellStart"/>
      <w:r w:rsidRPr="003B0899">
        <w:rPr>
          <w:rFonts w:cs="Times New Roman"/>
          <w:szCs w:val="24"/>
        </w:rPr>
        <w:t>D’Andrea</w:t>
      </w:r>
      <w:proofErr w:type="spellEnd"/>
      <w:r w:rsidRPr="003B0899">
        <w:rPr>
          <w:rFonts w:cs="Times New Roman"/>
          <w:szCs w:val="24"/>
        </w:rPr>
        <w:t xml:space="preserve">, M. A., &amp; Reddy, G. K. (2014). Crude oil spill exposure and human health risks. Journal of Occupational and Environmental Medicine </w:t>
      </w:r>
      <w:hyperlink r:id="rId31" w:history="1">
        <w:r w:rsidRPr="003B0899">
          <w:rPr>
            <w:rStyle w:val="Hyperlink"/>
            <w:rFonts w:cs="Times New Roman"/>
            <w:szCs w:val="24"/>
          </w:rPr>
          <w:t>https://doi.org/10.1097/JOM.0000000000000217</w:t>
        </w:r>
      </w:hyperlink>
      <w:r w:rsidRPr="003B0899">
        <w:rPr>
          <w:rFonts w:cs="Times New Roman"/>
          <w:szCs w:val="24"/>
        </w:rPr>
        <w:t xml:space="preserve"> </w:t>
      </w:r>
    </w:p>
    <w:p w14:paraId="07998857" w14:textId="297E2B86" w:rsidR="005A463C" w:rsidRPr="003B0899" w:rsidRDefault="00717FB0" w:rsidP="003B0899">
      <w:pPr>
        <w:pStyle w:val="ListParagraph"/>
        <w:numPr>
          <w:ilvl w:val="0"/>
          <w:numId w:val="31"/>
        </w:numPr>
        <w:spacing w:line="240" w:lineRule="auto"/>
        <w:rPr>
          <w:rFonts w:cs="Times New Roman"/>
          <w:szCs w:val="24"/>
        </w:rPr>
      </w:pPr>
      <w:r w:rsidRPr="003B0899">
        <w:rPr>
          <w:rFonts w:cs="Times New Roman"/>
          <w:szCs w:val="24"/>
        </w:rPr>
        <w:t xml:space="preserve">De Guzman, R., &amp; Schiller, J. (2025). Air pollution and its impact on cancer incidence, cancer care and cancer outcomes. BMJ Oncology, 4(1), e000535. </w:t>
      </w:r>
      <w:hyperlink r:id="rId32" w:history="1">
        <w:r w:rsidRPr="003B0899">
          <w:rPr>
            <w:rStyle w:val="Hyperlink"/>
            <w:rFonts w:cs="Times New Roman"/>
            <w:szCs w:val="24"/>
          </w:rPr>
          <w:t>https://doi.org/10.1136/bmjonc-2024-000535</w:t>
        </w:r>
      </w:hyperlink>
      <w:r w:rsidRPr="003B0899">
        <w:rPr>
          <w:rFonts w:cs="Times New Roman"/>
          <w:szCs w:val="24"/>
        </w:rPr>
        <w:t xml:space="preserve"> </w:t>
      </w:r>
    </w:p>
    <w:p w14:paraId="28102169" w14:textId="008C9504" w:rsidR="005A463C" w:rsidRPr="003B0899" w:rsidRDefault="00913A76" w:rsidP="003B0899">
      <w:pPr>
        <w:pStyle w:val="ListParagraph"/>
        <w:numPr>
          <w:ilvl w:val="0"/>
          <w:numId w:val="31"/>
        </w:numPr>
        <w:spacing w:line="240" w:lineRule="auto"/>
        <w:rPr>
          <w:rFonts w:cs="Times New Roman"/>
          <w:szCs w:val="24"/>
        </w:rPr>
      </w:pPr>
      <w:r w:rsidRPr="003B0899">
        <w:rPr>
          <w:rFonts w:cs="Times New Roman"/>
          <w:szCs w:val="24"/>
        </w:rPr>
        <w:t xml:space="preserve">Diaz, J. H. (2011). The legacy of the Gulf oil spill: analyzing acute public health effects and predicting chronic ones in Louisiana. American Journal of Disaster Medicine, 6(1), 5–22. </w:t>
      </w:r>
      <w:hyperlink r:id="rId33" w:history="1">
        <w:r w:rsidRPr="003B0899">
          <w:rPr>
            <w:rStyle w:val="Hyperlink"/>
            <w:rFonts w:cs="Times New Roman"/>
            <w:szCs w:val="24"/>
          </w:rPr>
          <w:t>https://doi.org/10.5055/ajdm.2011.0040</w:t>
        </w:r>
      </w:hyperlink>
      <w:r w:rsidRPr="003B0899">
        <w:rPr>
          <w:rFonts w:cs="Times New Roman"/>
          <w:szCs w:val="24"/>
        </w:rPr>
        <w:t xml:space="preserve"> </w:t>
      </w:r>
    </w:p>
    <w:p w14:paraId="0DDE8EA4" w14:textId="4DBAB77C" w:rsidR="005A463C" w:rsidRPr="003B0899" w:rsidRDefault="00525400" w:rsidP="003B0899">
      <w:pPr>
        <w:pStyle w:val="ListParagraph"/>
        <w:numPr>
          <w:ilvl w:val="0"/>
          <w:numId w:val="31"/>
        </w:numPr>
        <w:spacing w:line="240" w:lineRule="auto"/>
        <w:rPr>
          <w:rFonts w:cs="Times New Roman"/>
          <w:szCs w:val="24"/>
        </w:rPr>
      </w:pPr>
      <w:r w:rsidRPr="003B0899">
        <w:rPr>
          <w:rFonts w:cs="Times New Roman"/>
          <w:szCs w:val="24"/>
        </w:rPr>
        <w:t xml:space="preserve">Doherty, B. T., Kwok, R. K., Curry, M. D., </w:t>
      </w:r>
      <w:proofErr w:type="spellStart"/>
      <w:r w:rsidRPr="003B0899">
        <w:rPr>
          <w:rFonts w:cs="Times New Roman"/>
          <w:szCs w:val="24"/>
        </w:rPr>
        <w:t>Ekenga</w:t>
      </w:r>
      <w:proofErr w:type="spellEnd"/>
      <w:r w:rsidRPr="003B0899">
        <w:rPr>
          <w:rFonts w:cs="Times New Roman"/>
          <w:szCs w:val="24"/>
        </w:rPr>
        <w:t xml:space="preserve">, C., Chambers, D., Sandler, D. P., &amp; Engel, L. S. (2017). Associations between blood BTEXS concentrations and hematologic parameters among adult residents of the U.S. Gulf States. Environmental Research, 156, 579–587. </w:t>
      </w:r>
      <w:hyperlink r:id="rId34" w:history="1">
        <w:r w:rsidRPr="003B0899">
          <w:rPr>
            <w:rStyle w:val="Hyperlink"/>
            <w:rFonts w:cs="Times New Roman"/>
            <w:szCs w:val="24"/>
          </w:rPr>
          <w:t>https://doi.org/10.1016/j.envres.2017.03.048</w:t>
        </w:r>
      </w:hyperlink>
      <w:r w:rsidRPr="003B0899">
        <w:rPr>
          <w:rFonts w:cs="Times New Roman"/>
          <w:szCs w:val="24"/>
        </w:rPr>
        <w:t xml:space="preserve"> </w:t>
      </w:r>
    </w:p>
    <w:p w14:paraId="2E12E6B9" w14:textId="5ADFA238" w:rsidR="005A463C" w:rsidRPr="003B0899" w:rsidRDefault="00AF5AAC" w:rsidP="003B0899">
      <w:pPr>
        <w:pStyle w:val="ListParagraph"/>
        <w:numPr>
          <w:ilvl w:val="0"/>
          <w:numId w:val="31"/>
        </w:numPr>
        <w:spacing w:line="240" w:lineRule="auto"/>
        <w:rPr>
          <w:rFonts w:cs="Times New Roman"/>
          <w:szCs w:val="24"/>
        </w:rPr>
      </w:pPr>
      <w:r w:rsidRPr="003B0899">
        <w:rPr>
          <w:rFonts w:cs="Times New Roman"/>
          <w:szCs w:val="24"/>
        </w:rPr>
        <w:lastRenderedPageBreak/>
        <w:t xml:space="preserve">Engel, L. S., Kwok, R. K., Miller, A. K., Blair, A., Curry, M. D., McGrath, J. A., &amp; Sandler, D. P. (2017). The </w:t>
      </w:r>
      <w:proofErr w:type="spellStart"/>
      <w:r w:rsidRPr="003B0899">
        <w:rPr>
          <w:rFonts w:cs="Times New Roman"/>
          <w:szCs w:val="24"/>
        </w:rPr>
        <w:t>GuLF</w:t>
      </w:r>
      <w:proofErr w:type="spellEnd"/>
      <w:r w:rsidRPr="003B0899">
        <w:rPr>
          <w:rFonts w:cs="Times New Roman"/>
          <w:szCs w:val="24"/>
        </w:rPr>
        <w:t xml:space="preserve"> STUDY: Biospecimen collection at enrollment. Journal of Toxicology and Environmental Health, Part A, 80(4), 218–229. </w:t>
      </w:r>
      <w:hyperlink r:id="rId35" w:history="1">
        <w:r w:rsidRPr="003B0899">
          <w:rPr>
            <w:rStyle w:val="Hyperlink"/>
            <w:rFonts w:cs="Times New Roman"/>
            <w:szCs w:val="24"/>
          </w:rPr>
          <w:t>https://doi.org/10.1080/15287394.2017.1283274</w:t>
        </w:r>
      </w:hyperlink>
      <w:r w:rsidRPr="003B0899">
        <w:rPr>
          <w:rFonts w:cs="Times New Roman"/>
          <w:szCs w:val="24"/>
        </w:rPr>
        <w:t xml:space="preserve"> </w:t>
      </w:r>
    </w:p>
    <w:p w14:paraId="262A0314" w14:textId="77777777" w:rsidR="005A463C" w:rsidRPr="003B0899" w:rsidRDefault="005A463C" w:rsidP="003B0899">
      <w:pPr>
        <w:pStyle w:val="ListParagraph"/>
        <w:numPr>
          <w:ilvl w:val="0"/>
          <w:numId w:val="31"/>
        </w:numPr>
        <w:spacing w:line="240" w:lineRule="auto"/>
        <w:rPr>
          <w:rFonts w:cs="Times New Roman"/>
          <w:szCs w:val="24"/>
        </w:rPr>
      </w:pPr>
      <w:r w:rsidRPr="003B0899">
        <w:rPr>
          <w:rFonts w:cs="Times New Roman"/>
          <w:szCs w:val="24"/>
        </w:rPr>
        <w:t xml:space="preserve">Ezugwu, I., &amp; Nwachukwu, N. (2021). Environmental impacts of pipeline transport spills in the Niger Delta. </w:t>
      </w:r>
      <w:proofErr w:type="spellStart"/>
      <w:r w:rsidRPr="003B0899">
        <w:rPr>
          <w:rFonts w:cs="Times New Roman"/>
          <w:szCs w:val="24"/>
        </w:rPr>
        <w:t>Heliyon</w:t>
      </w:r>
      <w:proofErr w:type="spellEnd"/>
      <w:r w:rsidRPr="003B0899">
        <w:rPr>
          <w:rFonts w:cs="Times New Roman"/>
          <w:szCs w:val="24"/>
        </w:rPr>
        <w:t xml:space="preserve">, 7(9), e07950. </w:t>
      </w:r>
      <w:hyperlink r:id="rId36" w:history="1">
        <w:r w:rsidRPr="003B0899">
          <w:rPr>
            <w:rStyle w:val="Hyperlink"/>
            <w:szCs w:val="24"/>
          </w:rPr>
          <w:t>https://doi.org/10.1016/j.heliyon.2021.e07950</w:t>
        </w:r>
      </w:hyperlink>
    </w:p>
    <w:p w14:paraId="34C4CEC3" w14:textId="1D0D0AF8" w:rsidR="005A463C" w:rsidRPr="003B0899" w:rsidRDefault="00DC3DF4" w:rsidP="003B0899">
      <w:pPr>
        <w:pStyle w:val="ListParagraph"/>
        <w:numPr>
          <w:ilvl w:val="0"/>
          <w:numId w:val="31"/>
        </w:numPr>
        <w:spacing w:line="240" w:lineRule="auto"/>
        <w:rPr>
          <w:rFonts w:cs="Times New Roman"/>
          <w:szCs w:val="24"/>
        </w:rPr>
      </w:pPr>
      <w:proofErr w:type="spellStart"/>
      <w:r w:rsidRPr="003B0899">
        <w:rPr>
          <w:rFonts w:cs="Times New Roman"/>
          <w:szCs w:val="24"/>
        </w:rPr>
        <w:t>Giwa</w:t>
      </w:r>
      <w:proofErr w:type="spellEnd"/>
      <w:r w:rsidRPr="003B0899">
        <w:rPr>
          <w:rFonts w:cs="Times New Roman"/>
          <w:szCs w:val="24"/>
        </w:rPr>
        <w:t xml:space="preserve">, S. O., </w:t>
      </w:r>
      <w:proofErr w:type="spellStart"/>
      <w:r w:rsidRPr="003B0899">
        <w:rPr>
          <w:rFonts w:cs="Times New Roman"/>
          <w:szCs w:val="24"/>
        </w:rPr>
        <w:t>Adama</w:t>
      </w:r>
      <w:proofErr w:type="spellEnd"/>
      <w:r w:rsidRPr="003B0899">
        <w:rPr>
          <w:rFonts w:cs="Times New Roman"/>
          <w:szCs w:val="24"/>
        </w:rPr>
        <w:t xml:space="preserve">, O. O., &amp; Akinyemi, O. O. (2019). Gas flaring and health implications in the Niger Delta. Journal of Health and Pollution, 9(23), 190901. </w:t>
      </w:r>
      <w:hyperlink r:id="rId37" w:history="1">
        <w:r w:rsidRPr="003B0899">
          <w:rPr>
            <w:rStyle w:val="Hyperlink"/>
            <w:rFonts w:cs="Times New Roman"/>
            <w:szCs w:val="24"/>
          </w:rPr>
          <w:t>https://doi.org/10.5696/2156-9614-9.23.190901</w:t>
        </w:r>
      </w:hyperlink>
      <w:r w:rsidRPr="003B0899">
        <w:rPr>
          <w:rFonts w:cs="Times New Roman"/>
          <w:szCs w:val="24"/>
        </w:rPr>
        <w:t xml:space="preserve"> </w:t>
      </w:r>
    </w:p>
    <w:p w14:paraId="7D3CE707" w14:textId="061F0FD6" w:rsidR="005A463C" w:rsidRPr="003B0899" w:rsidRDefault="004F243E" w:rsidP="003B0899">
      <w:pPr>
        <w:pStyle w:val="ListParagraph"/>
        <w:numPr>
          <w:ilvl w:val="0"/>
          <w:numId w:val="31"/>
        </w:numPr>
        <w:spacing w:line="240" w:lineRule="auto"/>
        <w:rPr>
          <w:rFonts w:cs="Times New Roman"/>
          <w:szCs w:val="24"/>
        </w:rPr>
      </w:pPr>
      <w:r w:rsidRPr="003B0899">
        <w:rPr>
          <w:rFonts w:cs="Times New Roman"/>
          <w:szCs w:val="24"/>
        </w:rPr>
        <w:t xml:space="preserve">Goldstein, B. D., Osofsky, H. J., &amp; </w:t>
      </w:r>
      <w:proofErr w:type="spellStart"/>
      <w:r w:rsidRPr="003B0899">
        <w:rPr>
          <w:rFonts w:cs="Times New Roman"/>
          <w:szCs w:val="24"/>
        </w:rPr>
        <w:t>Lichtveld</w:t>
      </w:r>
      <w:proofErr w:type="spellEnd"/>
      <w:r w:rsidRPr="003B0899">
        <w:rPr>
          <w:rFonts w:cs="Times New Roman"/>
          <w:szCs w:val="24"/>
        </w:rPr>
        <w:t xml:space="preserve">, M. Y. (2011). The Gulf oil spill. New England Journal of Medicine, 364(14), 1334–1348. </w:t>
      </w:r>
      <w:hyperlink r:id="rId38" w:history="1">
        <w:r w:rsidRPr="003B0899">
          <w:rPr>
            <w:rStyle w:val="Hyperlink"/>
            <w:rFonts w:cs="Times New Roman"/>
            <w:szCs w:val="24"/>
          </w:rPr>
          <w:t>https://doi.org/10.1056/NEJMra1007197</w:t>
        </w:r>
      </w:hyperlink>
      <w:r w:rsidRPr="003B0899">
        <w:rPr>
          <w:rFonts w:cs="Times New Roman"/>
          <w:szCs w:val="24"/>
        </w:rPr>
        <w:t xml:space="preserve"> </w:t>
      </w:r>
    </w:p>
    <w:p w14:paraId="2477EFBB" w14:textId="68F91923" w:rsidR="005A463C" w:rsidRPr="003B0899" w:rsidRDefault="00793E82" w:rsidP="003B0899">
      <w:pPr>
        <w:pStyle w:val="ListParagraph"/>
        <w:numPr>
          <w:ilvl w:val="0"/>
          <w:numId w:val="31"/>
        </w:numPr>
        <w:spacing w:line="240" w:lineRule="auto"/>
        <w:rPr>
          <w:rFonts w:cs="Times New Roman"/>
          <w:szCs w:val="24"/>
        </w:rPr>
      </w:pPr>
      <w:proofErr w:type="spellStart"/>
      <w:r w:rsidRPr="003B0899">
        <w:rPr>
          <w:rFonts w:cs="Times New Roman"/>
          <w:szCs w:val="24"/>
        </w:rPr>
        <w:t>Garamszegi</w:t>
      </w:r>
      <w:proofErr w:type="spellEnd"/>
      <w:r w:rsidRPr="003B0899">
        <w:rPr>
          <w:rFonts w:cs="Times New Roman"/>
          <w:szCs w:val="24"/>
        </w:rPr>
        <w:t xml:space="preserve">, S. P., </w:t>
      </w:r>
      <w:proofErr w:type="spellStart"/>
      <w:r w:rsidRPr="003B0899">
        <w:rPr>
          <w:rFonts w:cs="Times New Roman"/>
          <w:szCs w:val="24"/>
        </w:rPr>
        <w:t>Banack</w:t>
      </w:r>
      <w:proofErr w:type="spellEnd"/>
      <w:r w:rsidRPr="003B0899">
        <w:rPr>
          <w:rFonts w:cs="Times New Roman"/>
          <w:szCs w:val="24"/>
        </w:rPr>
        <w:t xml:space="preserve">, S. A., Duque, L. L., Metcalf, J. S., </w:t>
      </w:r>
      <w:proofErr w:type="spellStart"/>
      <w:r w:rsidRPr="003B0899">
        <w:rPr>
          <w:rFonts w:cs="Times New Roman"/>
          <w:szCs w:val="24"/>
        </w:rPr>
        <w:t>Stommel</w:t>
      </w:r>
      <w:proofErr w:type="spellEnd"/>
      <w:r w:rsidRPr="003B0899">
        <w:rPr>
          <w:rFonts w:cs="Times New Roman"/>
          <w:szCs w:val="24"/>
        </w:rPr>
        <w:t xml:space="preserve">, E. W., Cox, P. A., &amp; Davis, D. A. (2023). Detection of β-N-methylamino-L-alanine in postmortem olfactory bulbs of Alzheimer’s disease patients using UHPLC-MS/MS: An autopsy case-series study. Toxicology Reports, 10, 87–96. </w:t>
      </w:r>
      <w:hyperlink r:id="rId39" w:history="1">
        <w:r w:rsidRPr="003B0899">
          <w:rPr>
            <w:rStyle w:val="Hyperlink"/>
            <w:rFonts w:cs="Times New Roman"/>
            <w:szCs w:val="24"/>
          </w:rPr>
          <w:t>https://doi.org/10.1016/j.toxrep.2023.01.002</w:t>
        </w:r>
      </w:hyperlink>
      <w:r w:rsidRPr="003B0899">
        <w:rPr>
          <w:rFonts w:cs="Times New Roman"/>
          <w:szCs w:val="24"/>
        </w:rPr>
        <w:t xml:space="preserve"> </w:t>
      </w:r>
    </w:p>
    <w:p w14:paraId="283499E6" w14:textId="3FA5815F" w:rsidR="005A463C" w:rsidRPr="003B0899" w:rsidRDefault="004A3A88" w:rsidP="003B0899">
      <w:pPr>
        <w:pStyle w:val="ListParagraph"/>
        <w:numPr>
          <w:ilvl w:val="0"/>
          <w:numId w:val="31"/>
        </w:numPr>
        <w:spacing w:line="240" w:lineRule="auto"/>
        <w:rPr>
          <w:rFonts w:cs="Times New Roman"/>
          <w:szCs w:val="24"/>
        </w:rPr>
      </w:pPr>
      <w:r w:rsidRPr="003B0899">
        <w:rPr>
          <w:rFonts w:cs="Times New Roman"/>
          <w:szCs w:val="24"/>
        </w:rPr>
        <w:t xml:space="preserve">Jahan, S., &amp; Wraith, D. (2021). Immediate and delayed effects of climatic factors on hospital admissions for schizophrenia in Queensland, Australia. Environmental Research, 199, 111003. </w:t>
      </w:r>
      <w:hyperlink r:id="rId40" w:history="1">
        <w:r w:rsidRPr="003B0899">
          <w:rPr>
            <w:rStyle w:val="Hyperlink"/>
            <w:rFonts w:cs="Times New Roman"/>
            <w:szCs w:val="24"/>
          </w:rPr>
          <w:t>https://doi.org/10.1016/j.envres.2021.111003</w:t>
        </w:r>
      </w:hyperlink>
      <w:r w:rsidRPr="003B0899">
        <w:rPr>
          <w:rFonts w:cs="Times New Roman"/>
          <w:szCs w:val="24"/>
        </w:rPr>
        <w:t xml:space="preserve"> </w:t>
      </w:r>
    </w:p>
    <w:p w14:paraId="0500D28B" w14:textId="57F3FF1B" w:rsidR="005A463C" w:rsidRPr="003B0899" w:rsidRDefault="007C0C47" w:rsidP="003B0899">
      <w:pPr>
        <w:pStyle w:val="ListParagraph"/>
        <w:numPr>
          <w:ilvl w:val="0"/>
          <w:numId w:val="31"/>
        </w:numPr>
        <w:spacing w:line="240" w:lineRule="auto"/>
        <w:rPr>
          <w:rFonts w:cs="Times New Roman"/>
          <w:szCs w:val="24"/>
        </w:rPr>
      </w:pPr>
      <w:r w:rsidRPr="003B0899">
        <w:rPr>
          <w:rFonts w:cs="Times New Roman"/>
          <w:szCs w:val="24"/>
        </w:rPr>
        <w:t xml:space="preserve">Jayaraman, S., Eswaran, A., </w:t>
      </w:r>
      <w:proofErr w:type="spellStart"/>
      <w:r w:rsidRPr="003B0899">
        <w:rPr>
          <w:rFonts w:cs="Times New Roman"/>
          <w:szCs w:val="24"/>
        </w:rPr>
        <w:t>Veeraraghavan</w:t>
      </w:r>
      <w:proofErr w:type="spellEnd"/>
      <w:r w:rsidRPr="003B0899">
        <w:rPr>
          <w:rFonts w:cs="Times New Roman"/>
          <w:szCs w:val="24"/>
        </w:rPr>
        <w:t xml:space="preserve">, V. P., &amp; Fazal, M. (2025). Implications of petrochemical exposure and epigenetic alterations on human health. Frontiers in Toxicology, 7, 1542871. </w:t>
      </w:r>
      <w:hyperlink r:id="rId41" w:history="1">
        <w:r w:rsidRPr="003B0899">
          <w:rPr>
            <w:rStyle w:val="Hyperlink"/>
            <w:rFonts w:cs="Times New Roman"/>
            <w:szCs w:val="24"/>
          </w:rPr>
          <w:t>https://doi.org/10.3389/ftox.2025.1542871</w:t>
        </w:r>
      </w:hyperlink>
      <w:r w:rsidRPr="003B0899">
        <w:rPr>
          <w:rFonts w:cs="Times New Roman"/>
          <w:szCs w:val="24"/>
        </w:rPr>
        <w:t xml:space="preserve"> </w:t>
      </w:r>
    </w:p>
    <w:p w14:paraId="0B99C4A3" w14:textId="6BD76048" w:rsidR="005A463C" w:rsidRPr="003B0899" w:rsidRDefault="00FE5F33" w:rsidP="003B0899">
      <w:pPr>
        <w:pStyle w:val="ListParagraph"/>
        <w:numPr>
          <w:ilvl w:val="0"/>
          <w:numId w:val="31"/>
        </w:numPr>
        <w:spacing w:line="240" w:lineRule="auto"/>
        <w:rPr>
          <w:rFonts w:cs="Times New Roman"/>
          <w:szCs w:val="24"/>
        </w:rPr>
      </w:pPr>
      <w:r w:rsidRPr="003B0899">
        <w:rPr>
          <w:rFonts w:cs="Times New Roman"/>
          <w:szCs w:val="24"/>
        </w:rPr>
        <w:t xml:space="preserve">Ji, Z. (2024). Integrated oxidation and membrane processes for produced water treatment: An overview and challenges. Separation and Purification Technology, 351, 128124. </w:t>
      </w:r>
      <w:hyperlink r:id="rId42" w:history="1">
        <w:r w:rsidRPr="003B0899">
          <w:rPr>
            <w:rStyle w:val="Hyperlink"/>
            <w:rFonts w:cs="Times New Roman"/>
            <w:szCs w:val="24"/>
          </w:rPr>
          <w:t>https://doi.org/10.1016/j.seppur.2024.128124</w:t>
        </w:r>
      </w:hyperlink>
      <w:r w:rsidRPr="003B0899">
        <w:rPr>
          <w:rFonts w:cs="Times New Roman"/>
          <w:szCs w:val="24"/>
        </w:rPr>
        <w:t xml:space="preserve"> </w:t>
      </w:r>
    </w:p>
    <w:p w14:paraId="25196627" w14:textId="607B0BE1" w:rsidR="005A463C" w:rsidRPr="003B0899" w:rsidRDefault="00590489" w:rsidP="003B0899">
      <w:pPr>
        <w:pStyle w:val="ListParagraph"/>
        <w:numPr>
          <w:ilvl w:val="0"/>
          <w:numId w:val="31"/>
        </w:numPr>
        <w:spacing w:line="240" w:lineRule="auto"/>
        <w:rPr>
          <w:rFonts w:cs="Times New Roman"/>
          <w:szCs w:val="24"/>
        </w:rPr>
      </w:pPr>
      <w:proofErr w:type="spellStart"/>
      <w:r w:rsidRPr="003B0899">
        <w:rPr>
          <w:rFonts w:cs="Times New Roman"/>
          <w:szCs w:val="24"/>
        </w:rPr>
        <w:t>Karanasiou</w:t>
      </w:r>
      <w:proofErr w:type="spellEnd"/>
      <w:r w:rsidRPr="003B0899">
        <w:rPr>
          <w:rFonts w:cs="Times New Roman"/>
          <w:szCs w:val="24"/>
        </w:rPr>
        <w:t xml:space="preserve">, A., </w:t>
      </w:r>
      <w:proofErr w:type="spellStart"/>
      <w:r w:rsidRPr="003B0899">
        <w:rPr>
          <w:rFonts w:cs="Times New Roman"/>
          <w:szCs w:val="24"/>
        </w:rPr>
        <w:t>Alastuey</w:t>
      </w:r>
      <w:proofErr w:type="spellEnd"/>
      <w:r w:rsidRPr="003B0899">
        <w:rPr>
          <w:rFonts w:cs="Times New Roman"/>
          <w:szCs w:val="24"/>
        </w:rPr>
        <w:t xml:space="preserve">, A., Amato, F., Renzi, M., </w:t>
      </w:r>
      <w:proofErr w:type="spellStart"/>
      <w:r w:rsidRPr="003B0899">
        <w:rPr>
          <w:rFonts w:cs="Times New Roman"/>
          <w:szCs w:val="24"/>
        </w:rPr>
        <w:t>Stafoggia</w:t>
      </w:r>
      <w:proofErr w:type="spellEnd"/>
      <w:r w:rsidRPr="003B0899">
        <w:rPr>
          <w:rFonts w:cs="Times New Roman"/>
          <w:szCs w:val="24"/>
        </w:rPr>
        <w:t xml:space="preserve">, M., Tobias, A., </w:t>
      </w:r>
      <w:proofErr w:type="spellStart"/>
      <w:r w:rsidRPr="003B0899">
        <w:rPr>
          <w:rFonts w:cs="Times New Roman"/>
          <w:szCs w:val="24"/>
        </w:rPr>
        <w:t>Reche</w:t>
      </w:r>
      <w:proofErr w:type="spellEnd"/>
      <w:r w:rsidRPr="003B0899">
        <w:rPr>
          <w:rFonts w:cs="Times New Roman"/>
          <w:szCs w:val="24"/>
        </w:rPr>
        <w:t xml:space="preserve">, C., </w:t>
      </w:r>
      <w:proofErr w:type="spellStart"/>
      <w:r w:rsidRPr="003B0899">
        <w:rPr>
          <w:rFonts w:cs="Times New Roman"/>
          <w:szCs w:val="24"/>
        </w:rPr>
        <w:t>Forastiere</w:t>
      </w:r>
      <w:proofErr w:type="spellEnd"/>
      <w:r w:rsidRPr="003B0899">
        <w:rPr>
          <w:rFonts w:cs="Times New Roman"/>
          <w:szCs w:val="24"/>
        </w:rPr>
        <w:t xml:space="preserve">, F., </w:t>
      </w:r>
      <w:proofErr w:type="spellStart"/>
      <w:r w:rsidRPr="003B0899">
        <w:rPr>
          <w:rFonts w:cs="Times New Roman"/>
          <w:szCs w:val="24"/>
        </w:rPr>
        <w:t>Gumy</w:t>
      </w:r>
      <w:proofErr w:type="spellEnd"/>
      <w:r w:rsidRPr="003B0899">
        <w:rPr>
          <w:rFonts w:cs="Times New Roman"/>
          <w:szCs w:val="24"/>
        </w:rPr>
        <w:t xml:space="preserve">, S., </w:t>
      </w:r>
      <w:proofErr w:type="spellStart"/>
      <w:r w:rsidRPr="003B0899">
        <w:rPr>
          <w:rFonts w:cs="Times New Roman"/>
          <w:szCs w:val="24"/>
        </w:rPr>
        <w:t>Mudu</w:t>
      </w:r>
      <w:proofErr w:type="spellEnd"/>
      <w:r w:rsidRPr="003B0899">
        <w:rPr>
          <w:rFonts w:cs="Times New Roman"/>
          <w:szCs w:val="24"/>
        </w:rPr>
        <w:t xml:space="preserve">, P., &amp; </w:t>
      </w:r>
      <w:proofErr w:type="spellStart"/>
      <w:r w:rsidRPr="003B0899">
        <w:rPr>
          <w:rFonts w:cs="Times New Roman"/>
          <w:szCs w:val="24"/>
        </w:rPr>
        <w:t>Querol</w:t>
      </w:r>
      <w:proofErr w:type="spellEnd"/>
      <w:r w:rsidRPr="003B0899">
        <w:rPr>
          <w:rFonts w:cs="Times New Roman"/>
          <w:szCs w:val="24"/>
        </w:rPr>
        <w:t xml:space="preserve">, X. (2021). Short-term health effects from outdoor exposure to biomass burning emissions: A review. Science of the Total Environment, 781, 146739. </w:t>
      </w:r>
      <w:hyperlink r:id="rId43" w:history="1">
        <w:r w:rsidRPr="003B0899">
          <w:rPr>
            <w:rStyle w:val="Hyperlink"/>
            <w:rFonts w:cs="Times New Roman"/>
            <w:szCs w:val="24"/>
          </w:rPr>
          <w:t>https://doi.org/10.1016/j.scitotenv.2021.146739</w:t>
        </w:r>
      </w:hyperlink>
      <w:r w:rsidRPr="003B0899">
        <w:rPr>
          <w:rFonts w:cs="Times New Roman"/>
          <w:szCs w:val="24"/>
        </w:rPr>
        <w:t xml:space="preserve"> </w:t>
      </w:r>
    </w:p>
    <w:p w14:paraId="5A709DD7" w14:textId="23D87094" w:rsidR="005A463C" w:rsidRPr="003B0899" w:rsidRDefault="00844B4C" w:rsidP="003B0899">
      <w:pPr>
        <w:pStyle w:val="ListParagraph"/>
        <w:numPr>
          <w:ilvl w:val="0"/>
          <w:numId w:val="31"/>
        </w:numPr>
        <w:spacing w:line="240" w:lineRule="auto"/>
        <w:rPr>
          <w:rFonts w:cs="Times New Roman"/>
          <w:szCs w:val="24"/>
        </w:rPr>
      </w:pPr>
      <w:proofErr w:type="spellStart"/>
      <w:r w:rsidRPr="003B0899">
        <w:rPr>
          <w:rFonts w:cs="Times New Roman"/>
          <w:szCs w:val="24"/>
        </w:rPr>
        <w:t>Korlapati</w:t>
      </w:r>
      <w:proofErr w:type="spellEnd"/>
      <w:r w:rsidRPr="003B0899">
        <w:rPr>
          <w:rFonts w:cs="Times New Roman"/>
          <w:szCs w:val="24"/>
        </w:rPr>
        <w:t xml:space="preserve">, N. V. S., Khan, F., Noor, Q., Mirza, S., &amp; </w:t>
      </w:r>
      <w:proofErr w:type="spellStart"/>
      <w:r w:rsidRPr="003B0899">
        <w:rPr>
          <w:rFonts w:cs="Times New Roman"/>
          <w:szCs w:val="24"/>
        </w:rPr>
        <w:t>Vaddiraju</w:t>
      </w:r>
      <w:proofErr w:type="spellEnd"/>
      <w:r w:rsidRPr="003B0899">
        <w:rPr>
          <w:rFonts w:cs="Times New Roman"/>
          <w:szCs w:val="24"/>
        </w:rPr>
        <w:t xml:space="preserve">, S. (2022). Review and analysis of pipeline leak detection methods. Journal of Pipeline Science and Engineering, 2, 1-12. </w:t>
      </w:r>
      <w:hyperlink r:id="rId44" w:history="1">
        <w:r w:rsidRPr="003B0899">
          <w:rPr>
            <w:rStyle w:val="Hyperlink"/>
            <w:rFonts w:cs="Times New Roman"/>
            <w:szCs w:val="24"/>
          </w:rPr>
          <w:t>https://doi.org/10.1016/j.jpse.2022.100074</w:t>
        </w:r>
      </w:hyperlink>
      <w:r w:rsidRPr="003B0899">
        <w:rPr>
          <w:rFonts w:cs="Times New Roman"/>
          <w:szCs w:val="24"/>
        </w:rPr>
        <w:t xml:space="preserve"> </w:t>
      </w:r>
    </w:p>
    <w:p w14:paraId="2D64195F" w14:textId="5DE15648" w:rsidR="005A463C" w:rsidRPr="003B0899" w:rsidRDefault="00AA603A" w:rsidP="003B0899">
      <w:pPr>
        <w:pStyle w:val="ListParagraph"/>
        <w:numPr>
          <w:ilvl w:val="0"/>
          <w:numId w:val="31"/>
        </w:numPr>
        <w:spacing w:line="240" w:lineRule="auto"/>
        <w:rPr>
          <w:rFonts w:cs="Times New Roman"/>
          <w:szCs w:val="24"/>
        </w:rPr>
      </w:pPr>
      <w:r w:rsidRPr="003B0899">
        <w:rPr>
          <w:rFonts w:cs="Times New Roman"/>
          <w:szCs w:val="24"/>
        </w:rPr>
        <w:t xml:space="preserve">Kumar, V., &amp; Yadav, A. (2022). Health risk assessment of heavy metals near petroleum transport infrastructure. Ecological Indicators, 142, 109043. </w:t>
      </w:r>
      <w:hyperlink r:id="rId45" w:history="1">
        <w:r w:rsidRPr="003B0899">
          <w:rPr>
            <w:rStyle w:val="Hyperlink"/>
            <w:rFonts w:cs="Times New Roman"/>
            <w:szCs w:val="24"/>
          </w:rPr>
          <w:t>https://doi.org/10.1016/j.ecolind.2022.109043</w:t>
        </w:r>
      </w:hyperlink>
      <w:r w:rsidRPr="003B0899">
        <w:rPr>
          <w:rFonts w:cs="Times New Roman"/>
          <w:szCs w:val="24"/>
        </w:rPr>
        <w:t xml:space="preserve"> </w:t>
      </w:r>
    </w:p>
    <w:p w14:paraId="742E2A4D" w14:textId="1C98CF6A" w:rsidR="005A463C" w:rsidRPr="003B0899" w:rsidRDefault="00806C8F" w:rsidP="003B0899">
      <w:pPr>
        <w:pStyle w:val="ListParagraph"/>
        <w:numPr>
          <w:ilvl w:val="0"/>
          <w:numId w:val="31"/>
        </w:numPr>
        <w:spacing w:line="240" w:lineRule="auto"/>
        <w:rPr>
          <w:rFonts w:cs="Times New Roman"/>
          <w:szCs w:val="24"/>
        </w:rPr>
      </w:pPr>
      <w:r w:rsidRPr="003B0899">
        <w:rPr>
          <w:rFonts w:cs="Times New Roman"/>
          <w:szCs w:val="24"/>
        </w:rPr>
        <w:t xml:space="preserve">Kwok, R. K., McGrath, J. A., Miller, A. K., Engel, L. S., </w:t>
      </w:r>
      <w:proofErr w:type="spellStart"/>
      <w:r w:rsidRPr="003B0899">
        <w:rPr>
          <w:rFonts w:cs="Times New Roman"/>
          <w:szCs w:val="24"/>
        </w:rPr>
        <w:t>Stenzel</w:t>
      </w:r>
      <w:proofErr w:type="spellEnd"/>
      <w:r w:rsidRPr="003B0899">
        <w:rPr>
          <w:rFonts w:cs="Times New Roman"/>
          <w:szCs w:val="24"/>
        </w:rPr>
        <w:t xml:space="preserve">, M. R., Jackson, W. B., Stewart, P. A., </w:t>
      </w:r>
      <w:proofErr w:type="spellStart"/>
      <w:r w:rsidRPr="003B0899">
        <w:rPr>
          <w:rFonts w:cs="Times New Roman"/>
          <w:szCs w:val="24"/>
        </w:rPr>
        <w:t>Stürmer</w:t>
      </w:r>
      <w:proofErr w:type="spellEnd"/>
      <w:r w:rsidRPr="003B0899">
        <w:rPr>
          <w:rFonts w:cs="Times New Roman"/>
          <w:szCs w:val="24"/>
        </w:rPr>
        <w:t xml:space="preserve">, T., &amp; Sandler, D. P. (2017). Mental health indicators associated with oil spill response and clean-up: cross-sectional analysis of the </w:t>
      </w:r>
      <w:proofErr w:type="spellStart"/>
      <w:r w:rsidRPr="003B0899">
        <w:rPr>
          <w:rFonts w:cs="Times New Roman"/>
          <w:szCs w:val="24"/>
        </w:rPr>
        <w:t>GuLF</w:t>
      </w:r>
      <w:proofErr w:type="spellEnd"/>
      <w:r w:rsidRPr="003B0899">
        <w:rPr>
          <w:rFonts w:cs="Times New Roman"/>
          <w:szCs w:val="24"/>
        </w:rPr>
        <w:t xml:space="preserve"> STUDY cohort. The Lancet Public Health, 2(12), e560–e567. </w:t>
      </w:r>
      <w:hyperlink r:id="rId46" w:history="1">
        <w:r w:rsidRPr="003B0899">
          <w:rPr>
            <w:rStyle w:val="Hyperlink"/>
            <w:rFonts w:cs="Times New Roman"/>
            <w:szCs w:val="24"/>
          </w:rPr>
          <w:t>https://doi.org/10.1016/S2468-2667(17)30194-9</w:t>
        </w:r>
      </w:hyperlink>
      <w:r w:rsidRPr="003B0899">
        <w:rPr>
          <w:rFonts w:cs="Times New Roman"/>
          <w:szCs w:val="24"/>
        </w:rPr>
        <w:t xml:space="preserve"> </w:t>
      </w:r>
    </w:p>
    <w:p w14:paraId="2A19AF2E" w14:textId="15906DF6" w:rsidR="005A463C" w:rsidRPr="003B0899" w:rsidRDefault="009024F4" w:rsidP="003B0899">
      <w:pPr>
        <w:pStyle w:val="ListParagraph"/>
        <w:numPr>
          <w:ilvl w:val="0"/>
          <w:numId w:val="31"/>
        </w:numPr>
        <w:spacing w:line="240" w:lineRule="auto"/>
        <w:rPr>
          <w:rFonts w:cs="Times New Roman"/>
          <w:szCs w:val="24"/>
        </w:rPr>
      </w:pPr>
      <w:proofErr w:type="spellStart"/>
      <w:r w:rsidRPr="003B0899">
        <w:rPr>
          <w:rFonts w:cs="Times New Roman"/>
          <w:szCs w:val="24"/>
        </w:rPr>
        <w:t>Laffon</w:t>
      </w:r>
      <w:proofErr w:type="spellEnd"/>
      <w:r w:rsidRPr="003B0899">
        <w:rPr>
          <w:rFonts w:cs="Times New Roman"/>
          <w:szCs w:val="24"/>
        </w:rPr>
        <w:t xml:space="preserve">, B., </w:t>
      </w:r>
      <w:proofErr w:type="spellStart"/>
      <w:r w:rsidRPr="003B0899">
        <w:rPr>
          <w:rFonts w:cs="Times New Roman"/>
          <w:szCs w:val="24"/>
        </w:rPr>
        <w:t>Pásaro</w:t>
      </w:r>
      <w:proofErr w:type="spellEnd"/>
      <w:r w:rsidRPr="003B0899">
        <w:rPr>
          <w:rFonts w:cs="Times New Roman"/>
          <w:szCs w:val="24"/>
        </w:rPr>
        <w:t xml:space="preserve">, E., &amp; </w:t>
      </w:r>
      <w:proofErr w:type="spellStart"/>
      <w:r w:rsidRPr="003B0899">
        <w:rPr>
          <w:rFonts w:cs="Times New Roman"/>
          <w:szCs w:val="24"/>
        </w:rPr>
        <w:t>Valdiglesias</w:t>
      </w:r>
      <w:proofErr w:type="spellEnd"/>
      <w:r w:rsidRPr="003B0899">
        <w:rPr>
          <w:rFonts w:cs="Times New Roman"/>
          <w:szCs w:val="24"/>
        </w:rPr>
        <w:t xml:space="preserve">, V. (2016). Effects of exposure to oil spills on human health: Updated review. Journal of Toxicology and Environmental Health, Part B, 19(3–4), 105–128. </w:t>
      </w:r>
      <w:hyperlink r:id="rId47" w:history="1">
        <w:r w:rsidRPr="003B0899">
          <w:rPr>
            <w:rStyle w:val="Hyperlink"/>
            <w:rFonts w:cs="Times New Roman"/>
            <w:szCs w:val="24"/>
          </w:rPr>
          <w:t>https://doi.org/10.1080/10937404.2016.1168730</w:t>
        </w:r>
      </w:hyperlink>
      <w:r w:rsidRPr="003B0899">
        <w:rPr>
          <w:rFonts w:cs="Times New Roman"/>
          <w:szCs w:val="24"/>
        </w:rPr>
        <w:t xml:space="preserve"> </w:t>
      </w:r>
    </w:p>
    <w:p w14:paraId="36623E12" w14:textId="4DAA6598" w:rsidR="005A463C" w:rsidRPr="003B0899" w:rsidRDefault="00502ED1" w:rsidP="003B0899">
      <w:pPr>
        <w:pStyle w:val="ListParagraph"/>
        <w:numPr>
          <w:ilvl w:val="0"/>
          <w:numId w:val="31"/>
        </w:numPr>
        <w:spacing w:line="240" w:lineRule="auto"/>
        <w:rPr>
          <w:rFonts w:cs="Times New Roman"/>
          <w:szCs w:val="24"/>
        </w:rPr>
      </w:pPr>
      <w:r w:rsidRPr="003B0899">
        <w:rPr>
          <w:rFonts w:cs="Times New Roman"/>
          <w:szCs w:val="24"/>
        </w:rPr>
        <w:t xml:space="preserve">Liang, Z., Wang, W., Wang, Y., Ma, L., Liang, C., Li, P., Yang, C., Wei, F., Li, S., &amp; Zhang, L. (2021). Urbanization, ambient air pollution, and prevalence of chronic kidney </w:t>
      </w:r>
      <w:r w:rsidRPr="003B0899">
        <w:rPr>
          <w:rFonts w:cs="Times New Roman"/>
          <w:szCs w:val="24"/>
        </w:rPr>
        <w:lastRenderedPageBreak/>
        <w:t xml:space="preserve">disease: A nationwide cross-sectional study. Environment International, 156, 106752 </w:t>
      </w:r>
      <w:hyperlink r:id="rId48" w:history="1">
        <w:r w:rsidRPr="003B0899">
          <w:rPr>
            <w:rStyle w:val="Hyperlink"/>
            <w:rFonts w:cs="Times New Roman"/>
            <w:szCs w:val="24"/>
          </w:rPr>
          <w:t>https://doi.org/10.1016/j.envint.2021.106752</w:t>
        </w:r>
      </w:hyperlink>
      <w:r w:rsidRPr="003B0899">
        <w:rPr>
          <w:rFonts w:cs="Times New Roman"/>
          <w:szCs w:val="24"/>
        </w:rPr>
        <w:t xml:space="preserve"> </w:t>
      </w:r>
    </w:p>
    <w:p w14:paraId="71F40184" w14:textId="36F45A87" w:rsidR="005A463C" w:rsidRPr="003B0899" w:rsidRDefault="00FA7F8F" w:rsidP="003B0899">
      <w:pPr>
        <w:pStyle w:val="ListParagraph"/>
        <w:numPr>
          <w:ilvl w:val="0"/>
          <w:numId w:val="31"/>
        </w:numPr>
        <w:spacing w:line="240" w:lineRule="auto"/>
        <w:rPr>
          <w:rFonts w:cs="Times New Roman"/>
          <w:szCs w:val="24"/>
        </w:rPr>
      </w:pPr>
      <w:r w:rsidRPr="003B0899">
        <w:rPr>
          <w:rFonts w:cs="Times New Roman"/>
          <w:szCs w:val="24"/>
        </w:rPr>
        <w:t xml:space="preserve">Li, J., Zhang, Y., &amp; Wang, X. (2022). Nanomaterial-based smart coatings for corrosion protection of pipelines. Progress in Materials Science, 127, 100946. </w:t>
      </w:r>
      <w:hyperlink r:id="rId49" w:history="1">
        <w:r w:rsidRPr="003B0899">
          <w:rPr>
            <w:rStyle w:val="Hyperlink"/>
            <w:rFonts w:cs="Times New Roman"/>
            <w:szCs w:val="24"/>
          </w:rPr>
          <w:t>https://doi.org/10.1016/j.pmatsci.2022.100946</w:t>
        </w:r>
      </w:hyperlink>
      <w:r w:rsidRPr="003B0899">
        <w:rPr>
          <w:rFonts w:cs="Times New Roman"/>
          <w:szCs w:val="24"/>
        </w:rPr>
        <w:t xml:space="preserve"> </w:t>
      </w:r>
    </w:p>
    <w:p w14:paraId="38EB2202" w14:textId="4F0B0EA1" w:rsidR="005A463C" w:rsidRPr="003B0899" w:rsidRDefault="00302905" w:rsidP="003B0899">
      <w:pPr>
        <w:pStyle w:val="ListParagraph"/>
        <w:numPr>
          <w:ilvl w:val="0"/>
          <w:numId w:val="31"/>
        </w:numPr>
        <w:spacing w:line="240" w:lineRule="auto"/>
        <w:rPr>
          <w:rFonts w:cs="Times New Roman"/>
          <w:szCs w:val="24"/>
        </w:rPr>
      </w:pPr>
      <w:r w:rsidRPr="003B0899">
        <w:rPr>
          <w:rFonts w:cs="Times New Roman"/>
          <w:szCs w:val="24"/>
        </w:rPr>
        <w:t xml:space="preserve">Liu, Z., et al. (2021). Failure analysis and health risk assessment of heavy metal leakage in oil and gas pipelines. Engineering Failure Analysis, 122, 105220. </w:t>
      </w:r>
      <w:hyperlink r:id="rId50" w:history="1">
        <w:r w:rsidRPr="003B0899">
          <w:rPr>
            <w:rStyle w:val="Hyperlink"/>
            <w:rFonts w:cs="Times New Roman"/>
            <w:szCs w:val="24"/>
          </w:rPr>
          <w:t>https://doi.org/10.1016/j.engfailanal.2021.105220</w:t>
        </w:r>
      </w:hyperlink>
      <w:r w:rsidRPr="003B0899">
        <w:rPr>
          <w:rFonts w:cs="Times New Roman"/>
          <w:szCs w:val="24"/>
        </w:rPr>
        <w:t xml:space="preserve"> </w:t>
      </w:r>
    </w:p>
    <w:p w14:paraId="2F8486B6" w14:textId="0C01E25B" w:rsidR="005A463C" w:rsidRPr="003B0899" w:rsidRDefault="00302905" w:rsidP="003B0899">
      <w:pPr>
        <w:pStyle w:val="ListParagraph"/>
        <w:numPr>
          <w:ilvl w:val="0"/>
          <w:numId w:val="31"/>
        </w:numPr>
        <w:spacing w:line="240" w:lineRule="auto"/>
        <w:rPr>
          <w:rFonts w:cs="Times New Roman"/>
          <w:szCs w:val="24"/>
        </w:rPr>
      </w:pPr>
      <w:r w:rsidRPr="003B0899">
        <w:rPr>
          <w:rFonts w:cs="Times New Roman"/>
          <w:szCs w:val="24"/>
        </w:rPr>
        <w:t xml:space="preserve">Mao, S., Lang, J., Chen, T., &amp; Cheng, S. (2021). Improving source inversion performance of airborne pollutant emissions by modifying atmospheric dispersion scheme through sensitivity analysis combined with optimization model. Environmental Pollution </w:t>
      </w:r>
      <w:hyperlink r:id="rId51" w:history="1">
        <w:r w:rsidRPr="003B0899">
          <w:rPr>
            <w:rStyle w:val="Hyperlink"/>
            <w:rFonts w:cs="Times New Roman"/>
            <w:szCs w:val="24"/>
          </w:rPr>
          <w:t>https://doi.org/10.1016/j.envpol.2021.117186</w:t>
        </w:r>
      </w:hyperlink>
      <w:r w:rsidRPr="003B0899">
        <w:rPr>
          <w:rFonts w:cs="Times New Roman"/>
          <w:szCs w:val="24"/>
        </w:rPr>
        <w:t xml:space="preserve"> </w:t>
      </w:r>
    </w:p>
    <w:p w14:paraId="0A30C1BF" w14:textId="67C49FD4" w:rsidR="005A463C" w:rsidRPr="003B0899" w:rsidRDefault="00607551" w:rsidP="003B0899">
      <w:pPr>
        <w:pStyle w:val="ListParagraph"/>
        <w:numPr>
          <w:ilvl w:val="0"/>
          <w:numId w:val="31"/>
        </w:numPr>
        <w:spacing w:line="240" w:lineRule="auto"/>
        <w:rPr>
          <w:rFonts w:cs="Times New Roman"/>
          <w:sz w:val="28"/>
          <w:szCs w:val="24"/>
        </w:rPr>
      </w:pPr>
      <w:r w:rsidRPr="003B0899">
        <w:rPr>
          <w:rFonts w:eastAsia="Times New Roman" w:cs="Times New Roman"/>
          <w:szCs w:val="24"/>
        </w:rPr>
        <w:t xml:space="preserve">Maritz, G. S., &amp; Harding, R. (2011). Life-long programming implications of exposure to tobacco smoking and nicotine before and soon after birth: Evidence for altered lung development. International Journal of Environmental Research &amp; Public Health, 8(3), 875–898. </w:t>
      </w:r>
      <w:hyperlink r:id="rId52" w:history="1">
        <w:r w:rsidRPr="003B0899">
          <w:rPr>
            <w:rStyle w:val="Hyperlink"/>
            <w:rFonts w:eastAsia="Times New Roman" w:cs="Times New Roman"/>
            <w:szCs w:val="24"/>
          </w:rPr>
          <w:t>https://doi.org/10.3390/ijerph8030875</w:t>
        </w:r>
      </w:hyperlink>
      <w:r w:rsidRPr="003B0899">
        <w:rPr>
          <w:rFonts w:eastAsia="Times New Roman" w:cs="Times New Roman"/>
          <w:szCs w:val="24"/>
        </w:rPr>
        <w:t xml:space="preserve"> </w:t>
      </w:r>
    </w:p>
    <w:p w14:paraId="0B8576C2" w14:textId="1ECA2C6F" w:rsidR="005A463C" w:rsidRPr="003B0899" w:rsidRDefault="00A27BB7" w:rsidP="003B0899">
      <w:pPr>
        <w:pStyle w:val="ListParagraph"/>
        <w:numPr>
          <w:ilvl w:val="0"/>
          <w:numId w:val="31"/>
        </w:numPr>
        <w:spacing w:line="240" w:lineRule="auto"/>
        <w:rPr>
          <w:rFonts w:cs="Times New Roman"/>
          <w:szCs w:val="24"/>
        </w:rPr>
      </w:pPr>
      <w:proofErr w:type="spellStart"/>
      <w:r w:rsidRPr="003B0899">
        <w:rPr>
          <w:rFonts w:cs="Times New Roman"/>
          <w:szCs w:val="24"/>
        </w:rPr>
        <w:t>Marinho</w:t>
      </w:r>
      <w:proofErr w:type="spellEnd"/>
      <w:r w:rsidRPr="003B0899">
        <w:rPr>
          <w:rFonts w:cs="Times New Roman"/>
          <w:szCs w:val="24"/>
        </w:rPr>
        <w:t xml:space="preserve">-Reis, P., Entwistle, J. A., </w:t>
      </w:r>
      <w:proofErr w:type="spellStart"/>
      <w:r w:rsidRPr="003B0899">
        <w:rPr>
          <w:rFonts w:cs="Times New Roman"/>
          <w:szCs w:val="24"/>
        </w:rPr>
        <w:t>Hursthouse</w:t>
      </w:r>
      <w:proofErr w:type="spellEnd"/>
      <w:r w:rsidRPr="003B0899">
        <w:rPr>
          <w:rFonts w:cs="Times New Roman"/>
          <w:szCs w:val="24"/>
        </w:rPr>
        <w:t xml:space="preserve">, A. S., &amp; Stewart, A. G. (2022). Perspectives on environment and human health: An editorial. Geosciences, 12(11), 408. </w:t>
      </w:r>
      <w:hyperlink r:id="rId53" w:history="1">
        <w:r w:rsidRPr="003B0899">
          <w:rPr>
            <w:rStyle w:val="Hyperlink"/>
            <w:rFonts w:cs="Times New Roman"/>
            <w:szCs w:val="24"/>
          </w:rPr>
          <w:t>https://doi.org/10.3390/geosciences12110408</w:t>
        </w:r>
      </w:hyperlink>
      <w:r w:rsidRPr="003B0899">
        <w:rPr>
          <w:rFonts w:cs="Times New Roman"/>
          <w:szCs w:val="24"/>
        </w:rPr>
        <w:t xml:space="preserve"> </w:t>
      </w:r>
    </w:p>
    <w:p w14:paraId="1A29B710" w14:textId="0EFF62D6" w:rsidR="005A463C" w:rsidRPr="003B0899" w:rsidRDefault="004634C5" w:rsidP="003B0899">
      <w:pPr>
        <w:pStyle w:val="ListParagraph"/>
        <w:numPr>
          <w:ilvl w:val="0"/>
          <w:numId w:val="31"/>
        </w:numPr>
        <w:spacing w:line="240" w:lineRule="auto"/>
        <w:rPr>
          <w:rFonts w:cs="Times New Roman"/>
          <w:szCs w:val="24"/>
        </w:rPr>
      </w:pPr>
      <w:r w:rsidRPr="003B0899">
        <w:rPr>
          <w:rFonts w:cs="Times New Roman"/>
          <w:szCs w:val="24"/>
        </w:rPr>
        <w:t xml:space="preserve">McKenzie, L. M., </w:t>
      </w:r>
      <w:proofErr w:type="spellStart"/>
      <w:r w:rsidRPr="003B0899">
        <w:rPr>
          <w:rFonts w:cs="Times New Roman"/>
          <w:szCs w:val="24"/>
        </w:rPr>
        <w:t>Allshouse</w:t>
      </w:r>
      <w:proofErr w:type="spellEnd"/>
      <w:r w:rsidRPr="003B0899">
        <w:rPr>
          <w:rFonts w:cs="Times New Roman"/>
          <w:szCs w:val="24"/>
        </w:rPr>
        <w:t xml:space="preserve">, W. B., Byers, T. E., </w:t>
      </w:r>
      <w:proofErr w:type="spellStart"/>
      <w:r w:rsidRPr="003B0899">
        <w:rPr>
          <w:rFonts w:cs="Times New Roman"/>
          <w:szCs w:val="24"/>
        </w:rPr>
        <w:t>Bedrick</w:t>
      </w:r>
      <w:proofErr w:type="spellEnd"/>
      <w:r w:rsidRPr="003B0899">
        <w:rPr>
          <w:rFonts w:cs="Times New Roman"/>
          <w:szCs w:val="24"/>
        </w:rPr>
        <w:t xml:space="preserve">, E. J., Serdar, B., &amp; </w:t>
      </w:r>
      <w:proofErr w:type="spellStart"/>
      <w:r w:rsidRPr="003B0899">
        <w:rPr>
          <w:rFonts w:cs="Times New Roman"/>
          <w:szCs w:val="24"/>
        </w:rPr>
        <w:t>Adgate</w:t>
      </w:r>
      <w:proofErr w:type="spellEnd"/>
      <w:r w:rsidRPr="003B0899">
        <w:rPr>
          <w:rFonts w:cs="Times New Roman"/>
          <w:szCs w:val="24"/>
        </w:rPr>
        <w:t xml:space="preserve">, J. L. (2017). Childhood hematologic cancer and residential proximity to oil and gas development. PLOS ONE, 12(2), e0170423. </w:t>
      </w:r>
      <w:hyperlink r:id="rId54" w:history="1">
        <w:r w:rsidRPr="003B0899">
          <w:rPr>
            <w:rStyle w:val="Hyperlink"/>
            <w:rFonts w:cs="Times New Roman"/>
            <w:szCs w:val="24"/>
          </w:rPr>
          <w:t>https://doi.org/10.1371/journal.pone.0170423</w:t>
        </w:r>
      </w:hyperlink>
      <w:r w:rsidRPr="003B0899">
        <w:rPr>
          <w:rFonts w:cs="Times New Roman"/>
          <w:szCs w:val="24"/>
        </w:rPr>
        <w:t xml:space="preserve"> </w:t>
      </w:r>
    </w:p>
    <w:p w14:paraId="4D609855" w14:textId="04427761" w:rsidR="005A463C" w:rsidRPr="003B0899" w:rsidRDefault="008E34EC" w:rsidP="003B0899">
      <w:pPr>
        <w:pStyle w:val="ListParagraph"/>
        <w:numPr>
          <w:ilvl w:val="0"/>
          <w:numId w:val="31"/>
        </w:numPr>
        <w:spacing w:line="240" w:lineRule="auto"/>
        <w:rPr>
          <w:rFonts w:cs="Times New Roman"/>
          <w:szCs w:val="24"/>
        </w:rPr>
      </w:pPr>
      <w:r w:rsidRPr="003B0899">
        <w:rPr>
          <w:rFonts w:cs="Times New Roman"/>
          <w:szCs w:val="24"/>
        </w:rPr>
        <w:t xml:space="preserve">McNutt, M. K., </w:t>
      </w:r>
      <w:proofErr w:type="spellStart"/>
      <w:r w:rsidRPr="003B0899">
        <w:rPr>
          <w:rFonts w:cs="Times New Roman"/>
          <w:szCs w:val="24"/>
        </w:rPr>
        <w:t>Camilli</w:t>
      </w:r>
      <w:proofErr w:type="spellEnd"/>
      <w:r w:rsidRPr="003B0899">
        <w:rPr>
          <w:rFonts w:cs="Times New Roman"/>
          <w:szCs w:val="24"/>
        </w:rPr>
        <w:t xml:space="preserve">, R., Crone, T. J., Guthrie, G. D., Hsieh, P. A., Ryerson, T. B., </w:t>
      </w:r>
      <w:proofErr w:type="spellStart"/>
      <w:r w:rsidRPr="003B0899">
        <w:rPr>
          <w:rFonts w:cs="Times New Roman"/>
          <w:szCs w:val="24"/>
        </w:rPr>
        <w:t>Savas</w:t>
      </w:r>
      <w:proofErr w:type="spellEnd"/>
      <w:r w:rsidRPr="003B0899">
        <w:rPr>
          <w:rFonts w:cs="Times New Roman"/>
          <w:szCs w:val="24"/>
        </w:rPr>
        <w:t xml:space="preserve">, O., &amp; Shaffer, F. (2012). Review of flow rate estimates of the Deepwater Horizon oil spill. Proceedings of the National Academy of Sciences, 109(50), 20260–20267. </w:t>
      </w:r>
      <w:hyperlink r:id="rId55" w:history="1">
        <w:r w:rsidRPr="003B0899">
          <w:rPr>
            <w:rStyle w:val="Hyperlink"/>
            <w:rFonts w:cs="Times New Roman"/>
            <w:szCs w:val="24"/>
          </w:rPr>
          <w:t>https://doi.org/10.1073/pnas.1112139108</w:t>
        </w:r>
      </w:hyperlink>
      <w:r w:rsidRPr="003B0899">
        <w:rPr>
          <w:rFonts w:cs="Times New Roman"/>
          <w:szCs w:val="24"/>
        </w:rPr>
        <w:t xml:space="preserve"> </w:t>
      </w:r>
    </w:p>
    <w:p w14:paraId="0DC0E593" w14:textId="27F48A8B" w:rsidR="005A463C" w:rsidRPr="003B0899" w:rsidRDefault="00E96D71" w:rsidP="003B0899">
      <w:pPr>
        <w:pStyle w:val="ListParagraph"/>
        <w:numPr>
          <w:ilvl w:val="0"/>
          <w:numId w:val="31"/>
        </w:numPr>
        <w:spacing w:line="240" w:lineRule="auto"/>
        <w:rPr>
          <w:rFonts w:cs="Times New Roman"/>
          <w:szCs w:val="24"/>
        </w:rPr>
      </w:pPr>
      <w:r w:rsidRPr="003B0899">
        <w:rPr>
          <w:rFonts w:cs="Times New Roman"/>
          <w:szCs w:val="24"/>
        </w:rPr>
        <w:t xml:space="preserve">Mendelssohn, I. A., Andersen, G. L., Baltz, D. M., Caffey, R. H., Carman, K. R., Fleeger, J. W., </w:t>
      </w:r>
      <w:proofErr w:type="spellStart"/>
      <w:r w:rsidRPr="003B0899">
        <w:rPr>
          <w:rFonts w:cs="Times New Roman"/>
          <w:szCs w:val="24"/>
        </w:rPr>
        <w:t>Joye</w:t>
      </w:r>
      <w:proofErr w:type="spellEnd"/>
      <w:r w:rsidRPr="003B0899">
        <w:rPr>
          <w:rFonts w:cs="Times New Roman"/>
          <w:szCs w:val="24"/>
        </w:rPr>
        <w:t xml:space="preserve">, S. B., Lin, Q., Maltby, E., Overton, E. B., Peterson, C. H., &amp; </w:t>
      </w:r>
      <w:proofErr w:type="spellStart"/>
      <w:r w:rsidRPr="003B0899">
        <w:rPr>
          <w:rFonts w:cs="Times New Roman"/>
          <w:szCs w:val="24"/>
        </w:rPr>
        <w:t>Rozas</w:t>
      </w:r>
      <w:proofErr w:type="spellEnd"/>
      <w:r w:rsidRPr="003B0899">
        <w:rPr>
          <w:rFonts w:cs="Times New Roman"/>
          <w:szCs w:val="24"/>
        </w:rPr>
        <w:t xml:space="preserve">, L. P. (2012). Oil impacts on coastal wetlands: Implications for the Mississippi River Delta ecosystem after the Deepwater Horizon oil spill. </w:t>
      </w:r>
      <w:proofErr w:type="spellStart"/>
      <w:r w:rsidRPr="003B0899">
        <w:rPr>
          <w:rFonts w:cs="Times New Roman"/>
          <w:szCs w:val="24"/>
        </w:rPr>
        <w:t>BioScience</w:t>
      </w:r>
      <w:proofErr w:type="spellEnd"/>
      <w:r w:rsidRPr="003B0899">
        <w:rPr>
          <w:rFonts w:cs="Times New Roman"/>
          <w:szCs w:val="24"/>
        </w:rPr>
        <w:t xml:space="preserve">, 62(6), 562–574. </w:t>
      </w:r>
      <w:hyperlink r:id="rId56" w:history="1">
        <w:r w:rsidRPr="003B0899">
          <w:rPr>
            <w:rStyle w:val="Hyperlink"/>
            <w:rFonts w:cs="Times New Roman"/>
            <w:szCs w:val="24"/>
          </w:rPr>
          <w:t>https://doi.org/10.1525/bio.2012.62.6.7</w:t>
        </w:r>
      </w:hyperlink>
      <w:r w:rsidRPr="003B0899">
        <w:rPr>
          <w:rFonts w:cs="Times New Roman"/>
          <w:szCs w:val="24"/>
        </w:rPr>
        <w:t xml:space="preserve"> </w:t>
      </w:r>
    </w:p>
    <w:p w14:paraId="3C33F312" w14:textId="0C768BF4" w:rsidR="005A463C" w:rsidRPr="003B0899" w:rsidRDefault="00B15149" w:rsidP="003B0899">
      <w:pPr>
        <w:pStyle w:val="ListParagraph"/>
        <w:numPr>
          <w:ilvl w:val="0"/>
          <w:numId w:val="31"/>
        </w:numPr>
        <w:spacing w:line="240" w:lineRule="auto"/>
        <w:rPr>
          <w:rFonts w:cs="Times New Roman"/>
          <w:szCs w:val="24"/>
        </w:rPr>
      </w:pPr>
      <w:r w:rsidRPr="003B0899">
        <w:rPr>
          <w:rFonts w:cs="Times New Roman"/>
          <w:szCs w:val="24"/>
        </w:rPr>
        <w:t xml:space="preserve">Michel, J., Owens, E. H., </w:t>
      </w:r>
      <w:proofErr w:type="spellStart"/>
      <w:r w:rsidRPr="003B0899">
        <w:rPr>
          <w:rFonts w:cs="Times New Roman"/>
          <w:szCs w:val="24"/>
        </w:rPr>
        <w:t>Zengel</w:t>
      </w:r>
      <w:proofErr w:type="spellEnd"/>
      <w:r w:rsidRPr="003B0899">
        <w:rPr>
          <w:rFonts w:cs="Times New Roman"/>
          <w:szCs w:val="24"/>
        </w:rPr>
        <w:t xml:space="preserve">, S., Graham, A., Nixon, Z., Allard, T., Holton, W., Reimer, P. D., Lamarche, A., &amp; White, M. (2013). Extent and degree of shoreline oiling: Deepwater Horizon oil spill, Gulf of Mexico, USA. PLOS ONE, 8(6), e65087. </w:t>
      </w:r>
      <w:hyperlink r:id="rId57" w:history="1">
        <w:r w:rsidRPr="003B0899">
          <w:rPr>
            <w:rStyle w:val="Hyperlink"/>
            <w:rFonts w:cs="Times New Roman"/>
            <w:szCs w:val="24"/>
          </w:rPr>
          <w:t>https://doi.org/10.1371/journal.pone.0065087</w:t>
        </w:r>
      </w:hyperlink>
      <w:r w:rsidRPr="003B0899">
        <w:rPr>
          <w:rFonts w:cs="Times New Roman"/>
          <w:szCs w:val="24"/>
        </w:rPr>
        <w:t xml:space="preserve"> </w:t>
      </w:r>
    </w:p>
    <w:p w14:paraId="3000DBFF" w14:textId="319FF9C0" w:rsidR="005A463C" w:rsidRPr="003B0899" w:rsidRDefault="00861A68" w:rsidP="003B0899">
      <w:pPr>
        <w:pStyle w:val="ListParagraph"/>
        <w:numPr>
          <w:ilvl w:val="0"/>
          <w:numId w:val="31"/>
        </w:numPr>
        <w:spacing w:line="240" w:lineRule="auto"/>
        <w:rPr>
          <w:rFonts w:cs="Times New Roman"/>
          <w:szCs w:val="24"/>
        </w:rPr>
      </w:pPr>
      <w:r w:rsidRPr="003B0899">
        <w:rPr>
          <w:rFonts w:cs="Times New Roman"/>
          <w:szCs w:val="24"/>
        </w:rPr>
        <w:t xml:space="preserve">Montano, L., </w:t>
      </w:r>
      <w:proofErr w:type="spellStart"/>
      <w:r w:rsidRPr="003B0899">
        <w:rPr>
          <w:rFonts w:cs="Times New Roman"/>
          <w:szCs w:val="24"/>
        </w:rPr>
        <w:t>Baldini</w:t>
      </w:r>
      <w:proofErr w:type="spellEnd"/>
      <w:r w:rsidRPr="003B0899">
        <w:rPr>
          <w:rFonts w:cs="Times New Roman"/>
          <w:szCs w:val="24"/>
        </w:rPr>
        <w:t xml:space="preserve">, G. M., </w:t>
      </w:r>
      <w:proofErr w:type="spellStart"/>
      <w:r w:rsidRPr="003B0899">
        <w:rPr>
          <w:rFonts w:cs="Times New Roman"/>
          <w:szCs w:val="24"/>
        </w:rPr>
        <w:t>Piscopo</w:t>
      </w:r>
      <w:proofErr w:type="spellEnd"/>
      <w:r w:rsidRPr="003B0899">
        <w:rPr>
          <w:rFonts w:cs="Times New Roman"/>
          <w:szCs w:val="24"/>
        </w:rPr>
        <w:t xml:space="preserve">, M., Liguori, G., Lombardi, R., Ricciardi, M., Esposito, G., Pinto, G., </w:t>
      </w:r>
      <w:proofErr w:type="spellStart"/>
      <w:r w:rsidRPr="003B0899">
        <w:rPr>
          <w:rFonts w:cs="Times New Roman"/>
          <w:szCs w:val="24"/>
        </w:rPr>
        <w:t>Fontanarosa</w:t>
      </w:r>
      <w:proofErr w:type="spellEnd"/>
      <w:r w:rsidRPr="003B0899">
        <w:rPr>
          <w:rFonts w:cs="Times New Roman"/>
          <w:szCs w:val="24"/>
        </w:rPr>
        <w:t xml:space="preserve">, C., Spinelli, M., Palmieri, I., Sofia, D., </w:t>
      </w:r>
      <w:proofErr w:type="spellStart"/>
      <w:r w:rsidRPr="003B0899">
        <w:rPr>
          <w:rFonts w:cs="Times New Roman"/>
          <w:szCs w:val="24"/>
        </w:rPr>
        <w:t>Brogna</w:t>
      </w:r>
      <w:proofErr w:type="spellEnd"/>
      <w:r w:rsidRPr="003B0899">
        <w:rPr>
          <w:rFonts w:cs="Times New Roman"/>
          <w:szCs w:val="24"/>
        </w:rPr>
        <w:t xml:space="preserve">, C., </w:t>
      </w:r>
      <w:proofErr w:type="spellStart"/>
      <w:r w:rsidRPr="003B0899">
        <w:rPr>
          <w:rFonts w:cs="Times New Roman"/>
          <w:szCs w:val="24"/>
        </w:rPr>
        <w:t>Carati</w:t>
      </w:r>
      <w:proofErr w:type="spellEnd"/>
      <w:r w:rsidRPr="003B0899">
        <w:rPr>
          <w:rFonts w:cs="Times New Roman"/>
          <w:szCs w:val="24"/>
        </w:rPr>
        <w:t xml:space="preserve">, C., Esposito, M., Gallo, P., </w:t>
      </w:r>
      <w:proofErr w:type="spellStart"/>
      <w:r w:rsidRPr="003B0899">
        <w:rPr>
          <w:rFonts w:cs="Times New Roman"/>
          <w:szCs w:val="24"/>
        </w:rPr>
        <w:t>Amoresano</w:t>
      </w:r>
      <w:proofErr w:type="spellEnd"/>
      <w:r w:rsidRPr="003B0899">
        <w:rPr>
          <w:rFonts w:cs="Times New Roman"/>
          <w:szCs w:val="24"/>
        </w:rPr>
        <w:t xml:space="preserve">, A., &amp; Motta, O. (2025). Polycyclic Aromatic Hydrocarbons (PAHs) in the Environment: Occupational Exposure, Health Risks and Fertility Implications. Toxics, 13(3), 151. </w:t>
      </w:r>
      <w:hyperlink r:id="rId58" w:history="1">
        <w:r w:rsidRPr="003B0899">
          <w:rPr>
            <w:rStyle w:val="Hyperlink"/>
            <w:rFonts w:cs="Times New Roman"/>
            <w:szCs w:val="24"/>
          </w:rPr>
          <w:t>https://doi.org/10.3390/toxics13030151</w:t>
        </w:r>
      </w:hyperlink>
      <w:r w:rsidRPr="003B0899">
        <w:rPr>
          <w:rFonts w:cs="Times New Roman"/>
          <w:szCs w:val="24"/>
        </w:rPr>
        <w:t xml:space="preserve"> </w:t>
      </w:r>
    </w:p>
    <w:p w14:paraId="2C04930A" w14:textId="7683CD35" w:rsidR="005A463C" w:rsidRPr="003B0899" w:rsidRDefault="00C56079" w:rsidP="003B0899">
      <w:pPr>
        <w:pStyle w:val="ListParagraph"/>
        <w:numPr>
          <w:ilvl w:val="0"/>
          <w:numId w:val="31"/>
        </w:numPr>
        <w:spacing w:line="240" w:lineRule="auto"/>
        <w:rPr>
          <w:rFonts w:cs="Times New Roman"/>
          <w:szCs w:val="24"/>
        </w:rPr>
      </w:pPr>
      <w:r w:rsidRPr="003B0899">
        <w:rPr>
          <w:rFonts w:cs="Times New Roman"/>
          <w:szCs w:val="24"/>
        </w:rPr>
        <w:t xml:space="preserve">Moradi, S., </w:t>
      </w:r>
      <w:proofErr w:type="spellStart"/>
      <w:r w:rsidRPr="003B0899">
        <w:rPr>
          <w:rFonts w:cs="Times New Roman"/>
          <w:szCs w:val="24"/>
        </w:rPr>
        <w:t>Enshaey</w:t>
      </w:r>
      <w:proofErr w:type="spellEnd"/>
      <w:r w:rsidRPr="003B0899">
        <w:rPr>
          <w:rFonts w:cs="Times New Roman"/>
          <w:szCs w:val="24"/>
        </w:rPr>
        <w:t xml:space="preserve"> </w:t>
      </w:r>
      <w:proofErr w:type="spellStart"/>
      <w:r w:rsidRPr="003B0899">
        <w:rPr>
          <w:rFonts w:cs="Times New Roman"/>
          <w:szCs w:val="24"/>
        </w:rPr>
        <w:t>Nezhad</w:t>
      </w:r>
      <w:proofErr w:type="spellEnd"/>
      <w:r w:rsidRPr="003B0899">
        <w:rPr>
          <w:rFonts w:cs="Times New Roman"/>
          <w:szCs w:val="24"/>
        </w:rPr>
        <w:t xml:space="preserve">, M., </w:t>
      </w:r>
      <w:proofErr w:type="spellStart"/>
      <w:r w:rsidRPr="003B0899">
        <w:rPr>
          <w:rFonts w:cs="Times New Roman"/>
          <w:szCs w:val="24"/>
        </w:rPr>
        <w:t>Goudarzi</w:t>
      </w:r>
      <w:proofErr w:type="spellEnd"/>
      <w:r w:rsidRPr="003B0899">
        <w:rPr>
          <w:rFonts w:cs="Times New Roman"/>
          <w:szCs w:val="24"/>
        </w:rPr>
        <w:t xml:space="preserve">, G., </w:t>
      </w:r>
      <w:proofErr w:type="spellStart"/>
      <w:r w:rsidRPr="003B0899">
        <w:rPr>
          <w:rFonts w:cs="Times New Roman"/>
          <w:szCs w:val="24"/>
        </w:rPr>
        <w:t>Babaei</w:t>
      </w:r>
      <w:proofErr w:type="spellEnd"/>
      <w:r w:rsidRPr="003B0899">
        <w:rPr>
          <w:rFonts w:cs="Times New Roman"/>
          <w:szCs w:val="24"/>
        </w:rPr>
        <w:t xml:space="preserve">, A. A., </w:t>
      </w:r>
      <w:proofErr w:type="spellStart"/>
      <w:r w:rsidRPr="003B0899">
        <w:rPr>
          <w:rFonts w:cs="Times New Roman"/>
          <w:szCs w:val="24"/>
        </w:rPr>
        <w:t>Kiani</w:t>
      </w:r>
      <w:proofErr w:type="spellEnd"/>
      <w:r w:rsidRPr="003B0899">
        <w:rPr>
          <w:rFonts w:cs="Times New Roman"/>
          <w:szCs w:val="24"/>
        </w:rPr>
        <w:t xml:space="preserve">, F., &amp; </w:t>
      </w:r>
      <w:proofErr w:type="spellStart"/>
      <w:r w:rsidRPr="003B0899">
        <w:rPr>
          <w:rFonts w:cs="Times New Roman"/>
          <w:szCs w:val="24"/>
        </w:rPr>
        <w:t>Mohammadi</w:t>
      </w:r>
      <w:proofErr w:type="spellEnd"/>
      <w:r w:rsidRPr="003B0899">
        <w:rPr>
          <w:rFonts w:cs="Times New Roman"/>
          <w:szCs w:val="24"/>
        </w:rPr>
        <w:t xml:space="preserve">, M. J. (2025). Polycyclic Aromatic Hydrocarbons Exposure and Its Impact on Increased Carcinogenic Risk and COPD: A Review. </w:t>
      </w:r>
      <w:proofErr w:type="spellStart"/>
      <w:r w:rsidRPr="003B0899">
        <w:rPr>
          <w:rFonts w:cs="Times New Roman"/>
          <w:szCs w:val="24"/>
        </w:rPr>
        <w:t>Jundishapur</w:t>
      </w:r>
      <w:proofErr w:type="spellEnd"/>
      <w:r w:rsidRPr="003B0899">
        <w:rPr>
          <w:rFonts w:cs="Times New Roman"/>
          <w:szCs w:val="24"/>
        </w:rPr>
        <w:t xml:space="preserve"> Journal of Chronic Disease Care, 15(1), e164263. </w:t>
      </w:r>
      <w:hyperlink r:id="rId59" w:history="1">
        <w:r w:rsidRPr="003B0899">
          <w:rPr>
            <w:rStyle w:val="Hyperlink"/>
            <w:rFonts w:cs="Times New Roman"/>
            <w:szCs w:val="24"/>
          </w:rPr>
          <w:t>https://doi.org/10.5812/jjcdc-164263</w:t>
        </w:r>
      </w:hyperlink>
      <w:r w:rsidRPr="003B0899">
        <w:rPr>
          <w:rFonts w:cs="Times New Roman"/>
          <w:szCs w:val="24"/>
        </w:rPr>
        <w:t xml:space="preserve"> </w:t>
      </w:r>
    </w:p>
    <w:p w14:paraId="4689B276" w14:textId="34E7CFD9" w:rsidR="005A463C" w:rsidRPr="003B0899" w:rsidRDefault="001C63C2" w:rsidP="003B0899">
      <w:pPr>
        <w:pStyle w:val="ListParagraph"/>
        <w:numPr>
          <w:ilvl w:val="0"/>
          <w:numId w:val="31"/>
        </w:numPr>
        <w:spacing w:line="240" w:lineRule="auto"/>
        <w:rPr>
          <w:rFonts w:cs="Times New Roman"/>
          <w:szCs w:val="24"/>
        </w:rPr>
      </w:pPr>
      <w:proofErr w:type="spellStart"/>
      <w:r w:rsidRPr="003B0899">
        <w:rPr>
          <w:rFonts w:cs="Times New Roman"/>
          <w:szCs w:val="24"/>
        </w:rPr>
        <w:lastRenderedPageBreak/>
        <w:t>Morakinyo</w:t>
      </w:r>
      <w:proofErr w:type="spellEnd"/>
      <w:r w:rsidRPr="003B0899">
        <w:rPr>
          <w:rFonts w:cs="Times New Roman"/>
          <w:szCs w:val="24"/>
        </w:rPr>
        <w:t xml:space="preserve">, O. M., </w:t>
      </w:r>
      <w:proofErr w:type="spellStart"/>
      <w:r w:rsidRPr="003B0899">
        <w:rPr>
          <w:rFonts w:cs="Times New Roman"/>
          <w:szCs w:val="24"/>
        </w:rPr>
        <w:t>Mokgobu</w:t>
      </w:r>
      <w:proofErr w:type="spellEnd"/>
      <w:r w:rsidRPr="003B0899">
        <w:rPr>
          <w:rFonts w:cs="Times New Roman"/>
          <w:szCs w:val="24"/>
        </w:rPr>
        <w:t xml:space="preserve">, M. I., </w:t>
      </w:r>
      <w:proofErr w:type="spellStart"/>
      <w:r w:rsidRPr="003B0899">
        <w:rPr>
          <w:rFonts w:cs="Times New Roman"/>
          <w:szCs w:val="24"/>
        </w:rPr>
        <w:t>Mukhola</w:t>
      </w:r>
      <w:proofErr w:type="spellEnd"/>
      <w:r w:rsidRPr="003B0899">
        <w:rPr>
          <w:rFonts w:cs="Times New Roman"/>
          <w:szCs w:val="24"/>
        </w:rPr>
        <w:t xml:space="preserve">, M. S., &amp; Hunter, R. P. (2016). Health outcomes of exposure to biological and chemical components of inhalable and respirable particulate matter. International Journal of Environmental Research and Public Health. </w:t>
      </w:r>
      <w:hyperlink r:id="rId60" w:history="1">
        <w:r w:rsidRPr="003B0899">
          <w:rPr>
            <w:rStyle w:val="Hyperlink"/>
            <w:rFonts w:cs="Times New Roman"/>
            <w:szCs w:val="24"/>
          </w:rPr>
          <w:t>https://doi.org/10.3390/ijerph13060592</w:t>
        </w:r>
      </w:hyperlink>
      <w:r w:rsidRPr="003B0899">
        <w:rPr>
          <w:rFonts w:cs="Times New Roman"/>
          <w:szCs w:val="24"/>
        </w:rPr>
        <w:t xml:space="preserve"> </w:t>
      </w:r>
    </w:p>
    <w:p w14:paraId="2B902BD0" w14:textId="22119F0A" w:rsidR="005A463C" w:rsidRPr="003B0899" w:rsidRDefault="001E0AA0" w:rsidP="003B0899">
      <w:pPr>
        <w:pStyle w:val="ListParagraph"/>
        <w:numPr>
          <w:ilvl w:val="0"/>
          <w:numId w:val="31"/>
        </w:numPr>
        <w:spacing w:line="240" w:lineRule="auto"/>
        <w:rPr>
          <w:rFonts w:cs="Times New Roman"/>
          <w:szCs w:val="24"/>
        </w:rPr>
      </w:pPr>
      <w:proofErr w:type="spellStart"/>
      <w:r w:rsidRPr="003B0899">
        <w:rPr>
          <w:rFonts w:cs="Times New Roman"/>
          <w:szCs w:val="24"/>
        </w:rPr>
        <w:t>Muvel</w:t>
      </w:r>
      <w:proofErr w:type="spellEnd"/>
      <w:r w:rsidRPr="003B0899">
        <w:rPr>
          <w:rFonts w:cs="Times New Roman"/>
          <w:szCs w:val="24"/>
        </w:rPr>
        <w:t xml:space="preserve">, H., et al. (2025). Minimizing oil pollution. RSC Sustainability, 3(9), 3681–3723. </w:t>
      </w:r>
      <w:hyperlink r:id="rId61" w:history="1">
        <w:r w:rsidRPr="003B0899">
          <w:rPr>
            <w:rStyle w:val="Hyperlink"/>
            <w:rFonts w:cs="Times New Roman"/>
            <w:szCs w:val="24"/>
          </w:rPr>
          <w:t>https://doi.org/10.1039/D5SU00403A</w:t>
        </w:r>
      </w:hyperlink>
      <w:r w:rsidRPr="003B0899">
        <w:rPr>
          <w:rFonts w:cs="Times New Roman"/>
          <w:szCs w:val="24"/>
        </w:rPr>
        <w:t xml:space="preserve"> </w:t>
      </w:r>
    </w:p>
    <w:p w14:paraId="54EDA753" w14:textId="3B2D9ACC" w:rsidR="005A463C" w:rsidRPr="003B0899" w:rsidRDefault="001E0AA0" w:rsidP="003B0899">
      <w:pPr>
        <w:pStyle w:val="ListParagraph"/>
        <w:numPr>
          <w:ilvl w:val="0"/>
          <w:numId w:val="31"/>
        </w:numPr>
        <w:spacing w:line="240" w:lineRule="auto"/>
        <w:rPr>
          <w:rFonts w:cs="Times New Roman"/>
          <w:szCs w:val="24"/>
        </w:rPr>
      </w:pPr>
      <w:proofErr w:type="spellStart"/>
      <w:r w:rsidRPr="003B0899">
        <w:rPr>
          <w:rFonts w:cs="Times New Roman"/>
          <w:szCs w:val="24"/>
        </w:rPr>
        <w:t>Nanadeinboemi</w:t>
      </w:r>
      <w:proofErr w:type="spellEnd"/>
      <w:r w:rsidRPr="003B0899">
        <w:rPr>
          <w:rFonts w:cs="Times New Roman"/>
          <w:szCs w:val="24"/>
        </w:rPr>
        <w:t xml:space="preserve">, O. A., </w:t>
      </w:r>
      <w:proofErr w:type="spellStart"/>
      <w:r w:rsidRPr="003B0899">
        <w:rPr>
          <w:rFonts w:cs="Times New Roman"/>
          <w:szCs w:val="24"/>
        </w:rPr>
        <w:t>Uju</w:t>
      </w:r>
      <w:proofErr w:type="spellEnd"/>
      <w:r w:rsidRPr="003B0899">
        <w:rPr>
          <w:rFonts w:cs="Times New Roman"/>
          <w:szCs w:val="24"/>
        </w:rPr>
        <w:t xml:space="preserve">, M. L., Christopher, C. N., Hakeem, O. O., &amp; David, D. S. (2024). Environmental and health influences of crude oil spills in Niger Delta, Nigeria: Case Study </w:t>
      </w:r>
      <w:proofErr w:type="spellStart"/>
      <w:r w:rsidRPr="003B0899">
        <w:rPr>
          <w:rFonts w:cs="Times New Roman"/>
          <w:szCs w:val="24"/>
        </w:rPr>
        <w:t>Oporoma</w:t>
      </w:r>
      <w:proofErr w:type="spellEnd"/>
      <w:r w:rsidRPr="003B0899">
        <w:rPr>
          <w:rFonts w:cs="Times New Roman"/>
          <w:szCs w:val="24"/>
        </w:rPr>
        <w:t xml:space="preserve"> Community. Journal of Health and Environmental Research, 10(2), 29–40. </w:t>
      </w:r>
      <w:hyperlink r:id="rId62" w:history="1">
        <w:r w:rsidRPr="003B0899">
          <w:rPr>
            <w:rStyle w:val="Hyperlink"/>
            <w:rFonts w:cs="Times New Roman"/>
            <w:szCs w:val="24"/>
          </w:rPr>
          <w:t>https://doi.org/10.11648/j.jher.20241002.11</w:t>
        </w:r>
      </w:hyperlink>
      <w:r w:rsidRPr="003B0899">
        <w:rPr>
          <w:rFonts w:cs="Times New Roman"/>
          <w:szCs w:val="24"/>
        </w:rPr>
        <w:t xml:space="preserve"> </w:t>
      </w:r>
    </w:p>
    <w:p w14:paraId="3C38F00C" w14:textId="52B4D7E2" w:rsidR="005A463C" w:rsidRPr="003B0899" w:rsidRDefault="009E168F" w:rsidP="003B0899">
      <w:pPr>
        <w:pStyle w:val="ListParagraph"/>
        <w:numPr>
          <w:ilvl w:val="0"/>
          <w:numId w:val="31"/>
        </w:numPr>
        <w:spacing w:line="240" w:lineRule="auto"/>
        <w:rPr>
          <w:rFonts w:cs="Times New Roman"/>
          <w:szCs w:val="24"/>
        </w:rPr>
      </w:pPr>
      <w:proofErr w:type="spellStart"/>
      <w:r w:rsidRPr="003B0899">
        <w:rPr>
          <w:rFonts w:cs="Times New Roman"/>
          <w:szCs w:val="24"/>
        </w:rPr>
        <w:t>Ngweme</w:t>
      </w:r>
      <w:proofErr w:type="spellEnd"/>
      <w:r w:rsidRPr="003B0899">
        <w:rPr>
          <w:rFonts w:cs="Times New Roman"/>
          <w:szCs w:val="24"/>
        </w:rPr>
        <w:t xml:space="preserve">, G. N., Al Salah, D. M. M., Laffite, A., </w:t>
      </w:r>
      <w:proofErr w:type="spellStart"/>
      <w:r w:rsidRPr="003B0899">
        <w:rPr>
          <w:rFonts w:cs="Times New Roman"/>
          <w:szCs w:val="24"/>
        </w:rPr>
        <w:t>Sivalingam</w:t>
      </w:r>
      <w:proofErr w:type="spellEnd"/>
      <w:r w:rsidRPr="003B0899">
        <w:rPr>
          <w:rFonts w:cs="Times New Roman"/>
          <w:szCs w:val="24"/>
        </w:rPr>
        <w:t xml:space="preserve">, P., </w:t>
      </w:r>
      <w:proofErr w:type="spellStart"/>
      <w:r w:rsidRPr="003B0899">
        <w:rPr>
          <w:rFonts w:cs="Times New Roman"/>
          <w:szCs w:val="24"/>
        </w:rPr>
        <w:t>Grandjean</w:t>
      </w:r>
      <w:proofErr w:type="spellEnd"/>
      <w:r w:rsidRPr="003B0899">
        <w:rPr>
          <w:rFonts w:cs="Times New Roman"/>
          <w:szCs w:val="24"/>
        </w:rPr>
        <w:t xml:space="preserve">, D., </w:t>
      </w:r>
      <w:proofErr w:type="spellStart"/>
      <w:r w:rsidRPr="003B0899">
        <w:rPr>
          <w:rFonts w:cs="Times New Roman"/>
          <w:szCs w:val="24"/>
        </w:rPr>
        <w:t>Konde</w:t>
      </w:r>
      <w:proofErr w:type="spellEnd"/>
      <w:r w:rsidRPr="003B0899">
        <w:rPr>
          <w:rFonts w:cs="Times New Roman"/>
          <w:szCs w:val="24"/>
        </w:rPr>
        <w:t xml:space="preserve">, J. N., </w:t>
      </w:r>
      <w:proofErr w:type="spellStart"/>
      <w:r w:rsidRPr="003B0899">
        <w:rPr>
          <w:rFonts w:cs="Times New Roman"/>
          <w:szCs w:val="24"/>
        </w:rPr>
        <w:t>Mulaji</w:t>
      </w:r>
      <w:proofErr w:type="spellEnd"/>
      <w:r w:rsidRPr="003B0899">
        <w:rPr>
          <w:rFonts w:cs="Times New Roman"/>
          <w:szCs w:val="24"/>
        </w:rPr>
        <w:t xml:space="preserve">, C. K., </w:t>
      </w:r>
      <w:proofErr w:type="spellStart"/>
      <w:r w:rsidRPr="003B0899">
        <w:rPr>
          <w:rFonts w:cs="Times New Roman"/>
          <w:szCs w:val="24"/>
        </w:rPr>
        <w:t>Breider</w:t>
      </w:r>
      <w:proofErr w:type="spellEnd"/>
      <w:r w:rsidRPr="003B0899">
        <w:rPr>
          <w:rFonts w:cs="Times New Roman"/>
          <w:szCs w:val="24"/>
        </w:rPr>
        <w:t xml:space="preserve">, F., &amp; </w:t>
      </w:r>
      <w:proofErr w:type="spellStart"/>
      <w:r w:rsidRPr="003B0899">
        <w:rPr>
          <w:rFonts w:cs="Times New Roman"/>
          <w:szCs w:val="24"/>
        </w:rPr>
        <w:t>Poté</w:t>
      </w:r>
      <w:proofErr w:type="spellEnd"/>
      <w:r w:rsidRPr="003B0899">
        <w:rPr>
          <w:rFonts w:cs="Times New Roman"/>
          <w:szCs w:val="24"/>
        </w:rPr>
        <w:t xml:space="preserve">, J. (2020). Occurrence of organic micropollutants and human health risk assessment based on consumption of Amaranthus </w:t>
      </w:r>
      <w:proofErr w:type="spellStart"/>
      <w:r w:rsidRPr="003B0899">
        <w:rPr>
          <w:rFonts w:cs="Times New Roman"/>
          <w:szCs w:val="24"/>
        </w:rPr>
        <w:t>viridis</w:t>
      </w:r>
      <w:proofErr w:type="spellEnd"/>
      <w:r w:rsidRPr="003B0899">
        <w:rPr>
          <w:rFonts w:cs="Times New Roman"/>
          <w:szCs w:val="24"/>
        </w:rPr>
        <w:t xml:space="preserve">, Kinshasa in the Democratic Republic of the Congo. Science of the Total Environment, 741, 142175. </w:t>
      </w:r>
      <w:hyperlink r:id="rId63" w:history="1">
        <w:r w:rsidRPr="003B0899">
          <w:rPr>
            <w:rStyle w:val="Hyperlink"/>
            <w:rFonts w:cs="Times New Roman"/>
            <w:szCs w:val="24"/>
          </w:rPr>
          <w:t>https://doi.org/10.1016/j.scitotenv.2020.142175</w:t>
        </w:r>
      </w:hyperlink>
      <w:r w:rsidRPr="003B0899">
        <w:rPr>
          <w:rFonts w:cs="Times New Roman"/>
          <w:szCs w:val="24"/>
        </w:rPr>
        <w:t xml:space="preserve"> </w:t>
      </w:r>
    </w:p>
    <w:p w14:paraId="6F5DCE7A" w14:textId="3C86C94C" w:rsidR="005A463C" w:rsidRPr="003B0899" w:rsidRDefault="008D13BF" w:rsidP="003B0899">
      <w:pPr>
        <w:pStyle w:val="ListParagraph"/>
        <w:numPr>
          <w:ilvl w:val="0"/>
          <w:numId w:val="31"/>
        </w:numPr>
        <w:spacing w:line="240" w:lineRule="auto"/>
        <w:rPr>
          <w:rFonts w:cs="Times New Roman"/>
          <w:szCs w:val="24"/>
        </w:rPr>
      </w:pPr>
      <w:proofErr w:type="spellStart"/>
      <w:r w:rsidRPr="003B0899">
        <w:rPr>
          <w:rFonts w:cs="Times New Roman"/>
          <w:szCs w:val="24"/>
        </w:rPr>
        <w:t>Nriagu</w:t>
      </w:r>
      <w:proofErr w:type="spellEnd"/>
      <w:r w:rsidRPr="003B0899">
        <w:rPr>
          <w:rFonts w:cs="Times New Roman"/>
          <w:szCs w:val="24"/>
        </w:rPr>
        <w:t xml:space="preserve">, J., </w:t>
      </w:r>
      <w:proofErr w:type="spellStart"/>
      <w:r w:rsidRPr="003B0899">
        <w:rPr>
          <w:rFonts w:cs="Times New Roman"/>
          <w:szCs w:val="24"/>
        </w:rPr>
        <w:t>Udofia</w:t>
      </w:r>
      <w:proofErr w:type="spellEnd"/>
      <w:r w:rsidRPr="003B0899">
        <w:rPr>
          <w:rFonts w:cs="Times New Roman"/>
          <w:szCs w:val="24"/>
        </w:rPr>
        <w:t xml:space="preserve">, E. A., </w:t>
      </w:r>
      <w:proofErr w:type="spellStart"/>
      <w:r w:rsidRPr="003B0899">
        <w:rPr>
          <w:rFonts w:cs="Times New Roman"/>
          <w:szCs w:val="24"/>
        </w:rPr>
        <w:t>Ekong</w:t>
      </w:r>
      <w:proofErr w:type="spellEnd"/>
      <w:r w:rsidRPr="003B0899">
        <w:rPr>
          <w:rFonts w:cs="Times New Roman"/>
          <w:szCs w:val="24"/>
        </w:rPr>
        <w:t xml:space="preserve">, I., &amp; </w:t>
      </w:r>
      <w:proofErr w:type="spellStart"/>
      <w:r w:rsidRPr="003B0899">
        <w:rPr>
          <w:rFonts w:cs="Times New Roman"/>
          <w:szCs w:val="24"/>
        </w:rPr>
        <w:t>Ebuk</w:t>
      </w:r>
      <w:proofErr w:type="spellEnd"/>
      <w:r w:rsidRPr="003B0899">
        <w:rPr>
          <w:rFonts w:cs="Times New Roman"/>
          <w:szCs w:val="24"/>
        </w:rPr>
        <w:t xml:space="preserve">, G. (2016). Health risks associated with oil pollution in the Niger Delta, Nigeria. International Journal of Environmental Research and Public Health, 13(3), 346. </w:t>
      </w:r>
      <w:hyperlink r:id="rId64" w:history="1">
        <w:r w:rsidRPr="003B0899">
          <w:rPr>
            <w:rStyle w:val="Hyperlink"/>
            <w:rFonts w:cs="Times New Roman"/>
            <w:szCs w:val="24"/>
          </w:rPr>
          <w:t>https://doi.org/10.3390/ijerph13030346</w:t>
        </w:r>
      </w:hyperlink>
      <w:r w:rsidRPr="003B0899">
        <w:rPr>
          <w:rFonts w:cs="Times New Roman"/>
          <w:szCs w:val="24"/>
        </w:rPr>
        <w:t xml:space="preserve"> </w:t>
      </w:r>
    </w:p>
    <w:p w14:paraId="7CC72184" w14:textId="13DE2C03" w:rsidR="005A463C" w:rsidRPr="003B0899" w:rsidRDefault="003420DE" w:rsidP="003B0899">
      <w:pPr>
        <w:pStyle w:val="ListParagraph"/>
        <w:numPr>
          <w:ilvl w:val="0"/>
          <w:numId w:val="31"/>
        </w:numPr>
        <w:spacing w:line="240" w:lineRule="auto"/>
        <w:rPr>
          <w:rFonts w:cs="Times New Roman"/>
          <w:szCs w:val="24"/>
        </w:rPr>
      </w:pPr>
      <w:proofErr w:type="spellStart"/>
      <w:r w:rsidRPr="003B0899">
        <w:rPr>
          <w:rFonts w:cs="Times New Roman"/>
          <w:szCs w:val="24"/>
        </w:rPr>
        <w:t>Onyije</w:t>
      </w:r>
      <w:proofErr w:type="spellEnd"/>
      <w:r w:rsidRPr="003B0899">
        <w:rPr>
          <w:rFonts w:cs="Times New Roman"/>
          <w:szCs w:val="24"/>
        </w:rPr>
        <w:t xml:space="preserve">, F. M., Hosseini, B., </w:t>
      </w:r>
      <w:proofErr w:type="spellStart"/>
      <w:r w:rsidRPr="003B0899">
        <w:rPr>
          <w:rFonts w:cs="Times New Roman"/>
          <w:szCs w:val="24"/>
        </w:rPr>
        <w:t>Togawa</w:t>
      </w:r>
      <w:proofErr w:type="spellEnd"/>
      <w:r w:rsidRPr="003B0899">
        <w:rPr>
          <w:rFonts w:cs="Times New Roman"/>
          <w:szCs w:val="24"/>
        </w:rPr>
        <w:t xml:space="preserve">, K., </w:t>
      </w:r>
      <w:proofErr w:type="spellStart"/>
      <w:r w:rsidRPr="003B0899">
        <w:rPr>
          <w:rFonts w:cs="Times New Roman"/>
          <w:szCs w:val="24"/>
        </w:rPr>
        <w:t>Schüz</w:t>
      </w:r>
      <w:proofErr w:type="spellEnd"/>
      <w:r w:rsidRPr="003B0899">
        <w:rPr>
          <w:rFonts w:cs="Times New Roman"/>
          <w:szCs w:val="24"/>
        </w:rPr>
        <w:t xml:space="preserve">, J., &amp; Olsson, A. (2021). Cancer Incidence and Mortality among Petroleum Industry Workers and Residents Living in Oil Producing Communities: A Systematic Review and Meta-Analysis. International Journal of Environmental Research and Public Health, 18(8), 4343. </w:t>
      </w:r>
      <w:hyperlink r:id="rId65" w:history="1">
        <w:r w:rsidRPr="003B0899">
          <w:rPr>
            <w:rStyle w:val="Hyperlink"/>
            <w:rFonts w:cs="Times New Roman"/>
            <w:szCs w:val="24"/>
          </w:rPr>
          <w:t>https://doi.org/10.3390/ijerph18084343</w:t>
        </w:r>
      </w:hyperlink>
      <w:r w:rsidRPr="003B0899">
        <w:rPr>
          <w:rFonts w:cs="Times New Roman"/>
          <w:szCs w:val="24"/>
        </w:rPr>
        <w:t xml:space="preserve"> </w:t>
      </w:r>
    </w:p>
    <w:p w14:paraId="7E5DC740" w14:textId="02286B14" w:rsidR="005A463C" w:rsidRPr="003B0899" w:rsidRDefault="00F4126A" w:rsidP="003B0899">
      <w:pPr>
        <w:pStyle w:val="ListParagraph"/>
        <w:numPr>
          <w:ilvl w:val="0"/>
          <w:numId w:val="31"/>
        </w:numPr>
        <w:spacing w:line="240" w:lineRule="auto"/>
        <w:rPr>
          <w:rFonts w:cs="Times New Roman"/>
          <w:szCs w:val="24"/>
        </w:rPr>
      </w:pPr>
      <w:proofErr w:type="spellStart"/>
      <w:r w:rsidRPr="003B0899">
        <w:rPr>
          <w:rFonts w:cs="Times New Roman"/>
          <w:szCs w:val="24"/>
        </w:rPr>
        <w:t>Orach</w:t>
      </w:r>
      <w:proofErr w:type="spellEnd"/>
      <w:r w:rsidRPr="003B0899">
        <w:rPr>
          <w:rFonts w:cs="Times New Roman"/>
          <w:szCs w:val="24"/>
        </w:rPr>
        <w:t xml:space="preserve">, J., Rider, C. F., &amp; </w:t>
      </w:r>
      <w:proofErr w:type="spellStart"/>
      <w:r w:rsidRPr="003B0899">
        <w:rPr>
          <w:rFonts w:cs="Times New Roman"/>
          <w:szCs w:val="24"/>
        </w:rPr>
        <w:t>Carlsten</w:t>
      </w:r>
      <w:proofErr w:type="spellEnd"/>
      <w:r w:rsidRPr="003B0899">
        <w:rPr>
          <w:rFonts w:cs="Times New Roman"/>
          <w:szCs w:val="24"/>
        </w:rPr>
        <w:t xml:space="preserve">, C. (2021). Concentration-dependent health effects of air pollution in controlled human exposures. Environment International, 150, 106424. </w:t>
      </w:r>
      <w:hyperlink r:id="rId66" w:history="1">
        <w:r w:rsidRPr="003B0899">
          <w:rPr>
            <w:rStyle w:val="Hyperlink"/>
            <w:rFonts w:cs="Times New Roman"/>
            <w:szCs w:val="24"/>
          </w:rPr>
          <w:t>https://doi.org/10.1016/j.envint.2021.106424</w:t>
        </w:r>
      </w:hyperlink>
      <w:r w:rsidRPr="003B0899">
        <w:rPr>
          <w:rFonts w:cs="Times New Roman"/>
          <w:szCs w:val="24"/>
        </w:rPr>
        <w:t xml:space="preserve"> </w:t>
      </w:r>
    </w:p>
    <w:p w14:paraId="6EB1DDA8" w14:textId="42AC6650" w:rsidR="005A463C" w:rsidRPr="003B0899" w:rsidRDefault="00E667C0" w:rsidP="003B0899">
      <w:pPr>
        <w:pStyle w:val="ListParagraph"/>
        <w:numPr>
          <w:ilvl w:val="0"/>
          <w:numId w:val="31"/>
        </w:numPr>
        <w:spacing w:line="240" w:lineRule="auto"/>
        <w:rPr>
          <w:rFonts w:cs="Times New Roman"/>
          <w:szCs w:val="24"/>
        </w:rPr>
      </w:pPr>
      <w:r w:rsidRPr="003B0899">
        <w:rPr>
          <w:rFonts w:cs="Times New Roman"/>
          <w:szCs w:val="24"/>
        </w:rPr>
        <w:t xml:space="preserve">Pan, Z., Yuan, X., Tu, W., Fu, Z., &amp; </w:t>
      </w:r>
      <w:proofErr w:type="spellStart"/>
      <w:r w:rsidRPr="003B0899">
        <w:rPr>
          <w:rFonts w:cs="Times New Roman"/>
          <w:szCs w:val="24"/>
        </w:rPr>
        <w:t>Jin</w:t>
      </w:r>
      <w:proofErr w:type="spellEnd"/>
      <w:r w:rsidRPr="003B0899">
        <w:rPr>
          <w:rFonts w:cs="Times New Roman"/>
          <w:szCs w:val="24"/>
        </w:rPr>
        <w:t xml:space="preserve">, Y. (2019). </w:t>
      </w:r>
      <w:proofErr w:type="spellStart"/>
      <w:r w:rsidRPr="003B0899">
        <w:rPr>
          <w:rFonts w:cs="Times New Roman"/>
          <w:szCs w:val="24"/>
        </w:rPr>
        <w:t>Subchronic</w:t>
      </w:r>
      <w:proofErr w:type="spellEnd"/>
      <w:r w:rsidRPr="003B0899">
        <w:rPr>
          <w:rFonts w:cs="Times New Roman"/>
          <w:szCs w:val="24"/>
        </w:rPr>
        <w:t xml:space="preserve"> exposure of environmentally relevant concentrations of F-53B in mice resulted in gut barrier dysfunction and colonic inflammation in a sex-independent manner. Environmental Pollution. </w:t>
      </w:r>
      <w:hyperlink r:id="rId67" w:history="1">
        <w:r w:rsidRPr="003B0899">
          <w:rPr>
            <w:rStyle w:val="Hyperlink"/>
            <w:rFonts w:cs="Times New Roman"/>
            <w:szCs w:val="24"/>
          </w:rPr>
          <w:t>https://doi.org/10.1016/j.envpol.2019.07.021</w:t>
        </w:r>
      </w:hyperlink>
      <w:r w:rsidRPr="003B0899">
        <w:rPr>
          <w:rFonts w:cs="Times New Roman"/>
          <w:szCs w:val="24"/>
        </w:rPr>
        <w:t xml:space="preserve"> </w:t>
      </w:r>
    </w:p>
    <w:p w14:paraId="3891562A" w14:textId="24B770CD" w:rsidR="005A463C" w:rsidRPr="003B0899" w:rsidRDefault="00A21366" w:rsidP="003B0899">
      <w:pPr>
        <w:pStyle w:val="ListParagraph"/>
        <w:numPr>
          <w:ilvl w:val="0"/>
          <w:numId w:val="31"/>
        </w:numPr>
        <w:spacing w:line="240" w:lineRule="auto"/>
        <w:rPr>
          <w:rFonts w:cs="Times New Roman"/>
          <w:szCs w:val="24"/>
        </w:rPr>
      </w:pPr>
      <w:r w:rsidRPr="003B0899">
        <w:rPr>
          <w:rFonts w:cs="Times New Roman"/>
          <w:szCs w:val="24"/>
        </w:rPr>
        <w:t xml:space="preserve">Peres, L. C., </w:t>
      </w:r>
      <w:proofErr w:type="spellStart"/>
      <w:r w:rsidRPr="003B0899">
        <w:rPr>
          <w:rFonts w:cs="Times New Roman"/>
          <w:szCs w:val="24"/>
        </w:rPr>
        <w:t>Trapido</w:t>
      </w:r>
      <w:proofErr w:type="spellEnd"/>
      <w:r w:rsidRPr="003B0899">
        <w:rPr>
          <w:rFonts w:cs="Times New Roman"/>
          <w:szCs w:val="24"/>
        </w:rPr>
        <w:t xml:space="preserve">, E., Rung, A. L., Harrington, D. J., Oral, E., Fang, Z., </w:t>
      </w:r>
      <w:proofErr w:type="spellStart"/>
      <w:r w:rsidRPr="003B0899">
        <w:rPr>
          <w:rFonts w:cs="Times New Roman"/>
          <w:szCs w:val="24"/>
        </w:rPr>
        <w:t>Fontham</w:t>
      </w:r>
      <w:proofErr w:type="spellEnd"/>
      <w:r w:rsidRPr="003B0899">
        <w:rPr>
          <w:rFonts w:cs="Times New Roman"/>
          <w:szCs w:val="24"/>
        </w:rPr>
        <w:t>, E., &amp; Peters, E. S. (2016). The Deepwater Horizon Oil Spill and Physical Health among Adult Women in Southern Louisiana: The Women and Their Children's Health (</w:t>
      </w:r>
      <w:proofErr w:type="spellStart"/>
      <w:r w:rsidRPr="003B0899">
        <w:rPr>
          <w:rFonts w:cs="Times New Roman"/>
          <w:szCs w:val="24"/>
        </w:rPr>
        <w:t>WaTCH</w:t>
      </w:r>
      <w:proofErr w:type="spellEnd"/>
      <w:r w:rsidRPr="003B0899">
        <w:rPr>
          <w:rFonts w:cs="Times New Roman"/>
          <w:szCs w:val="24"/>
        </w:rPr>
        <w:t xml:space="preserve">) Study. Environmental Health Perspectives, 124(8), 1208–1213. </w:t>
      </w:r>
      <w:hyperlink r:id="rId68" w:history="1">
        <w:r w:rsidRPr="003B0899">
          <w:rPr>
            <w:rStyle w:val="Hyperlink"/>
            <w:rFonts w:cs="Times New Roman"/>
            <w:szCs w:val="24"/>
          </w:rPr>
          <w:t>https://doi.org/10.1289/ehp.1510348</w:t>
        </w:r>
      </w:hyperlink>
      <w:r w:rsidRPr="003B0899">
        <w:rPr>
          <w:rFonts w:cs="Times New Roman"/>
          <w:szCs w:val="24"/>
        </w:rPr>
        <w:t xml:space="preserve"> </w:t>
      </w:r>
    </w:p>
    <w:p w14:paraId="3AA364E5" w14:textId="2282F780" w:rsidR="005A463C" w:rsidRPr="003B0899" w:rsidRDefault="00412AAF" w:rsidP="003B0899">
      <w:pPr>
        <w:pStyle w:val="ListParagraph"/>
        <w:numPr>
          <w:ilvl w:val="0"/>
          <w:numId w:val="31"/>
        </w:numPr>
        <w:spacing w:line="240" w:lineRule="auto"/>
        <w:rPr>
          <w:rFonts w:cs="Times New Roman"/>
          <w:szCs w:val="24"/>
        </w:rPr>
      </w:pPr>
      <w:r w:rsidRPr="003B0899">
        <w:rPr>
          <w:rFonts w:cs="Times New Roman"/>
          <w:szCs w:val="24"/>
        </w:rPr>
        <w:t xml:space="preserve">Rahman, K., &amp; Chen, Y. (2023). Systemic effects of nanoparticle exposure. Toxicology Reports, 10, 1109–1123. </w:t>
      </w:r>
      <w:hyperlink r:id="rId69" w:history="1">
        <w:r w:rsidRPr="003B0899">
          <w:rPr>
            <w:rStyle w:val="Hyperlink"/>
            <w:rFonts w:cs="Times New Roman"/>
            <w:szCs w:val="24"/>
          </w:rPr>
          <w:t>https://doi.org/10.1016/j.toxrep.2023.1109</w:t>
        </w:r>
      </w:hyperlink>
      <w:r w:rsidRPr="003B0899">
        <w:rPr>
          <w:rFonts w:cs="Times New Roman"/>
          <w:szCs w:val="24"/>
        </w:rPr>
        <w:t xml:space="preserve"> </w:t>
      </w:r>
    </w:p>
    <w:p w14:paraId="296284A7" w14:textId="1966E0E8" w:rsidR="005A463C" w:rsidRPr="003B0899" w:rsidRDefault="00E014FA" w:rsidP="003B0899">
      <w:pPr>
        <w:pStyle w:val="ListParagraph"/>
        <w:numPr>
          <w:ilvl w:val="0"/>
          <w:numId w:val="31"/>
        </w:numPr>
        <w:spacing w:line="240" w:lineRule="auto"/>
        <w:rPr>
          <w:rFonts w:cs="Times New Roman"/>
          <w:szCs w:val="24"/>
        </w:rPr>
      </w:pPr>
      <w:r w:rsidRPr="003B0899">
        <w:rPr>
          <w:rFonts w:cs="Times New Roman"/>
          <w:szCs w:val="24"/>
        </w:rPr>
        <w:t xml:space="preserve">Roberts, J. R., Reynolds, J. S., Thompson, J. A., Zaccone, E. J., </w:t>
      </w:r>
      <w:proofErr w:type="spellStart"/>
      <w:r w:rsidRPr="003B0899">
        <w:rPr>
          <w:rFonts w:cs="Times New Roman"/>
          <w:szCs w:val="24"/>
        </w:rPr>
        <w:t>Shimko</w:t>
      </w:r>
      <w:proofErr w:type="spellEnd"/>
      <w:r w:rsidRPr="003B0899">
        <w:rPr>
          <w:rFonts w:cs="Times New Roman"/>
          <w:szCs w:val="24"/>
        </w:rPr>
        <w:t xml:space="preserve">, M. J., Goldsmith, W. T., Jackson, M., McKinney, W., Frazer, D. G., Kenyon, A., </w:t>
      </w:r>
      <w:proofErr w:type="spellStart"/>
      <w:r w:rsidRPr="003B0899">
        <w:rPr>
          <w:rFonts w:cs="Times New Roman"/>
          <w:szCs w:val="24"/>
        </w:rPr>
        <w:t>Kashon</w:t>
      </w:r>
      <w:proofErr w:type="spellEnd"/>
      <w:r w:rsidRPr="003B0899">
        <w:rPr>
          <w:rFonts w:cs="Times New Roman"/>
          <w:szCs w:val="24"/>
        </w:rPr>
        <w:t xml:space="preserve">, M. L., </w:t>
      </w:r>
      <w:proofErr w:type="spellStart"/>
      <w:r w:rsidRPr="003B0899">
        <w:rPr>
          <w:rFonts w:cs="Times New Roman"/>
          <w:szCs w:val="24"/>
        </w:rPr>
        <w:t>Piedimonte</w:t>
      </w:r>
      <w:proofErr w:type="spellEnd"/>
      <w:r w:rsidRPr="003B0899">
        <w:rPr>
          <w:rFonts w:cs="Times New Roman"/>
          <w:szCs w:val="24"/>
        </w:rPr>
        <w:t xml:space="preserve">, G., </w:t>
      </w:r>
      <w:proofErr w:type="spellStart"/>
      <w:r w:rsidRPr="003B0899">
        <w:rPr>
          <w:rFonts w:cs="Times New Roman"/>
          <w:szCs w:val="24"/>
        </w:rPr>
        <w:t>Castranova</w:t>
      </w:r>
      <w:proofErr w:type="spellEnd"/>
      <w:r w:rsidRPr="003B0899">
        <w:rPr>
          <w:rFonts w:cs="Times New Roman"/>
          <w:szCs w:val="24"/>
        </w:rPr>
        <w:t xml:space="preserve">, V., &amp; </w:t>
      </w:r>
      <w:proofErr w:type="spellStart"/>
      <w:r w:rsidRPr="003B0899">
        <w:rPr>
          <w:rFonts w:cs="Times New Roman"/>
          <w:szCs w:val="24"/>
        </w:rPr>
        <w:t>Fedan</w:t>
      </w:r>
      <w:proofErr w:type="spellEnd"/>
      <w:r w:rsidRPr="003B0899">
        <w:rPr>
          <w:rFonts w:cs="Times New Roman"/>
          <w:szCs w:val="24"/>
        </w:rPr>
        <w:t xml:space="preserve">, J. S. (2011). Pulmonary effects after acute inhalation of oil dispersant (COREXIT EC9500A) in rats. Journal of Toxicology and Environmental Health, Part A, 74(21), 1381–1396. </w:t>
      </w:r>
      <w:hyperlink r:id="rId70" w:history="1">
        <w:r w:rsidRPr="003B0899">
          <w:rPr>
            <w:rStyle w:val="Hyperlink"/>
            <w:rFonts w:cs="Times New Roman"/>
            <w:szCs w:val="24"/>
          </w:rPr>
          <w:t>https://doi.org/10.1080/15287394.2011.606794</w:t>
        </w:r>
      </w:hyperlink>
      <w:r w:rsidRPr="003B0899">
        <w:rPr>
          <w:rFonts w:cs="Times New Roman"/>
          <w:szCs w:val="24"/>
        </w:rPr>
        <w:t xml:space="preserve"> </w:t>
      </w:r>
    </w:p>
    <w:p w14:paraId="4387BDE1" w14:textId="69CCA59F" w:rsidR="005A463C" w:rsidRPr="003B0899" w:rsidRDefault="00213E71" w:rsidP="003B0899">
      <w:pPr>
        <w:pStyle w:val="ListParagraph"/>
        <w:numPr>
          <w:ilvl w:val="0"/>
          <w:numId w:val="31"/>
        </w:numPr>
        <w:spacing w:line="240" w:lineRule="auto"/>
        <w:rPr>
          <w:rFonts w:cs="Times New Roman"/>
          <w:szCs w:val="24"/>
        </w:rPr>
      </w:pPr>
      <w:proofErr w:type="spellStart"/>
      <w:r w:rsidRPr="003B0899">
        <w:rPr>
          <w:rFonts w:cs="Times New Roman"/>
          <w:szCs w:val="24"/>
        </w:rPr>
        <w:t>Sahu</w:t>
      </w:r>
      <w:proofErr w:type="spellEnd"/>
      <w:r w:rsidRPr="003B0899">
        <w:rPr>
          <w:rFonts w:cs="Times New Roman"/>
          <w:szCs w:val="24"/>
        </w:rPr>
        <w:t xml:space="preserve">, M., &amp; Gaur, J. (2019). Genetic toxicity of PAHs. Science of the Total Environment, 668, 456–464. </w:t>
      </w:r>
      <w:hyperlink r:id="rId71" w:history="1">
        <w:r w:rsidRPr="003B0899">
          <w:rPr>
            <w:rStyle w:val="Hyperlink"/>
            <w:rFonts w:cs="Times New Roman"/>
            <w:szCs w:val="24"/>
          </w:rPr>
          <w:t>https://doi.org/10.1016/j.scitotenv.2019.02.045</w:t>
        </w:r>
      </w:hyperlink>
      <w:r w:rsidRPr="003B0899">
        <w:rPr>
          <w:rFonts w:cs="Times New Roman"/>
          <w:szCs w:val="24"/>
        </w:rPr>
        <w:t xml:space="preserve"> </w:t>
      </w:r>
    </w:p>
    <w:p w14:paraId="498C37F4" w14:textId="404BD802" w:rsidR="005A463C" w:rsidRPr="003B0899" w:rsidRDefault="003944C6" w:rsidP="003B0899">
      <w:pPr>
        <w:pStyle w:val="ListParagraph"/>
        <w:numPr>
          <w:ilvl w:val="0"/>
          <w:numId w:val="31"/>
        </w:numPr>
        <w:spacing w:line="240" w:lineRule="auto"/>
        <w:rPr>
          <w:rFonts w:cs="Times New Roman"/>
          <w:szCs w:val="24"/>
        </w:rPr>
      </w:pPr>
      <w:proofErr w:type="spellStart"/>
      <w:r w:rsidRPr="003B0899">
        <w:rPr>
          <w:rFonts w:cs="Times New Roman"/>
          <w:szCs w:val="24"/>
        </w:rPr>
        <w:lastRenderedPageBreak/>
        <w:t>Shahrim</w:t>
      </w:r>
      <w:proofErr w:type="spellEnd"/>
      <w:r w:rsidRPr="003B0899">
        <w:rPr>
          <w:rFonts w:cs="Times New Roman"/>
          <w:szCs w:val="24"/>
        </w:rPr>
        <w:t xml:space="preserve">, N. A. A., </w:t>
      </w:r>
      <w:proofErr w:type="spellStart"/>
      <w:r w:rsidRPr="003B0899">
        <w:rPr>
          <w:rFonts w:cs="Times New Roman"/>
          <w:szCs w:val="24"/>
        </w:rPr>
        <w:t>Abounahia</w:t>
      </w:r>
      <w:proofErr w:type="spellEnd"/>
      <w:r w:rsidRPr="003B0899">
        <w:rPr>
          <w:rFonts w:cs="Times New Roman"/>
          <w:szCs w:val="24"/>
        </w:rPr>
        <w:t xml:space="preserve">, N. M., El-Sayed, A. M. A., Saleem, H., &amp; Zaidi, S. J. (2023). An overview on the progress in produced water desalination by membrane-based technology. Journal of Water Process Engineering, 51, 103479. </w:t>
      </w:r>
      <w:hyperlink r:id="rId72" w:history="1">
        <w:r w:rsidRPr="003B0899">
          <w:rPr>
            <w:rStyle w:val="Hyperlink"/>
            <w:rFonts w:cs="Times New Roman"/>
            <w:szCs w:val="24"/>
          </w:rPr>
          <w:t>https://doi.org/10.1016/j.jwpe.2022.103479</w:t>
        </w:r>
      </w:hyperlink>
      <w:r w:rsidRPr="003B0899">
        <w:rPr>
          <w:rFonts w:cs="Times New Roman"/>
          <w:szCs w:val="24"/>
        </w:rPr>
        <w:t xml:space="preserve"> </w:t>
      </w:r>
    </w:p>
    <w:p w14:paraId="234B75F7" w14:textId="207F84A7" w:rsidR="005A463C" w:rsidRPr="003B0899" w:rsidRDefault="00396F11" w:rsidP="003B0899">
      <w:pPr>
        <w:pStyle w:val="ListParagraph"/>
        <w:numPr>
          <w:ilvl w:val="0"/>
          <w:numId w:val="31"/>
        </w:numPr>
        <w:spacing w:line="240" w:lineRule="auto"/>
        <w:rPr>
          <w:rFonts w:cs="Times New Roman"/>
          <w:szCs w:val="24"/>
        </w:rPr>
      </w:pPr>
      <w:r w:rsidRPr="003B0899">
        <w:rPr>
          <w:rFonts w:cs="Times New Roman"/>
          <w:szCs w:val="24"/>
        </w:rPr>
        <w:t xml:space="preserve">Shehu, H., &amp; </w:t>
      </w:r>
      <w:proofErr w:type="spellStart"/>
      <w:r w:rsidRPr="003B0899">
        <w:rPr>
          <w:rFonts w:cs="Times New Roman"/>
          <w:szCs w:val="24"/>
        </w:rPr>
        <w:t>Donal</w:t>
      </w:r>
      <w:proofErr w:type="spellEnd"/>
      <w:r w:rsidRPr="003B0899">
        <w:rPr>
          <w:rFonts w:cs="Times New Roman"/>
          <w:szCs w:val="24"/>
        </w:rPr>
        <w:t xml:space="preserve">, A. (2025). Consolidating Africa's climate change gains through sustainable digital records management: A systematic review. Journal of Applied Science Information and Computing, 6(1b), Article 18. </w:t>
      </w:r>
      <w:hyperlink r:id="rId73" w:history="1">
        <w:r w:rsidRPr="003B0899">
          <w:rPr>
            <w:rStyle w:val="Hyperlink"/>
            <w:rFonts w:cs="Times New Roman"/>
            <w:szCs w:val="24"/>
          </w:rPr>
          <w:t>https://doi.org/10.59568/JASIC-2025-6-1-18</w:t>
        </w:r>
      </w:hyperlink>
      <w:r w:rsidRPr="003B0899">
        <w:rPr>
          <w:rFonts w:cs="Times New Roman"/>
          <w:szCs w:val="24"/>
        </w:rPr>
        <w:t xml:space="preserve"> </w:t>
      </w:r>
    </w:p>
    <w:p w14:paraId="20F954E8" w14:textId="60A3B1D1" w:rsidR="005A463C" w:rsidRPr="003B0899" w:rsidRDefault="00396F11" w:rsidP="003B0899">
      <w:pPr>
        <w:pStyle w:val="ListParagraph"/>
        <w:numPr>
          <w:ilvl w:val="0"/>
          <w:numId w:val="31"/>
        </w:numPr>
        <w:spacing w:line="240" w:lineRule="auto"/>
        <w:rPr>
          <w:rFonts w:cs="Times New Roman"/>
          <w:szCs w:val="24"/>
        </w:rPr>
      </w:pPr>
      <w:proofErr w:type="spellStart"/>
      <w:r w:rsidRPr="003B0899">
        <w:rPr>
          <w:rFonts w:cs="Times New Roman"/>
          <w:szCs w:val="24"/>
        </w:rPr>
        <w:t>Stenehjem</w:t>
      </w:r>
      <w:proofErr w:type="spellEnd"/>
      <w:r w:rsidRPr="003B0899">
        <w:rPr>
          <w:rFonts w:cs="Times New Roman"/>
          <w:szCs w:val="24"/>
        </w:rPr>
        <w:t xml:space="preserve">, J. S., </w:t>
      </w:r>
      <w:proofErr w:type="spellStart"/>
      <w:r w:rsidRPr="003B0899">
        <w:rPr>
          <w:rFonts w:cs="Times New Roman"/>
          <w:szCs w:val="24"/>
        </w:rPr>
        <w:t>Kjærheim</w:t>
      </w:r>
      <w:proofErr w:type="spellEnd"/>
      <w:r w:rsidRPr="003B0899">
        <w:rPr>
          <w:rFonts w:cs="Times New Roman"/>
          <w:szCs w:val="24"/>
        </w:rPr>
        <w:t xml:space="preserve">, K., </w:t>
      </w:r>
      <w:proofErr w:type="spellStart"/>
      <w:r w:rsidRPr="003B0899">
        <w:rPr>
          <w:rFonts w:cs="Times New Roman"/>
          <w:szCs w:val="24"/>
        </w:rPr>
        <w:t>Bråtveit</w:t>
      </w:r>
      <w:proofErr w:type="spellEnd"/>
      <w:r w:rsidRPr="003B0899">
        <w:rPr>
          <w:rFonts w:cs="Times New Roman"/>
          <w:szCs w:val="24"/>
        </w:rPr>
        <w:t xml:space="preserve">, M., </w:t>
      </w:r>
      <w:proofErr w:type="spellStart"/>
      <w:r w:rsidRPr="003B0899">
        <w:rPr>
          <w:rFonts w:cs="Times New Roman"/>
          <w:szCs w:val="24"/>
        </w:rPr>
        <w:t>Samuelsen</w:t>
      </w:r>
      <w:proofErr w:type="spellEnd"/>
      <w:r w:rsidRPr="003B0899">
        <w:rPr>
          <w:rFonts w:cs="Times New Roman"/>
          <w:szCs w:val="24"/>
        </w:rPr>
        <w:t>, S. O., Barone-</w:t>
      </w:r>
      <w:proofErr w:type="spellStart"/>
      <w:r w:rsidRPr="003B0899">
        <w:rPr>
          <w:rFonts w:cs="Times New Roman"/>
          <w:szCs w:val="24"/>
        </w:rPr>
        <w:t>Adesi</w:t>
      </w:r>
      <w:proofErr w:type="spellEnd"/>
      <w:r w:rsidRPr="003B0899">
        <w:rPr>
          <w:rFonts w:cs="Times New Roman"/>
          <w:szCs w:val="24"/>
        </w:rPr>
        <w:t xml:space="preserve">, F., Rothman, N., et al. (2015). Benzene exposure and risk of </w:t>
      </w:r>
      <w:proofErr w:type="spellStart"/>
      <w:r w:rsidRPr="003B0899">
        <w:rPr>
          <w:rFonts w:cs="Times New Roman"/>
          <w:szCs w:val="24"/>
        </w:rPr>
        <w:t>lymphohaematopoietic</w:t>
      </w:r>
      <w:proofErr w:type="spellEnd"/>
      <w:r w:rsidRPr="003B0899">
        <w:rPr>
          <w:rFonts w:cs="Times New Roman"/>
          <w:szCs w:val="24"/>
        </w:rPr>
        <w:t xml:space="preserve"> cancers in 25 000 offshore oil industry workers. British Journal of Cancer, 112, 1603–1612. </w:t>
      </w:r>
      <w:hyperlink r:id="rId74" w:history="1">
        <w:r w:rsidRPr="003B0899">
          <w:rPr>
            <w:rStyle w:val="Hyperlink"/>
            <w:rFonts w:cs="Times New Roman"/>
            <w:szCs w:val="24"/>
          </w:rPr>
          <w:t>https://doi.org/10.1038/bjc.2015.108</w:t>
        </w:r>
      </w:hyperlink>
      <w:r w:rsidRPr="003B0899">
        <w:rPr>
          <w:rFonts w:cs="Times New Roman"/>
          <w:szCs w:val="24"/>
        </w:rPr>
        <w:t xml:space="preserve"> </w:t>
      </w:r>
    </w:p>
    <w:p w14:paraId="183B0966" w14:textId="19E64FF6" w:rsidR="005A463C" w:rsidRPr="003B0899" w:rsidRDefault="00206C6B" w:rsidP="003B0899">
      <w:pPr>
        <w:pStyle w:val="ListParagraph"/>
        <w:numPr>
          <w:ilvl w:val="0"/>
          <w:numId w:val="31"/>
        </w:numPr>
        <w:spacing w:line="240" w:lineRule="auto"/>
        <w:rPr>
          <w:rFonts w:cs="Times New Roman"/>
          <w:szCs w:val="24"/>
        </w:rPr>
      </w:pPr>
      <w:proofErr w:type="spellStart"/>
      <w:r w:rsidRPr="003B0899">
        <w:rPr>
          <w:rFonts w:cs="Times New Roman"/>
          <w:szCs w:val="24"/>
        </w:rPr>
        <w:t>Stenehjem</w:t>
      </w:r>
      <w:proofErr w:type="spellEnd"/>
      <w:r w:rsidRPr="003B0899">
        <w:rPr>
          <w:rFonts w:cs="Times New Roman"/>
          <w:szCs w:val="24"/>
        </w:rPr>
        <w:t xml:space="preserve">, J. S., </w:t>
      </w:r>
      <w:proofErr w:type="spellStart"/>
      <w:r w:rsidRPr="003B0899">
        <w:rPr>
          <w:rFonts w:cs="Times New Roman"/>
          <w:szCs w:val="24"/>
        </w:rPr>
        <w:t>Robsahm</w:t>
      </w:r>
      <w:proofErr w:type="spellEnd"/>
      <w:r w:rsidRPr="003B0899">
        <w:rPr>
          <w:rFonts w:cs="Times New Roman"/>
          <w:szCs w:val="24"/>
        </w:rPr>
        <w:t xml:space="preserve">, T. E., </w:t>
      </w:r>
      <w:proofErr w:type="spellStart"/>
      <w:r w:rsidRPr="003B0899">
        <w:rPr>
          <w:rFonts w:cs="Times New Roman"/>
          <w:szCs w:val="24"/>
        </w:rPr>
        <w:t>Bråtveit</w:t>
      </w:r>
      <w:proofErr w:type="spellEnd"/>
      <w:r w:rsidRPr="003B0899">
        <w:rPr>
          <w:rFonts w:cs="Times New Roman"/>
          <w:szCs w:val="24"/>
        </w:rPr>
        <w:t xml:space="preserve">, M., </w:t>
      </w:r>
      <w:proofErr w:type="spellStart"/>
      <w:r w:rsidRPr="003B0899">
        <w:rPr>
          <w:rFonts w:cs="Times New Roman"/>
          <w:szCs w:val="24"/>
        </w:rPr>
        <w:t>Samuelsen</w:t>
      </w:r>
      <w:proofErr w:type="spellEnd"/>
      <w:r w:rsidRPr="003B0899">
        <w:rPr>
          <w:rFonts w:cs="Times New Roman"/>
          <w:szCs w:val="24"/>
        </w:rPr>
        <w:t xml:space="preserve">, S. O., </w:t>
      </w:r>
      <w:proofErr w:type="spellStart"/>
      <w:r w:rsidRPr="003B0899">
        <w:rPr>
          <w:rFonts w:cs="Times New Roman"/>
          <w:szCs w:val="24"/>
        </w:rPr>
        <w:t>Kirkeleit</w:t>
      </w:r>
      <w:proofErr w:type="spellEnd"/>
      <w:r w:rsidRPr="003B0899">
        <w:rPr>
          <w:rFonts w:cs="Times New Roman"/>
          <w:szCs w:val="24"/>
        </w:rPr>
        <w:t xml:space="preserve">, J., Grimsrud, T. K., </w:t>
      </w:r>
      <w:proofErr w:type="spellStart"/>
      <w:r w:rsidRPr="003B0899">
        <w:rPr>
          <w:rFonts w:cs="Times New Roman"/>
          <w:szCs w:val="24"/>
        </w:rPr>
        <w:t>Babigumira</w:t>
      </w:r>
      <w:proofErr w:type="spellEnd"/>
      <w:r w:rsidRPr="003B0899">
        <w:rPr>
          <w:rFonts w:cs="Times New Roman"/>
          <w:szCs w:val="24"/>
        </w:rPr>
        <w:t xml:space="preserve">, R., </w:t>
      </w:r>
      <w:proofErr w:type="spellStart"/>
      <w:r w:rsidRPr="003B0899">
        <w:rPr>
          <w:rFonts w:cs="Times New Roman"/>
          <w:szCs w:val="24"/>
        </w:rPr>
        <w:t>Veierød</w:t>
      </w:r>
      <w:proofErr w:type="spellEnd"/>
      <w:r w:rsidRPr="003B0899">
        <w:rPr>
          <w:rFonts w:cs="Times New Roman"/>
          <w:szCs w:val="24"/>
        </w:rPr>
        <w:t xml:space="preserve">, M. B., </w:t>
      </w:r>
      <w:proofErr w:type="spellStart"/>
      <w:r w:rsidRPr="003B0899">
        <w:rPr>
          <w:rFonts w:cs="Times New Roman"/>
          <w:szCs w:val="24"/>
        </w:rPr>
        <w:t>Hosgood</w:t>
      </w:r>
      <w:proofErr w:type="spellEnd"/>
      <w:r w:rsidRPr="003B0899">
        <w:rPr>
          <w:rFonts w:cs="Times New Roman"/>
          <w:szCs w:val="24"/>
        </w:rPr>
        <w:t xml:space="preserve">, H. D., Friesen, M. C., Keil, A. P., Silverman, D. T., Rothman, N., Lan, Q., Berge, L. A. M., &amp; Shala, N. K. (2023). Benzene exposure and risk of lung cancer in the Norwegian Offshore Petroleum Worker cohort: a prospective case-cohort study. Occupational and Environmental Medicine, 81(1), 9–16. </w:t>
      </w:r>
      <w:hyperlink r:id="rId75" w:history="1">
        <w:r w:rsidRPr="003B0899">
          <w:rPr>
            <w:rStyle w:val="Hyperlink"/>
            <w:rFonts w:cs="Times New Roman"/>
            <w:szCs w:val="24"/>
          </w:rPr>
          <w:t>https://doi.org/10.1136/oemed-2023-109139</w:t>
        </w:r>
      </w:hyperlink>
      <w:r w:rsidRPr="003B0899">
        <w:rPr>
          <w:rFonts w:cs="Times New Roman"/>
          <w:szCs w:val="24"/>
        </w:rPr>
        <w:t xml:space="preserve"> </w:t>
      </w:r>
    </w:p>
    <w:p w14:paraId="2BE43B9D" w14:textId="4BDBC369" w:rsidR="005A463C" w:rsidRPr="003B0899" w:rsidRDefault="005E1CC6" w:rsidP="003B0899">
      <w:pPr>
        <w:pStyle w:val="ListParagraph"/>
        <w:numPr>
          <w:ilvl w:val="0"/>
          <w:numId w:val="31"/>
        </w:numPr>
        <w:spacing w:line="240" w:lineRule="auto"/>
        <w:rPr>
          <w:rFonts w:cs="Times New Roman"/>
          <w:szCs w:val="24"/>
        </w:rPr>
      </w:pPr>
      <w:r w:rsidRPr="003B0899">
        <w:rPr>
          <w:rFonts w:cs="Times New Roman"/>
          <w:szCs w:val="24"/>
        </w:rPr>
        <w:t xml:space="preserve">Talbott, E. O., Arena, V. C., Wang, R., Wu, F., Price, N., </w:t>
      </w:r>
      <w:proofErr w:type="spellStart"/>
      <w:r w:rsidRPr="003B0899">
        <w:rPr>
          <w:rFonts w:cs="Times New Roman"/>
          <w:szCs w:val="24"/>
        </w:rPr>
        <w:t>Buchanich</w:t>
      </w:r>
      <w:proofErr w:type="spellEnd"/>
      <w:r w:rsidRPr="003B0899">
        <w:rPr>
          <w:rFonts w:cs="Times New Roman"/>
          <w:szCs w:val="24"/>
        </w:rPr>
        <w:t xml:space="preserve">, J. M., Hoffman, C. A., Bear, T., </w:t>
      </w:r>
      <w:proofErr w:type="spellStart"/>
      <w:r w:rsidRPr="003B0899">
        <w:rPr>
          <w:rFonts w:cs="Times New Roman"/>
          <w:szCs w:val="24"/>
        </w:rPr>
        <w:t>Lichtveld</w:t>
      </w:r>
      <w:proofErr w:type="spellEnd"/>
      <w:r w:rsidRPr="003B0899">
        <w:rPr>
          <w:rFonts w:cs="Times New Roman"/>
          <w:szCs w:val="24"/>
        </w:rPr>
        <w:t xml:space="preserve">, M., &amp; Yuan, J. M. (2025). Cumulative exposure to unconventional natural gas development and the risk of childhood cancer: A registry-based case–control study. International Journal of Environmental Research and Public Health, 22(1), 68. </w:t>
      </w:r>
      <w:hyperlink r:id="rId76" w:history="1">
        <w:r w:rsidRPr="003B0899">
          <w:rPr>
            <w:rStyle w:val="Hyperlink"/>
            <w:rFonts w:cs="Times New Roman"/>
            <w:szCs w:val="24"/>
          </w:rPr>
          <w:t>https://doi.org/10.3390/ijerph22010068</w:t>
        </w:r>
      </w:hyperlink>
      <w:r w:rsidRPr="003B0899">
        <w:rPr>
          <w:rFonts w:cs="Times New Roman"/>
          <w:szCs w:val="24"/>
        </w:rPr>
        <w:t xml:space="preserve"> </w:t>
      </w:r>
    </w:p>
    <w:p w14:paraId="6DCFBA4B" w14:textId="385A316A" w:rsidR="005A463C" w:rsidRPr="003B0899" w:rsidRDefault="00895C63" w:rsidP="003B0899">
      <w:pPr>
        <w:pStyle w:val="ListParagraph"/>
        <w:numPr>
          <w:ilvl w:val="0"/>
          <w:numId w:val="31"/>
        </w:numPr>
        <w:spacing w:line="240" w:lineRule="auto"/>
        <w:rPr>
          <w:rFonts w:cs="Times New Roman"/>
          <w:szCs w:val="24"/>
        </w:rPr>
      </w:pPr>
      <w:r w:rsidRPr="003B0899">
        <w:rPr>
          <w:rFonts w:cs="Times New Roman"/>
          <w:szCs w:val="24"/>
        </w:rPr>
        <w:t xml:space="preserve">Talbott, E. O., Arena, V. C., Wang, R., Wu, F., Price, N., </w:t>
      </w:r>
      <w:proofErr w:type="spellStart"/>
      <w:r w:rsidRPr="003B0899">
        <w:rPr>
          <w:rFonts w:cs="Times New Roman"/>
          <w:szCs w:val="24"/>
        </w:rPr>
        <w:t>Buchanich</w:t>
      </w:r>
      <w:proofErr w:type="spellEnd"/>
      <w:r w:rsidRPr="003B0899">
        <w:rPr>
          <w:rFonts w:cs="Times New Roman"/>
          <w:szCs w:val="24"/>
        </w:rPr>
        <w:t xml:space="preserve">, J. M., Hoffman, C. A., Bear, T., </w:t>
      </w:r>
      <w:proofErr w:type="spellStart"/>
      <w:r w:rsidRPr="003B0899">
        <w:rPr>
          <w:rFonts w:cs="Times New Roman"/>
          <w:szCs w:val="24"/>
        </w:rPr>
        <w:t>Lichtveld</w:t>
      </w:r>
      <w:proofErr w:type="spellEnd"/>
      <w:r w:rsidRPr="003B0899">
        <w:rPr>
          <w:rFonts w:cs="Times New Roman"/>
          <w:szCs w:val="24"/>
        </w:rPr>
        <w:t xml:space="preserve">, M., &amp; Yuan, J. M. (2025). Cumulative exposure to unconventional natural gas development and the risk of childhood cancer: A registry-based case–control study. International Journal of Environmental Research and Public Health, 22(1), 68. </w:t>
      </w:r>
      <w:hyperlink r:id="rId77" w:history="1">
        <w:r w:rsidR="007F2EDA" w:rsidRPr="003B0899">
          <w:rPr>
            <w:rStyle w:val="Hyperlink"/>
            <w:rFonts w:cs="Times New Roman"/>
            <w:szCs w:val="24"/>
          </w:rPr>
          <w:t>https://doi.org/10.3390/ijerph22010068</w:t>
        </w:r>
      </w:hyperlink>
      <w:r w:rsidR="007F2EDA" w:rsidRPr="003B0899">
        <w:rPr>
          <w:rFonts w:cs="Times New Roman"/>
          <w:szCs w:val="24"/>
        </w:rPr>
        <w:t xml:space="preserve"> </w:t>
      </w:r>
    </w:p>
    <w:p w14:paraId="552ABB4B" w14:textId="3631556E" w:rsidR="005A463C" w:rsidRPr="003B0899" w:rsidRDefault="00B303BE" w:rsidP="003B0899">
      <w:pPr>
        <w:pStyle w:val="ListParagraph"/>
        <w:numPr>
          <w:ilvl w:val="0"/>
          <w:numId w:val="31"/>
        </w:numPr>
        <w:spacing w:line="240" w:lineRule="auto"/>
        <w:rPr>
          <w:rFonts w:cs="Times New Roman"/>
          <w:szCs w:val="24"/>
        </w:rPr>
      </w:pPr>
      <w:proofErr w:type="spellStart"/>
      <w:r w:rsidRPr="003B0899">
        <w:rPr>
          <w:rFonts w:cs="Times New Roman"/>
          <w:szCs w:val="24"/>
        </w:rPr>
        <w:t>Tanimola</w:t>
      </w:r>
      <w:proofErr w:type="spellEnd"/>
      <w:r w:rsidRPr="003B0899">
        <w:rPr>
          <w:rFonts w:cs="Times New Roman"/>
          <w:szCs w:val="24"/>
        </w:rPr>
        <w:t xml:space="preserve">, F., &amp; </w:t>
      </w:r>
      <w:proofErr w:type="spellStart"/>
      <w:r w:rsidRPr="003B0899">
        <w:rPr>
          <w:rFonts w:cs="Times New Roman"/>
          <w:szCs w:val="24"/>
        </w:rPr>
        <w:t>Witts</w:t>
      </w:r>
      <w:proofErr w:type="spellEnd"/>
      <w:r w:rsidRPr="003B0899">
        <w:rPr>
          <w:rFonts w:cs="Times New Roman"/>
          <w:szCs w:val="24"/>
        </w:rPr>
        <w:t xml:space="preserve">, J. (2009). Distributed </w:t>
      </w:r>
      <w:proofErr w:type="spellStart"/>
      <w:r w:rsidRPr="003B0899">
        <w:rPr>
          <w:rFonts w:cs="Times New Roman"/>
          <w:szCs w:val="24"/>
        </w:rPr>
        <w:t>fibre</w:t>
      </w:r>
      <w:proofErr w:type="spellEnd"/>
      <w:r w:rsidRPr="003B0899">
        <w:rPr>
          <w:rFonts w:cs="Times New Roman"/>
          <w:szCs w:val="24"/>
        </w:rPr>
        <w:t xml:space="preserve">-optic sensors for pipeline protection. Sensors and Actuators A: Physical, 157(1), 90–98. </w:t>
      </w:r>
      <w:hyperlink r:id="rId78" w:history="1">
        <w:r w:rsidRPr="003B0899">
          <w:rPr>
            <w:rStyle w:val="Hyperlink"/>
            <w:rFonts w:cs="Times New Roman"/>
            <w:szCs w:val="24"/>
          </w:rPr>
          <w:t>https://doi.org/10.1016/j.jngse.2009.08.002</w:t>
        </w:r>
      </w:hyperlink>
      <w:r w:rsidRPr="003B0899">
        <w:rPr>
          <w:rFonts w:cs="Times New Roman"/>
          <w:szCs w:val="24"/>
        </w:rPr>
        <w:t xml:space="preserve"> </w:t>
      </w:r>
    </w:p>
    <w:p w14:paraId="63600363" w14:textId="19AAF436" w:rsidR="005A463C" w:rsidRPr="003B0899" w:rsidRDefault="004C6E7E" w:rsidP="003B0899">
      <w:pPr>
        <w:pStyle w:val="ListParagraph"/>
        <w:numPr>
          <w:ilvl w:val="0"/>
          <w:numId w:val="31"/>
        </w:numPr>
        <w:spacing w:line="240" w:lineRule="auto"/>
        <w:rPr>
          <w:rFonts w:cs="Times New Roman"/>
          <w:szCs w:val="24"/>
        </w:rPr>
      </w:pPr>
      <w:r w:rsidRPr="003B0899">
        <w:rPr>
          <w:rFonts w:cs="Times New Roman"/>
          <w:szCs w:val="24"/>
        </w:rPr>
        <w:t xml:space="preserve">Turner, R. E., &amp; Overton, E. B. (2016). Islands in the oil: Quantifying salt marsh shoreline erosion after the Deepwater Horizon oiling. Marine Pollution Bulletin, 110(1), 316–323. </w:t>
      </w:r>
      <w:hyperlink r:id="rId79" w:history="1">
        <w:r w:rsidRPr="003B0899">
          <w:rPr>
            <w:rStyle w:val="Hyperlink"/>
            <w:rFonts w:cs="Times New Roman"/>
            <w:szCs w:val="24"/>
          </w:rPr>
          <w:t>https://doi.org/10.1016/j.marpolbul.2016.06.046</w:t>
        </w:r>
      </w:hyperlink>
      <w:r w:rsidRPr="003B0899">
        <w:rPr>
          <w:rFonts w:cs="Times New Roman"/>
          <w:szCs w:val="24"/>
        </w:rPr>
        <w:t xml:space="preserve"> </w:t>
      </w:r>
    </w:p>
    <w:p w14:paraId="756ED051" w14:textId="4D6FAFB6" w:rsidR="005A463C" w:rsidRPr="003B0899" w:rsidRDefault="004C6E7E" w:rsidP="003B0899">
      <w:pPr>
        <w:pStyle w:val="ListParagraph"/>
        <w:numPr>
          <w:ilvl w:val="0"/>
          <w:numId w:val="31"/>
        </w:numPr>
        <w:spacing w:line="240" w:lineRule="auto"/>
        <w:rPr>
          <w:rFonts w:cs="Times New Roman"/>
          <w:szCs w:val="24"/>
        </w:rPr>
      </w:pPr>
      <w:r w:rsidRPr="003B0899">
        <w:rPr>
          <w:rFonts w:cs="Times New Roman"/>
          <w:szCs w:val="24"/>
        </w:rPr>
        <w:t xml:space="preserve">Wang, X., Qi, X., Lin, Z., &amp; </w:t>
      </w:r>
      <w:proofErr w:type="spellStart"/>
      <w:r w:rsidRPr="003B0899">
        <w:rPr>
          <w:rFonts w:cs="Times New Roman"/>
          <w:szCs w:val="24"/>
        </w:rPr>
        <w:t>Battocchi</w:t>
      </w:r>
      <w:proofErr w:type="spellEnd"/>
      <w:r w:rsidRPr="003B0899">
        <w:rPr>
          <w:rFonts w:cs="Times New Roman"/>
          <w:szCs w:val="24"/>
        </w:rPr>
        <w:t xml:space="preserve">, D. (2018). Graphene Reinforced Composites as Protective Coatings for Oil and Gas Pipelines. Nanomaterials </w:t>
      </w:r>
      <w:hyperlink r:id="rId80" w:history="1">
        <w:r w:rsidRPr="003B0899">
          <w:rPr>
            <w:rStyle w:val="Hyperlink"/>
            <w:rFonts w:cs="Times New Roman"/>
            <w:szCs w:val="24"/>
          </w:rPr>
          <w:t>https://doi.org/10.3390/nano8121005</w:t>
        </w:r>
      </w:hyperlink>
      <w:r w:rsidRPr="003B0899">
        <w:rPr>
          <w:rFonts w:cs="Times New Roman"/>
          <w:szCs w:val="24"/>
        </w:rPr>
        <w:t xml:space="preserve"> </w:t>
      </w:r>
    </w:p>
    <w:p w14:paraId="373AAE16" w14:textId="06B6A83D" w:rsidR="005A463C" w:rsidRPr="003B0899" w:rsidRDefault="004C6E7E" w:rsidP="003B0899">
      <w:pPr>
        <w:pStyle w:val="ListParagraph"/>
        <w:numPr>
          <w:ilvl w:val="0"/>
          <w:numId w:val="31"/>
        </w:numPr>
        <w:spacing w:line="240" w:lineRule="auto"/>
        <w:rPr>
          <w:rFonts w:cs="Times New Roman"/>
          <w:szCs w:val="24"/>
        </w:rPr>
      </w:pPr>
      <w:proofErr w:type="spellStart"/>
      <w:r w:rsidRPr="003B0899">
        <w:rPr>
          <w:rFonts w:cs="Times New Roman"/>
          <w:szCs w:val="24"/>
        </w:rPr>
        <w:t>Xie</w:t>
      </w:r>
      <w:proofErr w:type="spellEnd"/>
      <w:r w:rsidRPr="003B0899">
        <w:rPr>
          <w:rFonts w:cs="Times New Roman"/>
          <w:szCs w:val="24"/>
        </w:rPr>
        <w:t xml:space="preserve">, Z., Jiang, F., Xu, J., </w:t>
      </w:r>
      <w:proofErr w:type="spellStart"/>
      <w:r w:rsidRPr="003B0899">
        <w:rPr>
          <w:rFonts w:cs="Times New Roman"/>
          <w:szCs w:val="24"/>
        </w:rPr>
        <w:t>Zhai</w:t>
      </w:r>
      <w:proofErr w:type="spellEnd"/>
      <w:r w:rsidRPr="003B0899">
        <w:rPr>
          <w:rFonts w:cs="Times New Roman"/>
          <w:szCs w:val="24"/>
        </w:rPr>
        <w:t xml:space="preserve">, Z., He, J., Zheng, D., Lian, J., Hou, Z., Zhao, L., Wang, Y., &amp; Feng, Y. (2023). A narrative of urban underground pipeline system disasters in China in 2021: Spatial and temporal distribution, causal analysis, and response strategies. Sustainability, 15(13), 10067. </w:t>
      </w:r>
      <w:hyperlink r:id="rId81" w:history="1">
        <w:r w:rsidRPr="003B0899">
          <w:rPr>
            <w:rStyle w:val="Hyperlink"/>
            <w:rFonts w:cs="Times New Roman"/>
            <w:szCs w:val="24"/>
          </w:rPr>
          <w:t>https://doi.org/10.3390/su151310067</w:t>
        </w:r>
      </w:hyperlink>
      <w:r w:rsidRPr="003B0899">
        <w:rPr>
          <w:rFonts w:cs="Times New Roman"/>
          <w:szCs w:val="24"/>
        </w:rPr>
        <w:t xml:space="preserve"> </w:t>
      </w:r>
    </w:p>
    <w:p w14:paraId="613542CE" w14:textId="1BD6838F" w:rsidR="005A463C" w:rsidRPr="003B0899" w:rsidRDefault="00ED426F" w:rsidP="003B0899">
      <w:pPr>
        <w:pStyle w:val="ListParagraph"/>
        <w:numPr>
          <w:ilvl w:val="0"/>
          <w:numId w:val="31"/>
        </w:numPr>
        <w:spacing w:line="240" w:lineRule="auto"/>
        <w:rPr>
          <w:rFonts w:cs="Times New Roman"/>
          <w:szCs w:val="24"/>
        </w:rPr>
      </w:pPr>
      <w:r w:rsidRPr="003B0899">
        <w:rPr>
          <w:rFonts w:cs="Times New Roman"/>
          <w:szCs w:val="24"/>
        </w:rPr>
        <w:t xml:space="preserve">Zhang, H., Zhang, L., Wang, S., &amp; Zhang, L. (2022). Online water quality monitoring using UV–Vis and ANN. Environmental Monitoring and Assessment, 194, 630. </w:t>
      </w:r>
      <w:hyperlink r:id="rId82" w:history="1">
        <w:r w:rsidRPr="003B0899">
          <w:rPr>
            <w:rStyle w:val="Hyperlink"/>
            <w:rFonts w:cs="Times New Roman"/>
            <w:szCs w:val="24"/>
          </w:rPr>
          <w:t>https://doi.org/10.1007/s10661-022-10157-0</w:t>
        </w:r>
      </w:hyperlink>
      <w:r w:rsidRPr="003B0899">
        <w:rPr>
          <w:rFonts w:cs="Times New Roman"/>
          <w:szCs w:val="24"/>
        </w:rPr>
        <w:t xml:space="preserve"> </w:t>
      </w:r>
    </w:p>
    <w:p w14:paraId="5350B73F" w14:textId="04575155" w:rsidR="005A463C" w:rsidRPr="003B0899" w:rsidRDefault="00ED426F" w:rsidP="003B0899">
      <w:pPr>
        <w:pStyle w:val="ListParagraph"/>
        <w:numPr>
          <w:ilvl w:val="0"/>
          <w:numId w:val="31"/>
        </w:numPr>
        <w:spacing w:line="240" w:lineRule="auto"/>
        <w:rPr>
          <w:rFonts w:cs="Times New Roman"/>
          <w:szCs w:val="24"/>
        </w:rPr>
      </w:pPr>
      <w:r w:rsidRPr="003B0899">
        <w:rPr>
          <w:rFonts w:cs="Times New Roman"/>
          <w:szCs w:val="24"/>
        </w:rPr>
        <w:t xml:space="preserve">Zhang, S., </w:t>
      </w:r>
      <w:proofErr w:type="spellStart"/>
      <w:r w:rsidRPr="003B0899">
        <w:rPr>
          <w:rFonts w:cs="Times New Roman"/>
          <w:szCs w:val="24"/>
        </w:rPr>
        <w:t>Xie</w:t>
      </w:r>
      <w:proofErr w:type="spellEnd"/>
      <w:r w:rsidRPr="003B0899">
        <w:rPr>
          <w:rFonts w:cs="Times New Roman"/>
          <w:szCs w:val="24"/>
        </w:rPr>
        <w:t>, S., Li, Y., Yuan, M., &amp; Qian, X. (2023). Detection of Gas Pipeline Leakage Using Distributed Optical Fiber Sensors: Multi-Physics Analysis of Leakage-</w:t>
      </w:r>
      <w:r w:rsidRPr="003B0899">
        <w:rPr>
          <w:rFonts w:cs="Times New Roman"/>
          <w:szCs w:val="24"/>
        </w:rPr>
        <w:lastRenderedPageBreak/>
        <w:t xml:space="preserve">Fiber Coupling Mechanism in Soil Environment. Sensors. </w:t>
      </w:r>
      <w:hyperlink r:id="rId83" w:history="1">
        <w:r w:rsidRPr="003B0899">
          <w:rPr>
            <w:rStyle w:val="Hyperlink"/>
            <w:rFonts w:cs="Times New Roman"/>
            <w:szCs w:val="24"/>
          </w:rPr>
          <w:t>https://doi.org/10.3390/s23125430</w:t>
        </w:r>
      </w:hyperlink>
      <w:r w:rsidRPr="003B0899">
        <w:rPr>
          <w:rFonts w:cs="Times New Roman"/>
          <w:szCs w:val="24"/>
        </w:rPr>
        <w:t xml:space="preserve"> </w:t>
      </w:r>
    </w:p>
    <w:p w14:paraId="5A92C0A1" w14:textId="14252465" w:rsidR="005A463C" w:rsidRPr="003B0899" w:rsidRDefault="0078583A" w:rsidP="003B0899">
      <w:pPr>
        <w:pStyle w:val="ListParagraph"/>
        <w:numPr>
          <w:ilvl w:val="0"/>
          <w:numId w:val="31"/>
        </w:numPr>
        <w:spacing w:line="240" w:lineRule="auto"/>
        <w:rPr>
          <w:rFonts w:cs="Times New Roman"/>
          <w:szCs w:val="24"/>
        </w:rPr>
      </w:pPr>
      <w:r w:rsidRPr="003B0899">
        <w:rPr>
          <w:rFonts w:cs="Times New Roman"/>
          <w:szCs w:val="24"/>
        </w:rPr>
        <w:t xml:space="preserve">Zhang, S., Zhang, R., Guo, D., Han, Y., Song, G., Yang, F., &amp; Chen, Y. (2022). Molecular mechanism of pulmonary diseases caused by exposure to urban PM2.5 in the Chengdu–Chongqing Economic Circle, China. Environment International, 164, 107292. </w:t>
      </w:r>
      <w:hyperlink r:id="rId84" w:history="1">
        <w:r w:rsidRPr="003B0899">
          <w:rPr>
            <w:rStyle w:val="Hyperlink"/>
            <w:rFonts w:cs="Times New Roman"/>
            <w:szCs w:val="24"/>
          </w:rPr>
          <w:t>https://doi.org/10.1016/j.envint.2022.107292</w:t>
        </w:r>
      </w:hyperlink>
      <w:r w:rsidRPr="003B0899">
        <w:rPr>
          <w:rFonts w:cs="Times New Roman"/>
          <w:szCs w:val="24"/>
        </w:rPr>
        <w:t xml:space="preserve"> </w:t>
      </w:r>
    </w:p>
    <w:p w14:paraId="4AF4CB09" w14:textId="77777777" w:rsidR="005A463C" w:rsidRDefault="005A463C" w:rsidP="005A463C">
      <w:pPr>
        <w:spacing w:line="240" w:lineRule="auto"/>
        <w:ind w:hanging="720"/>
        <w:rPr>
          <w:rFonts w:cs="Times New Roman"/>
          <w:szCs w:val="24"/>
        </w:rPr>
      </w:pPr>
    </w:p>
    <w:p w14:paraId="2C1DFD59" w14:textId="77777777" w:rsidR="00800279" w:rsidRPr="00744E72" w:rsidRDefault="00800279" w:rsidP="00B119F0">
      <w:pPr>
        <w:spacing w:line="240" w:lineRule="auto"/>
        <w:jc w:val="both"/>
        <w:rPr>
          <w:rFonts w:cs="Times New Roman"/>
          <w:szCs w:val="24"/>
        </w:rPr>
      </w:pPr>
      <w:bookmarkStart w:id="0" w:name="_GoBack"/>
      <w:bookmarkEnd w:id="0"/>
    </w:p>
    <w:sectPr w:rsidR="00800279" w:rsidRPr="00744E72" w:rsidSect="00A52E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61AFE" w14:textId="77777777" w:rsidR="00E611EB" w:rsidRDefault="00E611EB" w:rsidP="002D335D">
      <w:pPr>
        <w:spacing w:after="0" w:line="240" w:lineRule="auto"/>
      </w:pPr>
      <w:r>
        <w:separator/>
      </w:r>
    </w:p>
  </w:endnote>
  <w:endnote w:type="continuationSeparator" w:id="0">
    <w:p w14:paraId="0D24F9A5" w14:textId="77777777" w:rsidR="00E611EB" w:rsidRDefault="00E611EB" w:rsidP="002D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1B251" w14:textId="77777777" w:rsidR="003A6251" w:rsidRDefault="003A6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887724"/>
      <w:docPartObj>
        <w:docPartGallery w:val="Page Numbers (Bottom of Page)"/>
        <w:docPartUnique/>
      </w:docPartObj>
    </w:sdtPr>
    <w:sdtEndPr/>
    <w:sdtContent>
      <w:sdt>
        <w:sdtPr>
          <w:id w:val="818773810"/>
          <w:docPartObj>
            <w:docPartGallery w:val="Page Numbers (Top of Page)"/>
            <w:docPartUnique/>
          </w:docPartObj>
        </w:sdtPr>
        <w:sdtEndPr/>
        <w:sdtContent>
          <w:p w14:paraId="5362D8FB" w14:textId="77777777" w:rsidR="00895C63" w:rsidRDefault="00895C63">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w:t>
            </w:r>
            <w:r>
              <w:rPr>
                <w:b/>
                <w:bCs/>
                <w:szCs w:val="24"/>
              </w:rPr>
              <w:fldChar w:fldCharType="end"/>
            </w:r>
          </w:p>
        </w:sdtContent>
      </w:sdt>
    </w:sdtContent>
  </w:sdt>
  <w:p w14:paraId="122AF3AC" w14:textId="77777777" w:rsidR="00895C63" w:rsidRDefault="00895C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0BD20" w14:textId="77777777" w:rsidR="003A6251" w:rsidRDefault="003A6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8A6D2" w14:textId="77777777" w:rsidR="00E611EB" w:rsidRDefault="00E611EB" w:rsidP="002D335D">
      <w:pPr>
        <w:spacing w:after="0" w:line="240" w:lineRule="auto"/>
      </w:pPr>
      <w:r>
        <w:separator/>
      </w:r>
    </w:p>
  </w:footnote>
  <w:footnote w:type="continuationSeparator" w:id="0">
    <w:p w14:paraId="41251238" w14:textId="77777777" w:rsidR="00E611EB" w:rsidRDefault="00E611EB" w:rsidP="002D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0C20" w14:textId="476504EA" w:rsidR="003A6251" w:rsidRDefault="00E611EB">
    <w:pPr>
      <w:pStyle w:val="Header"/>
    </w:pPr>
    <w:r>
      <w:rPr>
        <w:noProof/>
      </w:rPr>
      <w:pict w14:anchorId="17984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12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B1781" w14:textId="1B228FE8" w:rsidR="003A6251" w:rsidRDefault="00E611EB">
    <w:pPr>
      <w:pStyle w:val="Header"/>
    </w:pPr>
    <w:r>
      <w:rPr>
        <w:noProof/>
      </w:rPr>
      <w:pict w14:anchorId="25A73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12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59AC1" w14:textId="7BE14A04" w:rsidR="003A6251" w:rsidRDefault="00E611EB">
    <w:pPr>
      <w:pStyle w:val="Header"/>
    </w:pPr>
    <w:r>
      <w:rPr>
        <w:noProof/>
      </w:rPr>
      <w:pict w14:anchorId="4677C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12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0E3A"/>
    <w:multiLevelType w:val="multilevel"/>
    <w:tmpl w:val="11429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57D11"/>
    <w:multiLevelType w:val="multilevel"/>
    <w:tmpl w:val="A0A8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26DB5"/>
    <w:multiLevelType w:val="hybridMultilevel"/>
    <w:tmpl w:val="01A09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E31FD"/>
    <w:multiLevelType w:val="multilevel"/>
    <w:tmpl w:val="C850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60564"/>
    <w:multiLevelType w:val="hybridMultilevel"/>
    <w:tmpl w:val="EBD04CAC"/>
    <w:lvl w:ilvl="0" w:tplc="35B833D2">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5635E1"/>
    <w:multiLevelType w:val="multilevel"/>
    <w:tmpl w:val="8C762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0362B1"/>
    <w:multiLevelType w:val="hybridMultilevel"/>
    <w:tmpl w:val="CA408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32DCE"/>
    <w:multiLevelType w:val="hybridMultilevel"/>
    <w:tmpl w:val="D3AAA0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4A3AFC"/>
    <w:multiLevelType w:val="multilevel"/>
    <w:tmpl w:val="ED683C0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54C32"/>
    <w:multiLevelType w:val="multilevel"/>
    <w:tmpl w:val="AD86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D32CD1"/>
    <w:multiLevelType w:val="hybridMultilevel"/>
    <w:tmpl w:val="D520CA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E1193"/>
    <w:multiLevelType w:val="multilevel"/>
    <w:tmpl w:val="D76A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70125"/>
    <w:multiLevelType w:val="multilevel"/>
    <w:tmpl w:val="6068141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5B3107"/>
    <w:multiLevelType w:val="hybridMultilevel"/>
    <w:tmpl w:val="1EC85ACC"/>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B454AE"/>
    <w:multiLevelType w:val="multilevel"/>
    <w:tmpl w:val="10BAEDF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BD4A10"/>
    <w:multiLevelType w:val="multilevel"/>
    <w:tmpl w:val="7018B8A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9D3F8F"/>
    <w:multiLevelType w:val="multilevel"/>
    <w:tmpl w:val="110C5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7A7F32"/>
    <w:multiLevelType w:val="multilevel"/>
    <w:tmpl w:val="CBA06D7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32754"/>
    <w:multiLevelType w:val="hybridMultilevel"/>
    <w:tmpl w:val="0568D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D704A0"/>
    <w:multiLevelType w:val="multilevel"/>
    <w:tmpl w:val="4BD6C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585891"/>
    <w:multiLevelType w:val="multilevel"/>
    <w:tmpl w:val="DDF45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DC7DA9"/>
    <w:multiLevelType w:val="multilevel"/>
    <w:tmpl w:val="3A58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B94B37"/>
    <w:multiLevelType w:val="multilevel"/>
    <w:tmpl w:val="72CC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5B621D"/>
    <w:multiLevelType w:val="multilevel"/>
    <w:tmpl w:val="C5CE24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443B88"/>
    <w:multiLevelType w:val="multilevel"/>
    <w:tmpl w:val="FE06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251B13"/>
    <w:multiLevelType w:val="multilevel"/>
    <w:tmpl w:val="ABB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D657DF"/>
    <w:multiLevelType w:val="hybridMultilevel"/>
    <w:tmpl w:val="5D1C4EC4"/>
    <w:lvl w:ilvl="0" w:tplc="35B833D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5A1FCD"/>
    <w:multiLevelType w:val="hybridMultilevel"/>
    <w:tmpl w:val="44E47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73E64B3"/>
    <w:multiLevelType w:val="multilevel"/>
    <w:tmpl w:val="C378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067B6B"/>
    <w:multiLevelType w:val="multilevel"/>
    <w:tmpl w:val="1BACF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EE4DED"/>
    <w:multiLevelType w:val="multilevel"/>
    <w:tmpl w:val="A38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1"/>
  </w:num>
  <w:num w:numId="3">
    <w:abstractNumId w:val="24"/>
  </w:num>
  <w:num w:numId="4">
    <w:abstractNumId w:val="27"/>
  </w:num>
  <w:num w:numId="5">
    <w:abstractNumId w:val="13"/>
  </w:num>
  <w:num w:numId="6">
    <w:abstractNumId w:val="15"/>
  </w:num>
  <w:num w:numId="7">
    <w:abstractNumId w:val="16"/>
  </w:num>
  <w:num w:numId="8">
    <w:abstractNumId w:val="28"/>
  </w:num>
  <w:num w:numId="9">
    <w:abstractNumId w:val="0"/>
  </w:num>
  <w:num w:numId="10">
    <w:abstractNumId w:val="20"/>
  </w:num>
  <w:num w:numId="11">
    <w:abstractNumId w:val="3"/>
  </w:num>
  <w:num w:numId="12">
    <w:abstractNumId w:val="5"/>
  </w:num>
  <w:num w:numId="13">
    <w:abstractNumId w:val="12"/>
  </w:num>
  <w:num w:numId="14">
    <w:abstractNumId w:val="23"/>
  </w:num>
  <w:num w:numId="15">
    <w:abstractNumId w:val="8"/>
  </w:num>
  <w:num w:numId="16">
    <w:abstractNumId w:val="14"/>
  </w:num>
  <w:num w:numId="17">
    <w:abstractNumId w:val="10"/>
  </w:num>
  <w:num w:numId="18">
    <w:abstractNumId w:val="25"/>
  </w:num>
  <w:num w:numId="19">
    <w:abstractNumId w:val="9"/>
  </w:num>
  <w:num w:numId="20">
    <w:abstractNumId w:val="19"/>
  </w:num>
  <w:num w:numId="21">
    <w:abstractNumId w:val="1"/>
  </w:num>
  <w:num w:numId="22">
    <w:abstractNumId w:val="30"/>
  </w:num>
  <w:num w:numId="23">
    <w:abstractNumId w:val="22"/>
  </w:num>
  <w:num w:numId="24">
    <w:abstractNumId w:val="21"/>
  </w:num>
  <w:num w:numId="25">
    <w:abstractNumId w:val="18"/>
  </w:num>
  <w:num w:numId="26">
    <w:abstractNumId w:val="17"/>
  </w:num>
  <w:num w:numId="27">
    <w:abstractNumId w:val="2"/>
  </w:num>
  <w:num w:numId="28">
    <w:abstractNumId w:val="26"/>
  </w:num>
  <w:num w:numId="29">
    <w:abstractNumId w:val="4"/>
  </w:num>
  <w:num w:numId="30">
    <w:abstractNumId w:val="7"/>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1F"/>
    <w:rsid w:val="00001954"/>
    <w:rsid w:val="00001BFF"/>
    <w:rsid w:val="00002714"/>
    <w:rsid w:val="00004F37"/>
    <w:rsid w:val="00010CB2"/>
    <w:rsid w:val="00016A3C"/>
    <w:rsid w:val="000226D7"/>
    <w:rsid w:val="00027E12"/>
    <w:rsid w:val="00032D9D"/>
    <w:rsid w:val="00033422"/>
    <w:rsid w:val="0003620A"/>
    <w:rsid w:val="00036DEE"/>
    <w:rsid w:val="00037BDC"/>
    <w:rsid w:val="0004261A"/>
    <w:rsid w:val="0005344E"/>
    <w:rsid w:val="00060E84"/>
    <w:rsid w:val="000656AC"/>
    <w:rsid w:val="00067F5C"/>
    <w:rsid w:val="00081713"/>
    <w:rsid w:val="000818A7"/>
    <w:rsid w:val="00097E63"/>
    <w:rsid w:val="000B5AE4"/>
    <w:rsid w:val="000C31AE"/>
    <w:rsid w:val="000E1128"/>
    <w:rsid w:val="000E57E4"/>
    <w:rsid w:val="000F1E5D"/>
    <w:rsid w:val="000F7987"/>
    <w:rsid w:val="00126107"/>
    <w:rsid w:val="00134F23"/>
    <w:rsid w:val="00136933"/>
    <w:rsid w:val="00137077"/>
    <w:rsid w:val="00143EB2"/>
    <w:rsid w:val="001551B9"/>
    <w:rsid w:val="00155DE0"/>
    <w:rsid w:val="0016739E"/>
    <w:rsid w:val="00167B83"/>
    <w:rsid w:val="00170409"/>
    <w:rsid w:val="00173AD4"/>
    <w:rsid w:val="001833A7"/>
    <w:rsid w:val="00192B8A"/>
    <w:rsid w:val="001A245E"/>
    <w:rsid w:val="001A6C6F"/>
    <w:rsid w:val="001B011D"/>
    <w:rsid w:val="001B2F98"/>
    <w:rsid w:val="001B3C56"/>
    <w:rsid w:val="001C4142"/>
    <w:rsid w:val="001C52A5"/>
    <w:rsid w:val="001C63C2"/>
    <w:rsid w:val="001D1BD5"/>
    <w:rsid w:val="001D3C90"/>
    <w:rsid w:val="001D4695"/>
    <w:rsid w:val="001D495F"/>
    <w:rsid w:val="001E0AA0"/>
    <w:rsid w:val="001E0D5D"/>
    <w:rsid w:val="001E1879"/>
    <w:rsid w:val="001F323D"/>
    <w:rsid w:val="00204678"/>
    <w:rsid w:val="002049B9"/>
    <w:rsid w:val="00206C6B"/>
    <w:rsid w:val="00211FCA"/>
    <w:rsid w:val="00213E71"/>
    <w:rsid w:val="00217216"/>
    <w:rsid w:val="002255D3"/>
    <w:rsid w:val="00237B45"/>
    <w:rsid w:val="00243DB5"/>
    <w:rsid w:val="0024411A"/>
    <w:rsid w:val="002502DD"/>
    <w:rsid w:val="0025252F"/>
    <w:rsid w:val="00267F6E"/>
    <w:rsid w:val="0027231E"/>
    <w:rsid w:val="00273D98"/>
    <w:rsid w:val="00277B65"/>
    <w:rsid w:val="00283CEE"/>
    <w:rsid w:val="00287E00"/>
    <w:rsid w:val="002A0256"/>
    <w:rsid w:val="002A2E53"/>
    <w:rsid w:val="002A6495"/>
    <w:rsid w:val="002A7440"/>
    <w:rsid w:val="002B5D2B"/>
    <w:rsid w:val="002C078E"/>
    <w:rsid w:val="002D0DFC"/>
    <w:rsid w:val="002D335D"/>
    <w:rsid w:val="002E04A0"/>
    <w:rsid w:val="002E4CDC"/>
    <w:rsid w:val="002F34AC"/>
    <w:rsid w:val="002F4DB0"/>
    <w:rsid w:val="00302905"/>
    <w:rsid w:val="00313BDC"/>
    <w:rsid w:val="00313F00"/>
    <w:rsid w:val="003168E1"/>
    <w:rsid w:val="00322719"/>
    <w:rsid w:val="003332F1"/>
    <w:rsid w:val="00337F9C"/>
    <w:rsid w:val="0034133F"/>
    <w:rsid w:val="003420DE"/>
    <w:rsid w:val="003505F7"/>
    <w:rsid w:val="00356747"/>
    <w:rsid w:val="00363ABF"/>
    <w:rsid w:val="00391205"/>
    <w:rsid w:val="003944C6"/>
    <w:rsid w:val="00394C59"/>
    <w:rsid w:val="00396F11"/>
    <w:rsid w:val="003A2D17"/>
    <w:rsid w:val="003A5CDD"/>
    <w:rsid w:val="003A6251"/>
    <w:rsid w:val="003A64AA"/>
    <w:rsid w:val="003B0899"/>
    <w:rsid w:val="003C1F62"/>
    <w:rsid w:val="003C3DCF"/>
    <w:rsid w:val="003C4FA4"/>
    <w:rsid w:val="003C7BE0"/>
    <w:rsid w:val="003D430B"/>
    <w:rsid w:val="003E13F0"/>
    <w:rsid w:val="003E6EFE"/>
    <w:rsid w:val="003E7069"/>
    <w:rsid w:val="003F0F78"/>
    <w:rsid w:val="003F1652"/>
    <w:rsid w:val="003F1B9B"/>
    <w:rsid w:val="003F5586"/>
    <w:rsid w:val="003F7AF8"/>
    <w:rsid w:val="00400F10"/>
    <w:rsid w:val="00405391"/>
    <w:rsid w:val="0041017F"/>
    <w:rsid w:val="00412AAF"/>
    <w:rsid w:val="0042714F"/>
    <w:rsid w:val="00432A98"/>
    <w:rsid w:val="004344FC"/>
    <w:rsid w:val="004352DE"/>
    <w:rsid w:val="004634C5"/>
    <w:rsid w:val="00490105"/>
    <w:rsid w:val="004A3501"/>
    <w:rsid w:val="004A3A88"/>
    <w:rsid w:val="004A4E82"/>
    <w:rsid w:val="004A5009"/>
    <w:rsid w:val="004A77DD"/>
    <w:rsid w:val="004A78B7"/>
    <w:rsid w:val="004A7BAF"/>
    <w:rsid w:val="004C6E7E"/>
    <w:rsid w:val="004D0C70"/>
    <w:rsid w:val="004D5B39"/>
    <w:rsid w:val="004E13F7"/>
    <w:rsid w:val="004E700C"/>
    <w:rsid w:val="004E7E79"/>
    <w:rsid w:val="004F243E"/>
    <w:rsid w:val="004F3F11"/>
    <w:rsid w:val="005018BE"/>
    <w:rsid w:val="005025FA"/>
    <w:rsid w:val="00502ED1"/>
    <w:rsid w:val="005075C7"/>
    <w:rsid w:val="0052094F"/>
    <w:rsid w:val="00521290"/>
    <w:rsid w:val="00525400"/>
    <w:rsid w:val="0052565B"/>
    <w:rsid w:val="0052585E"/>
    <w:rsid w:val="00542D79"/>
    <w:rsid w:val="005534D9"/>
    <w:rsid w:val="0055739B"/>
    <w:rsid w:val="005659BF"/>
    <w:rsid w:val="005733E6"/>
    <w:rsid w:val="005758FC"/>
    <w:rsid w:val="00575E06"/>
    <w:rsid w:val="005777F3"/>
    <w:rsid w:val="005801A3"/>
    <w:rsid w:val="00580F2B"/>
    <w:rsid w:val="00590244"/>
    <w:rsid w:val="00590489"/>
    <w:rsid w:val="005A463C"/>
    <w:rsid w:val="005C2621"/>
    <w:rsid w:val="005E0C09"/>
    <w:rsid w:val="005E1CC6"/>
    <w:rsid w:val="005E54E2"/>
    <w:rsid w:val="005F2F75"/>
    <w:rsid w:val="00600844"/>
    <w:rsid w:val="00605569"/>
    <w:rsid w:val="00607551"/>
    <w:rsid w:val="0061025D"/>
    <w:rsid w:val="00624083"/>
    <w:rsid w:val="006374B7"/>
    <w:rsid w:val="00641E02"/>
    <w:rsid w:val="00663EBE"/>
    <w:rsid w:val="006667BD"/>
    <w:rsid w:val="00666D19"/>
    <w:rsid w:val="0067191F"/>
    <w:rsid w:val="0067307A"/>
    <w:rsid w:val="006763A6"/>
    <w:rsid w:val="0068156C"/>
    <w:rsid w:val="00690BE6"/>
    <w:rsid w:val="00695CF6"/>
    <w:rsid w:val="00696F2A"/>
    <w:rsid w:val="006A6780"/>
    <w:rsid w:val="006B116B"/>
    <w:rsid w:val="006B7FAA"/>
    <w:rsid w:val="006C290B"/>
    <w:rsid w:val="006C4CF4"/>
    <w:rsid w:val="006E0F3F"/>
    <w:rsid w:val="006E23F3"/>
    <w:rsid w:val="006E5F18"/>
    <w:rsid w:val="006F0064"/>
    <w:rsid w:val="006F2491"/>
    <w:rsid w:val="0070068A"/>
    <w:rsid w:val="007025ED"/>
    <w:rsid w:val="00706C86"/>
    <w:rsid w:val="00707EC6"/>
    <w:rsid w:val="00710429"/>
    <w:rsid w:val="007168A3"/>
    <w:rsid w:val="00717FB0"/>
    <w:rsid w:val="00735CE7"/>
    <w:rsid w:val="007378F1"/>
    <w:rsid w:val="00744E72"/>
    <w:rsid w:val="00750127"/>
    <w:rsid w:val="007503AC"/>
    <w:rsid w:val="0075610F"/>
    <w:rsid w:val="00757A80"/>
    <w:rsid w:val="007811BA"/>
    <w:rsid w:val="0078583A"/>
    <w:rsid w:val="0079336D"/>
    <w:rsid w:val="00793E82"/>
    <w:rsid w:val="007A6E81"/>
    <w:rsid w:val="007A7729"/>
    <w:rsid w:val="007B0048"/>
    <w:rsid w:val="007B11FC"/>
    <w:rsid w:val="007B1DB8"/>
    <w:rsid w:val="007B6FAF"/>
    <w:rsid w:val="007B7FA5"/>
    <w:rsid w:val="007C0820"/>
    <w:rsid w:val="007C0C47"/>
    <w:rsid w:val="007C24B2"/>
    <w:rsid w:val="007D06B7"/>
    <w:rsid w:val="007D47DD"/>
    <w:rsid w:val="007E0F7E"/>
    <w:rsid w:val="007E1BF6"/>
    <w:rsid w:val="007E329A"/>
    <w:rsid w:val="007F09F8"/>
    <w:rsid w:val="007F2EDA"/>
    <w:rsid w:val="00800279"/>
    <w:rsid w:val="00806C8F"/>
    <w:rsid w:val="00820F8D"/>
    <w:rsid w:val="00821EE5"/>
    <w:rsid w:val="00823637"/>
    <w:rsid w:val="00825A21"/>
    <w:rsid w:val="00844B4C"/>
    <w:rsid w:val="0084548B"/>
    <w:rsid w:val="008466AF"/>
    <w:rsid w:val="008518E1"/>
    <w:rsid w:val="008520F0"/>
    <w:rsid w:val="00855EAA"/>
    <w:rsid w:val="00857C69"/>
    <w:rsid w:val="008619D7"/>
    <w:rsid w:val="00861A68"/>
    <w:rsid w:val="00861EB3"/>
    <w:rsid w:val="008714C0"/>
    <w:rsid w:val="00876CBB"/>
    <w:rsid w:val="008802B8"/>
    <w:rsid w:val="008843F5"/>
    <w:rsid w:val="00891B03"/>
    <w:rsid w:val="00895C63"/>
    <w:rsid w:val="008972EA"/>
    <w:rsid w:val="008A1B92"/>
    <w:rsid w:val="008A6011"/>
    <w:rsid w:val="008A6B1A"/>
    <w:rsid w:val="008B4B63"/>
    <w:rsid w:val="008B6F03"/>
    <w:rsid w:val="008C7EB0"/>
    <w:rsid w:val="008D03A2"/>
    <w:rsid w:val="008D13BF"/>
    <w:rsid w:val="008D344A"/>
    <w:rsid w:val="008E05B2"/>
    <w:rsid w:val="008E2893"/>
    <w:rsid w:val="008E34EC"/>
    <w:rsid w:val="008E35B3"/>
    <w:rsid w:val="008E4F94"/>
    <w:rsid w:val="008E7130"/>
    <w:rsid w:val="008E72E0"/>
    <w:rsid w:val="008F47B0"/>
    <w:rsid w:val="009024F4"/>
    <w:rsid w:val="00912DE1"/>
    <w:rsid w:val="00913A76"/>
    <w:rsid w:val="0092686F"/>
    <w:rsid w:val="00942ECF"/>
    <w:rsid w:val="00955AE9"/>
    <w:rsid w:val="009576DD"/>
    <w:rsid w:val="00960025"/>
    <w:rsid w:val="0096614A"/>
    <w:rsid w:val="009700E2"/>
    <w:rsid w:val="00992475"/>
    <w:rsid w:val="009A3822"/>
    <w:rsid w:val="009A47AB"/>
    <w:rsid w:val="009B07C1"/>
    <w:rsid w:val="009B0E59"/>
    <w:rsid w:val="009B1CFE"/>
    <w:rsid w:val="009B7943"/>
    <w:rsid w:val="009C0FD5"/>
    <w:rsid w:val="009C5344"/>
    <w:rsid w:val="009C6A62"/>
    <w:rsid w:val="009D355D"/>
    <w:rsid w:val="009D4200"/>
    <w:rsid w:val="009D6A83"/>
    <w:rsid w:val="009E168F"/>
    <w:rsid w:val="009E4058"/>
    <w:rsid w:val="009E52F1"/>
    <w:rsid w:val="009E72D9"/>
    <w:rsid w:val="00A00E25"/>
    <w:rsid w:val="00A05ECD"/>
    <w:rsid w:val="00A21366"/>
    <w:rsid w:val="00A27BB7"/>
    <w:rsid w:val="00A366FA"/>
    <w:rsid w:val="00A52EF8"/>
    <w:rsid w:val="00A639AD"/>
    <w:rsid w:val="00A7447F"/>
    <w:rsid w:val="00A74F29"/>
    <w:rsid w:val="00A8411D"/>
    <w:rsid w:val="00A856BE"/>
    <w:rsid w:val="00A87A40"/>
    <w:rsid w:val="00A93288"/>
    <w:rsid w:val="00A93D8C"/>
    <w:rsid w:val="00A9506A"/>
    <w:rsid w:val="00AA3CC8"/>
    <w:rsid w:val="00AA603A"/>
    <w:rsid w:val="00AB2E18"/>
    <w:rsid w:val="00AB576D"/>
    <w:rsid w:val="00AD011E"/>
    <w:rsid w:val="00AE1D55"/>
    <w:rsid w:val="00AE6A33"/>
    <w:rsid w:val="00AE7C1A"/>
    <w:rsid w:val="00AF5AAC"/>
    <w:rsid w:val="00B01856"/>
    <w:rsid w:val="00B02B48"/>
    <w:rsid w:val="00B05593"/>
    <w:rsid w:val="00B07C7F"/>
    <w:rsid w:val="00B119F0"/>
    <w:rsid w:val="00B11F2E"/>
    <w:rsid w:val="00B15149"/>
    <w:rsid w:val="00B303BE"/>
    <w:rsid w:val="00B344A7"/>
    <w:rsid w:val="00B66B2A"/>
    <w:rsid w:val="00B73D56"/>
    <w:rsid w:val="00B768E0"/>
    <w:rsid w:val="00B771D1"/>
    <w:rsid w:val="00B84958"/>
    <w:rsid w:val="00B85F71"/>
    <w:rsid w:val="00B86F89"/>
    <w:rsid w:val="00B92AED"/>
    <w:rsid w:val="00B96FF1"/>
    <w:rsid w:val="00BA12A7"/>
    <w:rsid w:val="00BA6E02"/>
    <w:rsid w:val="00BB770C"/>
    <w:rsid w:val="00BD3206"/>
    <w:rsid w:val="00BE14F4"/>
    <w:rsid w:val="00BE4D59"/>
    <w:rsid w:val="00BF00B4"/>
    <w:rsid w:val="00C0440B"/>
    <w:rsid w:val="00C0649D"/>
    <w:rsid w:val="00C10A6D"/>
    <w:rsid w:val="00C11296"/>
    <w:rsid w:val="00C24698"/>
    <w:rsid w:val="00C31237"/>
    <w:rsid w:val="00C31B16"/>
    <w:rsid w:val="00C5173F"/>
    <w:rsid w:val="00C52173"/>
    <w:rsid w:val="00C54F6E"/>
    <w:rsid w:val="00C56079"/>
    <w:rsid w:val="00C602D3"/>
    <w:rsid w:val="00C62B79"/>
    <w:rsid w:val="00C8302F"/>
    <w:rsid w:val="00C84984"/>
    <w:rsid w:val="00C9359C"/>
    <w:rsid w:val="00CB0E4D"/>
    <w:rsid w:val="00CB2B23"/>
    <w:rsid w:val="00CB6F54"/>
    <w:rsid w:val="00CC4779"/>
    <w:rsid w:val="00CC4B08"/>
    <w:rsid w:val="00CC6A98"/>
    <w:rsid w:val="00CD0A16"/>
    <w:rsid w:val="00CE627D"/>
    <w:rsid w:val="00CF10A9"/>
    <w:rsid w:val="00CF1CFF"/>
    <w:rsid w:val="00CF6978"/>
    <w:rsid w:val="00CF6F85"/>
    <w:rsid w:val="00D0095C"/>
    <w:rsid w:val="00D0665C"/>
    <w:rsid w:val="00D10C15"/>
    <w:rsid w:val="00D166CF"/>
    <w:rsid w:val="00D24E56"/>
    <w:rsid w:val="00D25A97"/>
    <w:rsid w:val="00D27398"/>
    <w:rsid w:val="00D320E0"/>
    <w:rsid w:val="00D41B22"/>
    <w:rsid w:val="00D42552"/>
    <w:rsid w:val="00D60781"/>
    <w:rsid w:val="00D64E1A"/>
    <w:rsid w:val="00D80CF4"/>
    <w:rsid w:val="00D8202D"/>
    <w:rsid w:val="00D83C25"/>
    <w:rsid w:val="00DB2E61"/>
    <w:rsid w:val="00DB3028"/>
    <w:rsid w:val="00DC26C9"/>
    <w:rsid w:val="00DC3DF4"/>
    <w:rsid w:val="00DC3E82"/>
    <w:rsid w:val="00DD395E"/>
    <w:rsid w:val="00DD6C18"/>
    <w:rsid w:val="00DE30DC"/>
    <w:rsid w:val="00DE53E2"/>
    <w:rsid w:val="00DE66A2"/>
    <w:rsid w:val="00DE6E59"/>
    <w:rsid w:val="00DF4F54"/>
    <w:rsid w:val="00E014FA"/>
    <w:rsid w:val="00E127F0"/>
    <w:rsid w:val="00E31A0B"/>
    <w:rsid w:val="00E41572"/>
    <w:rsid w:val="00E5057B"/>
    <w:rsid w:val="00E524AE"/>
    <w:rsid w:val="00E5555A"/>
    <w:rsid w:val="00E561C2"/>
    <w:rsid w:val="00E5790D"/>
    <w:rsid w:val="00E611EB"/>
    <w:rsid w:val="00E62660"/>
    <w:rsid w:val="00E667C0"/>
    <w:rsid w:val="00E7008C"/>
    <w:rsid w:val="00E814BF"/>
    <w:rsid w:val="00E96D71"/>
    <w:rsid w:val="00EA0046"/>
    <w:rsid w:val="00EA29D2"/>
    <w:rsid w:val="00EB0AFB"/>
    <w:rsid w:val="00EB6DE8"/>
    <w:rsid w:val="00EB7D39"/>
    <w:rsid w:val="00EC13E7"/>
    <w:rsid w:val="00EC603F"/>
    <w:rsid w:val="00EC7950"/>
    <w:rsid w:val="00ED098B"/>
    <w:rsid w:val="00ED3710"/>
    <w:rsid w:val="00ED426F"/>
    <w:rsid w:val="00ED4A01"/>
    <w:rsid w:val="00ED6E3C"/>
    <w:rsid w:val="00EE2864"/>
    <w:rsid w:val="00EE306E"/>
    <w:rsid w:val="00EF2F52"/>
    <w:rsid w:val="00EF345E"/>
    <w:rsid w:val="00F123D8"/>
    <w:rsid w:val="00F21978"/>
    <w:rsid w:val="00F359A4"/>
    <w:rsid w:val="00F4126A"/>
    <w:rsid w:val="00F4153D"/>
    <w:rsid w:val="00F475B3"/>
    <w:rsid w:val="00F503D8"/>
    <w:rsid w:val="00F52F41"/>
    <w:rsid w:val="00F53E91"/>
    <w:rsid w:val="00F56B53"/>
    <w:rsid w:val="00F6109F"/>
    <w:rsid w:val="00F621A7"/>
    <w:rsid w:val="00F651AE"/>
    <w:rsid w:val="00F65C76"/>
    <w:rsid w:val="00F7513E"/>
    <w:rsid w:val="00F868C4"/>
    <w:rsid w:val="00F939EE"/>
    <w:rsid w:val="00F954C7"/>
    <w:rsid w:val="00FA4E20"/>
    <w:rsid w:val="00FA7F8F"/>
    <w:rsid w:val="00FB54C8"/>
    <w:rsid w:val="00FB752D"/>
    <w:rsid w:val="00FC6A6C"/>
    <w:rsid w:val="00FC7DCA"/>
    <w:rsid w:val="00FD260A"/>
    <w:rsid w:val="00FD5FCE"/>
    <w:rsid w:val="00FE3160"/>
    <w:rsid w:val="00FE35F4"/>
    <w:rsid w:val="00FE5F33"/>
    <w:rsid w:val="00FF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C956E"/>
  <w15:chartTrackingRefBased/>
  <w15:docId w15:val="{4C4F17A0-FD50-471F-A015-ECBF3519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E06"/>
    <w:rPr>
      <w:rFonts w:ascii="Times New Roman" w:hAnsi="Times New Roman"/>
      <w:sz w:val="24"/>
    </w:rPr>
  </w:style>
  <w:style w:type="paragraph" w:styleId="Heading1">
    <w:name w:val="heading 1"/>
    <w:basedOn w:val="Normal"/>
    <w:next w:val="Normal"/>
    <w:link w:val="Heading1Char"/>
    <w:autoRedefine/>
    <w:uiPriority w:val="9"/>
    <w:qFormat/>
    <w:rsid w:val="004E13F7"/>
    <w:pPr>
      <w:keepNext/>
      <w:keepLines/>
      <w:spacing w:before="240" w:after="0"/>
      <w:outlineLvl w:val="0"/>
    </w:pPr>
    <w:rPr>
      <w:rFonts w:eastAsiaTheme="majorEastAsia" w:cs="Times New Roman"/>
      <w:b/>
      <w:szCs w:val="24"/>
    </w:rPr>
  </w:style>
  <w:style w:type="paragraph" w:styleId="Heading2">
    <w:name w:val="heading 2"/>
    <w:basedOn w:val="Normal"/>
    <w:next w:val="Normal"/>
    <w:link w:val="Heading2Char"/>
    <w:autoRedefine/>
    <w:uiPriority w:val="9"/>
    <w:unhideWhenUsed/>
    <w:qFormat/>
    <w:rsid w:val="00C0440B"/>
    <w:pPr>
      <w:keepNext/>
      <w:keepLines/>
      <w:spacing w:before="40" w:after="0" w:line="240" w:lineRule="auto"/>
      <w:jc w:val="both"/>
      <w:outlineLvl w:val="1"/>
    </w:pPr>
    <w:rPr>
      <w:rFonts w:eastAsiaTheme="majorEastAsia" w:cs="Times New Roman"/>
      <w:i/>
      <w:szCs w:val="24"/>
    </w:rPr>
  </w:style>
  <w:style w:type="paragraph" w:styleId="Heading3">
    <w:name w:val="heading 3"/>
    <w:basedOn w:val="Normal"/>
    <w:link w:val="Heading3Char"/>
    <w:uiPriority w:val="9"/>
    <w:qFormat/>
    <w:rsid w:val="002D0DFC"/>
    <w:pPr>
      <w:spacing w:before="100" w:beforeAutospacing="1" w:after="100" w:afterAutospacing="1" w:line="240" w:lineRule="auto"/>
      <w:outlineLvl w:val="2"/>
    </w:pPr>
    <w:rPr>
      <w:rFonts w:eastAsia="Times New Roman" w:cs="Times New Roman"/>
      <w:b/>
      <w:bCs/>
      <w:i/>
      <w:szCs w:val="27"/>
    </w:rPr>
  </w:style>
  <w:style w:type="paragraph" w:styleId="Heading5">
    <w:name w:val="heading 5"/>
    <w:basedOn w:val="Normal"/>
    <w:next w:val="Normal"/>
    <w:link w:val="Heading5Char"/>
    <w:uiPriority w:val="9"/>
    <w:semiHidden/>
    <w:unhideWhenUsed/>
    <w:qFormat/>
    <w:rsid w:val="00F53E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53E9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0DFC"/>
    <w:rPr>
      <w:rFonts w:ascii="Times New Roman" w:eastAsia="Times New Roman" w:hAnsi="Times New Roman" w:cs="Times New Roman"/>
      <w:b/>
      <w:bCs/>
      <w:i/>
      <w:sz w:val="24"/>
      <w:szCs w:val="27"/>
    </w:rPr>
  </w:style>
  <w:style w:type="character" w:styleId="Strong">
    <w:name w:val="Strong"/>
    <w:basedOn w:val="DefaultParagraphFont"/>
    <w:uiPriority w:val="22"/>
    <w:qFormat/>
    <w:rsid w:val="0067191F"/>
    <w:rPr>
      <w:b/>
      <w:bCs/>
    </w:rPr>
  </w:style>
  <w:style w:type="paragraph" w:styleId="NormalWeb">
    <w:name w:val="Normal (Web)"/>
    <w:basedOn w:val="Normal"/>
    <w:uiPriority w:val="99"/>
    <w:unhideWhenUsed/>
    <w:rsid w:val="0067191F"/>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rsid w:val="00C0440B"/>
    <w:rPr>
      <w:rFonts w:ascii="Times New Roman" w:eastAsiaTheme="majorEastAsia" w:hAnsi="Times New Roman" w:cs="Times New Roman"/>
      <w:i/>
      <w:sz w:val="24"/>
      <w:szCs w:val="24"/>
    </w:rPr>
  </w:style>
  <w:style w:type="character" w:styleId="Emphasis">
    <w:name w:val="Emphasis"/>
    <w:basedOn w:val="DefaultParagraphFont"/>
    <w:uiPriority w:val="20"/>
    <w:qFormat/>
    <w:rsid w:val="0067191F"/>
    <w:rPr>
      <w:i/>
      <w:iCs/>
    </w:rPr>
  </w:style>
  <w:style w:type="character" w:customStyle="1" w:styleId="Heading1Char">
    <w:name w:val="Heading 1 Char"/>
    <w:basedOn w:val="DefaultParagraphFont"/>
    <w:link w:val="Heading1"/>
    <w:uiPriority w:val="9"/>
    <w:rsid w:val="004E13F7"/>
    <w:rPr>
      <w:rFonts w:ascii="Times New Roman" w:eastAsiaTheme="majorEastAsia" w:hAnsi="Times New Roman" w:cs="Times New Roman"/>
      <w:b/>
      <w:sz w:val="24"/>
      <w:szCs w:val="24"/>
    </w:rPr>
  </w:style>
  <w:style w:type="table" w:styleId="TableGrid">
    <w:name w:val="Table Grid"/>
    <w:basedOn w:val="TableNormal"/>
    <w:uiPriority w:val="39"/>
    <w:rsid w:val="00744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4E72"/>
    <w:pPr>
      <w:spacing w:after="200" w:line="240" w:lineRule="auto"/>
    </w:pPr>
    <w:rPr>
      <w:i/>
      <w:iCs/>
      <w:color w:val="44546A" w:themeColor="text2"/>
      <w:sz w:val="18"/>
      <w:szCs w:val="18"/>
    </w:rPr>
  </w:style>
  <w:style w:type="paragraph" w:styleId="ListParagraph">
    <w:name w:val="List Paragraph"/>
    <w:basedOn w:val="Normal"/>
    <w:uiPriority w:val="34"/>
    <w:qFormat/>
    <w:rsid w:val="00CC4779"/>
    <w:pPr>
      <w:ind w:left="720"/>
      <w:contextualSpacing/>
    </w:pPr>
  </w:style>
  <w:style w:type="character" w:styleId="Hyperlink">
    <w:name w:val="Hyperlink"/>
    <w:basedOn w:val="DefaultParagraphFont"/>
    <w:uiPriority w:val="99"/>
    <w:unhideWhenUsed/>
    <w:rsid w:val="009A3822"/>
    <w:rPr>
      <w:color w:val="0000FF"/>
      <w:u w:val="single"/>
    </w:rPr>
  </w:style>
  <w:style w:type="paragraph" w:styleId="Header">
    <w:name w:val="header"/>
    <w:basedOn w:val="Normal"/>
    <w:link w:val="HeaderChar"/>
    <w:uiPriority w:val="99"/>
    <w:unhideWhenUsed/>
    <w:rsid w:val="002D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35D"/>
    <w:rPr>
      <w:rFonts w:ascii="Times New Roman" w:hAnsi="Times New Roman"/>
      <w:sz w:val="24"/>
    </w:rPr>
  </w:style>
  <w:style w:type="paragraph" w:styleId="Footer">
    <w:name w:val="footer"/>
    <w:basedOn w:val="Normal"/>
    <w:link w:val="FooterChar"/>
    <w:uiPriority w:val="99"/>
    <w:unhideWhenUsed/>
    <w:rsid w:val="002D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35D"/>
    <w:rPr>
      <w:rFonts w:ascii="Times New Roman" w:hAnsi="Times New Roman"/>
      <w:sz w:val="24"/>
    </w:rPr>
  </w:style>
  <w:style w:type="character" w:customStyle="1" w:styleId="Heading5Char">
    <w:name w:val="Heading 5 Char"/>
    <w:basedOn w:val="DefaultParagraphFont"/>
    <w:link w:val="Heading5"/>
    <w:uiPriority w:val="9"/>
    <w:semiHidden/>
    <w:rsid w:val="00F53E9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53E91"/>
    <w:rPr>
      <w:rFonts w:asciiTheme="majorHAnsi" w:eastAsiaTheme="majorEastAsia" w:hAnsiTheme="majorHAnsi" w:cstheme="majorBidi"/>
      <w:color w:val="1F4D78" w:themeColor="accent1" w:themeShade="7F"/>
      <w:sz w:val="24"/>
    </w:rPr>
  </w:style>
  <w:style w:type="character" w:customStyle="1" w:styleId="ms-1">
    <w:name w:val="ms-1"/>
    <w:basedOn w:val="DefaultParagraphFont"/>
    <w:rsid w:val="00A8411D"/>
  </w:style>
  <w:style w:type="character" w:customStyle="1" w:styleId="max-w-15ch">
    <w:name w:val="max-w-[15ch]"/>
    <w:basedOn w:val="DefaultParagraphFont"/>
    <w:rsid w:val="00A8411D"/>
  </w:style>
  <w:style w:type="character" w:styleId="UnresolvedMention">
    <w:name w:val="Unresolved Mention"/>
    <w:basedOn w:val="DefaultParagraphFont"/>
    <w:uiPriority w:val="99"/>
    <w:semiHidden/>
    <w:unhideWhenUsed/>
    <w:rsid w:val="00A00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4463">
      <w:bodyDiv w:val="1"/>
      <w:marLeft w:val="0"/>
      <w:marRight w:val="0"/>
      <w:marTop w:val="0"/>
      <w:marBottom w:val="0"/>
      <w:divBdr>
        <w:top w:val="none" w:sz="0" w:space="0" w:color="auto"/>
        <w:left w:val="none" w:sz="0" w:space="0" w:color="auto"/>
        <w:bottom w:val="none" w:sz="0" w:space="0" w:color="auto"/>
        <w:right w:val="none" w:sz="0" w:space="0" w:color="auto"/>
      </w:divBdr>
      <w:divsChild>
        <w:div w:id="1964117266">
          <w:marLeft w:val="0"/>
          <w:marRight w:val="0"/>
          <w:marTop w:val="0"/>
          <w:marBottom w:val="0"/>
          <w:divBdr>
            <w:top w:val="none" w:sz="0" w:space="0" w:color="auto"/>
            <w:left w:val="none" w:sz="0" w:space="0" w:color="auto"/>
            <w:bottom w:val="none" w:sz="0" w:space="0" w:color="auto"/>
            <w:right w:val="none" w:sz="0" w:space="0" w:color="auto"/>
          </w:divBdr>
          <w:divsChild>
            <w:div w:id="9654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4701">
      <w:bodyDiv w:val="1"/>
      <w:marLeft w:val="0"/>
      <w:marRight w:val="0"/>
      <w:marTop w:val="0"/>
      <w:marBottom w:val="0"/>
      <w:divBdr>
        <w:top w:val="none" w:sz="0" w:space="0" w:color="auto"/>
        <w:left w:val="none" w:sz="0" w:space="0" w:color="auto"/>
        <w:bottom w:val="none" w:sz="0" w:space="0" w:color="auto"/>
        <w:right w:val="none" w:sz="0" w:space="0" w:color="auto"/>
      </w:divBdr>
    </w:div>
    <w:div w:id="97605510">
      <w:bodyDiv w:val="1"/>
      <w:marLeft w:val="0"/>
      <w:marRight w:val="0"/>
      <w:marTop w:val="0"/>
      <w:marBottom w:val="0"/>
      <w:divBdr>
        <w:top w:val="none" w:sz="0" w:space="0" w:color="auto"/>
        <w:left w:val="none" w:sz="0" w:space="0" w:color="auto"/>
        <w:bottom w:val="none" w:sz="0" w:space="0" w:color="auto"/>
        <w:right w:val="none" w:sz="0" w:space="0" w:color="auto"/>
      </w:divBdr>
    </w:div>
    <w:div w:id="117455337">
      <w:bodyDiv w:val="1"/>
      <w:marLeft w:val="0"/>
      <w:marRight w:val="0"/>
      <w:marTop w:val="0"/>
      <w:marBottom w:val="0"/>
      <w:divBdr>
        <w:top w:val="none" w:sz="0" w:space="0" w:color="auto"/>
        <w:left w:val="none" w:sz="0" w:space="0" w:color="auto"/>
        <w:bottom w:val="none" w:sz="0" w:space="0" w:color="auto"/>
        <w:right w:val="none" w:sz="0" w:space="0" w:color="auto"/>
      </w:divBdr>
    </w:div>
    <w:div w:id="117915436">
      <w:bodyDiv w:val="1"/>
      <w:marLeft w:val="0"/>
      <w:marRight w:val="0"/>
      <w:marTop w:val="0"/>
      <w:marBottom w:val="0"/>
      <w:divBdr>
        <w:top w:val="none" w:sz="0" w:space="0" w:color="auto"/>
        <w:left w:val="none" w:sz="0" w:space="0" w:color="auto"/>
        <w:bottom w:val="none" w:sz="0" w:space="0" w:color="auto"/>
        <w:right w:val="none" w:sz="0" w:space="0" w:color="auto"/>
      </w:divBdr>
    </w:div>
    <w:div w:id="132452487">
      <w:bodyDiv w:val="1"/>
      <w:marLeft w:val="0"/>
      <w:marRight w:val="0"/>
      <w:marTop w:val="0"/>
      <w:marBottom w:val="0"/>
      <w:divBdr>
        <w:top w:val="none" w:sz="0" w:space="0" w:color="auto"/>
        <w:left w:val="none" w:sz="0" w:space="0" w:color="auto"/>
        <w:bottom w:val="none" w:sz="0" w:space="0" w:color="auto"/>
        <w:right w:val="none" w:sz="0" w:space="0" w:color="auto"/>
      </w:divBdr>
    </w:div>
    <w:div w:id="145825501">
      <w:bodyDiv w:val="1"/>
      <w:marLeft w:val="0"/>
      <w:marRight w:val="0"/>
      <w:marTop w:val="0"/>
      <w:marBottom w:val="0"/>
      <w:divBdr>
        <w:top w:val="none" w:sz="0" w:space="0" w:color="auto"/>
        <w:left w:val="none" w:sz="0" w:space="0" w:color="auto"/>
        <w:bottom w:val="none" w:sz="0" w:space="0" w:color="auto"/>
        <w:right w:val="none" w:sz="0" w:space="0" w:color="auto"/>
      </w:divBdr>
    </w:div>
    <w:div w:id="215825028">
      <w:bodyDiv w:val="1"/>
      <w:marLeft w:val="0"/>
      <w:marRight w:val="0"/>
      <w:marTop w:val="0"/>
      <w:marBottom w:val="0"/>
      <w:divBdr>
        <w:top w:val="none" w:sz="0" w:space="0" w:color="auto"/>
        <w:left w:val="none" w:sz="0" w:space="0" w:color="auto"/>
        <w:bottom w:val="none" w:sz="0" w:space="0" w:color="auto"/>
        <w:right w:val="none" w:sz="0" w:space="0" w:color="auto"/>
      </w:divBdr>
      <w:divsChild>
        <w:div w:id="872613712">
          <w:marLeft w:val="0"/>
          <w:marRight w:val="0"/>
          <w:marTop w:val="0"/>
          <w:marBottom w:val="0"/>
          <w:divBdr>
            <w:top w:val="none" w:sz="0" w:space="0" w:color="auto"/>
            <w:left w:val="none" w:sz="0" w:space="0" w:color="auto"/>
            <w:bottom w:val="none" w:sz="0" w:space="0" w:color="auto"/>
            <w:right w:val="none" w:sz="0" w:space="0" w:color="auto"/>
          </w:divBdr>
          <w:divsChild>
            <w:div w:id="11184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2834">
      <w:bodyDiv w:val="1"/>
      <w:marLeft w:val="0"/>
      <w:marRight w:val="0"/>
      <w:marTop w:val="0"/>
      <w:marBottom w:val="0"/>
      <w:divBdr>
        <w:top w:val="none" w:sz="0" w:space="0" w:color="auto"/>
        <w:left w:val="none" w:sz="0" w:space="0" w:color="auto"/>
        <w:bottom w:val="none" w:sz="0" w:space="0" w:color="auto"/>
        <w:right w:val="none" w:sz="0" w:space="0" w:color="auto"/>
      </w:divBdr>
      <w:divsChild>
        <w:div w:id="1609506977">
          <w:marLeft w:val="0"/>
          <w:marRight w:val="0"/>
          <w:marTop w:val="0"/>
          <w:marBottom w:val="0"/>
          <w:divBdr>
            <w:top w:val="none" w:sz="0" w:space="0" w:color="auto"/>
            <w:left w:val="none" w:sz="0" w:space="0" w:color="auto"/>
            <w:bottom w:val="none" w:sz="0" w:space="0" w:color="auto"/>
            <w:right w:val="none" w:sz="0" w:space="0" w:color="auto"/>
          </w:divBdr>
          <w:divsChild>
            <w:div w:id="1656035485">
              <w:marLeft w:val="0"/>
              <w:marRight w:val="0"/>
              <w:marTop w:val="0"/>
              <w:marBottom w:val="0"/>
              <w:divBdr>
                <w:top w:val="none" w:sz="0" w:space="0" w:color="auto"/>
                <w:left w:val="none" w:sz="0" w:space="0" w:color="auto"/>
                <w:bottom w:val="none" w:sz="0" w:space="0" w:color="auto"/>
                <w:right w:val="none" w:sz="0" w:space="0" w:color="auto"/>
              </w:divBdr>
              <w:divsChild>
                <w:div w:id="1581794575">
                  <w:marLeft w:val="0"/>
                  <w:marRight w:val="0"/>
                  <w:marTop w:val="0"/>
                  <w:marBottom w:val="0"/>
                  <w:divBdr>
                    <w:top w:val="none" w:sz="0" w:space="0" w:color="auto"/>
                    <w:left w:val="none" w:sz="0" w:space="0" w:color="auto"/>
                    <w:bottom w:val="none" w:sz="0" w:space="0" w:color="auto"/>
                    <w:right w:val="none" w:sz="0" w:space="0" w:color="auto"/>
                  </w:divBdr>
                  <w:divsChild>
                    <w:div w:id="820196495">
                      <w:marLeft w:val="0"/>
                      <w:marRight w:val="0"/>
                      <w:marTop w:val="0"/>
                      <w:marBottom w:val="0"/>
                      <w:divBdr>
                        <w:top w:val="none" w:sz="0" w:space="0" w:color="auto"/>
                        <w:left w:val="none" w:sz="0" w:space="0" w:color="auto"/>
                        <w:bottom w:val="none" w:sz="0" w:space="0" w:color="auto"/>
                        <w:right w:val="none" w:sz="0" w:space="0" w:color="auto"/>
                      </w:divBdr>
                      <w:divsChild>
                        <w:div w:id="1971007092">
                          <w:marLeft w:val="0"/>
                          <w:marRight w:val="0"/>
                          <w:marTop w:val="0"/>
                          <w:marBottom w:val="0"/>
                          <w:divBdr>
                            <w:top w:val="none" w:sz="0" w:space="0" w:color="auto"/>
                            <w:left w:val="none" w:sz="0" w:space="0" w:color="auto"/>
                            <w:bottom w:val="none" w:sz="0" w:space="0" w:color="auto"/>
                            <w:right w:val="none" w:sz="0" w:space="0" w:color="auto"/>
                          </w:divBdr>
                          <w:divsChild>
                            <w:div w:id="1954970576">
                              <w:marLeft w:val="0"/>
                              <w:marRight w:val="0"/>
                              <w:marTop w:val="0"/>
                              <w:marBottom w:val="0"/>
                              <w:divBdr>
                                <w:top w:val="none" w:sz="0" w:space="0" w:color="auto"/>
                                <w:left w:val="none" w:sz="0" w:space="0" w:color="auto"/>
                                <w:bottom w:val="none" w:sz="0" w:space="0" w:color="auto"/>
                                <w:right w:val="none" w:sz="0" w:space="0" w:color="auto"/>
                              </w:divBdr>
                              <w:divsChild>
                                <w:div w:id="611398793">
                                  <w:marLeft w:val="0"/>
                                  <w:marRight w:val="0"/>
                                  <w:marTop w:val="0"/>
                                  <w:marBottom w:val="0"/>
                                  <w:divBdr>
                                    <w:top w:val="none" w:sz="0" w:space="0" w:color="auto"/>
                                    <w:left w:val="none" w:sz="0" w:space="0" w:color="auto"/>
                                    <w:bottom w:val="none" w:sz="0" w:space="0" w:color="auto"/>
                                    <w:right w:val="none" w:sz="0" w:space="0" w:color="auto"/>
                                  </w:divBdr>
                                  <w:divsChild>
                                    <w:div w:id="633175940">
                                      <w:marLeft w:val="0"/>
                                      <w:marRight w:val="0"/>
                                      <w:marTop w:val="0"/>
                                      <w:marBottom w:val="0"/>
                                      <w:divBdr>
                                        <w:top w:val="none" w:sz="0" w:space="0" w:color="auto"/>
                                        <w:left w:val="none" w:sz="0" w:space="0" w:color="auto"/>
                                        <w:bottom w:val="none" w:sz="0" w:space="0" w:color="auto"/>
                                        <w:right w:val="none" w:sz="0" w:space="0" w:color="auto"/>
                                      </w:divBdr>
                                      <w:divsChild>
                                        <w:div w:id="17621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40663">
                      <w:marLeft w:val="0"/>
                      <w:marRight w:val="0"/>
                      <w:marTop w:val="0"/>
                      <w:marBottom w:val="0"/>
                      <w:divBdr>
                        <w:top w:val="none" w:sz="0" w:space="0" w:color="auto"/>
                        <w:left w:val="none" w:sz="0" w:space="0" w:color="auto"/>
                        <w:bottom w:val="none" w:sz="0" w:space="0" w:color="auto"/>
                        <w:right w:val="none" w:sz="0" w:space="0" w:color="auto"/>
                      </w:divBdr>
                      <w:divsChild>
                        <w:div w:id="1490485436">
                          <w:marLeft w:val="0"/>
                          <w:marRight w:val="0"/>
                          <w:marTop w:val="0"/>
                          <w:marBottom w:val="0"/>
                          <w:divBdr>
                            <w:top w:val="none" w:sz="0" w:space="0" w:color="auto"/>
                            <w:left w:val="none" w:sz="0" w:space="0" w:color="auto"/>
                            <w:bottom w:val="none" w:sz="0" w:space="0" w:color="auto"/>
                            <w:right w:val="none" w:sz="0" w:space="0" w:color="auto"/>
                          </w:divBdr>
                          <w:divsChild>
                            <w:div w:id="723523041">
                              <w:marLeft w:val="0"/>
                              <w:marRight w:val="0"/>
                              <w:marTop w:val="0"/>
                              <w:marBottom w:val="0"/>
                              <w:divBdr>
                                <w:top w:val="none" w:sz="0" w:space="0" w:color="auto"/>
                                <w:left w:val="none" w:sz="0" w:space="0" w:color="auto"/>
                                <w:bottom w:val="none" w:sz="0" w:space="0" w:color="auto"/>
                                <w:right w:val="none" w:sz="0" w:space="0" w:color="auto"/>
                              </w:divBdr>
                              <w:divsChild>
                                <w:div w:id="1102340623">
                                  <w:marLeft w:val="0"/>
                                  <w:marRight w:val="0"/>
                                  <w:marTop w:val="0"/>
                                  <w:marBottom w:val="0"/>
                                  <w:divBdr>
                                    <w:top w:val="none" w:sz="0" w:space="0" w:color="auto"/>
                                    <w:left w:val="none" w:sz="0" w:space="0" w:color="auto"/>
                                    <w:bottom w:val="none" w:sz="0" w:space="0" w:color="auto"/>
                                    <w:right w:val="none" w:sz="0" w:space="0" w:color="auto"/>
                                  </w:divBdr>
                                  <w:divsChild>
                                    <w:div w:id="919295491">
                                      <w:marLeft w:val="0"/>
                                      <w:marRight w:val="0"/>
                                      <w:marTop w:val="0"/>
                                      <w:marBottom w:val="0"/>
                                      <w:divBdr>
                                        <w:top w:val="none" w:sz="0" w:space="0" w:color="auto"/>
                                        <w:left w:val="none" w:sz="0" w:space="0" w:color="auto"/>
                                        <w:bottom w:val="none" w:sz="0" w:space="0" w:color="auto"/>
                                        <w:right w:val="none" w:sz="0" w:space="0" w:color="auto"/>
                                      </w:divBdr>
                                      <w:divsChild>
                                        <w:div w:id="1102606245">
                                          <w:marLeft w:val="0"/>
                                          <w:marRight w:val="0"/>
                                          <w:marTop w:val="0"/>
                                          <w:marBottom w:val="0"/>
                                          <w:divBdr>
                                            <w:top w:val="none" w:sz="0" w:space="0" w:color="auto"/>
                                            <w:left w:val="none" w:sz="0" w:space="0" w:color="auto"/>
                                            <w:bottom w:val="none" w:sz="0" w:space="0" w:color="auto"/>
                                            <w:right w:val="none" w:sz="0" w:space="0" w:color="auto"/>
                                          </w:divBdr>
                                          <w:divsChild>
                                            <w:div w:id="501165081">
                                              <w:marLeft w:val="0"/>
                                              <w:marRight w:val="0"/>
                                              <w:marTop w:val="0"/>
                                              <w:marBottom w:val="0"/>
                                              <w:divBdr>
                                                <w:top w:val="none" w:sz="0" w:space="0" w:color="auto"/>
                                                <w:left w:val="none" w:sz="0" w:space="0" w:color="auto"/>
                                                <w:bottom w:val="none" w:sz="0" w:space="0" w:color="auto"/>
                                                <w:right w:val="none" w:sz="0" w:space="0" w:color="auto"/>
                                              </w:divBdr>
                                              <w:divsChild>
                                                <w:div w:id="702747304">
                                                  <w:marLeft w:val="0"/>
                                                  <w:marRight w:val="0"/>
                                                  <w:marTop w:val="0"/>
                                                  <w:marBottom w:val="0"/>
                                                  <w:divBdr>
                                                    <w:top w:val="none" w:sz="0" w:space="0" w:color="auto"/>
                                                    <w:left w:val="none" w:sz="0" w:space="0" w:color="auto"/>
                                                    <w:bottom w:val="none" w:sz="0" w:space="0" w:color="auto"/>
                                                    <w:right w:val="none" w:sz="0" w:space="0" w:color="auto"/>
                                                  </w:divBdr>
                                                  <w:divsChild>
                                                    <w:div w:id="1602179589">
                                                      <w:marLeft w:val="0"/>
                                                      <w:marRight w:val="0"/>
                                                      <w:marTop w:val="0"/>
                                                      <w:marBottom w:val="0"/>
                                                      <w:divBdr>
                                                        <w:top w:val="none" w:sz="0" w:space="0" w:color="auto"/>
                                                        <w:left w:val="none" w:sz="0" w:space="0" w:color="auto"/>
                                                        <w:bottom w:val="none" w:sz="0" w:space="0" w:color="auto"/>
                                                        <w:right w:val="none" w:sz="0" w:space="0" w:color="auto"/>
                                                      </w:divBdr>
                                                      <w:divsChild>
                                                        <w:div w:id="1597859453">
                                                          <w:marLeft w:val="0"/>
                                                          <w:marRight w:val="0"/>
                                                          <w:marTop w:val="0"/>
                                                          <w:marBottom w:val="0"/>
                                                          <w:divBdr>
                                                            <w:top w:val="none" w:sz="0" w:space="0" w:color="auto"/>
                                                            <w:left w:val="none" w:sz="0" w:space="0" w:color="auto"/>
                                                            <w:bottom w:val="none" w:sz="0" w:space="0" w:color="auto"/>
                                                            <w:right w:val="none" w:sz="0" w:space="0" w:color="auto"/>
                                                          </w:divBdr>
                                                          <w:divsChild>
                                                            <w:div w:id="1810901034">
                                                              <w:marLeft w:val="0"/>
                                                              <w:marRight w:val="0"/>
                                                              <w:marTop w:val="0"/>
                                                              <w:marBottom w:val="0"/>
                                                              <w:divBdr>
                                                                <w:top w:val="none" w:sz="0" w:space="0" w:color="auto"/>
                                                                <w:left w:val="none" w:sz="0" w:space="0" w:color="auto"/>
                                                                <w:bottom w:val="none" w:sz="0" w:space="0" w:color="auto"/>
                                                                <w:right w:val="none" w:sz="0" w:space="0" w:color="auto"/>
                                                              </w:divBdr>
                                                              <w:divsChild>
                                                                <w:div w:id="1772434955">
                                                                  <w:marLeft w:val="0"/>
                                                                  <w:marRight w:val="0"/>
                                                                  <w:marTop w:val="0"/>
                                                                  <w:marBottom w:val="0"/>
                                                                  <w:divBdr>
                                                                    <w:top w:val="none" w:sz="0" w:space="0" w:color="auto"/>
                                                                    <w:left w:val="none" w:sz="0" w:space="0" w:color="auto"/>
                                                                    <w:bottom w:val="none" w:sz="0" w:space="0" w:color="auto"/>
                                                                    <w:right w:val="none" w:sz="0" w:space="0" w:color="auto"/>
                                                                  </w:divBdr>
                                                                  <w:divsChild>
                                                                    <w:div w:id="235749366">
                                                                      <w:marLeft w:val="0"/>
                                                                      <w:marRight w:val="0"/>
                                                                      <w:marTop w:val="0"/>
                                                                      <w:marBottom w:val="0"/>
                                                                      <w:divBdr>
                                                                        <w:top w:val="none" w:sz="0" w:space="0" w:color="auto"/>
                                                                        <w:left w:val="none" w:sz="0" w:space="0" w:color="auto"/>
                                                                        <w:bottom w:val="none" w:sz="0" w:space="0" w:color="auto"/>
                                                                        <w:right w:val="none" w:sz="0" w:space="0" w:color="auto"/>
                                                                      </w:divBdr>
                                                                      <w:divsChild>
                                                                        <w:div w:id="15284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39459">
                                                  <w:marLeft w:val="0"/>
                                                  <w:marRight w:val="0"/>
                                                  <w:marTop w:val="0"/>
                                                  <w:marBottom w:val="0"/>
                                                  <w:divBdr>
                                                    <w:top w:val="none" w:sz="0" w:space="0" w:color="auto"/>
                                                    <w:left w:val="none" w:sz="0" w:space="0" w:color="auto"/>
                                                    <w:bottom w:val="none" w:sz="0" w:space="0" w:color="auto"/>
                                                    <w:right w:val="none" w:sz="0" w:space="0" w:color="auto"/>
                                                  </w:divBdr>
                                                  <w:divsChild>
                                                    <w:div w:id="1338116879">
                                                      <w:marLeft w:val="0"/>
                                                      <w:marRight w:val="0"/>
                                                      <w:marTop w:val="0"/>
                                                      <w:marBottom w:val="0"/>
                                                      <w:divBdr>
                                                        <w:top w:val="none" w:sz="0" w:space="0" w:color="auto"/>
                                                        <w:left w:val="none" w:sz="0" w:space="0" w:color="auto"/>
                                                        <w:bottom w:val="none" w:sz="0" w:space="0" w:color="auto"/>
                                                        <w:right w:val="none" w:sz="0" w:space="0" w:color="auto"/>
                                                      </w:divBdr>
                                                      <w:divsChild>
                                                        <w:div w:id="1168863265">
                                                          <w:marLeft w:val="0"/>
                                                          <w:marRight w:val="0"/>
                                                          <w:marTop w:val="0"/>
                                                          <w:marBottom w:val="0"/>
                                                          <w:divBdr>
                                                            <w:top w:val="none" w:sz="0" w:space="0" w:color="auto"/>
                                                            <w:left w:val="none" w:sz="0" w:space="0" w:color="auto"/>
                                                            <w:bottom w:val="none" w:sz="0" w:space="0" w:color="auto"/>
                                                            <w:right w:val="none" w:sz="0" w:space="0" w:color="auto"/>
                                                          </w:divBdr>
                                                          <w:divsChild>
                                                            <w:div w:id="2110932852">
                                                              <w:marLeft w:val="0"/>
                                                              <w:marRight w:val="0"/>
                                                              <w:marTop w:val="0"/>
                                                              <w:marBottom w:val="0"/>
                                                              <w:divBdr>
                                                                <w:top w:val="none" w:sz="0" w:space="0" w:color="auto"/>
                                                                <w:left w:val="none" w:sz="0" w:space="0" w:color="auto"/>
                                                                <w:bottom w:val="none" w:sz="0" w:space="0" w:color="auto"/>
                                                                <w:right w:val="none" w:sz="0" w:space="0" w:color="auto"/>
                                                              </w:divBdr>
                                                              <w:divsChild>
                                                                <w:div w:id="1788350245">
                                                                  <w:marLeft w:val="0"/>
                                                                  <w:marRight w:val="0"/>
                                                                  <w:marTop w:val="0"/>
                                                                  <w:marBottom w:val="0"/>
                                                                  <w:divBdr>
                                                                    <w:top w:val="none" w:sz="0" w:space="0" w:color="auto"/>
                                                                    <w:left w:val="none" w:sz="0" w:space="0" w:color="auto"/>
                                                                    <w:bottom w:val="none" w:sz="0" w:space="0" w:color="auto"/>
                                                                    <w:right w:val="none" w:sz="0" w:space="0" w:color="auto"/>
                                                                  </w:divBdr>
                                                                  <w:divsChild>
                                                                    <w:div w:id="11020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518546">
                                                  <w:marLeft w:val="0"/>
                                                  <w:marRight w:val="0"/>
                                                  <w:marTop w:val="0"/>
                                                  <w:marBottom w:val="0"/>
                                                  <w:divBdr>
                                                    <w:top w:val="none" w:sz="0" w:space="0" w:color="auto"/>
                                                    <w:left w:val="none" w:sz="0" w:space="0" w:color="auto"/>
                                                    <w:bottom w:val="none" w:sz="0" w:space="0" w:color="auto"/>
                                                    <w:right w:val="none" w:sz="0" w:space="0" w:color="auto"/>
                                                  </w:divBdr>
                                                  <w:divsChild>
                                                    <w:div w:id="2104914210">
                                                      <w:marLeft w:val="0"/>
                                                      <w:marRight w:val="0"/>
                                                      <w:marTop w:val="0"/>
                                                      <w:marBottom w:val="0"/>
                                                      <w:divBdr>
                                                        <w:top w:val="none" w:sz="0" w:space="0" w:color="auto"/>
                                                        <w:left w:val="none" w:sz="0" w:space="0" w:color="auto"/>
                                                        <w:bottom w:val="none" w:sz="0" w:space="0" w:color="auto"/>
                                                        <w:right w:val="none" w:sz="0" w:space="0" w:color="auto"/>
                                                      </w:divBdr>
                                                      <w:divsChild>
                                                        <w:div w:id="1939291263">
                                                          <w:marLeft w:val="0"/>
                                                          <w:marRight w:val="0"/>
                                                          <w:marTop w:val="0"/>
                                                          <w:marBottom w:val="0"/>
                                                          <w:divBdr>
                                                            <w:top w:val="none" w:sz="0" w:space="0" w:color="auto"/>
                                                            <w:left w:val="none" w:sz="0" w:space="0" w:color="auto"/>
                                                            <w:bottom w:val="none" w:sz="0" w:space="0" w:color="auto"/>
                                                            <w:right w:val="none" w:sz="0" w:space="0" w:color="auto"/>
                                                          </w:divBdr>
                                                          <w:divsChild>
                                                            <w:div w:id="1047948439">
                                                              <w:marLeft w:val="0"/>
                                                              <w:marRight w:val="0"/>
                                                              <w:marTop w:val="0"/>
                                                              <w:marBottom w:val="0"/>
                                                              <w:divBdr>
                                                                <w:top w:val="none" w:sz="0" w:space="0" w:color="auto"/>
                                                                <w:left w:val="none" w:sz="0" w:space="0" w:color="auto"/>
                                                                <w:bottom w:val="none" w:sz="0" w:space="0" w:color="auto"/>
                                                                <w:right w:val="none" w:sz="0" w:space="0" w:color="auto"/>
                                                              </w:divBdr>
                                                              <w:divsChild>
                                                                <w:div w:id="1034690794">
                                                                  <w:marLeft w:val="0"/>
                                                                  <w:marRight w:val="0"/>
                                                                  <w:marTop w:val="0"/>
                                                                  <w:marBottom w:val="0"/>
                                                                  <w:divBdr>
                                                                    <w:top w:val="none" w:sz="0" w:space="0" w:color="auto"/>
                                                                    <w:left w:val="none" w:sz="0" w:space="0" w:color="auto"/>
                                                                    <w:bottom w:val="none" w:sz="0" w:space="0" w:color="auto"/>
                                                                    <w:right w:val="none" w:sz="0" w:space="0" w:color="auto"/>
                                                                  </w:divBdr>
                                                                  <w:divsChild>
                                                                    <w:div w:id="1617254918">
                                                                      <w:marLeft w:val="0"/>
                                                                      <w:marRight w:val="0"/>
                                                                      <w:marTop w:val="0"/>
                                                                      <w:marBottom w:val="0"/>
                                                                      <w:divBdr>
                                                                        <w:top w:val="none" w:sz="0" w:space="0" w:color="auto"/>
                                                                        <w:left w:val="none" w:sz="0" w:space="0" w:color="auto"/>
                                                                        <w:bottom w:val="none" w:sz="0" w:space="0" w:color="auto"/>
                                                                        <w:right w:val="none" w:sz="0" w:space="0" w:color="auto"/>
                                                                      </w:divBdr>
                                                                      <w:divsChild>
                                                                        <w:div w:id="6630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9379">
                                                  <w:marLeft w:val="0"/>
                                                  <w:marRight w:val="0"/>
                                                  <w:marTop w:val="0"/>
                                                  <w:marBottom w:val="0"/>
                                                  <w:divBdr>
                                                    <w:top w:val="none" w:sz="0" w:space="0" w:color="auto"/>
                                                    <w:left w:val="none" w:sz="0" w:space="0" w:color="auto"/>
                                                    <w:bottom w:val="none" w:sz="0" w:space="0" w:color="auto"/>
                                                    <w:right w:val="none" w:sz="0" w:space="0" w:color="auto"/>
                                                  </w:divBdr>
                                                  <w:divsChild>
                                                    <w:div w:id="1029451189">
                                                      <w:marLeft w:val="0"/>
                                                      <w:marRight w:val="0"/>
                                                      <w:marTop w:val="0"/>
                                                      <w:marBottom w:val="0"/>
                                                      <w:divBdr>
                                                        <w:top w:val="none" w:sz="0" w:space="0" w:color="auto"/>
                                                        <w:left w:val="none" w:sz="0" w:space="0" w:color="auto"/>
                                                        <w:bottom w:val="none" w:sz="0" w:space="0" w:color="auto"/>
                                                        <w:right w:val="none" w:sz="0" w:space="0" w:color="auto"/>
                                                      </w:divBdr>
                                                      <w:divsChild>
                                                        <w:div w:id="1689746969">
                                                          <w:marLeft w:val="0"/>
                                                          <w:marRight w:val="0"/>
                                                          <w:marTop w:val="0"/>
                                                          <w:marBottom w:val="0"/>
                                                          <w:divBdr>
                                                            <w:top w:val="none" w:sz="0" w:space="0" w:color="auto"/>
                                                            <w:left w:val="none" w:sz="0" w:space="0" w:color="auto"/>
                                                            <w:bottom w:val="none" w:sz="0" w:space="0" w:color="auto"/>
                                                            <w:right w:val="none" w:sz="0" w:space="0" w:color="auto"/>
                                                          </w:divBdr>
                                                          <w:divsChild>
                                                            <w:div w:id="858202637">
                                                              <w:marLeft w:val="0"/>
                                                              <w:marRight w:val="0"/>
                                                              <w:marTop w:val="0"/>
                                                              <w:marBottom w:val="0"/>
                                                              <w:divBdr>
                                                                <w:top w:val="none" w:sz="0" w:space="0" w:color="auto"/>
                                                                <w:left w:val="none" w:sz="0" w:space="0" w:color="auto"/>
                                                                <w:bottom w:val="none" w:sz="0" w:space="0" w:color="auto"/>
                                                                <w:right w:val="none" w:sz="0" w:space="0" w:color="auto"/>
                                                              </w:divBdr>
                                                              <w:divsChild>
                                                                <w:div w:id="1899046372">
                                                                  <w:marLeft w:val="0"/>
                                                                  <w:marRight w:val="0"/>
                                                                  <w:marTop w:val="0"/>
                                                                  <w:marBottom w:val="0"/>
                                                                  <w:divBdr>
                                                                    <w:top w:val="none" w:sz="0" w:space="0" w:color="auto"/>
                                                                    <w:left w:val="none" w:sz="0" w:space="0" w:color="auto"/>
                                                                    <w:bottom w:val="none" w:sz="0" w:space="0" w:color="auto"/>
                                                                    <w:right w:val="none" w:sz="0" w:space="0" w:color="auto"/>
                                                                  </w:divBdr>
                                                                  <w:divsChild>
                                                                    <w:div w:id="7214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80956">
                                                  <w:marLeft w:val="0"/>
                                                  <w:marRight w:val="0"/>
                                                  <w:marTop w:val="0"/>
                                                  <w:marBottom w:val="0"/>
                                                  <w:divBdr>
                                                    <w:top w:val="none" w:sz="0" w:space="0" w:color="auto"/>
                                                    <w:left w:val="none" w:sz="0" w:space="0" w:color="auto"/>
                                                    <w:bottom w:val="none" w:sz="0" w:space="0" w:color="auto"/>
                                                    <w:right w:val="none" w:sz="0" w:space="0" w:color="auto"/>
                                                  </w:divBdr>
                                                  <w:divsChild>
                                                    <w:div w:id="694157907">
                                                      <w:marLeft w:val="0"/>
                                                      <w:marRight w:val="0"/>
                                                      <w:marTop w:val="0"/>
                                                      <w:marBottom w:val="0"/>
                                                      <w:divBdr>
                                                        <w:top w:val="none" w:sz="0" w:space="0" w:color="auto"/>
                                                        <w:left w:val="none" w:sz="0" w:space="0" w:color="auto"/>
                                                        <w:bottom w:val="none" w:sz="0" w:space="0" w:color="auto"/>
                                                        <w:right w:val="none" w:sz="0" w:space="0" w:color="auto"/>
                                                      </w:divBdr>
                                                      <w:divsChild>
                                                        <w:div w:id="927467278">
                                                          <w:marLeft w:val="0"/>
                                                          <w:marRight w:val="0"/>
                                                          <w:marTop w:val="0"/>
                                                          <w:marBottom w:val="0"/>
                                                          <w:divBdr>
                                                            <w:top w:val="none" w:sz="0" w:space="0" w:color="auto"/>
                                                            <w:left w:val="none" w:sz="0" w:space="0" w:color="auto"/>
                                                            <w:bottom w:val="none" w:sz="0" w:space="0" w:color="auto"/>
                                                            <w:right w:val="none" w:sz="0" w:space="0" w:color="auto"/>
                                                          </w:divBdr>
                                                          <w:divsChild>
                                                            <w:div w:id="861550961">
                                                              <w:marLeft w:val="0"/>
                                                              <w:marRight w:val="0"/>
                                                              <w:marTop w:val="0"/>
                                                              <w:marBottom w:val="0"/>
                                                              <w:divBdr>
                                                                <w:top w:val="none" w:sz="0" w:space="0" w:color="auto"/>
                                                                <w:left w:val="none" w:sz="0" w:space="0" w:color="auto"/>
                                                                <w:bottom w:val="none" w:sz="0" w:space="0" w:color="auto"/>
                                                                <w:right w:val="none" w:sz="0" w:space="0" w:color="auto"/>
                                                              </w:divBdr>
                                                              <w:divsChild>
                                                                <w:div w:id="541552606">
                                                                  <w:marLeft w:val="0"/>
                                                                  <w:marRight w:val="0"/>
                                                                  <w:marTop w:val="0"/>
                                                                  <w:marBottom w:val="0"/>
                                                                  <w:divBdr>
                                                                    <w:top w:val="none" w:sz="0" w:space="0" w:color="auto"/>
                                                                    <w:left w:val="none" w:sz="0" w:space="0" w:color="auto"/>
                                                                    <w:bottom w:val="none" w:sz="0" w:space="0" w:color="auto"/>
                                                                    <w:right w:val="none" w:sz="0" w:space="0" w:color="auto"/>
                                                                  </w:divBdr>
                                                                  <w:divsChild>
                                                                    <w:div w:id="37701779">
                                                                      <w:marLeft w:val="0"/>
                                                                      <w:marRight w:val="0"/>
                                                                      <w:marTop w:val="0"/>
                                                                      <w:marBottom w:val="0"/>
                                                                      <w:divBdr>
                                                                        <w:top w:val="none" w:sz="0" w:space="0" w:color="auto"/>
                                                                        <w:left w:val="none" w:sz="0" w:space="0" w:color="auto"/>
                                                                        <w:bottom w:val="none" w:sz="0" w:space="0" w:color="auto"/>
                                                                        <w:right w:val="none" w:sz="0" w:space="0" w:color="auto"/>
                                                                      </w:divBdr>
                                                                      <w:divsChild>
                                                                        <w:div w:id="1092050874">
                                                                          <w:marLeft w:val="0"/>
                                                                          <w:marRight w:val="0"/>
                                                                          <w:marTop w:val="0"/>
                                                                          <w:marBottom w:val="0"/>
                                                                          <w:divBdr>
                                                                            <w:top w:val="none" w:sz="0" w:space="0" w:color="auto"/>
                                                                            <w:left w:val="none" w:sz="0" w:space="0" w:color="auto"/>
                                                                            <w:bottom w:val="none" w:sz="0" w:space="0" w:color="auto"/>
                                                                            <w:right w:val="none" w:sz="0" w:space="0" w:color="auto"/>
                                                                          </w:divBdr>
                                                                          <w:divsChild>
                                                                            <w:div w:id="951977529">
                                                                              <w:marLeft w:val="0"/>
                                                                              <w:marRight w:val="0"/>
                                                                              <w:marTop w:val="0"/>
                                                                              <w:marBottom w:val="0"/>
                                                                              <w:divBdr>
                                                                                <w:top w:val="none" w:sz="0" w:space="0" w:color="auto"/>
                                                                                <w:left w:val="none" w:sz="0" w:space="0" w:color="auto"/>
                                                                                <w:bottom w:val="none" w:sz="0" w:space="0" w:color="auto"/>
                                                                                <w:right w:val="none" w:sz="0" w:space="0" w:color="auto"/>
                                                                              </w:divBdr>
                                                                              <w:divsChild>
                                                                                <w:div w:id="2067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7310">
                                                                      <w:marLeft w:val="0"/>
                                                                      <w:marRight w:val="0"/>
                                                                      <w:marTop w:val="0"/>
                                                                      <w:marBottom w:val="0"/>
                                                                      <w:divBdr>
                                                                        <w:top w:val="none" w:sz="0" w:space="0" w:color="auto"/>
                                                                        <w:left w:val="none" w:sz="0" w:space="0" w:color="auto"/>
                                                                        <w:bottom w:val="none" w:sz="0" w:space="0" w:color="auto"/>
                                                                        <w:right w:val="none" w:sz="0" w:space="0" w:color="auto"/>
                                                                      </w:divBdr>
                                                                      <w:divsChild>
                                                                        <w:div w:id="12753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774217">
                                                  <w:marLeft w:val="0"/>
                                                  <w:marRight w:val="0"/>
                                                  <w:marTop w:val="0"/>
                                                  <w:marBottom w:val="0"/>
                                                  <w:divBdr>
                                                    <w:top w:val="none" w:sz="0" w:space="0" w:color="auto"/>
                                                    <w:left w:val="none" w:sz="0" w:space="0" w:color="auto"/>
                                                    <w:bottom w:val="none" w:sz="0" w:space="0" w:color="auto"/>
                                                    <w:right w:val="none" w:sz="0" w:space="0" w:color="auto"/>
                                                  </w:divBdr>
                                                  <w:divsChild>
                                                    <w:div w:id="565721586">
                                                      <w:marLeft w:val="0"/>
                                                      <w:marRight w:val="0"/>
                                                      <w:marTop w:val="0"/>
                                                      <w:marBottom w:val="0"/>
                                                      <w:divBdr>
                                                        <w:top w:val="none" w:sz="0" w:space="0" w:color="auto"/>
                                                        <w:left w:val="none" w:sz="0" w:space="0" w:color="auto"/>
                                                        <w:bottom w:val="none" w:sz="0" w:space="0" w:color="auto"/>
                                                        <w:right w:val="none" w:sz="0" w:space="0" w:color="auto"/>
                                                      </w:divBdr>
                                                      <w:divsChild>
                                                        <w:div w:id="1257906002">
                                                          <w:marLeft w:val="0"/>
                                                          <w:marRight w:val="0"/>
                                                          <w:marTop w:val="0"/>
                                                          <w:marBottom w:val="0"/>
                                                          <w:divBdr>
                                                            <w:top w:val="none" w:sz="0" w:space="0" w:color="auto"/>
                                                            <w:left w:val="none" w:sz="0" w:space="0" w:color="auto"/>
                                                            <w:bottom w:val="none" w:sz="0" w:space="0" w:color="auto"/>
                                                            <w:right w:val="none" w:sz="0" w:space="0" w:color="auto"/>
                                                          </w:divBdr>
                                                          <w:divsChild>
                                                            <w:div w:id="1744717594">
                                                              <w:marLeft w:val="0"/>
                                                              <w:marRight w:val="0"/>
                                                              <w:marTop w:val="0"/>
                                                              <w:marBottom w:val="0"/>
                                                              <w:divBdr>
                                                                <w:top w:val="none" w:sz="0" w:space="0" w:color="auto"/>
                                                                <w:left w:val="none" w:sz="0" w:space="0" w:color="auto"/>
                                                                <w:bottom w:val="none" w:sz="0" w:space="0" w:color="auto"/>
                                                                <w:right w:val="none" w:sz="0" w:space="0" w:color="auto"/>
                                                              </w:divBdr>
                                                              <w:divsChild>
                                                                <w:div w:id="791899203">
                                                                  <w:marLeft w:val="0"/>
                                                                  <w:marRight w:val="0"/>
                                                                  <w:marTop w:val="0"/>
                                                                  <w:marBottom w:val="0"/>
                                                                  <w:divBdr>
                                                                    <w:top w:val="none" w:sz="0" w:space="0" w:color="auto"/>
                                                                    <w:left w:val="none" w:sz="0" w:space="0" w:color="auto"/>
                                                                    <w:bottom w:val="none" w:sz="0" w:space="0" w:color="auto"/>
                                                                    <w:right w:val="none" w:sz="0" w:space="0" w:color="auto"/>
                                                                  </w:divBdr>
                                                                  <w:divsChild>
                                                                    <w:div w:id="102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93718">
                                                  <w:marLeft w:val="0"/>
                                                  <w:marRight w:val="0"/>
                                                  <w:marTop w:val="0"/>
                                                  <w:marBottom w:val="0"/>
                                                  <w:divBdr>
                                                    <w:top w:val="none" w:sz="0" w:space="0" w:color="auto"/>
                                                    <w:left w:val="none" w:sz="0" w:space="0" w:color="auto"/>
                                                    <w:bottom w:val="none" w:sz="0" w:space="0" w:color="auto"/>
                                                    <w:right w:val="none" w:sz="0" w:space="0" w:color="auto"/>
                                                  </w:divBdr>
                                                  <w:divsChild>
                                                    <w:div w:id="1586525171">
                                                      <w:marLeft w:val="0"/>
                                                      <w:marRight w:val="0"/>
                                                      <w:marTop w:val="0"/>
                                                      <w:marBottom w:val="0"/>
                                                      <w:divBdr>
                                                        <w:top w:val="none" w:sz="0" w:space="0" w:color="auto"/>
                                                        <w:left w:val="none" w:sz="0" w:space="0" w:color="auto"/>
                                                        <w:bottom w:val="none" w:sz="0" w:space="0" w:color="auto"/>
                                                        <w:right w:val="none" w:sz="0" w:space="0" w:color="auto"/>
                                                      </w:divBdr>
                                                      <w:divsChild>
                                                        <w:div w:id="907224379">
                                                          <w:marLeft w:val="0"/>
                                                          <w:marRight w:val="0"/>
                                                          <w:marTop w:val="0"/>
                                                          <w:marBottom w:val="0"/>
                                                          <w:divBdr>
                                                            <w:top w:val="none" w:sz="0" w:space="0" w:color="auto"/>
                                                            <w:left w:val="none" w:sz="0" w:space="0" w:color="auto"/>
                                                            <w:bottom w:val="none" w:sz="0" w:space="0" w:color="auto"/>
                                                            <w:right w:val="none" w:sz="0" w:space="0" w:color="auto"/>
                                                          </w:divBdr>
                                                          <w:divsChild>
                                                            <w:div w:id="1321471045">
                                                              <w:marLeft w:val="0"/>
                                                              <w:marRight w:val="0"/>
                                                              <w:marTop w:val="0"/>
                                                              <w:marBottom w:val="0"/>
                                                              <w:divBdr>
                                                                <w:top w:val="none" w:sz="0" w:space="0" w:color="auto"/>
                                                                <w:left w:val="none" w:sz="0" w:space="0" w:color="auto"/>
                                                                <w:bottom w:val="none" w:sz="0" w:space="0" w:color="auto"/>
                                                                <w:right w:val="none" w:sz="0" w:space="0" w:color="auto"/>
                                                              </w:divBdr>
                                                              <w:divsChild>
                                                                <w:div w:id="280378351">
                                                                  <w:marLeft w:val="0"/>
                                                                  <w:marRight w:val="0"/>
                                                                  <w:marTop w:val="0"/>
                                                                  <w:marBottom w:val="0"/>
                                                                  <w:divBdr>
                                                                    <w:top w:val="none" w:sz="0" w:space="0" w:color="auto"/>
                                                                    <w:left w:val="none" w:sz="0" w:space="0" w:color="auto"/>
                                                                    <w:bottom w:val="none" w:sz="0" w:space="0" w:color="auto"/>
                                                                    <w:right w:val="none" w:sz="0" w:space="0" w:color="auto"/>
                                                                  </w:divBdr>
                                                                  <w:divsChild>
                                                                    <w:div w:id="305282056">
                                                                      <w:marLeft w:val="0"/>
                                                                      <w:marRight w:val="0"/>
                                                                      <w:marTop w:val="0"/>
                                                                      <w:marBottom w:val="0"/>
                                                                      <w:divBdr>
                                                                        <w:top w:val="none" w:sz="0" w:space="0" w:color="auto"/>
                                                                        <w:left w:val="none" w:sz="0" w:space="0" w:color="auto"/>
                                                                        <w:bottom w:val="none" w:sz="0" w:space="0" w:color="auto"/>
                                                                        <w:right w:val="none" w:sz="0" w:space="0" w:color="auto"/>
                                                                      </w:divBdr>
                                                                      <w:divsChild>
                                                                        <w:div w:id="10718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52907">
                                                  <w:marLeft w:val="0"/>
                                                  <w:marRight w:val="0"/>
                                                  <w:marTop w:val="0"/>
                                                  <w:marBottom w:val="0"/>
                                                  <w:divBdr>
                                                    <w:top w:val="none" w:sz="0" w:space="0" w:color="auto"/>
                                                    <w:left w:val="none" w:sz="0" w:space="0" w:color="auto"/>
                                                    <w:bottom w:val="none" w:sz="0" w:space="0" w:color="auto"/>
                                                    <w:right w:val="none" w:sz="0" w:space="0" w:color="auto"/>
                                                  </w:divBdr>
                                                  <w:divsChild>
                                                    <w:div w:id="1632319303">
                                                      <w:marLeft w:val="0"/>
                                                      <w:marRight w:val="0"/>
                                                      <w:marTop w:val="0"/>
                                                      <w:marBottom w:val="0"/>
                                                      <w:divBdr>
                                                        <w:top w:val="none" w:sz="0" w:space="0" w:color="auto"/>
                                                        <w:left w:val="none" w:sz="0" w:space="0" w:color="auto"/>
                                                        <w:bottom w:val="none" w:sz="0" w:space="0" w:color="auto"/>
                                                        <w:right w:val="none" w:sz="0" w:space="0" w:color="auto"/>
                                                      </w:divBdr>
                                                      <w:divsChild>
                                                        <w:div w:id="2067953655">
                                                          <w:marLeft w:val="0"/>
                                                          <w:marRight w:val="0"/>
                                                          <w:marTop w:val="0"/>
                                                          <w:marBottom w:val="0"/>
                                                          <w:divBdr>
                                                            <w:top w:val="none" w:sz="0" w:space="0" w:color="auto"/>
                                                            <w:left w:val="none" w:sz="0" w:space="0" w:color="auto"/>
                                                            <w:bottom w:val="none" w:sz="0" w:space="0" w:color="auto"/>
                                                            <w:right w:val="none" w:sz="0" w:space="0" w:color="auto"/>
                                                          </w:divBdr>
                                                          <w:divsChild>
                                                            <w:div w:id="938757078">
                                                              <w:marLeft w:val="0"/>
                                                              <w:marRight w:val="0"/>
                                                              <w:marTop w:val="0"/>
                                                              <w:marBottom w:val="0"/>
                                                              <w:divBdr>
                                                                <w:top w:val="none" w:sz="0" w:space="0" w:color="auto"/>
                                                                <w:left w:val="none" w:sz="0" w:space="0" w:color="auto"/>
                                                                <w:bottom w:val="none" w:sz="0" w:space="0" w:color="auto"/>
                                                                <w:right w:val="none" w:sz="0" w:space="0" w:color="auto"/>
                                                              </w:divBdr>
                                                              <w:divsChild>
                                                                <w:div w:id="2137287906">
                                                                  <w:marLeft w:val="0"/>
                                                                  <w:marRight w:val="0"/>
                                                                  <w:marTop w:val="0"/>
                                                                  <w:marBottom w:val="0"/>
                                                                  <w:divBdr>
                                                                    <w:top w:val="none" w:sz="0" w:space="0" w:color="auto"/>
                                                                    <w:left w:val="none" w:sz="0" w:space="0" w:color="auto"/>
                                                                    <w:bottom w:val="none" w:sz="0" w:space="0" w:color="auto"/>
                                                                    <w:right w:val="none" w:sz="0" w:space="0" w:color="auto"/>
                                                                  </w:divBdr>
                                                                  <w:divsChild>
                                                                    <w:div w:id="1675765559">
                                                                      <w:marLeft w:val="0"/>
                                                                      <w:marRight w:val="0"/>
                                                                      <w:marTop w:val="0"/>
                                                                      <w:marBottom w:val="0"/>
                                                                      <w:divBdr>
                                                                        <w:top w:val="none" w:sz="0" w:space="0" w:color="auto"/>
                                                                        <w:left w:val="none" w:sz="0" w:space="0" w:color="auto"/>
                                                                        <w:bottom w:val="none" w:sz="0" w:space="0" w:color="auto"/>
                                                                        <w:right w:val="none" w:sz="0" w:space="0" w:color="auto"/>
                                                                      </w:divBdr>
                                                                      <w:divsChild>
                                                                        <w:div w:id="215819129">
                                                                          <w:marLeft w:val="0"/>
                                                                          <w:marRight w:val="0"/>
                                                                          <w:marTop w:val="60"/>
                                                                          <w:marBottom w:val="360"/>
                                                                          <w:divBdr>
                                                                            <w:top w:val="none" w:sz="0" w:space="0" w:color="auto"/>
                                                                            <w:left w:val="none" w:sz="0" w:space="0" w:color="auto"/>
                                                                            <w:bottom w:val="none" w:sz="0" w:space="0" w:color="auto"/>
                                                                            <w:right w:val="none" w:sz="0" w:space="0" w:color="auto"/>
                                                                          </w:divBdr>
                                                                          <w:divsChild>
                                                                            <w:div w:id="1082066927">
                                                                              <w:marLeft w:val="0"/>
                                                                              <w:marRight w:val="0"/>
                                                                              <w:marTop w:val="0"/>
                                                                              <w:marBottom w:val="0"/>
                                                                              <w:divBdr>
                                                                                <w:top w:val="none" w:sz="0" w:space="0" w:color="auto"/>
                                                                                <w:left w:val="none" w:sz="0" w:space="0" w:color="auto"/>
                                                                                <w:bottom w:val="none" w:sz="0" w:space="0" w:color="auto"/>
                                                                                <w:right w:val="none" w:sz="0" w:space="0" w:color="auto"/>
                                                                              </w:divBdr>
                                                                              <w:divsChild>
                                                                                <w:div w:id="1763528504">
                                                                                  <w:marLeft w:val="0"/>
                                                                                  <w:marRight w:val="0"/>
                                                                                  <w:marTop w:val="0"/>
                                                                                  <w:marBottom w:val="0"/>
                                                                                  <w:divBdr>
                                                                                    <w:top w:val="none" w:sz="0" w:space="0" w:color="auto"/>
                                                                                    <w:left w:val="none" w:sz="0" w:space="0" w:color="auto"/>
                                                                                    <w:bottom w:val="none" w:sz="0" w:space="0" w:color="auto"/>
                                                                                    <w:right w:val="none" w:sz="0" w:space="0" w:color="auto"/>
                                                                                  </w:divBdr>
                                                                                </w:div>
                                                                              </w:divsChild>
                                                                            </w:div>
                                                                            <w:div w:id="1910142328">
                                                                              <w:marLeft w:val="0"/>
                                                                              <w:marRight w:val="0"/>
                                                                              <w:marTop w:val="0"/>
                                                                              <w:marBottom w:val="0"/>
                                                                              <w:divBdr>
                                                                                <w:top w:val="none" w:sz="0" w:space="0" w:color="auto"/>
                                                                                <w:left w:val="none" w:sz="0" w:space="0" w:color="auto"/>
                                                                                <w:bottom w:val="none" w:sz="0" w:space="0" w:color="auto"/>
                                                                                <w:right w:val="none" w:sz="0" w:space="0" w:color="auto"/>
                                                                              </w:divBdr>
                                                                              <w:divsChild>
                                                                                <w:div w:id="1667130304">
                                                                                  <w:marLeft w:val="0"/>
                                                                                  <w:marRight w:val="0"/>
                                                                                  <w:marTop w:val="0"/>
                                                                                  <w:marBottom w:val="0"/>
                                                                                  <w:divBdr>
                                                                                    <w:top w:val="none" w:sz="0" w:space="0" w:color="auto"/>
                                                                                    <w:left w:val="none" w:sz="0" w:space="0" w:color="auto"/>
                                                                                    <w:bottom w:val="none" w:sz="0" w:space="0" w:color="auto"/>
                                                                                    <w:right w:val="none" w:sz="0" w:space="0" w:color="auto"/>
                                                                                  </w:divBdr>
                                                                                </w:div>
                                                                              </w:divsChild>
                                                                            </w:div>
                                                                            <w:div w:id="1742559871">
                                                                              <w:marLeft w:val="0"/>
                                                                              <w:marRight w:val="0"/>
                                                                              <w:marTop w:val="0"/>
                                                                              <w:marBottom w:val="0"/>
                                                                              <w:divBdr>
                                                                                <w:top w:val="none" w:sz="0" w:space="0" w:color="auto"/>
                                                                                <w:left w:val="none" w:sz="0" w:space="0" w:color="auto"/>
                                                                                <w:bottom w:val="none" w:sz="0" w:space="0" w:color="auto"/>
                                                                                <w:right w:val="none" w:sz="0" w:space="0" w:color="auto"/>
                                                                              </w:divBdr>
                                                                              <w:divsChild>
                                                                                <w:div w:id="580333524">
                                                                                  <w:marLeft w:val="0"/>
                                                                                  <w:marRight w:val="0"/>
                                                                                  <w:marTop w:val="0"/>
                                                                                  <w:marBottom w:val="0"/>
                                                                                  <w:divBdr>
                                                                                    <w:top w:val="none" w:sz="0" w:space="0" w:color="auto"/>
                                                                                    <w:left w:val="none" w:sz="0" w:space="0" w:color="auto"/>
                                                                                    <w:bottom w:val="none" w:sz="0" w:space="0" w:color="auto"/>
                                                                                    <w:right w:val="none" w:sz="0" w:space="0" w:color="auto"/>
                                                                                  </w:divBdr>
                                                                                </w:div>
                                                                              </w:divsChild>
                                                                            </w:div>
                                                                            <w:div w:id="1979214926">
                                                                              <w:marLeft w:val="0"/>
                                                                              <w:marRight w:val="0"/>
                                                                              <w:marTop w:val="0"/>
                                                                              <w:marBottom w:val="0"/>
                                                                              <w:divBdr>
                                                                                <w:top w:val="none" w:sz="0" w:space="0" w:color="auto"/>
                                                                                <w:left w:val="none" w:sz="0" w:space="0" w:color="auto"/>
                                                                                <w:bottom w:val="none" w:sz="0" w:space="0" w:color="auto"/>
                                                                                <w:right w:val="none" w:sz="0" w:space="0" w:color="auto"/>
                                                                              </w:divBdr>
                                                                              <w:divsChild>
                                                                                <w:div w:id="14006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656878">
                                  <w:marLeft w:val="0"/>
                                  <w:marRight w:val="0"/>
                                  <w:marTop w:val="0"/>
                                  <w:marBottom w:val="0"/>
                                  <w:divBdr>
                                    <w:top w:val="none" w:sz="0" w:space="0" w:color="auto"/>
                                    <w:left w:val="none" w:sz="0" w:space="0" w:color="auto"/>
                                    <w:bottom w:val="none" w:sz="0" w:space="0" w:color="auto"/>
                                    <w:right w:val="none" w:sz="0" w:space="0" w:color="auto"/>
                                  </w:divBdr>
                                  <w:divsChild>
                                    <w:div w:id="1585454719">
                                      <w:marLeft w:val="0"/>
                                      <w:marRight w:val="0"/>
                                      <w:marTop w:val="0"/>
                                      <w:marBottom w:val="0"/>
                                      <w:divBdr>
                                        <w:top w:val="none" w:sz="0" w:space="0" w:color="auto"/>
                                        <w:left w:val="none" w:sz="0" w:space="0" w:color="auto"/>
                                        <w:bottom w:val="none" w:sz="0" w:space="0" w:color="auto"/>
                                        <w:right w:val="none" w:sz="0" w:space="0" w:color="auto"/>
                                      </w:divBdr>
                                      <w:divsChild>
                                        <w:div w:id="1981765774">
                                          <w:marLeft w:val="0"/>
                                          <w:marRight w:val="0"/>
                                          <w:marTop w:val="0"/>
                                          <w:marBottom w:val="0"/>
                                          <w:divBdr>
                                            <w:top w:val="none" w:sz="0" w:space="0" w:color="auto"/>
                                            <w:left w:val="none" w:sz="0" w:space="0" w:color="auto"/>
                                            <w:bottom w:val="none" w:sz="0" w:space="0" w:color="auto"/>
                                            <w:right w:val="none" w:sz="0" w:space="0" w:color="auto"/>
                                          </w:divBdr>
                                          <w:divsChild>
                                            <w:div w:id="193346687">
                                              <w:marLeft w:val="0"/>
                                              <w:marRight w:val="0"/>
                                              <w:marTop w:val="0"/>
                                              <w:marBottom w:val="0"/>
                                              <w:divBdr>
                                                <w:top w:val="none" w:sz="0" w:space="0" w:color="auto"/>
                                                <w:left w:val="none" w:sz="0" w:space="0" w:color="auto"/>
                                                <w:bottom w:val="none" w:sz="0" w:space="0" w:color="auto"/>
                                                <w:right w:val="none" w:sz="0" w:space="0" w:color="auto"/>
                                              </w:divBdr>
                                              <w:divsChild>
                                                <w:div w:id="18965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4315">
                                      <w:marLeft w:val="0"/>
                                      <w:marRight w:val="0"/>
                                      <w:marTop w:val="100"/>
                                      <w:marBottom w:val="0"/>
                                      <w:divBdr>
                                        <w:top w:val="none" w:sz="0" w:space="0" w:color="auto"/>
                                        <w:left w:val="none" w:sz="0" w:space="0" w:color="auto"/>
                                        <w:bottom w:val="none" w:sz="0" w:space="0" w:color="auto"/>
                                        <w:right w:val="none" w:sz="0" w:space="0" w:color="auto"/>
                                      </w:divBdr>
                                      <w:divsChild>
                                        <w:div w:id="1485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641770">
          <w:marLeft w:val="-15"/>
          <w:marRight w:val="-15"/>
          <w:marTop w:val="0"/>
          <w:marBottom w:val="0"/>
          <w:divBdr>
            <w:top w:val="none" w:sz="0" w:space="0" w:color="auto"/>
            <w:left w:val="none" w:sz="0" w:space="0" w:color="auto"/>
            <w:bottom w:val="none" w:sz="0" w:space="0" w:color="auto"/>
            <w:right w:val="none" w:sz="0" w:space="0" w:color="auto"/>
          </w:divBdr>
        </w:div>
        <w:div w:id="1708676252">
          <w:marLeft w:val="0"/>
          <w:marRight w:val="0"/>
          <w:marTop w:val="0"/>
          <w:marBottom w:val="0"/>
          <w:divBdr>
            <w:top w:val="none" w:sz="0" w:space="0" w:color="auto"/>
            <w:left w:val="none" w:sz="0" w:space="0" w:color="auto"/>
            <w:bottom w:val="none" w:sz="0" w:space="0" w:color="auto"/>
            <w:right w:val="none" w:sz="0" w:space="0" w:color="auto"/>
          </w:divBdr>
          <w:divsChild>
            <w:div w:id="1743484514">
              <w:marLeft w:val="0"/>
              <w:marRight w:val="0"/>
              <w:marTop w:val="0"/>
              <w:marBottom w:val="0"/>
              <w:divBdr>
                <w:top w:val="none" w:sz="0" w:space="0" w:color="auto"/>
                <w:left w:val="none" w:sz="0" w:space="0" w:color="auto"/>
                <w:bottom w:val="none" w:sz="0" w:space="0" w:color="auto"/>
                <w:right w:val="none" w:sz="0" w:space="0" w:color="auto"/>
              </w:divBdr>
            </w:div>
            <w:div w:id="92022504">
              <w:marLeft w:val="0"/>
              <w:marRight w:val="0"/>
              <w:marTop w:val="0"/>
              <w:marBottom w:val="0"/>
              <w:divBdr>
                <w:top w:val="none" w:sz="0" w:space="0" w:color="auto"/>
                <w:left w:val="none" w:sz="0" w:space="0" w:color="auto"/>
                <w:bottom w:val="none" w:sz="0" w:space="0" w:color="auto"/>
                <w:right w:val="none" w:sz="0" w:space="0" w:color="auto"/>
              </w:divBdr>
            </w:div>
            <w:div w:id="954024660">
              <w:marLeft w:val="0"/>
              <w:marRight w:val="0"/>
              <w:marTop w:val="0"/>
              <w:marBottom w:val="0"/>
              <w:divBdr>
                <w:top w:val="none" w:sz="0" w:space="0" w:color="auto"/>
                <w:left w:val="none" w:sz="0" w:space="0" w:color="auto"/>
                <w:bottom w:val="none" w:sz="0" w:space="0" w:color="auto"/>
                <w:right w:val="none" w:sz="0" w:space="0" w:color="auto"/>
              </w:divBdr>
              <w:divsChild>
                <w:div w:id="1001079964">
                  <w:marLeft w:val="0"/>
                  <w:marRight w:val="0"/>
                  <w:marTop w:val="0"/>
                  <w:marBottom w:val="0"/>
                  <w:divBdr>
                    <w:top w:val="none" w:sz="0" w:space="0" w:color="auto"/>
                    <w:left w:val="none" w:sz="0" w:space="0" w:color="auto"/>
                    <w:bottom w:val="none" w:sz="0" w:space="0" w:color="auto"/>
                    <w:right w:val="none" w:sz="0" w:space="0" w:color="auto"/>
                  </w:divBdr>
                  <w:divsChild>
                    <w:div w:id="19548570">
                      <w:marLeft w:val="0"/>
                      <w:marRight w:val="0"/>
                      <w:marTop w:val="0"/>
                      <w:marBottom w:val="0"/>
                      <w:divBdr>
                        <w:top w:val="none" w:sz="0" w:space="0" w:color="auto"/>
                        <w:left w:val="none" w:sz="0" w:space="0" w:color="auto"/>
                        <w:bottom w:val="none" w:sz="0" w:space="0" w:color="auto"/>
                        <w:right w:val="none" w:sz="0" w:space="0" w:color="auto"/>
                      </w:divBdr>
                      <w:divsChild>
                        <w:div w:id="1040739983">
                          <w:marLeft w:val="0"/>
                          <w:marRight w:val="0"/>
                          <w:marTop w:val="0"/>
                          <w:marBottom w:val="0"/>
                          <w:divBdr>
                            <w:top w:val="none" w:sz="0" w:space="0" w:color="auto"/>
                            <w:left w:val="none" w:sz="0" w:space="0" w:color="auto"/>
                            <w:bottom w:val="none" w:sz="0" w:space="0" w:color="auto"/>
                            <w:right w:val="none" w:sz="0" w:space="0" w:color="auto"/>
                          </w:divBdr>
                        </w:div>
                        <w:div w:id="21410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887607">
      <w:bodyDiv w:val="1"/>
      <w:marLeft w:val="0"/>
      <w:marRight w:val="0"/>
      <w:marTop w:val="0"/>
      <w:marBottom w:val="0"/>
      <w:divBdr>
        <w:top w:val="none" w:sz="0" w:space="0" w:color="auto"/>
        <w:left w:val="none" w:sz="0" w:space="0" w:color="auto"/>
        <w:bottom w:val="none" w:sz="0" w:space="0" w:color="auto"/>
        <w:right w:val="none" w:sz="0" w:space="0" w:color="auto"/>
      </w:divBdr>
    </w:div>
    <w:div w:id="287008963">
      <w:bodyDiv w:val="1"/>
      <w:marLeft w:val="0"/>
      <w:marRight w:val="0"/>
      <w:marTop w:val="0"/>
      <w:marBottom w:val="0"/>
      <w:divBdr>
        <w:top w:val="none" w:sz="0" w:space="0" w:color="auto"/>
        <w:left w:val="none" w:sz="0" w:space="0" w:color="auto"/>
        <w:bottom w:val="none" w:sz="0" w:space="0" w:color="auto"/>
        <w:right w:val="none" w:sz="0" w:space="0" w:color="auto"/>
      </w:divBdr>
    </w:div>
    <w:div w:id="287053380">
      <w:bodyDiv w:val="1"/>
      <w:marLeft w:val="0"/>
      <w:marRight w:val="0"/>
      <w:marTop w:val="0"/>
      <w:marBottom w:val="0"/>
      <w:divBdr>
        <w:top w:val="none" w:sz="0" w:space="0" w:color="auto"/>
        <w:left w:val="none" w:sz="0" w:space="0" w:color="auto"/>
        <w:bottom w:val="none" w:sz="0" w:space="0" w:color="auto"/>
        <w:right w:val="none" w:sz="0" w:space="0" w:color="auto"/>
      </w:divBdr>
    </w:div>
    <w:div w:id="321086217">
      <w:bodyDiv w:val="1"/>
      <w:marLeft w:val="0"/>
      <w:marRight w:val="0"/>
      <w:marTop w:val="0"/>
      <w:marBottom w:val="0"/>
      <w:divBdr>
        <w:top w:val="none" w:sz="0" w:space="0" w:color="auto"/>
        <w:left w:val="none" w:sz="0" w:space="0" w:color="auto"/>
        <w:bottom w:val="none" w:sz="0" w:space="0" w:color="auto"/>
        <w:right w:val="none" w:sz="0" w:space="0" w:color="auto"/>
      </w:divBdr>
    </w:div>
    <w:div w:id="373233224">
      <w:bodyDiv w:val="1"/>
      <w:marLeft w:val="0"/>
      <w:marRight w:val="0"/>
      <w:marTop w:val="0"/>
      <w:marBottom w:val="0"/>
      <w:divBdr>
        <w:top w:val="none" w:sz="0" w:space="0" w:color="auto"/>
        <w:left w:val="none" w:sz="0" w:space="0" w:color="auto"/>
        <w:bottom w:val="none" w:sz="0" w:space="0" w:color="auto"/>
        <w:right w:val="none" w:sz="0" w:space="0" w:color="auto"/>
      </w:divBdr>
      <w:divsChild>
        <w:div w:id="1987277419">
          <w:marLeft w:val="0"/>
          <w:marRight w:val="0"/>
          <w:marTop w:val="0"/>
          <w:marBottom w:val="0"/>
          <w:divBdr>
            <w:top w:val="none" w:sz="0" w:space="0" w:color="auto"/>
            <w:left w:val="none" w:sz="0" w:space="0" w:color="auto"/>
            <w:bottom w:val="none" w:sz="0" w:space="0" w:color="auto"/>
            <w:right w:val="none" w:sz="0" w:space="0" w:color="auto"/>
          </w:divBdr>
          <w:divsChild>
            <w:div w:id="1641962495">
              <w:marLeft w:val="0"/>
              <w:marRight w:val="0"/>
              <w:marTop w:val="0"/>
              <w:marBottom w:val="0"/>
              <w:divBdr>
                <w:top w:val="none" w:sz="0" w:space="0" w:color="auto"/>
                <w:left w:val="none" w:sz="0" w:space="0" w:color="auto"/>
                <w:bottom w:val="none" w:sz="0" w:space="0" w:color="auto"/>
                <w:right w:val="none" w:sz="0" w:space="0" w:color="auto"/>
              </w:divBdr>
            </w:div>
          </w:divsChild>
        </w:div>
        <w:div w:id="283007346">
          <w:marLeft w:val="0"/>
          <w:marRight w:val="0"/>
          <w:marTop w:val="0"/>
          <w:marBottom w:val="0"/>
          <w:divBdr>
            <w:top w:val="none" w:sz="0" w:space="0" w:color="auto"/>
            <w:left w:val="none" w:sz="0" w:space="0" w:color="auto"/>
            <w:bottom w:val="none" w:sz="0" w:space="0" w:color="auto"/>
            <w:right w:val="none" w:sz="0" w:space="0" w:color="auto"/>
          </w:divBdr>
          <w:divsChild>
            <w:div w:id="3502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706">
      <w:bodyDiv w:val="1"/>
      <w:marLeft w:val="0"/>
      <w:marRight w:val="0"/>
      <w:marTop w:val="0"/>
      <w:marBottom w:val="0"/>
      <w:divBdr>
        <w:top w:val="none" w:sz="0" w:space="0" w:color="auto"/>
        <w:left w:val="none" w:sz="0" w:space="0" w:color="auto"/>
        <w:bottom w:val="none" w:sz="0" w:space="0" w:color="auto"/>
        <w:right w:val="none" w:sz="0" w:space="0" w:color="auto"/>
      </w:divBdr>
    </w:div>
    <w:div w:id="402798478">
      <w:bodyDiv w:val="1"/>
      <w:marLeft w:val="0"/>
      <w:marRight w:val="0"/>
      <w:marTop w:val="0"/>
      <w:marBottom w:val="0"/>
      <w:divBdr>
        <w:top w:val="none" w:sz="0" w:space="0" w:color="auto"/>
        <w:left w:val="none" w:sz="0" w:space="0" w:color="auto"/>
        <w:bottom w:val="none" w:sz="0" w:space="0" w:color="auto"/>
        <w:right w:val="none" w:sz="0" w:space="0" w:color="auto"/>
      </w:divBdr>
      <w:divsChild>
        <w:div w:id="1052726855">
          <w:marLeft w:val="0"/>
          <w:marRight w:val="0"/>
          <w:marTop w:val="0"/>
          <w:marBottom w:val="0"/>
          <w:divBdr>
            <w:top w:val="none" w:sz="0" w:space="0" w:color="auto"/>
            <w:left w:val="none" w:sz="0" w:space="0" w:color="auto"/>
            <w:bottom w:val="none" w:sz="0" w:space="0" w:color="auto"/>
            <w:right w:val="none" w:sz="0" w:space="0" w:color="auto"/>
          </w:divBdr>
          <w:divsChild>
            <w:div w:id="5850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79744">
      <w:bodyDiv w:val="1"/>
      <w:marLeft w:val="0"/>
      <w:marRight w:val="0"/>
      <w:marTop w:val="0"/>
      <w:marBottom w:val="0"/>
      <w:divBdr>
        <w:top w:val="none" w:sz="0" w:space="0" w:color="auto"/>
        <w:left w:val="none" w:sz="0" w:space="0" w:color="auto"/>
        <w:bottom w:val="none" w:sz="0" w:space="0" w:color="auto"/>
        <w:right w:val="none" w:sz="0" w:space="0" w:color="auto"/>
      </w:divBdr>
    </w:div>
    <w:div w:id="406155712">
      <w:bodyDiv w:val="1"/>
      <w:marLeft w:val="0"/>
      <w:marRight w:val="0"/>
      <w:marTop w:val="0"/>
      <w:marBottom w:val="0"/>
      <w:divBdr>
        <w:top w:val="none" w:sz="0" w:space="0" w:color="auto"/>
        <w:left w:val="none" w:sz="0" w:space="0" w:color="auto"/>
        <w:bottom w:val="none" w:sz="0" w:space="0" w:color="auto"/>
        <w:right w:val="none" w:sz="0" w:space="0" w:color="auto"/>
      </w:divBdr>
    </w:div>
    <w:div w:id="463475197">
      <w:bodyDiv w:val="1"/>
      <w:marLeft w:val="0"/>
      <w:marRight w:val="0"/>
      <w:marTop w:val="0"/>
      <w:marBottom w:val="0"/>
      <w:divBdr>
        <w:top w:val="none" w:sz="0" w:space="0" w:color="auto"/>
        <w:left w:val="none" w:sz="0" w:space="0" w:color="auto"/>
        <w:bottom w:val="none" w:sz="0" w:space="0" w:color="auto"/>
        <w:right w:val="none" w:sz="0" w:space="0" w:color="auto"/>
      </w:divBdr>
    </w:div>
    <w:div w:id="490219505">
      <w:bodyDiv w:val="1"/>
      <w:marLeft w:val="0"/>
      <w:marRight w:val="0"/>
      <w:marTop w:val="0"/>
      <w:marBottom w:val="0"/>
      <w:divBdr>
        <w:top w:val="none" w:sz="0" w:space="0" w:color="auto"/>
        <w:left w:val="none" w:sz="0" w:space="0" w:color="auto"/>
        <w:bottom w:val="none" w:sz="0" w:space="0" w:color="auto"/>
        <w:right w:val="none" w:sz="0" w:space="0" w:color="auto"/>
      </w:divBdr>
    </w:div>
    <w:div w:id="508788201">
      <w:bodyDiv w:val="1"/>
      <w:marLeft w:val="0"/>
      <w:marRight w:val="0"/>
      <w:marTop w:val="0"/>
      <w:marBottom w:val="0"/>
      <w:divBdr>
        <w:top w:val="none" w:sz="0" w:space="0" w:color="auto"/>
        <w:left w:val="none" w:sz="0" w:space="0" w:color="auto"/>
        <w:bottom w:val="none" w:sz="0" w:space="0" w:color="auto"/>
        <w:right w:val="none" w:sz="0" w:space="0" w:color="auto"/>
      </w:divBdr>
    </w:div>
    <w:div w:id="511144723">
      <w:bodyDiv w:val="1"/>
      <w:marLeft w:val="0"/>
      <w:marRight w:val="0"/>
      <w:marTop w:val="0"/>
      <w:marBottom w:val="0"/>
      <w:divBdr>
        <w:top w:val="none" w:sz="0" w:space="0" w:color="auto"/>
        <w:left w:val="none" w:sz="0" w:space="0" w:color="auto"/>
        <w:bottom w:val="none" w:sz="0" w:space="0" w:color="auto"/>
        <w:right w:val="none" w:sz="0" w:space="0" w:color="auto"/>
      </w:divBdr>
    </w:div>
    <w:div w:id="533345403">
      <w:bodyDiv w:val="1"/>
      <w:marLeft w:val="0"/>
      <w:marRight w:val="0"/>
      <w:marTop w:val="0"/>
      <w:marBottom w:val="0"/>
      <w:divBdr>
        <w:top w:val="none" w:sz="0" w:space="0" w:color="auto"/>
        <w:left w:val="none" w:sz="0" w:space="0" w:color="auto"/>
        <w:bottom w:val="none" w:sz="0" w:space="0" w:color="auto"/>
        <w:right w:val="none" w:sz="0" w:space="0" w:color="auto"/>
      </w:divBdr>
    </w:div>
    <w:div w:id="535626037">
      <w:bodyDiv w:val="1"/>
      <w:marLeft w:val="0"/>
      <w:marRight w:val="0"/>
      <w:marTop w:val="0"/>
      <w:marBottom w:val="0"/>
      <w:divBdr>
        <w:top w:val="none" w:sz="0" w:space="0" w:color="auto"/>
        <w:left w:val="none" w:sz="0" w:space="0" w:color="auto"/>
        <w:bottom w:val="none" w:sz="0" w:space="0" w:color="auto"/>
        <w:right w:val="none" w:sz="0" w:space="0" w:color="auto"/>
      </w:divBdr>
    </w:div>
    <w:div w:id="570310910">
      <w:bodyDiv w:val="1"/>
      <w:marLeft w:val="0"/>
      <w:marRight w:val="0"/>
      <w:marTop w:val="0"/>
      <w:marBottom w:val="0"/>
      <w:divBdr>
        <w:top w:val="none" w:sz="0" w:space="0" w:color="auto"/>
        <w:left w:val="none" w:sz="0" w:space="0" w:color="auto"/>
        <w:bottom w:val="none" w:sz="0" w:space="0" w:color="auto"/>
        <w:right w:val="none" w:sz="0" w:space="0" w:color="auto"/>
      </w:divBdr>
    </w:div>
    <w:div w:id="721291129">
      <w:bodyDiv w:val="1"/>
      <w:marLeft w:val="0"/>
      <w:marRight w:val="0"/>
      <w:marTop w:val="0"/>
      <w:marBottom w:val="0"/>
      <w:divBdr>
        <w:top w:val="none" w:sz="0" w:space="0" w:color="auto"/>
        <w:left w:val="none" w:sz="0" w:space="0" w:color="auto"/>
        <w:bottom w:val="none" w:sz="0" w:space="0" w:color="auto"/>
        <w:right w:val="none" w:sz="0" w:space="0" w:color="auto"/>
      </w:divBdr>
    </w:div>
    <w:div w:id="742995409">
      <w:bodyDiv w:val="1"/>
      <w:marLeft w:val="0"/>
      <w:marRight w:val="0"/>
      <w:marTop w:val="0"/>
      <w:marBottom w:val="0"/>
      <w:divBdr>
        <w:top w:val="none" w:sz="0" w:space="0" w:color="auto"/>
        <w:left w:val="none" w:sz="0" w:space="0" w:color="auto"/>
        <w:bottom w:val="none" w:sz="0" w:space="0" w:color="auto"/>
        <w:right w:val="none" w:sz="0" w:space="0" w:color="auto"/>
      </w:divBdr>
    </w:div>
    <w:div w:id="746339510">
      <w:bodyDiv w:val="1"/>
      <w:marLeft w:val="0"/>
      <w:marRight w:val="0"/>
      <w:marTop w:val="0"/>
      <w:marBottom w:val="0"/>
      <w:divBdr>
        <w:top w:val="none" w:sz="0" w:space="0" w:color="auto"/>
        <w:left w:val="none" w:sz="0" w:space="0" w:color="auto"/>
        <w:bottom w:val="none" w:sz="0" w:space="0" w:color="auto"/>
        <w:right w:val="none" w:sz="0" w:space="0" w:color="auto"/>
      </w:divBdr>
    </w:div>
    <w:div w:id="760760032">
      <w:bodyDiv w:val="1"/>
      <w:marLeft w:val="0"/>
      <w:marRight w:val="0"/>
      <w:marTop w:val="0"/>
      <w:marBottom w:val="0"/>
      <w:divBdr>
        <w:top w:val="none" w:sz="0" w:space="0" w:color="auto"/>
        <w:left w:val="none" w:sz="0" w:space="0" w:color="auto"/>
        <w:bottom w:val="none" w:sz="0" w:space="0" w:color="auto"/>
        <w:right w:val="none" w:sz="0" w:space="0" w:color="auto"/>
      </w:divBdr>
    </w:div>
    <w:div w:id="889531360">
      <w:bodyDiv w:val="1"/>
      <w:marLeft w:val="0"/>
      <w:marRight w:val="0"/>
      <w:marTop w:val="0"/>
      <w:marBottom w:val="0"/>
      <w:divBdr>
        <w:top w:val="none" w:sz="0" w:space="0" w:color="auto"/>
        <w:left w:val="none" w:sz="0" w:space="0" w:color="auto"/>
        <w:bottom w:val="none" w:sz="0" w:space="0" w:color="auto"/>
        <w:right w:val="none" w:sz="0" w:space="0" w:color="auto"/>
      </w:divBdr>
      <w:divsChild>
        <w:div w:id="345058358">
          <w:marLeft w:val="0"/>
          <w:marRight w:val="0"/>
          <w:marTop w:val="0"/>
          <w:marBottom w:val="0"/>
          <w:divBdr>
            <w:top w:val="none" w:sz="0" w:space="0" w:color="auto"/>
            <w:left w:val="none" w:sz="0" w:space="0" w:color="auto"/>
            <w:bottom w:val="none" w:sz="0" w:space="0" w:color="auto"/>
            <w:right w:val="none" w:sz="0" w:space="0" w:color="auto"/>
          </w:divBdr>
          <w:divsChild>
            <w:div w:id="861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8332">
      <w:bodyDiv w:val="1"/>
      <w:marLeft w:val="0"/>
      <w:marRight w:val="0"/>
      <w:marTop w:val="0"/>
      <w:marBottom w:val="0"/>
      <w:divBdr>
        <w:top w:val="none" w:sz="0" w:space="0" w:color="auto"/>
        <w:left w:val="none" w:sz="0" w:space="0" w:color="auto"/>
        <w:bottom w:val="none" w:sz="0" w:space="0" w:color="auto"/>
        <w:right w:val="none" w:sz="0" w:space="0" w:color="auto"/>
      </w:divBdr>
    </w:div>
    <w:div w:id="895091073">
      <w:bodyDiv w:val="1"/>
      <w:marLeft w:val="0"/>
      <w:marRight w:val="0"/>
      <w:marTop w:val="0"/>
      <w:marBottom w:val="0"/>
      <w:divBdr>
        <w:top w:val="none" w:sz="0" w:space="0" w:color="auto"/>
        <w:left w:val="none" w:sz="0" w:space="0" w:color="auto"/>
        <w:bottom w:val="none" w:sz="0" w:space="0" w:color="auto"/>
        <w:right w:val="none" w:sz="0" w:space="0" w:color="auto"/>
      </w:divBdr>
    </w:div>
    <w:div w:id="933392678">
      <w:bodyDiv w:val="1"/>
      <w:marLeft w:val="0"/>
      <w:marRight w:val="0"/>
      <w:marTop w:val="0"/>
      <w:marBottom w:val="0"/>
      <w:divBdr>
        <w:top w:val="none" w:sz="0" w:space="0" w:color="auto"/>
        <w:left w:val="none" w:sz="0" w:space="0" w:color="auto"/>
        <w:bottom w:val="none" w:sz="0" w:space="0" w:color="auto"/>
        <w:right w:val="none" w:sz="0" w:space="0" w:color="auto"/>
      </w:divBdr>
    </w:div>
    <w:div w:id="958030815">
      <w:bodyDiv w:val="1"/>
      <w:marLeft w:val="0"/>
      <w:marRight w:val="0"/>
      <w:marTop w:val="0"/>
      <w:marBottom w:val="0"/>
      <w:divBdr>
        <w:top w:val="none" w:sz="0" w:space="0" w:color="auto"/>
        <w:left w:val="none" w:sz="0" w:space="0" w:color="auto"/>
        <w:bottom w:val="none" w:sz="0" w:space="0" w:color="auto"/>
        <w:right w:val="none" w:sz="0" w:space="0" w:color="auto"/>
      </w:divBdr>
      <w:divsChild>
        <w:div w:id="1322542312">
          <w:marLeft w:val="0"/>
          <w:marRight w:val="0"/>
          <w:marTop w:val="0"/>
          <w:marBottom w:val="0"/>
          <w:divBdr>
            <w:top w:val="none" w:sz="0" w:space="0" w:color="auto"/>
            <w:left w:val="none" w:sz="0" w:space="0" w:color="auto"/>
            <w:bottom w:val="none" w:sz="0" w:space="0" w:color="auto"/>
            <w:right w:val="none" w:sz="0" w:space="0" w:color="auto"/>
          </w:divBdr>
          <w:divsChild>
            <w:div w:id="2272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1730">
      <w:bodyDiv w:val="1"/>
      <w:marLeft w:val="0"/>
      <w:marRight w:val="0"/>
      <w:marTop w:val="0"/>
      <w:marBottom w:val="0"/>
      <w:divBdr>
        <w:top w:val="none" w:sz="0" w:space="0" w:color="auto"/>
        <w:left w:val="none" w:sz="0" w:space="0" w:color="auto"/>
        <w:bottom w:val="none" w:sz="0" w:space="0" w:color="auto"/>
        <w:right w:val="none" w:sz="0" w:space="0" w:color="auto"/>
      </w:divBdr>
      <w:divsChild>
        <w:div w:id="45378122">
          <w:marLeft w:val="0"/>
          <w:marRight w:val="0"/>
          <w:marTop w:val="0"/>
          <w:marBottom w:val="0"/>
          <w:divBdr>
            <w:top w:val="none" w:sz="0" w:space="0" w:color="auto"/>
            <w:left w:val="none" w:sz="0" w:space="0" w:color="auto"/>
            <w:bottom w:val="none" w:sz="0" w:space="0" w:color="auto"/>
            <w:right w:val="none" w:sz="0" w:space="0" w:color="auto"/>
          </w:divBdr>
          <w:divsChild>
            <w:div w:id="231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1135">
      <w:bodyDiv w:val="1"/>
      <w:marLeft w:val="0"/>
      <w:marRight w:val="0"/>
      <w:marTop w:val="0"/>
      <w:marBottom w:val="0"/>
      <w:divBdr>
        <w:top w:val="none" w:sz="0" w:space="0" w:color="auto"/>
        <w:left w:val="none" w:sz="0" w:space="0" w:color="auto"/>
        <w:bottom w:val="none" w:sz="0" w:space="0" w:color="auto"/>
        <w:right w:val="none" w:sz="0" w:space="0" w:color="auto"/>
      </w:divBdr>
      <w:divsChild>
        <w:div w:id="73165242">
          <w:marLeft w:val="0"/>
          <w:marRight w:val="0"/>
          <w:marTop w:val="0"/>
          <w:marBottom w:val="0"/>
          <w:divBdr>
            <w:top w:val="none" w:sz="0" w:space="0" w:color="auto"/>
            <w:left w:val="none" w:sz="0" w:space="0" w:color="auto"/>
            <w:bottom w:val="none" w:sz="0" w:space="0" w:color="auto"/>
            <w:right w:val="none" w:sz="0" w:space="0" w:color="auto"/>
          </w:divBdr>
          <w:divsChild>
            <w:div w:id="1043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1199">
      <w:bodyDiv w:val="1"/>
      <w:marLeft w:val="0"/>
      <w:marRight w:val="0"/>
      <w:marTop w:val="0"/>
      <w:marBottom w:val="0"/>
      <w:divBdr>
        <w:top w:val="none" w:sz="0" w:space="0" w:color="auto"/>
        <w:left w:val="none" w:sz="0" w:space="0" w:color="auto"/>
        <w:bottom w:val="none" w:sz="0" w:space="0" w:color="auto"/>
        <w:right w:val="none" w:sz="0" w:space="0" w:color="auto"/>
      </w:divBdr>
    </w:div>
    <w:div w:id="1006591552">
      <w:bodyDiv w:val="1"/>
      <w:marLeft w:val="0"/>
      <w:marRight w:val="0"/>
      <w:marTop w:val="0"/>
      <w:marBottom w:val="0"/>
      <w:divBdr>
        <w:top w:val="none" w:sz="0" w:space="0" w:color="auto"/>
        <w:left w:val="none" w:sz="0" w:space="0" w:color="auto"/>
        <w:bottom w:val="none" w:sz="0" w:space="0" w:color="auto"/>
        <w:right w:val="none" w:sz="0" w:space="0" w:color="auto"/>
      </w:divBdr>
    </w:div>
    <w:div w:id="1008100414">
      <w:bodyDiv w:val="1"/>
      <w:marLeft w:val="0"/>
      <w:marRight w:val="0"/>
      <w:marTop w:val="0"/>
      <w:marBottom w:val="0"/>
      <w:divBdr>
        <w:top w:val="none" w:sz="0" w:space="0" w:color="auto"/>
        <w:left w:val="none" w:sz="0" w:space="0" w:color="auto"/>
        <w:bottom w:val="none" w:sz="0" w:space="0" w:color="auto"/>
        <w:right w:val="none" w:sz="0" w:space="0" w:color="auto"/>
      </w:divBdr>
      <w:divsChild>
        <w:div w:id="565334220">
          <w:marLeft w:val="0"/>
          <w:marRight w:val="0"/>
          <w:marTop w:val="0"/>
          <w:marBottom w:val="0"/>
          <w:divBdr>
            <w:top w:val="none" w:sz="0" w:space="0" w:color="auto"/>
            <w:left w:val="none" w:sz="0" w:space="0" w:color="auto"/>
            <w:bottom w:val="none" w:sz="0" w:space="0" w:color="auto"/>
            <w:right w:val="none" w:sz="0" w:space="0" w:color="auto"/>
          </w:divBdr>
          <w:divsChild>
            <w:div w:id="11835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1990">
      <w:bodyDiv w:val="1"/>
      <w:marLeft w:val="0"/>
      <w:marRight w:val="0"/>
      <w:marTop w:val="0"/>
      <w:marBottom w:val="0"/>
      <w:divBdr>
        <w:top w:val="none" w:sz="0" w:space="0" w:color="auto"/>
        <w:left w:val="none" w:sz="0" w:space="0" w:color="auto"/>
        <w:bottom w:val="none" w:sz="0" w:space="0" w:color="auto"/>
        <w:right w:val="none" w:sz="0" w:space="0" w:color="auto"/>
      </w:divBdr>
    </w:div>
    <w:div w:id="1113405395">
      <w:bodyDiv w:val="1"/>
      <w:marLeft w:val="0"/>
      <w:marRight w:val="0"/>
      <w:marTop w:val="0"/>
      <w:marBottom w:val="0"/>
      <w:divBdr>
        <w:top w:val="none" w:sz="0" w:space="0" w:color="auto"/>
        <w:left w:val="none" w:sz="0" w:space="0" w:color="auto"/>
        <w:bottom w:val="none" w:sz="0" w:space="0" w:color="auto"/>
        <w:right w:val="none" w:sz="0" w:space="0" w:color="auto"/>
      </w:divBdr>
    </w:div>
    <w:div w:id="1136336341">
      <w:bodyDiv w:val="1"/>
      <w:marLeft w:val="0"/>
      <w:marRight w:val="0"/>
      <w:marTop w:val="0"/>
      <w:marBottom w:val="0"/>
      <w:divBdr>
        <w:top w:val="none" w:sz="0" w:space="0" w:color="auto"/>
        <w:left w:val="none" w:sz="0" w:space="0" w:color="auto"/>
        <w:bottom w:val="none" w:sz="0" w:space="0" w:color="auto"/>
        <w:right w:val="none" w:sz="0" w:space="0" w:color="auto"/>
      </w:divBdr>
    </w:div>
    <w:div w:id="1145664644">
      <w:bodyDiv w:val="1"/>
      <w:marLeft w:val="0"/>
      <w:marRight w:val="0"/>
      <w:marTop w:val="0"/>
      <w:marBottom w:val="0"/>
      <w:divBdr>
        <w:top w:val="none" w:sz="0" w:space="0" w:color="auto"/>
        <w:left w:val="none" w:sz="0" w:space="0" w:color="auto"/>
        <w:bottom w:val="none" w:sz="0" w:space="0" w:color="auto"/>
        <w:right w:val="none" w:sz="0" w:space="0" w:color="auto"/>
      </w:divBdr>
    </w:div>
    <w:div w:id="1233274660">
      <w:bodyDiv w:val="1"/>
      <w:marLeft w:val="0"/>
      <w:marRight w:val="0"/>
      <w:marTop w:val="0"/>
      <w:marBottom w:val="0"/>
      <w:divBdr>
        <w:top w:val="none" w:sz="0" w:space="0" w:color="auto"/>
        <w:left w:val="none" w:sz="0" w:space="0" w:color="auto"/>
        <w:bottom w:val="none" w:sz="0" w:space="0" w:color="auto"/>
        <w:right w:val="none" w:sz="0" w:space="0" w:color="auto"/>
      </w:divBdr>
    </w:div>
    <w:div w:id="1237546017">
      <w:bodyDiv w:val="1"/>
      <w:marLeft w:val="0"/>
      <w:marRight w:val="0"/>
      <w:marTop w:val="0"/>
      <w:marBottom w:val="0"/>
      <w:divBdr>
        <w:top w:val="none" w:sz="0" w:space="0" w:color="auto"/>
        <w:left w:val="none" w:sz="0" w:space="0" w:color="auto"/>
        <w:bottom w:val="none" w:sz="0" w:space="0" w:color="auto"/>
        <w:right w:val="none" w:sz="0" w:space="0" w:color="auto"/>
      </w:divBdr>
      <w:divsChild>
        <w:div w:id="2061634679">
          <w:marLeft w:val="0"/>
          <w:marRight w:val="0"/>
          <w:marTop w:val="0"/>
          <w:marBottom w:val="0"/>
          <w:divBdr>
            <w:top w:val="none" w:sz="0" w:space="0" w:color="auto"/>
            <w:left w:val="none" w:sz="0" w:space="0" w:color="auto"/>
            <w:bottom w:val="none" w:sz="0" w:space="0" w:color="auto"/>
            <w:right w:val="none" w:sz="0" w:space="0" w:color="auto"/>
          </w:divBdr>
          <w:divsChild>
            <w:div w:id="6347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9692">
      <w:bodyDiv w:val="1"/>
      <w:marLeft w:val="0"/>
      <w:marRight w:val="0"/>
      <w:marTop w:val="0"/>
      <w:marBottom w:val="0"/>
      <w:divBdr>
        <w:top w:val="none" w:sz="0" w:space="0" w:color="auto"/>
        <w:left w:val="none" w:sz="0" w:space="0" w:color="auto"/>
        <w:bottom w:val="none" w:sz="0" w:space="0" w:color="auto"/>
        <w:right w:val="none" w:sz="0" w:space="0" w:color="auto"/>
      </w:divBdr>
    </w:div>
    <w:div w:id="1297369057">
      <w:bodyDiv w:val="1"/>
      <w:marLeft w:val="0"/>
      <w:marRight w:val="0"/>
      <w:marTop w:val="0"/>
      <w:marBottom w:val="0"/>
      <w:divBdr>
        <w:top w:val="none" w:sz="0" w:space="0" w:color="auto"/>
        <w:left w:val="none" w:sz="0" w:space="0" w:color="auto"/>
        <w:bottom w:val="none" w:sz="0" w:space="0" w:color="auto"/>
        <w:right w:val="none" w:sz="0" w:space="0" w:color="auto"/>
      </w:divBdr>
    </w:div>
    <w:div w:id="1300648519">
      <w:bodyDiv w:val="1"/>
      <w:marLeft w:val="0"/>
      <w:marRight w:val="0"/>
      <w:marTop w:val="0"/>
      <w:marBottom w:val="0"/>
      <w:divBdr>
        <w:top w:val="none" w:sz="0" w:space="0" w:color="auto"/>
        <w:left w:val="none" w:sz="0" w:space="0" w:color="auto"/>
        <w:bottom w:val="none" w:sz="0" w:space="0" w:color="auto"/>
        <w:right w:val="none" w:sz="0" w:space="0" w:color="auto"/>
      </w:divBdr>
    </w:div>
    <w:div w:id="1303079982">
      <w:bodyDiv w:val="1"/>
      <w:marLeft w:val="0"/>
      <w:marRight w:val="0"/>
      <w:marTop w:val="0"/>
      <w:marBottom w:val="0"/>
      <w:divBdr>
        <w:top w:val="none" w:sz="0" w:space="0" w:color="auto"/>
        <w:left w:val="none" w:sz="0" w:space="0" w:color="auto"/>
        <w:bottom w:val="none" w:sz="0" w:space="0" w:color="auto"/>
        <w:right w:val="none" w:sz="0" w:space="0" w:color="auto"/>
      </w:divBdr>
    </w:div>
    <w:div w:id="1316689878">
      <w:bodyDiv w:val="1"/>
      <w:marLeft w:val="0"/>
      <w:marRight w:val="0"/>
      <w:marTop w:val="0"/>
      <w:marBottom w:val="0"/>
      <w:divBdr>
        <w:top w:val="none" w:sz="0" w:space="0" w:color="auto"/>
        <w:left w:val="none" w:sz="0" w:space="0" w:color="auto"/>
        <w:bottom w:val="none" w:sz="0" w:space="0" w:color="auto"/>
        <w:right w:val="none" w:sz="0" w:space="0" w:color="auto"/>
      </w:divBdr>
    </w:div>
    <w:div w:id="1327587506">
      <w:bodyDiv w:val="1"/>
      <w:marLeft w:val="0"/>
      <w:marRight w:val="0"/>
      <w:marTop w:val="0"/>
      <w:marBottom w:val="0"/>
      <w:divBdr>
        <w:top w:val="none" w:sz="0" w:space="0" w:color="auto"/>
        <w:left w:val="none" w:sz="0" w:space="0" w:color="auto"/>
        <w:bottom w:val="none" w:sz="0" w:space="0" w:color="auto"/>
        <w:right w:val="none" w:sz="0" w:space="0" w:color="auto"/>
      </w:divBdr>
    </w:div>
    <w:div w:id="1361472210">
      <w:bodyDiv w:val="1"/>
      <w:marLeft w:val="0"/>
      <w:marRight w:val="0"/>
      <w:marTop w:val="0"/>
      <w:marBottom w:val="0"/>
      <w:divBdr>
        <w:top w:val="none" w:sz="0" w:space="0" w:color="auto"/>
        <w:left w:val="none" w:sz="0" w:space="0" w:color="auto"/>
        <w:bottom w:val="none" w:sz="0" w:space="0" w:color="auto"/>
        <w:right w:val="none" w:sz="0" w:space="0" w:color="auto"/>
      </w:divBdr>
    </w:div>
    <w:div w:id="1381594009">
      <w:bodyDiv w:val="1"/>
      <w:marLeft w:val="0"/>
      <w:marRight w:val="0"/>
      <w:marTop w:val="0"/>
      <w:marBottom w:val="0"/>
      <w:divBdr>
        <w:top w:val="none" w:sz="0" w:space="0" w:color="auto"/>
        <w:left w:val="none" w:sz="0" w:space="0" w:color="auto"/>
        <w:bottom w:val="none" w:sz="0" w:space="0" w:color="auto"/>
        <w:right w:val="none" w:sz="0" w:space="0" w:color="auto"/>
      </w:divBdr>
    </w:div>
    <w:div w:id="1386103966">
      <w:bodyDiv w:val="1"/>
      <w:marLeft w:val="0"/>
      <w:marRight w:val="0"/>
      <w:marTop w:val="0"/>
      <w:marBottom w:val="0"/>
      <w:divBdr>
        <w:top w:val="none" w:sz="0" w:space="0" w:color="auto"/>
        <w:left w:val="none" w:sz="0" w:space="0" w:color="auto"/>
        <w:bottom w:val="none" w:sz="0" w:space="0" w:color="auto"/>
        <w:right w:val="none" w:sz="0" w:space="0" w:color="auto"/>
      </w:divBdr>
    </w:div>
    <w:div w:id="1390300690">
      <w:bodyDiv w:val="1"/>
      <w:marLeft w:val="0"/>
      <w:marRight w:val="0"/>
      <w:marTop w:val="0"/>
      <w:marBottom w:val="0"/>
      <w:divBdr>
        <w:top w:val="none" w:sz="0" w:space="0" w:color="auto"/>
        <w:left w:val="none" w:sz="0" w:space="0" w:color="auto"/>
        <w:bottom w:val="none" w:sz="0" w:space="0" w:color="auto"/>
        <w:right w:val="none" w:sz="0" w:space="0" w:color="auto"/>
      </w:divBdr>
    </w:div>
    <w:div w:id="1499494374">
      <w:bodyDiv w:val="1"/>
      <w:marLeft w:val="0"/>
      <w:marRight w:val="0"/>
      <w:marTop w:val="0"/>
      <w:marBottom w:val="0"/>
      <w:divBdr>
        <w:top w:val="none" w:sz="0" w:space="0" w:color="auto"/>
        <w:left w:val="none" w:sz="0" w:space="0" w:color="auto"/>
        <w:bottom w:val="none" w:sz="0" w:space="0" w:color="auto"/>
        <w:right w:val="none" w:sz="0" w:space="0" w:color="auto"/>
      </w:divBdr>
      <w:divsChild>
        <w:div w:id="1947999403">
          <w:marLeft w:val="0"/>
          <w:marRight w:val="0"/>
          <w:marTop w:val="0"/>
          <w:marBottom w:val="0"/>
          <w:divBdr>
            <w:top w:val="none" w:sz="0" w:space="0" w:color="auto"/>
            <w:left w:val="none" w:sz="0" w:space="0" w:color="auto"/>
            <w:bottom w:val="none" w:sz="0" w:space="0" w:color="auto"/>
            <w:right w:val="none" w:sz="0" w:space="0" w:color="auto"/>
          </w:divBdr>
          <w:divsChild>
            <w:div w:id="3803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6279">
      <w:bodyDiv w:val="1"/>
      <w:marLeft w:val="0"/>
      <w:marRight w:val="0"/>
      <w:marTop w:val="0"/>
      <w:marBottom w:val="0"/>
      <w:divBdr>
        <w:top w:val="none" w:sz="0" w:space="0" w:color="auto"/>
        <w:left w:val="none" w:sz="0" w:space="0" w:color="auto"/>
        <w:bottom w:val="none" w:sz="0" w:space="0" w:color="auto"/>
        <w:right w:val="none" w:sz="0" w:space="0" w:color="auto"/>
      </w:divBdr>
    </w:div>
    <w:div w:id="1543903191">
      <w:bodyDiv w:val="1"/>
      <w:marLeft w:val="0"/>
      <w:marRight w:val="0"/>
      <w:marTop w:val="0"/>
      <w:marBottom w:val="0"/>
      <w:divBdr>
        <w:top w:val="none" w:sz="0" w:space="0" w:color="auto"/>
        <w:left w:val="none" w:sz="0" w:space="0" w:color="auto"/>
        <w:bottom w:val="none" w:sz="0" w:space="0" w:color="auto"/>
        <w:right w:val="none" w:sz="0" w:space="0" w:color="auto"/>
      </w:divBdr>
    </w:div>
    <w:div w:id="1563983782">
      <w:bodyDiv w:val="1"/>
      <w:marLeft w:val="0"/>
      <w:marRight w:val="0"/>
      <w:marTop w:val="0"/>
      <w:marBottom w:val="0"/>
      <w:divBdr>
        <w:top w:val="none" w:sz="0" w:space="0" w:color="auto"/>
        <w:left w:val="none" w:sz="0" w:space="0" w:color="auto"/>
        <w:bottom w:val="none" w:sz="0" w:space="0" w:color="auto"/>
        <w:right w:val="none" w:sz="0" w:space="0" w:color="auto"/>
      </w:divBdr>
    </w:div>
    <w:div w:id="1584340794">
      <w:bodyDiv w:val="1"/>
      <w:marLeft w:val="0"/>
      <w:marRight w:val="0"/>
      <w:marTop w:val="0"/>
      <w:marBottom w:val="0"/>
      <w:divBdr>
        <w:top w:val="none" w:sz="0" w:space="0" w:color="auto"/>
        <w:left w:val="none" w:sz="0" w:space="0" w:color="auto"/>
        <w:bottom w:val="none" w:sz="0" w:space="0" w:color="auto"/>
        <w:right w:val="none" w:sz="0" w:space="0" w:color="auto"/>
      </w:divBdr>
    </w:div>
    <w:div w:id="1595170712">
      <w:bodyDiv w:val="1"/>
      <w:marLeft w:val="0"/>
      <w:marRight w:val="0"/>
      <w:marTop w:val="0"/>
      <w:marBottom w:val="0"/>
      <w:divBdr>
        <w:top w:val="none" w:sz="0" w:space="0" w:color="auto"/>
        <w:left w:val="none" w:sz="0" w:space="0" w:color="auto"/>
        <w:bottom w:val="none" w:sz="0" w:space="0" w:color="auto"/>
        <w:right w:val="none" w:sz="0" w:space="0" w:color="auto"/>
      </w:divBdr>
    </w:div>
    <w:div w:id="1600673077">
      <w:bodyDiv w:val="1"/>
      <w:marLeft w:val="0"/>
      <w:marRight w:val="0"/>
      <w:marTop w:val="0"/>
      <w:marBottom w:val="0"/>
      <w:divBdr>
        <w:top w:val="none" w:sz="0" w:space="0" w:color="auto"/>
        <w:left w:val="none" w:sz="0" w:space="0" w:color="auto"/>
        <w:bottom w:val="none" w:sz="0" w:space="0" w:color="auto"/>
        <w:right w:val="none" w:sz="0" w:space="0" w:color="auto"/>
      </w:divBdr>
    </w:div>
    <w:div w:id="1638685806">
      <w:bodyDiv w:val="1"/>
      <w:marLeft w:val="0"/>
      <w:marRight w:val="0"/>
      <w:marTop w:val="0"/>
      <w:marBottom w:val="0"/>
      <w:divBdr>
        <w:top w:val="none" w:sz="0" w:space="0" w:color="auto"/>
        <w:left w:val="none" w:sz="0" w:space="0" w:color="auto"/>
        <w:bottom w:val="none" w:sz="0" w:space="0" w:color="auto"/>
        <w:right w:val="none" w:sz="0" w:space="0" w:color="auto"/>
      </w:divBdr>
    </w:div>
    <w:div w:id="1689217173">
      <w:bodyDiv w:val="1"/>
      <w:marLeft w:val="0"/>
      <w:marRight w:val="0"/>
      <w:marTop w:val="0"/>
      <w:marBottom w:val="0"/>
      <w:divBdr>
        <w:top w:val="none" w:sz="0" w:space="0" w:color="auto"/>
        <w:left w:val="none" w:sz="0" w:space="0" w:color="auto"/>
        <w:bottom w:val="none" w:sz="0" w:space="0" w:color="auto"/>
        <w:right w:val="none" w:sz="0" w:space="0" w:color="auto"/>
      </w:divBdr>
    </w:div>
    <w:div w:id="1694185880">
      <w:bodyDiv w:val="1"/>
      <w:marLeft w:val="0"/>
      <w:marRight w:val="0"/>
      <w:marTop w:val="0"/>
      <w:marBottom w:val="0"/>
      <w:divBdr>
        <w:top w:val="none" w:sz="0" w:space="0" w:color="auto"/>
        <w:left w:val="none" w:sz="0" w:space="0" w:color="auto"/>
        <w:bottom w:val="none" w:sz="0" w:space="0" w:color="auto"/>
        <w:right w:val="none" w:sz="0" w:space="0" w:color="auto"/>
      </w:divBdr>
    </w:div>
    <w:div w:id="1774789585">
      <w:bodyDiv w:val="1"/>
      <w:marLeft w:val="0"/>
      <w:marRight w:val="0"/>
      <w:marTop w:val="0"/>
      <w:marBottom w:val="0"/>
      <w:divBdr>
        <w:top w:val="none" w:sz="0" w:space="0" w:color="auto"/>
        <w:left w:val="none" w:sz="0" w:space="0" w:color="auto"/>
        <w:bottom w:val="none" w:sz="0" w:space="0" w:color="auto"/>
        <w:right w:val="none" w:sz="0" w:space="0" w:color="auto"/>
      </w:divBdr>
    </w:div>
    <w:div w:id="1860965227">
      <w:bodyDiv w:val="1"/>
      <w:marLeft w:val="0"/>
      <w:marRight w:val="0"/>
      <w:marTop w:val="0"/>
      <w:marBottom w:val="0"/>
      <w:divBdr>
        <w:top w:val="none" w:sz="0" w:space="0" w:color="auto"/>
        <w:left w:val="none" w:sz="0" w:space="0" w:color="auto"/>
        <w:bottom w:val="none" w:sz="0" w:space="0" w:color="auto"/>
        <w:right w:val="none" w:sz="0" w:space="0" w:color="auto"/>
      </w:divBdr>
    </w:div>
    <w:div w:id="1876507202">
      <w:bodyDiv w:val="1"/>
      <w:marLeft w:val="0"/>
      <w:marRight w:val="0"/>
      <w:marTop w:val="0"/>
      <w:marBottom w:val="0"/>
      <w:divBdr>
        <w:top w:val="none" w:sz="0" w:space="0" w:color="auto"/>
        <w:left w:val="none" w:sz="0" w:space="0" w:color="auto"/>
        <w:bottom w:val="none" w:sz="0" w:space="0" w:color="auto"/>
        <w:right w:val="none" w:sz="0" w:space="0" w:color="auto"/>
      </w:divBdr>
    </w:div>
    <w:div w:id="1918173252">
      <w:bodyDiv w:val="1"/>
      <w:marLeft w:val="0"/>
      <w:marRight w:val="0"/>
      <w:marTop w:val="0"/>
      <w:marBottom w:val="0"/>
      <w:divBdr>
        <w:top w:val="none" w:sz="0" w:space="0" w:color="auto"/>
        <w:left w:val="none" w:sz="0" w:space="0" w:color="auto"/>
        <w:bottom w:val="none" w:sz="0" w:space="0" w:color="auto"/>
        <w:right w:val="none" w:sz="0" w:space="0" w:color="auto"/>
      </w:divBdr>
    </w:div>
    <w:div w:id="1942906181">
      <w:bodyDiv w:val="1"/>
      <w:marLeft w:val="0"/>
      <w:marRight w:val="0"/>
      <w:marTop w:val="0"/>
      <w:marBottom w:val="0"/>
      <w:divBdr>
        <w:top w:val="none" w:sz="0" w:space="0" w:color="auto"/>
        <w:left w:val="none" w:sz="0" w:space="0" w:color="auto"/>
        <w:bottom w:val="none" w:sz="0" w:space="0" w:color="auto"/>
        <w:right w:val="none" w:sz="0" w:space="0" w:color="auto"/>
      </w:divBdr>
      <w:divsChild>
        <w:div w:id="932082866">
          <w:marLeft w:val="0"/>
          <w:marRight w:val="0"/>
          <w:marTop w:val="0"/>
          <w:marBottom w:val="0"/>
          <w:divBdr>
            <w:top w:val="none" w:sz="0" w:space="0" w:color="auto"/>
            <w:left w:val="none" w:sz="0" w:space="0" w:color="auto"/>
            <w:bottom w:val="none" w:sz="0" w:space="0" w:color="auto"/>
            <w:right w:val="none" w:sz="0" w:space="0" w:color="auto"/>
          </w:divBdr>
          <w:divsChild>
            <w:div w:id="19940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374">
      <w:bodyDiv w:val="1"/>
      <w:marLeft w:val="0"/>
      <w:marRight w:val="0"/>
      <w:marTop w:val="0"/>
      <w:marBottom w:val="0"/>
      <w:divBdr>
        <w:top w:val="none" w:sz="0" w:space="0" w:color="auto"/>
        <w:left w:val="none" w:sz="0" w:space="0" w:color="auto"/>
        <w:bottom w:val="none" w:sz="0" w:space="0" w:color="auto"/>
        <w:right w:val="none" w:sz="0" w:space="0" w:color="auto"/>
      </w:divBdr>
      <w:divsChild>
        <w:div w:id="23991724">
          <w:marLeft w:val="0"/>
          <w:marRight w:val="0"/>
          <w:marTop w:val="0"/>
          <w:marBottom w:val="0"/>
          <w:divBdr>
            <w:top w:val="none" w:sz="0" w:space="0" w:color="auto"/>
            <w:left w:val="none" w:sz="0" w:space="0" w:color="auto"/>
            <w:bottom w:val="none" w:sz="0" w:space="0" w:color="auto"/>
            <w:right w:val="none" w:sz="0" w:space="0" w:color="auto"/>
          </w:divBdr>
          <w:divsChild>
            <w:div w:id="14922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49008">
      <w:bodyDiv w:val="1"/>
      <w:marLeft w:val="0"/>
      <w:marRight w:val="0"/>
      <w:marTop w:val="0"/>
      <w:marBottom w:val="0"/>
      <w:divBdr>
        <w:top w:val="none" w:sz="0" w:space="0" w:color="auto"/>
        <w:left w:val="none" w:sz="0" w:space="0" w:color="auto"/>
        <w:bottom w:val="none" w:sz="0" w:space="0" w:color="auto"/>
        <w:right w:val="none" w:sz="0" w:space="0" w:color="auto"/>
      </w:divBdr>
    </w:div>
    <w:div w:id="2039162705">
      <w:bodyDiv w:val="1"/>
      <w:marLeft w:val="0"/>
      <w:marRight w:val="0"/>
      <w:marTop w:val="0"/>
      <w:marBottom w:val="0"/>
      <w:divBdr>
        <w:top w:val="none" w:sz="0" w:space="0" w:color="auto"/>
        <w:left w:val="none" w:sz="0" w:space="0" w:color="auto"/>
        <w:bottom w:val="none" w:sz="0" w:space="0" w:color="auto"/>
        <w:right w:val="none" w:sz="0" w:space="0" w:color="auto"/>
      </w:divBdr>
    </w:div>
    <w:div w:id="2076120478">
      <w:bodyDiv w:val="1"/>
      <w:marLeft w:val="0"/>
      <w:marRight w:val="0"/>
      <w:marTop w:val="0"/>
      <w:marBottom w:val="0"/>
      <w:divBdr>
        <w:top w:val="none" w:sz="0" w:space="0" w:color="auto"/>
        <w:left w:val="none" w:sz="0" w:space="0" w:color="auto"/>
        <w:bottom w:val="none" w:sz="0" w:space="0" w:color="auto"/>
        <w:right w:val="none" w:sz="0" w:space="0" w:color="auto"/>
      </w:divBdr>
    </w:div>
    <w:div w:id="2140297644">
      <w:bodyDiv w:val="1"/>
      <w:marLeft w:val="0"/>
      <w:marRight w:val="0"/>
      <w:marTop w:val="0"/>
      <w:marBottom w:val="0"/>
      <w:divBdr>
        <w:top w:val="none" w:sz="0" w:space="0" w:color="auto"/>
        <w:left w:val="none" w:sz="0" w:space="0" w:color="auto"/>
        <w:bottom w:val="none" w:sz="0" w:space="0" w:color="auto"/>
        <w:right w:val="none" w:sz="0" w:space="0" w:color="auto"/>
      </w:divBdr>
      <w:divsChild>
        <w:div w:id="1584876332">
          <w:marLeft w:val="0"/>
          <w:marRight w:val="0"/>
          <w:marTop w:val="0"/>
          <w:marBottom w:val="0"/>
          <w:divBdr>
            <w:top w:val="none" w:sz="0" w:space="0" w:color="auto"/>
            <w:left w:val="none" w:sz="0" w:space="0" w:color="auto"/>
            <w:bottom w:val="none" w:sz="0" w:space="0" w:color="auto"/>
            <w:right w:val="none" w:sz="0" w:space="0" w:color="auto"/>
          </w:divBdr>
          <w:divsChild>
            <w:div w:id="6994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1356-024-32011-y" TargetMode="External"/><Relationship Id="rId21" Type="http://schemas.openxmlformats.org/officeDocument/2006/relationships/footer" Target="footer3.xml"/><Relationship Id="rId42" Type="http://schemas.openxmlformats.org/officeDocument/2006/relationships/hyperlink" Target="https://doi.org/10.1016/j.seppur.2024.128124" TargetMode="External"/><Relationship Id="rId47" Type="http://schemas.openxmlformats.org/officeDocument/2006/relationships/hyperlink" Target="https://doi.org/10.1080/10937404.2016.1168730" TargetMode="External"/><Relationship Id="rId63" Type="http://schemas.openxmlformats.org/officeDocument/2006/relationships/hyperlink" Target="https://doi.org/10.1016/j.scitotenv.2020.142175" TargetMode="External"/><Relationship Id="rId68" Type="http://schemas.openxmlformats.org/officeDocument/2006/relationships/hyperlink" Target="https://doi.org/10.1289/ehp.1510348" TargetMode="External"/><Relationship Id="rId84" Type="http://schemas.openxmlformats.org/officeDocument/2006/relationships/hyperlink" Target="https://doi.org/10.1016/j.envint.2022.107292" TargetMode="Externa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hyperlink" Target="https://doi.org/10.1136/bmjonc-2024-000535" TargetMode="External"/><Relationship Id="rId37" Type="http://schemas.openxmlformats.org/officeDocument/2006/relationships/hyperlink" Target="https://doi.org/10.5696/2156-9614-9.23.190901" TargetMode="External"/><Relationship Id="rId53" Type="http://schemas.openxmlformats.org/officeDocument/2006/relationships/hyperlink" Target="https://doi.org/10.3390/geosciences12110408" TargetMode="External"/><Relationship Id="rId58" Type="http://schemas.openxmlformats.org/officeDocument/2006/relationships/hyperlink" Target="https://doi.org/10.3390/toxics13030151" TargetMode="External"/><Relationship Id="rId74" Type="http://schemas.openxmlformats.org/officeDocument/2006/relationships/hyperlink" Target="https://doi.org/10.1038/bjc.2015.108" TargetMode="External"/><Relationship Id="rId79" Type="http://schemas.openxmlformats.org/officeDocument/2006/relationships/hyperlink" Target="https://doi.org/10.1016/j.marpolbul.2016.06.046" TargetMode="External"/><Relationship Id="rId5" Type="http://schemas.openxmlformats.org/officeDocument/2006/relationships/webSettings" Target="webSettings.xml"/><Relationship Id="rId1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hyperlink" Target="https://doi.org/10.1016/j.marpolbul.2025.118240" TargetMode="External"/><Relationship Id="rId27" Type="http://schemas.openxmlformats.org/officeDocument/2006/relationships/hyperlink" Target="https://doi.org/10.1016/j.jwpe.2025.108895" TargetMode="External"/><Relationship Id="rId30" Type="http://schemas.openxmlformats.org/officeDocument/2006/relationships/hyperlink" Target="https://doi.org/10.1016/j.tust.2023.105367" TargetMode="External"/><Relationship Id="rId35" Type="http://schemas.openxmlformats.org/officeDocument/2006/relationships/hyperlink" Target="https://doi.org/10.1080/15287394.2017.1283274" TargetMode="External"/><Relationship Id="rId43" Type="http://schemas.openxmlformats.org/officeDocument/2006/relationships/hyperlink" Target="https://doi.org/10.1016/j.scitotenv.2021.146739" TargetMode="External"/><Relationship Id="rId48" Type="http://schemas.openxmlformats.org/officeDocument/2006/relationships/hyperlink" Target="https://doi.org/10.1016/j.envint.2021.106752" TargetMode="External"/><Relationship Id="rId56" Type="http://schemas.openxmlformats.org/officeDocument/2006/relationships/hyperlink" Target="https://doi.org/10.1525/bio.2012.62.6.7" TargetMode="External"/><Relationship Id="rId64" Type="http://schemas.openxmlformats.org/officeDocument/2006/relationships/hyperlink" Target="https://doi.org/10.3390/ijerph13030346" TargetMode="External"/><Relationship Id="rId69" Type="http://schemas.openxmlformats.org/officeDocument/2006/relationships/hyperlink" Target="https://doi.org/10.1016/j.toxrep.2023.1109" TargetMode="External"/><Relationship Id="rId77" Type="http://schemas.openxmlformats.org/officeDocument/2006/relationships/hyperlink" Target="https://doi.org/10.3390/ijerph22010068" TargetMode="External"/><Relationship Id="rId8" Type="http://schemas.openxmlformats.org/officeDocument/2006/relationships/image" Target="media/image1.png"/><Relationship Id="rId51" Type="http://schemas.openxmlformats.org/officeDocument/2006/relationships/hyperlink" Target="https://doi.org/10.1016/j.envpol.2021.117186" TargetMode="External"/><Relationship Id="rId72" Type="http://schemas.openxmlformats.org/officeDocument/2006/relationships/hyperlink" Target="https://doi.org/10.1016/j.jwpe.2022.103479" TargetMode="External"/><Relationship Id="rId80" Type="http://schemas.openxmlformats.org/officeDocument/2006/relationships/hyperlink" Target="https://doi.org/10.3390/nano8121005"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s://doi.org/10.4236/jmmce.2012.118075" TargetMode="External"/><Relationship Id="rId33" Type="http://schemas.openxmlformats.org/officeDocument/2006/relationships/hyperlink" Target="https://doi.org/10.5055/ajdm.2011.0040" TargetMode="External"/><Relationship Id="rId38" Type="http://schemas.openxmlformats.org/officeDocument/2006/relationships/hyperlink" Target="https://doi.org/10.1056/NEJMra1007197" TargetMode="External"/><Relationship Id="rId46" Type="http://schemas.openxmlformats.org/officeDocument/2006/relationships/hyperlink" Target="https://doi.org/10.1016/S2468-2667(17)30194-9" TargetMode="External"/><Relationship Id="rId59" Type="http://schemas.openxmlformats.org/officeDocument/2006/relationships/hyperlink" Target="https://doi.org/10.5812/jjcdc-164263" TargetMode="External"/><Relationship Id="rId67" Type="http://schemas.openxmlformats.org/officeDocument/2006/relationships/hyperlink" Target="https://doi.org/10.1016/j.envpol.2019.07.021" TargetMode="External"/><Relationship Id="rId20" Type="http://schemas.openxmlformats.org/officeDocument/2006/relationships/header" Target="header3.xml"/><Relationship Id="rId41" Type="http://schemas.openxmlformats.org/officeDocument/2006/relationships/hyperlink" Target="https://doi.org/10.3389/ftox.2025.1542871" TargetMode="External"/><Relationship Id="rId54" Type="http://schemas.openxmlformats.org/officeDocument/2006/relationships/hyperlink" Target="https://doi.org/10.1371/journal.pone.0170423" TargetMode="External"/><Relationship Id="rId62" Type="http://schemas.openxmlformats.org/officeDocument/2006/relationships/hyperlink" Target="https://doi.org/10.11648/j.jher.20241002.11" TargetMode="External"/><Relationship Id="rId70" Type="http://schemas.openxmlformats.org/officeDocument/2006/relationships/hyperlink" Target="https://doi.org/10.1080/15287394.2011.606794" TargetMode="External"/><Relationship Id="rId75" Type="http://schemas.openxmlformats.org/officeDocument/2006/relationships/hyperlink" Target="https://doi.org/10.1136/oemed-2023-109139" TargetMode="External"/><Relationship Id="rId83" Type="http://schemas.openxmlformats.org/officeDocument/2006/relationships/hyperlink" Target="https://doi.org/10.3390/s231254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3390/s19112548" TargetMode="External"/><Relationship Id="rId28" Type="http://schemas.openxmlformats.org/officeDocument/2006/relationships/hyperlink" Target="https://doi.org/10.1136/oemed-2023-109139" TargetMode="External"/><Relationship Id="rId36" Type="http://schemas.openxmlformats.org/officeDocument/2006/relationships/hyperlink" Target="https://doi.org/10.1016/j.heliyon.2021.e07950" TargetMode="External"/><Relationship Id="rId49" Type="http://schemas.openxmlformats.org/officeDocument/2006/relationships/hyperlink" Target="https://doi.org/10.1016/j.pmatsci.2022.100946" TargetMode="External"/><Relationship Id="rId57" Type="http://schemas.openxmlformats.org/officeDocument/2006/relationships/hyperlink" Target="https://doi.org/10.1371/journal.pone.0065087" TargetMode="External"/><Relationship Id="rId10" Type="http://schemas.openxmlformats.org/officeDocument/2006/relationships/image" Target="media/image3.png"/><Relationship Id="rId31" Type="http://schemas.openxmlformats.org/officeDocument/2006/relationships/hyperlink" Target="https://doi.org/10.1097/JOM.0000000000000217" TargetMode="External"/><Relationship Id="rId44" Type="http://schemas.openxmlformats.org/officeDocument/2006/relationships/hyperlink" Target="https://doi.org/10.1016/j.jpse.2022.100074" TargetMode="External"/><Relationship Id="rId52" Type="http://schemas.openxmlformats.org/officeDocument/2006/relationships/hyperlink" Target="https://doi.org/10.3390/ijerph8030875" TargetMode="External"/><Relationship Id="rId60" Type="http://schemas.openxmlformats.org/officeDocument/2006/relationships/hyperlink" Target="https://doi.org/10.3390/ijerph13060592" TargetMode="External"/><Relationship Id="rId65" Type="http://schemas.openxmlformats.org/officeDocument/2006/relationships/hyperlink" Target="https://doi.org/10.3390/ijerph18084343" TargetMode="External"/><Relationship Id="rId73" Type="http://schemas.openxmlformats.org/officeDocument/2006/relationships/hyperlink" Target="https://doi.org/10.59568/JASIC-2025-6-1-18" TargetMode="External"/><Relationship Id="rId78" Type="http://schemas.openxmlformats.org/officeDocument/2006/relationships/hyperlink" Target="https://doi.org/10.1016/j.jngse.2009.08.002" TargetMode="External"/><Relationship Id="rId81" Type="http://schemas.openxmlformats.org/officeDocument/2006/relationships/hyperlink" Target="https://doi.org/10.3390/su151310067"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s://doi.org/10.1016/j.toxrep.2023.01.002" TargetMode="External"/><Relationship Id="rId34" Type="http://schemas.openxmlformats.org/officeDocument/2006/relationships/hyperlink" Target="https://doi.org/10.1016/j.envres.2017.03.048" TargetMode="External"/><Relationship Id="rId50" Type="http://schemas.openxmlformats.org/officeDocument/2006/relationships/hyperlink" Target="https://doi.org/10.1016/j.engfailanal.2021.105220" TargetMode="External"/><Relationship Id="rId55" Type="http://schemas.openxmlformats.org/officeDocument/2006/relationships/hyperlink" Target="https://doi.org/10.1073/pnas.1112139108" TargetMode="External"/><Relationship Id="rId76" Type="http://schemas.openxmlformats.org/officeDocument/2006/relationships/hyperlink" Target="https://doi.org/10.3390/ijerph22010068" TargetMode="External"/><Relationship Id="rId7" Type="http://schemas.openxmlformats.org/officeDocument/2006/relationships/endnotes" Target="endnotes.xml"/><Relationship Id="rId71" Type="http://schemas.openxmlformats.org/officeDocument/2006/relationships/hyperlink" Target="https://doi.org/10.1016/j.scitotenv.2019.02.045" TargetMode="External"/><Relationship Id="rId2" Type="http://schemas.openxmlformats.org/officeDocument/2006/relationships/numbering" Target="numbering.xml"/><Relationship Id="rId29" Type="http://schemas.openxmlformats.org/officeDocument/2006/relationships/hyperlink" Target="https://doi.org/10.1016/j.marpolbul.2016.06.027" TargetMode="External"/><Relationship Id="rId24" Type="http://schemas.openxmlformats.org/officeDocument/2006/relationships/hyperlink" Target="https://doi.org/10.1002/jat.1521" TargetMode="External"/><Relationship Id="rId40" Type="http://schemas.openxmlformats.org/officeDocument/2006/relationships/hyperlink" Target="https://doi.org/10.1016/j.envres.2021.111003" TargetMode="External"/><Relationship Id="rId45" Type="http://schemas.openxmlformats.org/officeDocument/2006/relationships/hyperlink" Target="https://doi.org/10.1016/j.ecolind.2022.109043" TargetMode="External"/><Relationship Id="rId66" Type="http://schemas.openxmlformats.org/officeDocument/2006/relationships/hyperlink" Target="https://doi.org/10.1016/j.envint.2021.106424" TargetMode="External"/><Relationship Id="rId61" Type="http://schemas.openxmlformats.org/officeDocument/2006/relationships/hyperlink" Target="https://doi.org/10.1039/D5SU00403A" TargetMode="External"/><Relationship Id="rId82" Type="http://schemas.openxmlformats.org/officeDocument/2006/relationships/hyperlink" Target="https://doi.org/10.1007/s10661-022-10157-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CC7-49DA-874D-C51FB77C45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CC7-49DA-874D-C51FB77C45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CC7-49DA-874D-C51FB77C45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CC7-49DA-874D-C51FB77C453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ECC7-49DA-874D-C51FB77C453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ECC7-49DA-874D-C51FB77C4539}"/>
                </c:ext>
              </c:extLst>
            </c:dLbl>
            <c:dLbl>
              <c:idx val="2"/>
              <c:layout>
                <c:manualLayout>
                  <c:x val="0"/>
                  <c:y val="-4.629629629629651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486C9FE-8345-455B-AEBA-909772ECE3E4}" type="CATEGORYNAME">
                      <a:rPr lang="en-US" sz="900"/>
                      <a:pPr>
                        <a:defRPr>
                          <a:solidFill>
                            <a:schemeClr val="accent1"/>
                          </a:solidFill>
                        </a:defRPr>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6988888888888889"/>
                      <c:h val="0.2399074074074074"/>
                    </c:manualLayout>
                  </c15:layout>
                  <c15:dlblFieldTable/>
                  <c15:showDataLabelsRange val="0"/>
                </c:ext>
                <c:ext xmlns:c16="http://schemas.microsoft.com/office/drawing/2014/chart" uri="{C3380CC4-5D6E-409C-BE32-E72D297353CC}">
                  <c16:uniqueId val="{00000005-ECC7-49DA-874D-C51FB77C4539}"/>
                </c:ext>
              </c:extLst>
            </c:dLbl>
            <c:dLbl>
              <c:idx val="3"/>
              <c:layout>
                <c:manualLayout>
                  <c:x val="5.2777777777777778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C7-49DA-874D-C51FB77C453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Chronic Systemic Risks (Neuro, Endo, Cancer)</c:v>
                </c:pt>
                <c:pt idx="1">
                  <c:v>Environmental Pathway (Contamination)</c:v>
                </c:pt>
                <c:pt idx="2">
                  <c:v>Workplace Specific (Ocular, Fatigue, EM)</c:v>
                </c:pt>
                <c:pt idx="3">
                  <c:v>Dermatological</c:v>
                </c:pt>
              </c:strCache>
            </c:strRef>
          </c:cat>
          <c:val>
            <c:numRef>
              <c:f>Sheet1!$B$2:$B$5</c:f>
              <c:numCache>
                <c:formatCode>0.00%</c:formatCode>
                <c:ptCount val="4"/>
                <c:pt idx="0">
                  <c:v>0.33300000000000002</c:v>
                </c:pt>
                <c:pt idx="1">
                  <c:v>0.33300000000000002</c:v>
                </c:pt>
                <c:pt idx="2">
                  <c:v>0.25</c:v>
                </c:pt>
                <c:pt idx="3">
                  <c:v>8.3000000000000004E-2</c:v>
                </c:pt>
              </c:numCache>
            </c:numRef>
          </c:val>
          <c:extLst>
            <c:ext xmlns:c16="http://schemas.microsoft.com/office/drawing/2014/chart" uri="{C3380CC4-5D6E-409C-BE32-E72D297353CC}">
              <c16:uniqueId val="{00000008-ECC7-49DA-874D-C51FB77C45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B7A31-83D3-406C-84B6-F02C86AC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12063</Words>
  <Characters>68761</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1022</cp:lastModifiedBy>
  <cp:revision>69</cp:revision>
  <dcterms:created xsi:type="dcterms:W3CDTF">2025-12-20T19:41:00Z</dcterms:created>
  <dcterms:modified xsi:type="dcterms:W3CDTF">2025-12-24T11:02:00Z</dcterms:modified>
</cp:coreProperties>
</file>