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A4FF5" w14:textId="77777777" w:rsidR="001D0282" w:rsidRPr="00DB5007" w:rsidRDefault="001D0282" w:rsidP="00DB5007">
      <w:pPr>
        <w:spacing w:line="360" w:lineRule="auto"/>
        <w:jc w:val="center"/>
        <w:rPr>
          <w:rFonts w:ascii="Times New Roman" w:hAnsi="Times New Roman" w:cs="Times New Roman"/>
          <w:b/>
          <w:bCs/>
          <w:sz w:val="36"/>
          <w:szCs w:val="36"/>
        </w:rPr>
      </w:pPr>
      <w:bookmarkStart w:id="0" w:name="_Hlk216978073"/>
      <w:r w:rsidRPr="00DB5007">
        <w:rPr>
          <w:rFonts w:ascii="Times New Roman" w:hAnsi="Times New Roman" w:cs="Times New Roman"/>
          <w:b/>
          <w:bCs/>
          <w:sz w:val="36"/>
          <w:szCs w:val="36"/>
        </w:rPr>
        <w:t>Graph Neural Networks for Multi-Layered Financial Crime Network Detection: An Explainable AI Framework for Anti-Money Laundering</w:t>
      </w:r>
    </w:p>
    <w:p w14:paraId="7C21ED6F" w14:textId="77777777" w:rsidR="00AE3975" w:rsidRPr="00DB5007" w:rsidRDefault="00AE3975" w:rsidP="00DB5007">
      <w:pPr>
        <w:spacing w:line="360" w:lineRule="auto"/>
        <w:jc w:val="both"/>
        <w:rPr>
          <w:rFonts w:ascii="Times New Roman" w:hAnsi="Times New Roman" w:cs="Times New Roman"/>
          <w:b/>
          <w:bCs/>
        </w:rPr>
      </w:pPr>
    </w:p>
    <w:p w14:paraId="1E08D9FA"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Abstract</w:t>
      </w:r>
    </w:p>
    <w:p w14:paraId="549F1A92" w14:textId="77777777" w:rsidR="001D0282" w:rsidRPr="00DB5007" w:rsidRDefault="001D0282" w:rsidP="00DB5007">
      <w:pPr>
        <w:spacing w:line="360" w:lineRule="auto"/>
        <w:jc w:val="both"/>
        <w:rPr>
          <w:rFonts w:ascii="Times New Roman" w:hAnsi="Times New Roman" w:cs="Times New Roman"/>
          <w:i/>
          <w:iCs/>
        </w:rPr>
      </w:pPr>
      <w:r w:rsidRPr="00DB5007">
        <w:rPr>
          <w:rFonts w:ascii="Times New Roman" w:hAnsi="Times New Roman" w:cs="Times New Roman"/>
          <w:i/>
          <w:iCs/>
        </w:rPr>
        <w:t xml:space="preserve">This study addresses the persistent challenges in anti-money laundering (AML) systems, where traditional rule-based and machine learning approaches struggle with sophisticated, multi-layered financial crime networks, high false positive rates, and regulatory demands for </w:t>
      </w:r>
      <w:proofErr w:type="spellStart"/>
      <w:r w:rsidRPr="00DB5007">
        <w:rPr>
          <w:rFonts w:ascii="Times New Roman" w:hAnsi="Times New Roman" w:cs="Times New Roman"/>
          <w:i/>
          <w:iCs/>
        </w:rPr>
        <w:t>explainability</w:t>
      </w:r>
      <w:proofErr w:type="spellEnd"/>
      <w:r w:rsidRPr="00DB5007">
        <w:rPr>
          <w:rFonts w:ascii="Times New Roman" w:hAnsi="Times New Roman" w:cs="Times New Roman"/>
          <w:i/>
          <w:iCs/>
        </w:rPr>
        <w:t xml:space="preserve">. The research develops and validates an integrated Graph Neural Network (GNN) framework augmented with Explainable Artificial Intelligence (XAI) techniques to detect complex money laundering patterns with enhanced accuracy, transparency, and scalability. A heterogeneous Graph Attention Network architecture was designed to model multi-layered financial networks incorporating transaction flows, entity relationships, device associations, and temporal dynamics. Feature engineering produced over 400 predictors, including velocity, behavioral deviations, network centrality, and geopolitical risk indicators. The framework was implemented using public benchmark datasets (IEEE-CIS Fraud Detection, Kaggle Credit Card Fraud, Elliptic Bitcoin) and synthetic transaction networks. Empirical results demonstrated superior performance, achieving AUC-ROC of 0.874, precision of 89.3%, recall of 82.1%, and F1-score of 0.857, outperforming baselines like </w:t>
      </w:r>
      <w:proofErr w:type="spellStart"/>
      <w:r w:rsidRPr="00DB5007">
        <w:rPr>
          <w:rFonts w:ascii="Times New Roman" w:hAnsi="Times New Roman" w:cs="Times New Roman"/>
          <w:i/>
          <w:iCs/>
        </w:rPr>
        <w:t>XGBoost</w:t>
      </w:r>
      <w:proofErr w:type="spellEnd"/>
      <w:r w:rsidRPr="00DB5007">
        <w:rPr>
          <w:rFonts w:ascii="Times New Roman" w:hAnsi="Times New Roman" w:cs="Times New Roman"/>
          <w:i/>
          <w:iCs/>
        </w:rPr>
        <w:t xml:space="preserve"> and standard GCNs by 5–6%. Relational features contributed over 51% of predictive power, validating the efficacy of multi-layered analysis. </w:t>
      </w:r>
      <w:proofErr w:type="spellStart"/>
      <w:r w:rsidRPr="00DB5007">
        <w:rPr>
          <w:rFonts w:ascii="Times New Roman" w:hAnsi="Times New Roman" w:cs="Times New Roman"/>
          <w:i/>
          <w:iCs/>
        </w:rPr>
        <w:t>SHapley</w:t>
      </w:r>
      <w:proofErr w:type="spellEnd"/>
      <w:r w:rsidRPr="00DB5007">
        <w:rPr>
          <w:rFonts w:ascii="Times New Roman" w:hAnsi="Times New Roman" w:cs="Times New Roman"/>
          <w:i/>
          <w:iCs/>
        </w:rPr>
        <w:t xml:space="preserve"> Additive </w:t>
      </w:r>
      <w:proofErr w:type="spellStart"/>
      <w:r w:rsidRPr="00DB5007">
        <w:rPr>
          <w:rFonts w:ascii="Times New Roman" w:hAnsi="Times New Roman" w:cs="Times New Roman"/>
          <w:i/>
          <w:iCs/>
        </w:rPr>
        <w:t>exPlanations</w:t>
      </w:r>
      <w:proofErr w:type="spellEnd"/>
      <w:r w:rsidRPr="00DB5007">
        <w:rPr>
          <w:rFonts w:ascii="Times New Roman" w:hAnsi="Times New Roman" w:cs="Times New Roman"/>
          <w:i/>
          <w:iCs/>
        </w:rPr>
        <w:t xml:space="preserve"> (SHAP), Local Interpretable Model-agnostic Explanations (LIME), and attention mechanisms provided stakeholder-tailored rationales, satisfying regulatory transparency requirements. Scalability tests confirmed stable performance across datasets up to 5.6 million transactions with sub-millisecond inference latency, while federated learning and differential privacy ensured viable privacy-utility trade-offs. The study concludes that GNN-XAI frameworks offer a practical pathway for modernizing AML systems, enabling precise detection of relational crime patterns with regulatory-compliant interpretability. </w:t>
      </w:r>
      <w:r w:rsidRPr="00DB5007">
        <w:rPr>
          <w:rFonts w:ascii="Times New Roman" w:hAnsi="Times New Roman" w:cs="Times New Roman"/>
          <w:i/>
          <w:iCs/>
        </w:rPr>
        <w:lastRenderedPageBreak/>
        <w:t>Recommendations emphasize domain-specific dataset development, temporal extensions, and real-world operational testing.</w:t>
      </w:r>
    </w:p>
    <w:p w14:paraId="76CB2934"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b/>
          <w:bCs/>
        </w:rPr>
        <w:t xml:space="preserve">Keywords: </w:t>
      </w:r>
      <w:r w:rsidRPr="00DB5007">
        <w:rPr>
          <w:rFonts w:ascii="Times New Roman" w:hAnsi="Times New Roman" w:cs="Times New Roman"/>
        </w:rPr>
        <w:t>Graph Neural Networks, Anti-Money Laundering, Explainable AI, Financial Crime Detection, Multi-Layered Networks</w:t>
      </w:r>
    </w:p>
    <w:p w14:paraId="03A9A418" w14:textId="77777777" w:rsidR="001D0282" w:rsidRPr="00DB5007" w:rsidRDefault="001D0282" w:rsidP="00DB5007">
      <w:pPr>
        <w:spacing w:line="360" w:lineRule="auto"/>
        <w:jc w:val="both"/>
        <w:rPr>
          <w:rFonts w:ascii="Times New Roman" w:hAnsi="Times New Roman" w:cs="Times New Roman"/>
          <w:b/>
          <w:bCs/>
        </w:rPr>
      </w:pPr>
    </w:p>
    <w:p w14:paraId="47FAF2F9"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1.</w:t>
      </w:r>
      <w:r w:rsidRPr="00DB5007">
        <w:rPr>
          <w:rFonts w:ascii="Times New Roman" w:hAnsi="Times New Roman" w:cs="Times New Roman"/>
          <w:b/>
          <w:bCs/>
        </w:rPr>
        <w:tab/>
        <w:t>Introduction</w:t>
      </w:r>
    </w:p>
    <w:p w14:paraId="01481CFE"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The financial landscape has transformed dramatically over the past two decades, marked by surging transaction volumes, advanced digital payment systems, and intricate global networks that fuel economic expansion and inclusion (Cheng et al., 2024). Yet, this growth has amplified vulnerabilities, enabling financial criminals to exploit gaps in detection and launder vast sums. This is commonly estimated to represent a small but significant share of global economic output, amounting to hundreds of billions and extending into the trillions of United States dollars each year which threatens the financial stability, security, and institutional integrity (</w:t>
      </w:r>
      <w:proofErr w:type="spellStart"/>
      <w:r w:rsidRPr="00DB5007">
        <w:rPr>
          <w:rFonts w:ascii="Times New Roman" w:hAnsi="Times New Roman" w:cs="Times New Roman"/>
        </w:rPr>
        <w:t>Bounie</w:t>
      </w:r>
      <w:proofErr w:type="spellEnd"/>
      <w:r w:rsidRPr="00DB5007">
        <w:rPr>
          <w:rFonts w:ascii="Times New Roman" w:hAnsi="Times New Roman" w:cs="Times New Roman"/>
        </w:rPr>
        <w:t>, 2025). Traditional anti-money laundering frameworks, rooted in rules-based monitoring and statistical thresholds, rely on preset patterns to flag anomalies but struggle to keep pace with rapidly evolving threats (</w:t>
      </w:r>
      <w:proofErr w:type="spellStart"/>
      <w:r w:rsidRPr="00DB5007">
        <w:rPr>
          <w:rFonts w:ascii="Times New Roman" w:hAnsi="Times New Roman" w:cs="Times New Roman"/>
        </w:rPr>
        <w:t>Ricadela</w:t>
      </w:r>
      <w:proofErr w:type="spellEnd"/>
      <w:r w:rsidRPr="00DB5007">
        <w:rPr>
          <w:rFonts w:ascii="Times New Roman" w:hAnsi="Times New Roman" w:cs="Times New Roman"/>
        </w:rPr>
        <w:t xml:space="preserve">, 2024). As a result, these systems generate false positive rates that exceed nine tenths of all alerts, overwhelming institutions with manual reviews that deliver limited value and impose heavy compliance costs on banks each year, much of which is expended on investigating ultimately harmless transactions (SAS, 2025; </w:t>
      </w:r>
      <w:proofErr w:type="spellStart"/>
      <w:r w:rsidRPr="00DB5007">
        <w:rPr>
          <w:rFonts w:ascii="Times New Roman" w:hAnsi="Times New Roman" w:cs="Times New Roman"/>
        </w:rPr>
        <w:t>Ricadela</w:t>
      </w:r>
      <w:proofErr w:type="spellEnd"/>
      <w:r w:rsidRPr="00DB5007">
        <w:rPr>
          <w:rFonts w:ascii="Times New Roman" w:hAnsi="Times New Roman" w:cs="Times New Roman"/>
        </w:rPr>
        <w:t>, 2024). As schemes grow sophisticated employing shell entities, trade-based laundering, and looped transactions, legacy methods overlook relational webs and temporal shifts beyond isolated events (</w:t>
      </w:r>
      <w:proofErr w:type="spellStart"/>
      <w:r w:rsidRPr="00DB5007">
        <w:rPr>
          <w:rFonts w:ascii="Times New Roman" w:hAnsi="Times New Roman" w:cs="Times New Roman"/>
        </w:rPr>
        <w:t>Basquill</w:t>
      </w:r>
      <w:proofErr w:type="spellEnd"/>
      <w:r w:rsidRPr="00DB5007">
        <w:rPr>
          <w:rFonts w:ascii="Times New Roman" w:hAnsi="Times New Roman" w:cs="Times New Roman"/>
        </w:rPr>
        <w:t xml:space="preserve">, 2022). Graph neural networks (GNNs) offer a paradigm shift, modeling interconnected data through message-passing that integrates local and global structures, outperforming tabular ML in fraud tasks by discerning nuanced patterns (Cheng et al., 2024; Huang, 2025). Empirical studies affirm GNNs' edge in accuracy and reduced errors on fraud benchmarks, yet deployment lags due to opacity in deep models (Hoang et al., 2025). Regulators like the FCA and EU bodies demand transparency under GDPR and AI standards, clashing with GNN "black boxes" that obscure decisions impacting lives and firms (Wilson, 2025; </w:t>
      </w:r>
      <w:proofErr w:type="spellStart"/>
      <w:r w:rsidRPr="00DB5007">
        <w:rPr>
          <w:rFonts w:ascii="Times New Roman" w:hAnsi="Times New Roman" w:cs="Times New Roman"/>
        </w:rPr>
        <w:t>Facctum</w:t>
      </w:r>
      <w:proofErr w:type="spellEnd"/>
      <w:r w:rsidRPr="00DB5007">
        <w:rPr>
          <w:rFonts w:ascii="Times New Roman" w:hAnsi="Times New Roman" w:cs="Times New Roman"/>
        </w:rPr>
        <w:t xml:space="preserve">, 2025a). Explainable AI (XAI) bridges this by elucidating processes via attributions like SHAP or LIME, aiding investigators, audits, and trust while cutting costs and boosting efficiency in AML (SAS, 2025; </w:t>
      </w:r>
      <w:proofErr w:type="spellStart"/>
      <w:r w:rsidRPr="00DB5007">
        <w:rPr>
          <w:rFonts w:ascii="Times New Roman" w:hAnsi="Times New Roman" w:cs="Times New Roman"/>
        </w:rPr>
        <w:t>Facctum</w:t>
      </w:r>
      <w:proofErr w:type="spellEnd"/>
      <w:r w:rsidRPr="00DB5007">
        <w:rPr>
          <w:rFonts w:ascii="Times New Roman" w:hAnsi="Times New Roman" w:cs="Times New Roman"/>
        </w:rPr>
        <w:t xml:space="preserve">, 2025a). Institutions adopting XAI </w:t>
      </w:r>
      <w:r w:rsidRPr="00DB5007">
        <w:rPr>
          <w:rFonts w:ascii="Times New Roman" w:hAnsi="Times New Roman" w:cs="Times New Roman"/>
        </w:rPr>
        <w:lastRenderedPageBreak/>
        <w:t>report streamlined probes and regulatory alignment, underscoring its role in ethical AI (</w:t>
      </w:r>
      <w:proofErr w:type="spellStart"/>
      <w:r w:rsidRPr="00DB5007">
        <w:rPr>
          <w:rFonts w:ascii="Times New Roman" w:hAnsi="Times New Roman" w:cs="Times New Roman"/>
        </w:rPr>
        <w:t>Bounie</w:t>
      </w:r>
      <w:proofErr w:type="spellEnd"/>
      <w:r w:rsidRPr="00DB5007">
        <w:rPr>
          <w:rFonts w:ascii="Times New Roman" w:hAnsi="Times New Roman" w:cs="Times New Roman"/>
        </w:rPr>
        <w:t xml:space="preserve">, 2025; </w:t>
      </w:r>
      <w:proofErr w:type="spellStart"/>
      <w:r w:rsidRPr="00DB5007">
        <w:rPr>
          <w:rFonts w:ascii="Times New Roman" w:hAnsi="Times New Roman" w:cs="Times New Roman"/>
        </w:rPr>
        <w:t>Vallarino</w:t>
      </w:r>
      <w:proofErr w:type="spellEnd"/>
      <w:r w:rsidRPr="00DB5007">
        <w:rPr>
          <w:rFonts w:ascii="Times New Roman" w:hAnsi="Times New Roman" w:cs="Times New Roman"/>
        </w:rPr>
        <w:t>, 2025).</w:t>
      </w:r>
    </w:p>
    <w:p w14:paraId="468CEA48"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This convergence exposes a core dilemma: while GNNs promise superior detection of multi-layered crimes, their opacity and scalability hurdles impede adoption amid regulatory scrutiny. Traditional ML and rules-based tools degrade on networks with indirect ties and collusions, capturing only 1% of illicit flows and ignoring how criminals mask origins through entity links or timed flows (</w:t>
      </w:r>
      <w:proofErr w:type="spellStart"/>
      <w:r w:rsidRPr="00DB5007">
        <w:rPr>
          <w:rFonts w:ascii="Times New Roman" w:hAnsi="Times New Roman" w:cs="Times New Roman"/>
        </w:rPr>
        <w:t>Bounie</w:t>
      </w:r>
      <w:proofErr w:type="spellEnd"/>
      <w:r w:rsidRPr="00DB5007">
        <w:rPr>
          <w:rFonts w:ascii="Times New Roman" w:hAnsi="Times New Roman" w:cs="Times New Roman"/>
        </w:rPr>
        <w:t xml:space="preserve">, 2025; </w:t>
      </w:r>
      <w:proofErr w:type="spellStart"/>
      <w:r w:rsidRPr="00DB5007">
        <w:rPr>
          <w:rFonts w:ascii="Times New Roman" w:hAnsi="Times New Roman" w:cs="Times New Roman"/>
        </w:rPr>
        <w:t>Basquill</w:t>
      </w:r>
      <w:proofErr w:type="spellEnd"/>
      <w:r w:rsidRPr="00DB5007">
        <w:rPr>
          <w:rFonts w:ascii="Times New Roman" w:hAnsi="Times New Roman" w:cs="Times New Roman"/>
        </w:rPr>
        <w:t xml:space="preserve">, 2022). Advanced models enhance precision but invite distrust without justifications, as opaque outputs risk sanctions and bias claims under Fair Credit Reporting Act (FCRA) and emerging AI rules (Wilson, 2025; Chen et al., 2023). Moreover, lab-tested GNNs falter at production scales, millions of nodes, billions of edges demanding microsecond inferences unmet by current designs (Gao et al., 2022; Hoang et al., 2025). These intertwined issues like accuracy shortfalls, </w:t>
      </w:r>
      <w:proofErr w:type="spellStart"/>
      <w:r w:rsidRPr="00DB5007">
        <w:rPr>
          <w:rFonts w:ascii="Times New Roman" w:hAnsi="Times New Roman" w:cs="Times New Roman"/>
        </w:rPr>
        <w:t>explainability</w:t>
      </w:r>
      <w:proofErr w:type="spellEnd"/>
      <w:r w:rsidRPr="00DB5007">
        <w:rPr>
          <w:rFonts w:ascii="Times New Roman" w:hAnsi="Times New Roman" w:cs="Times New Roman"/>
        </w:rPr>
        <w:t xml:space="preserve"> voids, and deployment barriers form the research problem, necessitating an integrated GNN-XAI system for relational fraud, transparent rationales, and efficient scaling on real-world data (Cheng et al., 2024; </w:t>
      </w:r>
      <w:proofErr w:type="spellStart"/>
      <w:r w:rsidRPr="00DB5007">
        <w:rPr>
          <w:rFonts w:ascii="Times New Roman" w:hAnsi="Times New Roman" w:cs="Times New Roman"/>
        </w:rPr>
        <w:t>Vallarino</w:t>
      </w:r>
      <w:proofErr w:type="spellEnd"/>
      <w:r w:rsidRPr="00DB5007">
        <w:rPr>
          <w:rFonts w:ascii="Times New Roman" w:hAnsi="Times New Roman" w:cs="Times New Roman"/>
        </w:rPr>
        <w:t>, 2025). Addressing this gap could reclaim enforcement efficacy, harmonize tech with governance, and adapt to dynamic threats in digitized finance.</w:t>
      </w:r>
    </w:p>
    <w:p w14:paraId="270493DE"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The study's scope delimits focus for rigor within remote constraints, targeting multinational AML across banking, remittances, and crypto, emphasizing cross-border schemes like layering via intermediaries or collusive trades (</w:t>
      </w:r>
      <w:proofErr w:type="spellStart"/>
      <w:r w:rsidRPr="00DB5007">
        <w:rPr>
          <w:rFonts w:ascii="Times New Roman" w:hAnsi="Times New Roman" w:cs="Times New Roman"/>
        </w:rPr>
        <w:t>Basquill</w:t>
      </w:r>
      <w:proofErr w:type="spellEnd"/>
      <w:r w:rsidRPr="00DB5007">
        <w:rPr>
          <w:rFonts w:ascii="Times New Roman" w:hAnsi="Times New Roman" w:cs="Times New Roman"/>
        </w:rPr>
        <w:t xml:space="preserve">, 2022; Huang, 2025). It prioritizes network-heavy crimes over simple anomalies, using supervised GNNs with XAI like attention and attributions, plus federated privacy for sensitive data eschewing reinforcement or causal methods (Cheng et al., 2024; </w:t>
      </w:r>
      <w:proofErr w:type="spellStart"/>
      <w:r w:rsidRPr="00DB5007">
        <w:rPr>
          <w:rFonts w:ascii="Times New Roman" w:hAnsi="Times New Roman" w:cs="Times New Roman"/>
        </w:rPr>
        <w:t>Facctum</w:t>
      </w:r>
      <w:proofErr w:type="spellEnd"/>
      <w:r w:rsidRPr="00DB5007">
        <w:rPr>
          <w:rFonts w:ascii="Times New Roman" w:hAnsi="Times New Roman" w:cs="Times New Roman"/>
        </w:rPr>
        <w:t xml:space="preserve">, 2025a). Data draws from public benchmarks, synthetic networks mimicking real flows, and case analyses, avoiding proprietary access per regulations, all executable remotely via Python tools like </w:t>
      </w:r>
      <w:proofErr w:type="spellStart"/>
      <w:r w:rsidRPr="00DB5007">
        <w:rPr>
          <w:rFonts w:ascii="Times New Roman" w:hAnsi="Times New Roman" w:cs="Times New Roman"/>
        </w:rPr>
        <w:t>PyTorch</w:t>
      </w:r>
      <w:proofErr w:type="spellEnd"/>
      <w:r w:rsidRPr="00DB5007">
        <w:rPr>
          <w:rFonts w:ascii="Times New Roman" w:hAnsi="Times New Roman" w:cs="Times New Roman"/>
        </w:rPr>
        <w:t xml:space="preserve"> (Gao et al., 2022; Hoang et al., 2025). Implementation yields architectures and validations, not live deployments. This includes scalability tests for institutional uptake, framed in 2023-2025 tech contexts (</w:t>
      </w:r>
      <w:proofErr w:type="spellStart"/>
      <w:r w:rsidRPr="00DB5007">
        <w:rPr>
          <w:rFonts w:ascii="Times New Roman" w:hAnsi="Times New Roman" w:cs="Times New Roman"/>
        </w:rPr>
        <w:t>Vallarino</w:t>
      </w:r>
      <w:proofErr w:type="spellEnd"/>
      <w:r w:rsidRPr="00DB5007">
        <w:rPr>
          <w:rFonts w:ascii="Times New Roman" w:hAnsi="Times New Roman" w:cs="Times New Roman"/>
        </w:rPr>
        <w:t>, 2025; Chen et al., 2023). This bounded lens ensures generalizable insights for global AML evolution.</w:t>
      </w:r>
    </w:p>
    <w:p w14:paraId="75A96411"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The study's import spans realms, enriching GNN-XAI-financial crime scholarship by fusing streams on detection, transparency, and privacy, probing trade-offs in network models (Cheng et al., 2024; Chen et al., 2023). For banks, it delivers tools slashing false positives, compliance </w:t>
      </w:r>
      <w:r w:rsidRPr="00DB5007">
        <w:rPr>
          <w:rFonts w:ascii="Times New Roman" w:hAnsi="Times New Roman" w:cs="Times New Roman"/>
        </w:rPr>
        <w:lastRenderedPageBreak/>
        <w:t>spends, and risks, fostering edges in digital markets via interpretable alerts and federated handling of jurisdictional data (</w:t>
      </w:r>
      <w:proofErr w:type="spellStart"/>
      <w:r w:rsidRPr="00DB5007">
        <w:rPr>
          <w:rFonts w:ascii="Times New Roman" w:hAnsi="Times New Roman" w:cs="Times New Roman"/>
        </w:rPr>
        <w:t>Ricadela</w:t>
      </w:r>
      <w:proofErr w:type="spellEnd"/>
      <w:r w:rsidRPr="00DB5007">
        <w:rPr>
          <w:rFonts w:ascii="Times New Roman" w:hAnsi="Times New Roman" w:cs="Times New Roman"/>
        </w:rPr>
        <w:t xml:space="preserve">, 2024; SAS, 2025). Regulators gain evidence for AI-friendly policies, validating </w:t>
      </w:r>
      <w:proofErr w:type="spellStart"/>
      <w:r w:rsidRPr="00DB5007">
        <w:rPr>
          <w:rFonts w:ascii="Times New Roman" w:hAnsi="Times New Roman" w:cs="Times New Roman"/>
        </w:rPr>
        <w:t>explainability</w:t>
      </w:r>
      <w:proofErr w:type="spellEnd"/>
      <w:r w:rsidRPr="00DB5007">
        <w:rPr>
          <w:rFonts w:ascii="Times New Roman" w:hAnsi="Times New Roman" w:cs="Times New Roman"/>
        </w:rPr>
        <w:t xml:space="preserve"> in fraud contexts to spur ethical innovation (Wilson, 2025; </w:t>
      </w:r>
      <w:proofErr w:type="spellStart"/>
      <w:r w:rsidRPr="00DB5007">
        <w:rPr>
          <w:rFonts w:ascii="Times New Roman" w:hAnsi="Times New Roman" w:cs="Times New Roman"/>
        </w:rPr>
        <w:t>Bounie</w:t>
      </w:r>
      <w:proofErr w:type="spellEnd"/>
      <w:r w:rsidRPr="00DB5007">
        <w:rPr>
          <w:rFonts w:ascii="Times New Roman" w:hAnsi="Times New Roman" w:cs="Times New Roman"/>
        </w:rPr>
        <w:t>, 2025). Practitioners acquire blueprints for GNN-XAI integration, easing remote teams' workflows with scalable, auditable systems (</w:t>
      </w:r>
      <w:proofErr w:type="spellStart"/>
      <w:r w:rsidRPr="00DB5007">
        <w:rPr>
          <w:rFonts w:ascii="Times New Roman" w:hAnsi="Times New Roman" w:cs="Times New Roman"/>
        </w:rPr>
        <w:t>Facctum</w:t>
      </w:r>
      <w:proofErr w:type="spellEnd"/>
      <w:r w:rsidRPr="00DB5007">
        <w:rPr>
          <w:rFonts w:ascii="Times New Roman" w:hAnsi="Times New Roman" w:cs="Times New Roman"/>
        </w:rPr>
        <w:t xml:space="preserve">, 2025b; </w:t>
      </w:r>
      <w:proofErr w:type="spellStart"/>
      <w:r w:rsidRPr="00DB5007">
        <w:rPr>
          <w:rFonts w:ascii="Times New Roman" w:hAnsi="Times New Roman" w:cs="Times New Roman"/>
        </w:rPr>
        <w:t>Facctum</w:t>
      </w:r>
      <w:proofErr w:type="spellEnd"/>
      <w:r w:rsidRPr="00DB5007">
        <w:rPr>
          <w:rFonts w:ascii="Times New Roman" w:hAnsi="Times New Roman" w:cs="Times New Roman"/>
        </w:rPr>
        <w:t>, 2025a). Societally, it bolsters anti-corruption, terror finance curbs, and system safeguards, advancing security and equity (</w:t>
      </w:r>
      <w:proofErr w:type="spellStart"/>
      <w:r w:rsidRPr="00DB5007">
        <w:rPr>
          <w:rFonts w:ascii="Times New Roman" w:hAnsi="Times New Roman" w:cs="Times New Roman"/>
        </w:rPr>
        <w:t>Basquill</w:t>
      </w:r>
      <w:proofErr w:type="spellEnd"/>
      <w:r w:rsidRPr="00DB5007">
        <w:rPr>
          <w:rFonts w:ascii="Times New Roman" w:hAnsi="Times New Roman" w:cs="Times New Roman"/>
        </w:rPr>
        <w:t>, 2022; (Huang, 2025). By tackling these, the work catalyzes trustworthy AI for resilient finance.</w:t>
      </w:r>
    </w:p>
    <w:p w14:paraId="7E70D7C2"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The research aim is to develop and validate a GNN-XAI framework for detecting complex financial crime networks with high accuracy, transparency, and scalability on large datasets. The research objectives are to:</w:t>
      </w:r>
    </w:p>
    <w:p w14:paraId="4A1229C8" w14:textId="77777777" w:rsidR="001D0282" w:rsidRPr="00DB5007" w:rsidRDefault="001D0282" w:rsidP="00DB5007">
      <w:pPr>
        <w:numPr>
          <w:ilvl w:val="0"/>
          <w:numId w:val="1"/>
        </w:numPr>
        <w:spacing w:line="360" w:lineRule="auto"/>
        <w:jc w:val="both"/>
        <w:rPr>
          <w:rFonts w:ascii="Times New Roman" w:hAnsi="Times New Roman" w:cs="Times New Roman"/>
        </w:rPr>
      </w:pPr>
      <w:r w:rsidRPr="00DB5007">
        <w:rPr>
          <w:rFonts w:ascii="Times New Roman" w:hAnsi="Times New Roman" w:cs="Times New Roman"/>
        </w:rPr>
        <w:t>design GNN models for multi-layered financial networks and evaluate against baselines for improved detection metrics.</w:t>
      </w:r>
    </w:p>
    <w:p w14:paraId="35D9C4AF" w14:textId="77777777" w:rsidR="001D0282" w:rsidRPr="00DB5007" w:rsidRDefault="001D0282" w:rsidP="00DB5007">
      <w:pPr>
        <w:numPr>
          <w:ilvl w:val="0"/>
          <w:numId w:val="1"/>
        </w:numPr>
        <w:spacing w:line="360" w:lineRule="auto"/>
        <w:jc w:val="both"/>
        <w:rPr>
          <w:rFonts w:ascii="Times New Roman" w:hAnsi="Times New Roman" w:cs="Times New Roman"/>
        </w:rPr>
      </w:pPr>
      <w:r w:rsidRPr="00DB5007">
        <w:rPr>
          <w:rFonts w:ascii="Times New Roman" w:hAnsi="Times New Roman" w:cs="Times New Roman"/>
        </w:rPr>
        <w:t>integrate XAI techniques to provide stakeholder-tailored explanations meeting regulatory transparency standards.</w:t>
      </w:r>
    </w:p>
    <w:p w14:paraId="7E5B3E0B" w14:textId="77777777" w:rsidR="001D0282" w:rsidRPr="00DB5007" w:rsidRDefault="001D0282" w:rsidP="00DB5007">
      <w:pPr>
        <w:numPr>
          <w:ilvl w:val="0"/>
          <w:numId w:val="1"/>
        </w:numPr>
        <w:spacing w:line="360" w:lineRule="auto"/>
        <w:jc w:val="both"/>
        <w:rPr>
          <w:rFonts w:ascii="Times New Roman" w:hAnsi="Times New Roman" w:cs="Times New Roman"/>
        </w:rPr>
      </w:pPr>
      <w:r w:rsidRPr="00DB5007">
        <w:rPr>
          <w:rFonts w:ascii="Times New Roman" w:hAnsi="Times New Roman" w:cs="Times New Roman"/>
        </w:rPr>
        <w:t>benchmark framework scalability and efficiency on production-scale datasets using optimization strategies.</w:t>
      </w:r>
    </w:p>
    <w:bookmarkEnd w:id="0"/>
    <w:p w14:paraId="59BECAF6" w14:textId="77777777" w:rsidR="001D0282" w:rsidRPr="00DB5007" w:rsidRDefault="001D0282" w:rsidP="00DB5007">
      <w:pPr>
        <w:spacing w:line="360" w:lineRule="auto"/>
        <w:jc w:val="both"/>
        <w:rPr>
          <w:rFonts w:ascii="Times New Roman" w:hAnsi="Times New Roman" w:cs="Times New Roman"/>
        </w:rPr>
      </w:pPr>
    </w:p>
    <w:p w14:paraId="3E9A072E"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2.</w:t>
      </w:r>
      <w:r w:rsidRPr="00DB5007">
        <w:rPr>
          <w:rFonts w:ascii="Times New Roman" w:hAnsi="Times New Roman" w:cs="Times New Roman"/>
          <w:b/>
          <w:bCs/>
        </w:rPr>
        <w:tab/>
        <w:t>Literature Review</w:t>
      </w:r>
    </w:p>
    <w:p w14:paraId="36123D1D" w14:textId="77777777" w:rsidR="001D0282"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This literature review synthesizes theoretical, conceptual, and empirical advancements in graph neural networks (GNNs) for multi-layered detection, intertwined with explainable AI (XAI) imperatives. By examining the progression from basic graph representations to dynamic, interpretable frameworks, this chapter delineates how GNNs capture entity interdependencies in financial ecosystems, while highlighting XAI's role in bridging regulatory transparency gaps. The review draws from peer-reviewed sources, revealing a trajectory toward integrated models yet underscoring persistent voids in scalability, multi-layer fusion, and real-world </w:t>
      </w:r>
      <w:proofErr w:type="spellStart"/>
      <w:r w:rsidRPr="00DB5007">
        <w:rPr>
          <w:rFonts w:ascii="Times New Roman" w:hAnsi="Times New Roman" w:cs="Times New Roman"/>
        </w:rPr>
        <w:t>explainability</w:t>
      </w:r>
      <w:proofErr w:type="spellEnd"/>
      <w:r w:rsidRPr="00DB5007">
        <w:rPr>
          <w:rFonts w:ascii="Times New Roman" w:hAnsi="Times New Roman" w:cs="Times New Roman"/>
        </w:rPr>
        <w:t xml:space="preserve"> that the proposed framework seeks to address.</w:t>
      </w:r>
    </w:p>
    <w:p w14:paraId="793839A7" w14:textId="77777777" w:rsidR="00DB5007" w:rsidRPr="00DB5007" w:rsidRDefault="00DB5007" w:rsidP="00DB5007">
      <w:pPr>
        <w:spacing w:line="360" w:lineRule="auto"/>
        <w:jc w:val="both"/>
        <w:rPr>
          <w:rFonts w:ascii="Times New Roman" w:hAnsi="Times New Roman" w:cs="Times New Roman"/>
        </w:rPr>
      </w:pPr>
    </w:p>
    <w:p w14:paraId="74BF4D5C"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lastRenderedPageBreak/>
        <w:t>Theoretical Foundations of Graph Neural Networks in Relational Financial Data</w:t>
      </w:r>
    </w:p>
    <w:p w14:paraId="6A07BBBB"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Graph Neural Network theory frames graphs as natural representations of financial systems, where nodes correspond to entities such as accounts or transactions and edges capture interactions like transfers or shared attributes. Unlike convolutional neural networks designed for Euclidean data, GNNs rely on spectral or spatial convolutions and message passing to propagate information across connected nodes, allowing them to generalize to previously unseen graph structures (Cheng et al., 2024). This makes GNNs particularly well suited to financial crime detection, where illicit behavior often appears as subtle structural irregularities embedded within complex, multi-layered networks rather than as isolated anomalies.</w:t>
      </w:r>
    </w:p>
    <w:p w14:paraId="45B9D1C5"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Conceptual advances such as heterogeneous GNNs extend this framework by supporting multiple node and edge types, enabling models to traverse meaningful semantic paths across ownership, transaction, and relational layers (Devi et al., 2025). Theoretical work on multi-layer graph fusion further enhances representational power by integrating transaction and relational embeddings through tensor-based approaches, improving the detection of laundering patterns (Li et al., 2025). Empirical validation of these ideas is evident in benchmarks such as the Elliptic dataset, where GNN-based models achieve strong performance by modeling relationships between addresses and exchanges (</w:t>
      </w:r>
      <w:proofErr w:type="spellStart"/>
      <w:r w:rsidRPr="00DB5007">
        <w:rPr>
          <w:rFonts w:ascii="Times New Roman" w:hAnsi="Times New Roman" w:cs="Times New Roman"/>
        </w:rPr>
        <w:t>Kute</w:t>
      </w:r>
      <w:proofErr w:type="spellEnd"/>
      <w:r w:rsidRPr="00DB5007">
        <w:rPr>
          <w:rFonts w:ascii="Times New Roman" w:hAnsi="Times New Roman" w:cs="Times New Roman"/>
        </w:rPr>
        <w:t xml:space="preserve"> et al., 2021). However, many GNNs assume homophily, an assumption often violated in adversarial financial networks where criminals deliberately connect dissimilar entities. This challenge has motivated more robust approaches such as sampling-based architectures like </w:t>
      </w:r>
      <w:proofErr w:type="spellStart"/>
      <w:r w:rsidRPr="00DB5007">
        <w:rPr>
          <w:rFonts w:ascii="Times New Roman" w:hAnsi="Times New Roman" w:cs="Times New Roman"/>
        </w:rPr>
        <w:t>GraphSAGE</w:t>
      </w:r>
      <w:proofErr w:type="spellEnd"/>
      <w:r w:rsidRPr="00DB5007">
        <w:rPr>
          <w:rFonts w:ascii="Times New Roman" w:hAnsi="Times New Roman" w:cs="Times New Roman"/>
        </w:rPr>
        <w:t xml:space="preserve"> (Hamilton et al., 2017). While theoretically powerful, these models still face limitations when applied to dynamic and evolving financial networks, highlighting the need for AML-specific refinements.</w:t>
      </w:r>
    </w:p>
    <w:p w14:paraId="04B14E6F"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Empirical Applications of GNNs in Multi-Layered Financial Crime Detection</w:t>
      </w:r>
    </w:p>
    <w:p w14:paraId="211A9FF7"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Empirical applications of Graph Neural Networks in anti-money laundering have expanded rapidly, demonstrating their ability to uncover collusive behavior that remains hidden in traditional </w:t>
      </w:r>
      <w:proofErr w:type="gramStart"/>
      <w:r w:rsidRPr="00DB5007">
        <w:rPr>
          <w:rFonts w:ascii="Times New Roman" w:hAnsi="Times New Roman" w:cs="Times New Roman"/>
        </w:rPr>
        <w:t>transaction based</w:t>
      </w:r>
      <w:proofErr w:type="gramEnd"/>
      <w:r w:rsidRPr="00DB5007">
        <w:rPr>
          <w:rFonts w:ascii="Times New Roman" w:hAnsi="Times New Roman" w:cs="Times New Roman"/>
        </w:rPr>
        <w:t xml:space="preserve"> analyses. Recent studies show that multi layered GNN architectures, which integrate transactional, relational, and behavioral information, significantly improve detection performance. For example, </w:t>
      </w:r>
      <w:proofErr w:type="spellStart"/>
      <w:r w:rsidRPr="00DB5007">
        <w:rPr>
          <w:rFonts w:ascii="Times New Roman" w:hAnsi="Times New Roman" w:cs="Times New Roman"/>
        </w:rPr>
        <w:t>FinGuard</w:t>
      </w:r>
      <w:proofErr w:type="spellEnd"/>
      <w:r w:rsidRPr="00DB5007">
        <w:rPr>
          <w:rFonts w:ascii="Times New Roman" w:hAnsi="Times New Roman" w:cs="Times New Roman"/>
        </w:rPr>
        <w:t xml:space="preserve"> GNN combines temporal GNNs across multiple layers and achieves notable recall improvements over conventional machine learning models by identifying cyclic transaction flows associated with laundering activities (Huang, 2025). Similarly, LSTM-</w:t>
      </w:r>
      <w:r w:rsidRPr="00DB5007">
        <w:rPr>
          <w:rFonts w:ascii="Times New Roman" w:hAnsi="Times New Roman" w:cs="Times New Roman"/>
        </w:rPr>
        <w:lastRenderedPageBreak/>
        <w:t>based Aggregation and Signed message passing Graph Neural Network (LAS GNN) enhances blockchain analysis by jointly encoding entities and transactions, achieving high precision through the incorporation of temporal ordering and directional information (</w:t>
      </w:r>
      <w:proofErr w:type="spellStart"/>
      <w:r w:rsidRPr="00DB5007">
        <w:rPr>
          <w:rFonts w:ascii="Times New Roman" w:hAnsi="Times New Roman" w:cs="Times New Roman"/>
        </w:rPr>
        <w:t>Verlaan</w:t>
      </w:r>
      <w:proofErr w:type="spellEnd"/>
      <w:r w:rsidRPr="00DB5007">
        <w:rPr>
          <w:rFonts w:ascii="Times New Roman" w:hAnsi="Times New Roman" w:cs="Times New Roman"/>
        </w:rPr>
        <w:t xml:space="preserve"> et al., 2025).</w:t>
      </w:r>
    </w:p>
    <w:p w14:paraId="15777D95"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Further evidence of multi-layer effectiveness is found in hierarchical models that sequentially aggregate transaction data, infer ownership or control relationships through meta paths, and incorporate contextual signals such as device or location data. Systems such as MG HRL demonstrate strong clustering performance on real banking data, enabling the identification of organized laundering groups with high accuracy (Qian &amp; Tong, 2025). Scalability remains a key concern, prompting the use of </w:t>
      </w:r>
      <w:proofErr w:type="spellStart"/>
      <w:r w:rsidRPr="00DB5007">
        <w:rPr>
          <w:rFonts w:ascii="Times New Roman" w:hAnsi="Times New Roman" w:cs="Times New Roman"/>
        </w:rPr>
        <w:t>GraphSAGE</w:t>
      </w:r>
      <w:proofErr w:type="spellEnd"/>
      <w:r w:rsidRPr="00DB5007">
        <w:rPr>
          <w:rFonts w:ascii="Times New Roman" w:hAnsi="Times New Roman" w:cs="Times New Roman"/>
        </w:rPr>
        <w:t xml:space="preserve"> based approaches that sample large financial networks efficiently, while attention based GNNs enhance specificity by emphasizing high risk neighbors in highly imbalanced datasets (Lou et al., 2024). Reinforcement learning augmented GNNs further improve adaptability by reducing false positives in evolving laundering scenarios (Devi et al., 2025). Despite these advances, most deployments rely on supervised learning and struggle with sparse labels in real world environments, where illicit activity constitutes a very small fraction of overall transactions (Lawal &amp; </w:t>
      </w:r>
      <w:proofErr w:type="spellStart"/>
      <w:r w:rsidRPr="00DB5007">
        <w:rPr>
          <w:rFonts w:ascii="Times New Roman" w:hAnsi="Times New Roman" w:cs="Times New Roman"/>
        </w:rPr>
        <w:t>Obunadike</w:t>
      </w:r>
      <w:proofErr w:type="spellEnd"/>
      <w:r w:rsidRPr="00DB5007">
        <w:rPr>
          <w:rFonts w:ascii="Times New Roman" w:hAnsi="Times New Roman" w:cs="Times New Roman"/>
        </w:rPr>
        <w:t>, 2025).</w:t>
      </w:r>
    </w:p>
    <w:p w14:paraId="24196F1C"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Explainable AI Integration with GNNs for Transparent AML Decision-Making</w:t>
      </w:r>
    </w:p>
    <w:p w14:paraId="7EC83E90"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The integration of explainable artificial intelligence into Graph Neural Networks addresses longstanding concerns about model opacity while supporting regulatory requirements such as the right to explanation under data protection frameworks (Wilson, 2025). In the context of financial crime detection, XAI techniques enhance trust by translating complex GNN outputs into interpretable rationales that compliance professionals can act upon. Post hoc approaches such as </w:t>
      </w:r>
      <w:proofErr w:type="spellStart"/>
      <w:r w:rsidRPr="00DB5007">
        <w:rPr>
          <w:rFonts w:ascii="Times New Roman" w:hAnsi="Times New Roman" w:cs="Times New Roman"/>
        </w:rPr>
        <w:t>GNNExplainer</w:t>
      </w:r>
      <w:proofErr w:type="spellEnd"/>
      <w:r w:rsidRPr="00DB5007">
        <w:rPr>
          <w:rFonts w:ascii="Times New Roman" w:hAnsi="Times New Roman" w:cs="Times New Roman"/>
        </w:rPr>
        <w:t xml:space="preserve"> identify influential subgraphs and edges, enabling analysts to understand why specific accounts or transactions are flagged, with strong fidelity reported in fraud detection tasks (</w:t>
      </w:r>
      <w:proofErr w:type="spellStart"/>
      <w:r w:rsidRPr="00DB5007">
        <w:rPr>
          <w:rFonts w:ascii="Times New Roman" w:hAnsi="Times New Roman" w:cs="Times New Roman"/>
        </w:rPr>
        <w:t>Vallarino</w:t>
      </w:r>
      <w:proofErr w:type="spellEnd"/>
      <w:r w:rsidRPr="00DB5007">
        <w:rPr>
          <w:rFonts w:ascii="Times New Roman" w:hAnsi="Times New Roman" w:cs="Times New Roman"/>
        </w:rPr>
        <w:t>, 2025).</w:t>
      </w:r>
    </w:p>
    <w:p w14:paraId="63151FC2"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Intrinsic </w:t>
      </w:r>
      <w:proofErr w:type="spellStart"/>
      <w:r w:rsidRPr="00DB5007">
        <w:rPr>
          <w:rFonts w:ascii="Times New Roman" w:hAnsi="Times New Roman" w:cs="Times New Roman"/>
        </w:rPr>
        <w:t>explainability</w:t>
      </w:r>
      <w:proofErr w:type="spellEnd"/>
      <w:r w:rsidRPr="00DB5007">
        <w:rPr>
          <w:rFonts w:ascii="Times New Roman" w:hAnsi="Times New Roman" w:cs="Times New Roman"/>
        </w:rPr>
        <w:t xml:space="preserve"> is also achieved through attention based GNNs, where learned attention weights highlight the most influential relationships, allowing investigators to associate </w:t>
      </w:r>
      <w:proofErr w:type="gramStart"/>
      <w:r w:rsidRPr="00DB5007">
        <w:rPr>
          <w:rFonts w:ascii="Times New Roman" w:hAnsi="Times New Roman" w:cs="Times New Roman"/>
        </w:rPr>
        <w:t>high risk</w:t>
      </w:r>
      <w:proofErr w:type="gramEnd"/>
      <w:r w:rsidRPr="00DB5007">
        <w:rPr>
          <w:rFonts w:ascii="Times New Roman" w:hAnsi="Times New Roman" w:cs="Times New Roman"/>
        </w:rPr>
        <w:t xml:space="preserve"> scores with patterns such as temporal cycles indicative of laundering behavior (SAS, 2025). Hybrid XAI GNN systems further improve operational efficiency. For instance, explainable variants of </w:t>
      </w:r>
      <w:proofErr w:type="spellStart"/>
      <w:r w:rsidRPr="00DB5007">
        <w:rPr>
          <w:rFonts w:ascii="Times New Roman" w:hAnsi="Times New Roman" w:cs="Times New Roman"/>
        </w:rPr>
        <w:t>FinGuard</w:t>
      </w:r>
      <w:proofErr w:type="spellEnd"/>
      <w:r w:rsidRPr="00DB5007">
        <w:rPr>
          <w:rFonts w:ascii="Times New Roman" w:hAnsi="Times New Roman" w:cs="Times New Roman"/>
        </w:rPr>
        <w:t xml:space="preserve"> apply SHAP based feature attributions to graph embeddings, significantly reducing </w:t>
      </w:r>
      <w:r w:rsidRPr="00DB5007">
        <w:rPr>
          <w:rFonts w:ascii="Times New Roman" w:hAnsi="Times New Roman" w:cs="Times New Roman"/>
        </w:rPr>
        <w:lastRenderedPageBreak/>
        <w:t>investigation time while explaining the majority of alerts in empirical studies (</w:t>
      </w:r>
      <w:proofErr w:type="spellStart"/>
      <w:r w:rsidRPr="00DB5007">
        <w:rPr>
          <w:rFonts w:ascii="Times New Roman" w:hAnsi="Times New Roman" w:cs="Times New Roman"/>
        </w:rPr>
        <w:t>Pousette</w:t>
      </w:r>
      <w:proofErr w:type="spellEnd"/>
      <w:r w:rsidRPr="00DB5007">
        <w:rPr>
          <w:rFonts w:ascii="Times New Roman" w:hAnsi="Times New Roman" w:cs="Times New Roman"/>
        </w:rPr>
        <w:t xml:space="preserve"> &amp; </w:t>
      </w:r>
      <w:proofErr w:type="spellStart"/>
      <w:r w:rsidRPr="00DB5007">
        <w:rPr>
          <w:rFonts w:ascii="Times New Roman" w:hAnsi="Times New Roman" w:cs="Times New Roman"/>
        </w:rPr>
        <w:t>Rosendal</w:t>
      </w:r>
      <w:proofErr w:type="spellEnd"/>
      <w:r w:rsidRPr="00DB5007">
        <w:rPr>
          <w:rFonts w:ascii="Times New Roman" w:hAnsi="Times New Roman" w:cs="Times New Roman"/>
        </w:rPr>
        <w:t>, 2024).</w:t>
      </w:r>
    </w:p>
    <w:p w14:paraId="3C7042A6"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Beyond operational benefits, XAI frameworks are increasingly designed for diverse stakeholders, offering counterfactual explanations for regulators and prototype based motifs for investigators (Lawal &amp; </w:t>
      </w:r>
      <w:proofErr w:type="spellStart"/>
      <w:r w:rsidRPr="00DB5007">
        <w:rPr>
          <w:rFonts w:ascii="Times New Roman" w:hAnsi="Times New Roman" w:cs="Times New Roman"/>
        </w:rPr>
        <w:t>Obunadike</w:t>
      </w:r>
      <w:proofErr w:type="spellEnd"/>
      <w:r w:rsidRPr="00DB5007">
        <w:rPr>
          <w:rFonts w:ascii="Times New Roman" w:hAnsi="Times New Roman" w:cs="Times New Roman"/>
        </w:rPr>
        <w:t>, 2025). Empirical evaluations on cryptocurrency datasets show that combining interpretable methods with heterogeneous GNNs produces alerts that closely align with expert judgment without sacrificing predictive performance (</w:t>
      </w:r>
      <w:proofErr w:type="spellStart"/>
      <w:r w:rsidRPr="00DB5007">
        <w:rPr>
          <w:rFonts w:ascii="Times New Roman" w:hAnsi="Times New Roman" w:cs="Times New Roman"/>
        </w:rPr>
        <w:t>Verlaan</w:t>
      </w:r>
      <w:proofErr w:type="spellEnd"/>
      <w:r w:rsidRPr="00DB5007">
        <w:rPr>
          <w:rFonts w:ascii="Times New Roman" w:hAnsi="Times New Roman" w:cs="Times New Roman"/>
        </w:rPr>
        <w:t xml:space="preserve"> et al., 2025). Despite these advances, </w:t>
      </w:r>
      <w:proofErr w:type="spellStart"/>
      <w:r w:rsidRPr="00DB5007">
        <w:rPr>
          <w:rFonts w:ascii="Times New Roman" w:hAnsi="Times New Roman" w:cs="Times New Roman"/>
        </w:rPr>
        <w:t>explainability</w:t>
      </w:r>
      <w:proofErr w:type="spellEnd"/>
      <w:r w:rsidRPr="00DB5007">
        <w:rPr>
          <w:rFonts w:ascii="Times New Roman" w:hAnsi="Times New Roman" w:cs="Times New Roman"/>
        </w:rPr>
        <w:t xml:space="preserve"> introduces computational overhead and remains challenging in real time and privacy constrained, federated AML environments (</w:t>
      </w:r>
      <w:proofErr w:type="spellStart"/>
      <w:r w:rsidRPr="00DB5007">
        <w:rPr>
          <w:rFonts w:ascii="Times New Roman" w:hAnsi="Times New Roman" w:cs="Times New Roman"/>
        </w:rPr>
        <w:t>Kute</w:t>
      </w:r>
      <w:proofErr w:type="spellEnd"/>
      <w:r w:rsidRPr="00DB5007">
        <w:rPr>
          <w:rFonts w:ascii="Times New Roman" w:hAnsi="Times New Roman" w:cs="Times New Roman"/>
        </w:rPr>
        <w:t xml:space="preserve"> et al., 2021).</w:t>
      </w:r>
    </w:p>
    <w:p w14:paraId="39B9A6BB"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Research Gaps and Opportunities for an Integrated GNN-XAI Framework</w:t>
      </w:r>
    </w:p>
    <w:p w14:paraId="223E3844" w14:textId="06391C85"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Despite notable advances, existing literature reveals persistent gaps that continue to limit the effectiveness of </w:t>
      </w:r>
      <w:r w:rsidR="00DB5007" w:rsidRPr="00DB5007">
        <w:rPr>
          <w:rFonts w:ascii="Times New Roman" w:hAnsi="Times New Roman" w:cs="Times New Roman"/>
        </w:rPr>
        <w:t>anti-money</w:t>
      </w:r>
      <w:r w:rsidRPr="00DB5007">
        <w:rPr>
          <w:rFonts w:ascii="Times New Roman" w:hAnsi="Times New Roman" w:cs="Times New Roman"/>
        </w:rPr>
        <w:t xml:space="preserve"> laundering systems, with only a very small fraction of illicit funds successfully detected. From a theoretical perspective, </w:t>
      </w:r>
      <w:r w:rsidR="00DB5007" w:rsidRPr="00DB5007">
        <w:rPr>
          <w:rFonts w:ascii="Times New Roman" w:hAnsi="Times New Roman" w:cs="Times New Roman"/>
        </w:rPr>
        <w:t>multi-layer</w:t>
      </w:r>
      <w:r w:rsidRPr="00DB5007">
        <w:rPr>
          <w:rFonts w:ascii="Times New Roman" w:hAnsi="Times New Roman" w:cs="Times New Roman"/>
        </w:rPr>
        <w:t xml:space="preserve"> GNN models often underrepresent temporal dynamics in heterogeneous financial graphs, relying on assumptions of stationarity that are misaligned with the adaptive nature of financial crime (</w:t>
      </w:r>
      <w:proofErr w:type="spellStart"/>
      <w:r w:rsidRPr="00DB5007">
        <w:rPr>
          <w:rFonts w:ascii="Times New Roman" w:hAnsi="Times New Roman" w:cs="Times New Roman"/>
        </w:rPr>
        <w:t>Deprez</w:t>
      </w:r>
      <w:proofErr w:type="spellEnd"/>
      <w:r w:rsidRPr="00DB5007">
        <w:rPr>
          <w:rFonts w:ascii="Times New Roman" w:hAnsi="Times New Roman" w:cs="Times New Roman"/>
        </w:rPr>
        <w:t xml:space="preserve"> et al., 2025). Empirical evidence further highlights limitations, as many studies rely heavily on synthetic datasets and fail to reflect real world conditions characterized by extreme class imbalance and heterophily, leading to significant performance degradation when models are deployed at scale (</w:t>
      </w:r>
      <w:proofErr w:type="spellStart"/>
      <w:r w:rsidRPr="00DB5007">
        <w:rPr>
          <w:rFonts w:ascii="Times New Roman" w:hAnsi="Times New Roman" w:cs="Times New Roman"/>
        </w:rPr>
        <w:t>Motie</w:t>
      </w:r>
      <w:proofErr w:type="spellEnd"/>
      <w:r w:rsidRPr="00DB5007">
        <w:rPr>
          <w:rFonts w:ascii="Times New Roman" w:hAnsi="Times New Roman" w:cs="Times New Roman"/>
        </w:rPr>
        <w:t xml:space="preserve"> &amp; </w:t>
      </w:r>
      <w:proofErr w:type="spellStart"/>
      <w:r w:rsidRPr="00DB5007">
        <w:rPr>
          <w:rFonts w:ascii="Times New Roman" w:hAnsi="Times New Roman" w:cs="Times New Roman"/>
        </w:rPr>
        <w:t>Raahemi</w:t>
      </w:r>
      <w:proofErr w:type="spellEnd"/>
      <w:r w:rsidRPr="00DB5007">
        <w:rPr>
          <w:rFonts w:ascii="Times New Roman" w:hAnsi="Times New Roman" w:cs="Times New Roman"/>
        </w:rPr>
        <w:t>, 2023).</w:t>
      </w:r>
    </w:p>
    <w:p w14:paraId="4801447F"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Explainable AI integrations, while advancing transparency, predominantly adopt post hoc methods that produce fragile explanations susceptible to adversarial manipulation, undermining their reliability in high risk settings (</w:t>
      </w:r>
      <w:proofErr w:type="spellStart"/>
      <w:r w:rsidRPr="00DB5007">
        <w:rPr>
          <w:rFonts w:ascii="Times New Roman" w:hAnsi="Times New Roman" w:cs="Times New Roman"/>
        </w:rPr>
        <w:t>Vallarino</w:t>
      </w:r>
      <w:proofErr w:type="spellEnd"/>
      <w:r w:rsidRPr="00DB5007">
        <w:rPr>
          <w:rFonts w:ascii="Times New Roman" w:hAnsi="Times New Roman" w:cs="Times New Roman"/>
        </w:rPr>
        <w:t xml:space="preserve">, 2025). Scalability also remains a critical challenge, with most proposed frameworks unable to handle the massive scale of real financial networks, necessitating more efficient inference strategies (Poon et al., 2025). Additionally, research on integrated GNN XAI systems remains fragmented, particularly in privacy constrained environments such as federated learning, and current </w:t>
      </w:r>
      <w:proofErr w:type="spellStart"/>
      <w:r w:rsidRPr="00DB5007">
        <w:rPr>
          <w:rFonts w:ascii="Times New Roman" w:hAnsi="Times New Roman" w:cs="Times New Roman"/>
        </w:rPr>
        <w:t>explainability</w:t>
      </w:r>
      <w:proofErr w:type="spellEnd"/>
      <w:r w:rsidRPr="00DB5007">
        <w:rPr>
          <w:rFonts w:ascii="Times New Roman" w:hAnsi="Times New Roman" w:cs="Times New Roman"/>
        </w:rPr>
        <w:t xml:space="preserve"> metrics do not fully address regulatory requirements for auditability (Lawal &amp; </w:t>
      </w:r>
      <w:proofErr w:type="spellStart"/>
      <w:r w:rsidRPr="00DB5007">
        <w:rPr>
          <w:rFonts w:ascii="Times New Roman" w:hAnsi="Times New Roman" w:cs="Times New Roman"/>
        </w:rPr>
        <w:t>Obunadike</w:t>
      </w:r>
      <w:proofErr w:type="spellEnd"/>
      <w:r w:rsidRPr="00DB5007">
        <w:rPr>
          <w:rFonts w:ascii="Times New Roman" w:hAnsi="Times New Roman" w:cs="Times New Roman"/>
        </w:rPr>
        <w:t>, 2025; Huang, 2025; SAS, 2025). These gaps motivate the need for holistic, scalable, and transparent AML frameworks.</w:t>
      </w:r>
    </w:p>
    <w:p w14:paraId="6E2B9112" w14:textId="77777777" w:rsidR="001D0282" w:rsidRPr="00DB5007" w:rsidRDefault="001D0282" w:rsidP="00DB5007">
      <w:pPr>
        <w:spacing w:line="360" w:lineRule="auto"/>
        <w:jc w:val="both"/>
        <w:rPr>
          <w:rFonts w:ascii="Times New Roman" w:hAnsi="Times New Roman" w:cs="Times New Roman"/>
        </w:rPr>
      </w:pPr>
    </w:p>
    <w:p w14:paraId="3569BC8C"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lastRenderedPageBreak/>
        <w:t>3.</w:t>
      </w:r>
      <w:r w:rsidRPr="00DB5007">
        <w:rPr>
          <w:rFonts w:ascii="Times New Roman" w:hAnsi="Times New Roman" w:cs="Times New Roman"/>
          <w:b/>
          <w:bCs/>
        </w:rPr>
        <w:tab/>
        <w:t xml:space="preserve"> Research Methodology</w:t>
      </w:r>
    </w:p>
    <w:p w14:paraId="347320D9"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Research Design</w:t>
      </w:r>
    </w:p>
    <w:p w14:paraId="3FC00471"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This study adopts a pragmatist mixed-methods design, blending quantitative experiments with qualitative validations to prioritize real-world applicability in Anti-Money Laundering (AML) contexts. Grounded in an empiricist-pragmatist epistemology, the framework values evidence from performance improvements and stakeholder insights over abstract theory, justifying the focus on computational validations that demonstrate tangible enhancements in fraud detection.</w:t>
      </w:r>
    </w:p>
    <w:p w14:paraId="44773433" w14:textId="230EFD7D" w:rsidR="001D0282" w:rsidRDefault="001D0282" w:rsidP="00DB5007">
      <w:pPr>
        <w:spacing w:line="360" w:lineRule="auto"/>
        <w:jc w:val="both"/>
        <w:rPr>
          <w:rFonts w:ascii="Times New Roman" w:hAnsi="Times New Roman" w:cs="Times New Roman"/>
        </w:rPr>
      </w:pPr>
      <w:r w:rsidRPr="00DB5007">
        <w:rPr>
          <w:rFonts w:ascii="Times New Roman" w:hAnsi="Times New Roman" w:cs="Times New Roman"/>
        </w:rPr>
        <w:t>The research process unfolds in iterative phases: first, synthesizing literature to define the Graph Neural Networks-Explainable Artificial Intelligence (GNN-XAI) integration; second, acquiring and preparing data for graph modeling; third, constructing multi-layered graphs to capture relational dynamics; fourth, developing and optimizing GNN architectures; fifth, embedding XAI techniques for transparent outputs; and sixth, evaluating metrics across scales with privacy considerations</w:t>
      </w:r>
      <w:r w:rsidR="00DB5007">
        <w:rPr>
          <w:rFonts w:ascii="Times New Roman" w:hAnsi="Times New Roman" w:cs="Times New Roman"/>
        </w:rPr>
        <w:t xml:space="preserve"> as shown in Figure 1</w:t>
      </w:r>
      <w:r w:rsidRPr="00DB5007">
        <w:rPr>
          <w:rFonts w:ascii="Times New Roman" w:hAnsi="Times New Roman" w:cs="Times New Roman"/>
        </w:rPr>
        <w:t>. These phases incorporate feedback loops for iterative optimization, ensuring the framework addresses complex crime patterns like layering and collusions in financial networks (Cheng et al., 2024).</w:t>
      </w:r>
    </w:p>
    <w:p w14:paraId="7CCE765D" w14:textId="4C3E275D" w:rsidR="00DB5007" w:rsidRDefault="00DB5007" w:rsidP="00DB5007">
      <w:pPr>
        <w:spacing w:line="360" w:lineRule="auto"/>
        <w:jc w:val="both"/>
        <w:rPr>
          <w:rFonts w:ascii="Times New Roman" w:hAnsi="Times New Roman" w:cs="Times New Roman"/>
          <w:b/>
          <w:bCs/>
        </w:rPr>
      </w:pPr>
      <w:r>
        <w:rPr>
          <w:rFonts w:ascii="Times New Roman" w:hAnsi="Times New Roman" w:cs="Times New Roman"/>
          <w:b/>
          <w:bCs/>
        </w:rPr>
        <w:t>Figure 1</w:t>
      </w:r>
    </w:p>
    <w:p w14:paraId="446A8586" w14:textId="1154B458" w:rsidR="00DB5007" w:rsidRPr="00DB5007" w:rsidRDefault="00DB5007" w:rsidP="00DB5007">
      <w:pPr>
        <w:spacing w:line="360" w:lineRule="auto"/>
        <w:jc w:val="both"/>
        <w:rPr>
          <w:rFonts w:ascii="Times New Roman" w:hAnsi="Times New Roman" w:cs="Times New Roman"/>
          <w:i/>
          <w:iCs/>
        </w:rPr>
      </w:pPr>
      <w:r>
        <w:rPr>
          <w:rFonts w:ascii="Times New Roman" w:hAnsi="Times New Roman" w:cs="Times New Roman"/>
          <w:i/>
          <w:iCs/>
        </w:rPr>
        <w:t xml:space="preserve">GNN-XAI Research Workflow </w:t>
      </w:r>
    </w:p>
    <w:p w14:paraId="2C1A5781"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noProof/>
        </w:rPr>
        <w:drawing>
          <wp:inline distT="0" distB="0" distL="0" distR="0" wp14:anchorId="31B74866" wp14:editId="461FE93B">
            <wp:extent cx="5942323" cy="1302325"/>
            <wp:effectExtent l="19050" t="19050" r="20955" b="12700"/>
            <wp:docPr id="626534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34917" name="Picture 626534917"/>
                    <pic:cNvPicPr/>
                  </pic:nvPicPr>
                  <pic:blipFill rotWithShape="1">
                    <a:blip r:embed="rId7">
                      <a:extLst>
                        <a:ext uri="{28A0092B-C50C-407E-A947-70E740481C1C}">
                          <a14:useLocalDpi xmlns:a14="http://schemas.microsoft.com/office/drawing/2010/main" val="0"/>
                        </a:ext>
                      </a:extLst>
                    </a:blip>
                    <a:srcRect t="30916" b="47168"/>
                    <a:stretch>
                      <a:fillRect/>
                    </a:stretch>
                  </pic:blipFill>
                  <pic:spPr bwMode="auto">
                    <a:xfrm>
                      <a:off x="0" y="0"/>
                      <a:ext cx="5943600" cy="1302605"/>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099BB494"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The methodology combines quantitative empirical testing with computational modeling, incorporating comparative benchmarks and case analyses, while adhering to remote execution constraints by utilizing publicly accessible datasets and open-source tools. This design ensures reproducibility and transparency, facilitating practical adoption in distributed environments through cloud-based implementations that support collaborative refinement without requiring proprietary data.</w:t>
      </w:r>
    </w:p>
    <w:p w14:paraId="356B3489"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lastRenderedPageBreak/>
        <w:t>Data Collection and Sources</w:t>
      </w:r>
    </w:p>
    <w:p w14:paraId="6CCB2A08"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Data sources encompass established benchmarks and synthetic constructs to simulate realistic AML scenarios without institutional access. Key datasets include:</w:t>
      </w:r>
    </w:p>
    <w:p w14:paraId="491872EF" w14:textId="77777777" w:rsidR="001D0282" w:rsidRPr="00DB5007" w:rsidRDefault="001D0282" w:rsidP="00DB5007">
      <w:pPr>
        <w:numPr>
          <w:ilvl w:val="0"/>
          <w:numId w:val="2"/>
        </w:numPr>
        <w:spacing w:line="360" w:lineRule="auto"/>
        <w:jc w:val="both"/>
        <w:rPr>
          <w:rFonts w:ascii="Times New Roman" w:hAnsi="Times New Roman" w:cs="Times New Roman"/>
        </w:rPr>
      </w:pPr>
      <w:r w:rsidRPr="00DB5007">
        <w:rPr>
          <w:rFonts w:ascii="Times New Roman" w:hAnsi="Times New Roman" w:cs="Times New Roman"/>
        </w:rPr>
        <w:t>The IEEE Computational Intelligence Society (IEEE-CIS) Fraud Detection dataset, which consists of approximately 590,540 training transactions (with fraud rate around 3.5%) and features derived from card-not-present e-commerce transactions, reduced to 67 attributes in benchmark versions (Grover et al., 2018).</w:t>
      </w:r>
    </w:p>
    <w:p w14:paraId="49FE28BE" w14:textId="77777777" w:rsidR="001D0282" w:rsidRPr="00DB5007" w:rsidRDefault="001D0282" w:rsidP="00DB5007">
      <w:pPr>
        <w:numPr>
          <w:ilvl w:val="0"/>
          <w:numId w:val="2"/>
        </w:numPr>
        <w:spacing w:line="360" w:lineRule="auto"/>
        <w:jc w:val="both"/>
        <w:rPr>
          <w:rFonts w:ascii="Times New Roman" w:hAnsi="Times New Roman" w:cs="Times New Roman"/>
        </w:rPr>
      </w:pPr>
      <w:r w:rsidRPr="00DB5007">
        <w:rPr>
          <w:rFonts w:ascii="Times New Roman" w:hAnsi="Times New Roman" w:cs="Times New Roman"/>
        </w:rPr>
        <w:t>The Kaggle Credit Card Fraud Detection dataset, comprising 284,807 transactions (with 492 frauds, fraud rate 0.172%) and 30 features (including Time, Amount, and 28 anonymized PCA components).</w:t>
      </w:r>
    </w:p>
    <w:p w14:paraId="366DECC5" w14:textId="77777777" w:rsidR="001D0282" w:rsidRPr="00DB5007" w:rsidRDefault="001D0282" w:rsidP="00DB5007">
      <w:pPr>
        <w:numPr>
          <w:ilvl w:val="0"/>
          <w:numId w:val="2"/>
        </w:numPr>
        <w:spacing w:line="360" w:lineRule="auto"/>
        <w:jc w:val="both"/>
        <w:rPr>
          <w:rFonts w:ascii="Times New Roman" w:hAnsi="Times New Roman" w:cs="Times New Roman"/>
        </w:rPr>
      </w:pPr>
      <w:r w:rsidRPr="00DB5007">
        <w:rPr>
          <w:rFonts w:ascii="Times New Roman" w:hAnsi="Times New Roman" w:cs="Times New Roman"/>
        </w:rPr>
        <w:t>The Elliptic Bitcoin Transaction Network dataset, consisting of 203,769 transactions (nodes) with 166 features (94 local features such as time step, number of inputs/outputs, transaction fee, and 72 aggregated one-hop features) and directed edges representing Bitcoin flows (Cheng et al., 2024).</w:t>
      </w:r>
    </w:p>
    <w:p w14:paraId="3221230D"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These sources reflect class imbalances, high dimensionality, and relational complexities typical in AML, with fraud rates ranging from 0.172% to 3.5%. Synthetic data, generated via frameworks like </w:t>
      </w:r>
      <w:proofErr w:type="spellStart"/>
      <w:r w:rsidRPr="00DB5007">
        <w:rPr>
          <w:rFonts w:ascii="Times New Roman" w:hAnsi="Times New Roman" w:cs="Times New Roman"/>
        </w:rPr>
        <w:t>Sparkov</w:t>
      </w:r>
      <w:proofErr w:type="spellEnd"/>
      <w:r w:rsidRPr="00DB5007">
        <w:rPr>
          <w:rFonts w:ascii="Times New Roman" w:hAnsi="Times New Roman" w:cs="Times New Roman"/>
        </w:rPr>
        <w:t xml:space="preserve"> Data Generation, replicates transaction networks at scales up to billions of nodes and transactions, incorporating documented crime patterns from regulatory reports for qualitative validation (Fan et al., 2025). Selection criteria emphasize peer-reviewed curation, labeled ground truth for supervised learning, scalability potential, AML relevance, and public availability to enable replication.</w:t>
      </w:r>
    </w:p>
    <w:p w14:paraId="3C4A6943"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Data Preprocessing and Feature Engineering</w:t>
      </w:r>
    </w:p>
    <w:p w14:paraId="0DB50A62"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Preprocessing begins with cleaning to handle missing values, inconsistencies, and outliers, ensuring data quality for GNN inputs. For numerical attributes, median imputation based on entity histories addresses gaps, while categorical features receive an "Unknown" label to preserve missingness signals, which may indicate obfuscation in fraud cases. Data types are standardized, with amounts as floats and timestamps as Unix epochs, followed by duplicate removal via exact matching on sender, receiver, amount, and time.</w:t>
      </w:r>
    </w:p>
    <w:p w14:paraId="755BF950"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lastRenderedPageBreak/>
        <w:t>Outliers are flagged using Isolation Forest rather than discarded, creating binary indicators to retain informative anomalies (Liu, 2025). Feature engineering yields over 400 predictors across several categories. Transaction-level features include amount, currency, type, hour of day, day of week, weekend status, holiday flag, channel (online or in-person), geographic distance, time zone offset, and exchange rate deviation. Velocity aggregates include counts, sums, medians over windows such as one hour, six hours, twenty-four hours, seven days, thirty days, ninety days, and ratios of short-term to long-term averages.</w:t>
      </w:r>
    </w:p>
    <w:p w14:paraId="6478563D"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Behavioral deviations are computed via z-scores, where the z-score for a feature value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DB5007">
        <w:rPr>
          <w:rFonts w:ascii="Times New Roman" w:hAnsi="Times New Roman" w:cs="Times New Roman"/>
        </w:rPr>
        <w:t>of entity (i) is calculated as:</w:t>
      </w:r>
    </w:p>
    <w:p w14:paraId="77915CD1" w14:textId="77777777" w:rsidR="001D0282" w:rsidRPr="00DB5007" w:rsidRDefault="00333E06" w:rsidP="00DB5007">
      <w:pPr>
        <w:spacing w:line="360" w:lineRule="auto"/>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i</m:t>
                  </m:r>
                </m:sub>
              </m:sSub>
            </m:num>
            <m:den>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i</m:t>
                  </m:r>
                </m:sub>
              </m:sSub>
            </m:den>
          </m:f>
          <m:r>
            <m:rPr>
              <m:sty m:val="p"/>
            </m:rPr>
            <w:rPr>
              <w:rFonts w:ascii="Cambria Math" w:hAnsi="Cambria Math" w:cs="Times New Roman"/>
            </w:rPr>
            <w:br/>
          </m:r>
        </m:oMath>
      </m:oMathPara>
      <w:r w:rsidR="001D0282" w:rsidRPr="00DB5007">
        <w:rPr>
          <w:rFonts w:ascii="Times New Roman" w:hAnsi="Times New Roman" w:cs="Times New Roman"/>
        </w:rPr>
        <w:t xml:space="preserve">with </w:t>
      </w:r>
      <m:oMath>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i</m:t>
            </m:r>
          </m:sub>
        </m:sSub>
      </m:oMath>
      <w:r w:rsidR="001D0282" w:rsidRPr="00DB5007">
        <w:rPr>
          <w:rFonts w:ascii="Times New Roman" w:eastAsiaTheme="minorEastAsia" w:hAnsi="Times New Roman" w:cs="Times New Roman"/>
        </w:rPr>
        <w:t xml:space="preserve"> </w:t>
      </w:r>
      <w:r w:rsidR="001D0282" w:rsidRPr="00DB5007">
        <w:rPr>
          <w:rFonts w:ascii="Times New Roman" w:hAnsi="Times New Roman" w:cs="Times New Roman"/>
        </w:rPr>
        <w:t xml:space="preserve">as the historical mean and </w:t>
      </w:r>
      <m:oMath>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i</m:t>
            </m:r>
          </m:sub>
        </m:sSub>
      </m:oMath>
      <w:r w:rsidR="001D0282" w:rsidRPr="00DB5007">
        <w:rPr>
          <w:rFonts w:ascii="Times New Roman" w:eastAsiaTheme="minorEastAsia" w:hAnsi="Times New Roman" w:cs="Times New Roman"/>
        </w:rPr>
        <w:t xml:space="preserve"> </w:t>
      </w:r>
      <w:r w:rsidR="001D0282" w:rsidRPr="00DB5007">
        <w:rPr>
          <w:rFonts w:ascii="Times New Roman" w:hAnsi="Times New Roman" w:cs="Times New Roman"/>
        </w:rPr>
        <w:t>as the standard deviation for entity (</w:t>
      </w:r>
      <w:proofErr w:type="spellStart"/>
      <w:r w:rsidR="001D0282" w:rsidRPr="00DB5007">
        <w:rPr>
          <w:rFonts w:ascii="Times New Roman" w:hAnsi="Times New Roman" w:cs="Times New Roman"/>
        </w:rPr>
        <w:t>i</w:t>
      </w:r>
      <w:proofErr w:type="spellEnd"/>
      <w:r w:rsidR="001D0282" w:rsidRPr="00DB5007">
        <w:rPr>
          <w:rFonts w:ascii="Times New Roman" w:hAnsi="Times New Roman" w:cs="Times New Roman"/>
        </w:rPr>
        <w:t>), highlighting shifts beyond three standard deviations. Network metrics include degree centrality, betweenness centrality, closeness centrality, eigenvector centrality, community indicators, shortest paths to risky entities, intermediary counts, fan-out for mule patterns, fan-in for aggregation, and circular flows. Geopolitical risks include Financial Action Task Force grey-list status, corruption indices, sanctions, and jurisdiction assessments (Liu, 2025). Normalization applies z-score scaling as</w:t>
      </w:r>
    </w:p>
    <w:p w14:paraId="1EA2A508" w14:textId="77777777" w:rsidR="001D0282" w:rsidRPr="00DB5007" w:rsidRDefault="00333E06" w:rsidP="00DB5007">
      <w:pPr>
        <w:spacing w:line="360" w:lineRule="auto"/>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X</m:t>
              </m:r>
            </m:e>
            <m:sub>
              <m:r>
                <m:rPr>
                  <m:nor/>
                </m:rPr>
                <w:rPr>
                  <w:rFonts w:ascii="Times New Roman" w:hAnsi="Times New Roman" w:cs="Times New Roman"/>
                </w:rPr>
                <m:t>normalized</m:t>
              </m: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X-μ</m:t>
              </m:r>
            </m:num>
            <m:den>
              <m:r>
                <w:rPr>
                  <w:rFonts w:ascii="Cambria Math" w:hAnsi="Cambria Math" w:cs="Times New Roman"/>
                </w:rPr>
                <m:t>σ</m:t>
              </m:r>
            </m:den>
          </m:f>
          <m:r>
            <m:rPr>
              <m:sty m:val="p"/>
            </m:rPr>
            <w:rPr>
              <w:rFonts w:ascii="Cambria Math" w:hAnsi="Cambria Math" w:cs="Times New Roman"/>
            </w:rPr>
            <w:br/>
          </m:r>
        </m:oMath>
      </m:oMathPara>
      <w:r w:rsidR="001D0282" w:rsidRPr="00DB5007">
        <w:rPr>
          <w:rFonts w:ascii="Times New Roman" w:hAnsi="Times New Roman" w:cs="Times New Roman"/>
        </w:rPr>
        <w:t>to numerical features, fitted on training data to avoid leakage, while categoricals use one-hot encoding for low cardinality (up to twenty values) and target encoding for higher, mitigating dimensionality issues.</w:t>
      </w:r>
    </w:p>
    <w:p w14:paraId="60A1D4FC"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b/>
          <w:bCs/>
        </w:rPr>
        <w:t>Graph Construction</w:t>
      </w:r>
    </w:p>
    <w:p w14:paraId="3B74A06A"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Graph construction transforms tabular data into heterogeneous structures for multi-layered analysis. Node types include transaction nodes with attributes like amount and timestamp, card or account nodes aggregating payment details, device nodes for identifiers like fingerprints, merchant nodes for recipients, and Internet Protocol address nodes for network patterns (Scribd, 2025). Edge types include transaction-card for authorization, transaction-device for usage, transaction-merchant for directionality, and transaction-Internet Protocol for infrastructure, weighted by amount, frequency, temporal proximity, and consistency. The algorithm iterates node creation from </w:t>
      </w:r>
      <w:r w:rsidRPr="00DB5007">
        <w:rPr>
          <w:rFonts w:ascii="Times New Roman" w:hAnsi="Times New Roman" w:cs="Times New Roman"/>
        </w:rPr>
        <w:lastRenderedPageBreak/>
        <w:t>records, edge establishment with bidirectional links, and validation for connectivity and temporal coherence, yielding graphs with approximately 480,000 nodes and 1.5 million edges for IEEE-CIS data.</w:t>
      </w:r>
    </w:p>
    <w:p w14:paraId="043AC652"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Temporal dynamics are modeled via snapshots per period (weekly or monthly), enabling detection of evolving patterns like sudden activations, with Temporal Graph Neural Networks aggregating across neighbors and time steps to accommodate concept drift and fraud progression (Fan et al., 2025).</w:t>
      </w:r>
    </w:p>
    <w:p w14:paraId="5DD6FA06"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b/>
          <w:bCs/>
        </w:rPr>
        <w:t>Graph Neural Network Architecture</w:t>
      </w:r>
    </w:p>
    <w:p w14:paraId="1B42A7E6"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The GNN architecture implements variants for comparative evaluation in multi-layered crime detection. The Graph Convolutional Network (GCN) aggregates features via message-passing, updating node (u)'s representation at layer, </w:t>
      </w:r>
      <m:oMath>
        <m:r>
          <w:rPr>
            <w:rFonts w:ascii="Cambria Math" w:hAnsi="Cambria Math" w:cs="Times New Roman"/>
          </w:rPr>
          <m:t>l+1</m:t>
        </m:r>
      </m:oMath>
      <w:r w:rsidRPr="00DB5007">
        <w:rPr>
          <w:rFonts w:ascii="Times New Roman" w:eastAsiaTheme="minorEastAsia" w:hAnsi="Times New Roman" w:cs="Times New Roman"/>
        </w:rPr>
        <w:t xml:space="preserve"> </w:t>
      </w:r>
      <w:r w:rsidRPr="00DB5007">
        <w:rPr>
          <w:rFonts w:ascii="Times New Roman" w:hAnsi="Times New Roman" w:cs="Times New Roman"/>
        </w:rPr>
        <w:t>as</w:t>
      </w:r>
    </w:p>
    <w:p w14:paraId="672FF5B9" w14:textId="77777777" w:rsidR="001D0282" w:rsidRPr="00DB5007" w:rsidRDefault="00333E06" w:rsidP="00DB5007">
      <w:pPr>
        <w:spacing w:line="360" w:lineRule="auto"/>
        <w:jc w:val="both"/>
        <w:rPr>
          <w:rFonts w:ascii="Times New Roman" w:hAnsi="Times New Roman" w:cs="Times New Roman"/>
        </w:rPr>
      </w:pPr>
      <m:oMathPara>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u</m:t>
              </m:r>
            </m:sub>
            <m:sup>
              <m:d>
                <m:dPr>
                  <m:sepChr m:val="+"/>
                  <m:ctrlPr>
                    <w:rPr>
                      <w:rFonts w:ascii="Cambria Math" w:hAnsi="Cambria Math" w:cs="Times New Roman"/>
                    </w:rPr>
                  </m:ctrlPr>
                </m:dPr>
                <m:e>
                  <m:r>
                    <w:rPr>
                      <w:rFonts w:ascii="Cambria Math" w:hAnsi="Cambria Math" w:cs="Times New Roman"/>
                    </w:rPr>
                    <m:t>l</m:t>
                  </m:r>
                </m:e>
                <m:e>
                  <m:r>
                    <w:rPr>
                      <w:rFonts w:ascii="Cambria Math" w:hAnsi="Cambria Math" w:cs="Times New Roman"/>
                    </w:rPr>
                    <m:t>1</m:t>
                  </m:r>
                </m:e>
              </m:d>
            </m:sup>
          </m:sSubSup>
          <m:r>
            <w:rPr>
              <w:rFonts w:ascii="Cambria Math" w:hAnsi="Cambria Math" w:cs="Times New Roman"/>
            </w:rPr>
            <m:t>=σ</m:t>
          </m:r>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W</m:t>
                  </m:r>
                </m:e>
                <m:sup>
                  <m:d>
                    <m:dPr>
                      <m:ctrlPr>
                        <w:rPr>
                          <w:rFonts w:ascii="Cambria Math" w:hAnsi="Cambria Math" w:cs="Times New Roman"/>
                        </w:rPr>
                      </m:ctrlPr>
                    </m:dPr>
                    <m:e>
                      <m:r>
                        <w:rPr>
                          <w:rFonts w:ascii="Cambria Math" w:hAnsi="Cambria Math" w:cs="Times New Roman"/>
                        </w:rPr>
                        <m:t>l</m:t>
                      </m:r>
                    </m:e>
                  </m:d>
                </m:sup>
              </m:sSup>
              <m:nary>
                <m:naryPr>
                  <m:chr m:val="∑"/>
                  <m:limLoc m:val="undOvr"/>
                  <m:grow m:val="1"/>
                  <m:supHide m:val="1"/>
                  <m:ctrlPr>
                    <w:rPr>
                      <w:rFonts w:ascii="Cambria Math" w:hAnsi="Cambria Math" w:cs="Times New Roman"/>
                    </w:rPr>
                  </m:ctrlPr>
                </m:naryPr>
                <m:sub>
                  <m:r>
                    <w:rPr>
                      <w:rFonts w:ascii="Cambria Math" w:hAnsi="Cambria Math" w:cs="Times New Roman"/>
                    </w:rPr>
                    <m:t>v∈</m:t>
                  </m:r>
                  <m:r>
                    <m:rPr>
                      <m:scr m:val="script"/>
                    </m:rPr>
                    <w:rPr>
                      <w:rFonts w:ascii="Cambria Math" w:hAnsi="Cambria Math" w:cs="Times New Roman"/>
                    </w:rPr>
                    <m:t>N(</m:t>
                  </m:r>
                  <m:r>
                    <w:rPr>
                      <w:rFonts w:ascii="Cambria Math" w:hAnsi="Cambria Math" w:cs="Times New Roman"/>
                    </w:rPr>
                    <m:t>u)</m:t>
                  </m:r>
                </m:sub>
                <m:sup/>
                <m:e>
                  <m:f>
                    <m:fPr>
                      <m:ctrlPr>
                        <w:rPr>
                          <w:rFonts w:ascii="Cambria Math" w:hAnsi="Cambria Math" w:cs="Times New Roman"/>
                        </w:rPr>
                      </m:ctrlPr>
                    </m:fPr>
                    <m:num>
                      <m:r>
                        <w:rPr>
                          <w:rFonts w:ascii="Cambria Math" w:hAnsi="Cambria Math" w:cs="Times New Roman"/>
                        </w:rPr>
                        <m:t>1</m:t>
                      </m:r>
                    </m:num>
                    <m:den>
                      <m:rad>
                        <m:radPr>
                          <m:degHide m:val="1"/>
                          <m:ctrlPr>
                            <w:rPr>
                              <w:rFonts w:ascii="Cambria Math" w:hAnsi="Cambria Math" w:cs="Times New Roman"/>
                            </w:rPr>
                          </m:ctrlPr>
                        </m:radPr>
                        <m:deg/>
                        <m:e>
                          <m:r>
                            <m:rPr>
                              <m:sty m:val="p"/>
                            </m:rPr>
                            <w:rPr>
                              <w:rFonts w:ascii="Cambria Math" w:hAnsi="Cambria Math" w:cs="Times New Roman"/>
                            </w:rPr>
                            <m:t>∣</m:t>
                          </m:r>
                          <m:r>
                            <m:rPr>
                              <m:scr m:val="script"/>
                            </m:rPr>
                            <w:rPr>
                              <w:rFonts w:ascii="Cambria Math" w:hAnsi="Cambria Math" w:cs="Times New Roman"/>
                            </w:rPr>
                            <m:t>N(</m:t>
                          </m:r>
                          <m:r>
                            <w:rPr>
                              <w:rFonts w:ascii="Cambria Math" w:hAnsi="Cambria Math" w:cs="Times New Roman"/>
                            </w:rPr>
                            <m:t>u)</m:t>
                          </m:r>
                          <m:r>
                            <m:rPr>
                              <m:sty m:val="p"/>
                            </m:rPr>
                            <w:rPr>
                              <w:rFonts w:ascii="Cambria Math" w:hAnsi="Cambria Math" w:cs="Times New Roman"/>
                            </w:rPr>
                            <m:t>∣</m:t>
                          </m:r>
                          <m:r>
                            <w:rPr>
                              <w:rFonts w:ascii="Cambria Math" w:hAnsi="Cambria Math" w:cs="Times New Roman"/>
                            </w:rPr>
                            <m:t>⋅</m:t>
                          </m:r>
                          <m:r>
                            <m:rPr>
                              <m:sty m:val="p"/>
                            </m:rPr>
                            <w:rPr>
                              <w:rFonts w:ascii="Cambria Math" w:hAnsi="Cambria Math" w:cs="Times New Roman"/>
                            </w:rPr>
                            <m:t>∣</m:t>
                          </m:r>
                          <m:r>
                            <m:rPr>
                              <m:scr m:val="script"/>
                            </m:rPr>
                            <w:rPr>
                              <w:rFonts w:ascii="Cambria Math" w:hAnsi="Cambria Math" w:cs="Times New Roman"/>
                            </w:rPr>
                            <m:t>N(</m:t>
                          </m:r>
                          <m:r>
                            <w:rPr>
                              <w:rFonts w:ascii="Cambria Math" w:hAnsi="Cambria Math" w:cs="Times New Roman"/>
                            </w:rPr>
                            <m:t>v)</m:t>
                          </m:r>
                          <m:r>
                            <m:rPr>
                              <m:sty m:val="p"/>
                            </m:rPr>
                            <w:rPr>
                              <w:rFonts w:ascii="Cambria Math" w:hAnsi="Cambria Math" w:cs="Times New Roman"/>
                            </w:rPr>
                            <m:t>∣</m:t>
                          </m:r>
                        </m:e>
                      </m:rad>
                    </m:den>
                  </m:f>
                </m:e>
              </m:nary>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v</m:t>
                  </m:r>
                </m:sub>
                <m:sup>
                  <m:d>
                    <m:dPr>
                      <m:ctrlPr>
                        <w:rPr>
                          <w:rFonts w:ascii="Cambria Math" w:hAnsi="Cambria Math" w:cs="Times New Roman"/>
                        </w:rPr>
                      </m:ctrlPr>
                    </m:dPr>
                    <m:e>
                      <m:r>
                        <w:rPr>
                          <w:rFonts w:ascii="Cambria Math" w:hAnsi="Cambria Math" w:cs="Times New Roman"/>
                        </w:rPr>
                        <m:t>l</m:t>
                      </m:r>
                    </m:e>
                  </m:d>
                </m:sup>
              </m:sSubSup>
            </m:e>
          </m:d>
          <m:r>
            <m:rPr>
              <m:sty m:val="p"/>
            </m:rPr>
            <w:rPr>
              <w:rFonts w:ascii="Cambria Math" w:hAnsi="Cambria Math" w:cs="Times New Roman"/>
            </w:rPr>
            <w:br/>
          </m:r>
        </m:oMath>
      </m:oMathPara>
      <w:r w:rsidR="001D0282" w:rsidRPr="00DB5007">
        <w:rPr>
          <w:rFonts w:ascii="Times New Roman" w:hAnsi="Times New Roman" w:cs="Times New Roman"/>
        </w:rPr>
        <w:t xml:space="preserve">where </w:t>
      </w:r>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u</m:t>
            </m:r>
          </m:sub>
          <m:sup>
            <m:d>
              <m:dPr>
                <m:ctrlPr>
                  <w:rPr>
                    <w:rFonts w:ascii="Cambria Math" w:hAnsi="Cambria Math" w:cs="Times New Roman"/>
                  </w:rPr>
                </m:ctrlPr>
              </m:dPr>
              <m:e>
                <m:r>
                  <w:rPr>
                    <w:rFonts w:ascii="Cambria Math" w:hAnsi="Cambria Math" w:cs="Times New Roman"/>
                  </w:rPr>
                  <m:t>l</m:t>
                </m:r>
              </m:e>
            </m:d>
          </m:sup>
        </m:sSubSup>
      </m:oMath>
      <w:r w:rsidR="001D0282" w:rsidRPr="00DB5007">
        <w:rPr>
          <w:rFonts w:ascii="Times New Roman" w:eastAsiaTheme="minorEastAsia" w:hAnsi="Times New Roman" w:cs="Times New Roman"/>
        </w:rPr>
        <w:t xml:space="preserve"> </w:t>
      </w:r>
      <w:r w:rsidR="001D0282" w:rsidRPr="00DB5007">
        <w:rPr>
          <w:rFonts w:ascii="Times New Roman" w:hAnsi="Times New Roman" w:cs="Times New Roman"/>
        </w:rPr>
        <w:t xml:space="preserve">is the feature vector at layer (l), </w:t>
      </w:r>
      <m:oMath>
        <m:r>
          <m:rPr>
            <m:scr m:val="script"/>
          </m:rPr>
          <w:rPr>
            <w:rFonts w:ascii="Cambria Math" w:hAnsi="Cambria Math" w:cs="Times New Roman"/>
          </w:rPr>
          <m:t>N(</m:t>
        </m:r>
        <m:r>
          <w:rPr>
            <w:rFonts w:ascii="Cambria Math" w:hAnsi="Cambria Math" w:cs="Times New Roman"/>
          </w:rPr>
          <m:t>u)</m:t>
        </m:r>
      </m:oMath>
      <w:r w:rsidR="001D0282" w:rsidRPr="00DB5007">
        <w:rPr>
          <w:rFonts w:ascii="Times New Roman" w:eastAsiaTheme="minorEastAsia" w:hAnsi="Times New Roman" w:cs="Times New Roman"/>
        </w:rPr>
        <w:t xml:space="preserve"> </w:t>
      </w:r>
      <w:r w:rsidR="001D0282" w:rsidRPr="00DB5007">
        <w:rPr>
          <w:rFonts w:ascii="Times New Roman" w:hAnsi="Times New Roman" w:cs="Times New Roman"/>
        </w:rPr>
        <w:t xml:space="preserve">the neighbors of (u), </w:t>
      </w:r>
      <m:oMath>
        <m:sSup>
          <m:sSupPr>
            <m:ctrlPr>
              <w:rPr>
                <w:rFonts w:ascii="Cambria Math" w:hAnsi="Cambria Math" w:cs="Times New Roman"/>
              </w:rPr>
            </m:ctrlPr>
          </m:sSupPr>
          <m:e>
            <m:r>
              <w:rPr>
                <w:rFonts w:ascii="Cambria Math" w:hAnsi="Cambria Math" w:cs="Times New Roman"/>
              </w:rPr>
              <m:t>W</m:t>
            </m:r>
          </m:e>
          <m:sup>
            <m:d>
              <m:dPr>
                <m:ctrlPr>
                  <w:rPr>
                    <w:rFonts w:ascii="Cambria Math" w:hAnsi="Cambria Math" w:cs="Times New Roman"/>
                  </w:rPr>
                </m:ctrlPr>
              </m:dPr>
              <m:e>
                <m:r>
                  <w:rPr>
                    <w:rFonts w:ascii="Cambria Math" w:hAnsi="Cambria Math" w:cs="Times New Roman"/>
                  </w:rPr>
                  <m:t>l</m:t>
                </m:r>
              </m:e>
            </m:d>
          </m:sup>
        </m:sSup>
      </m:oMath>
      <w:r w:rsidR="001D0282" w:rsidRPr="00DB5007">
        <w:rPr>
          <w:rFonts w:ascii="Times New Roman" w:eastAsiaTheme="minorEastAsia" w:hAnsi="Times New Roman" w:cs="Times New Roman"/>
        </w:rPr>
        <w:t xml:space="preserve"> </w:t>
      </w:r>
      <w:r w:rsidR="001D0282" w:rsidRPr="00DB5007">
        <w:rPr>
          <w:rFonts w:ascii="Times New Roman" w:hAnsi="Times New Roman" w:cs="Times New Roman"/>
        </w:rPr>
        <w:t xml:space="preserve">the weight matrix, </w:t>
      </w:r>
      <m:oMath>
        <m:r>
          <w:rPr>
            <w:rFonts w:ascii="Cambria Math" w:hAnsi="Cambria Math" w:cs="Times New Roman"/>
          </w:rPr>
          <m:t>σ</m:t>
        </m:r>
      </m:oMath>
      <w:r w:rsidR="001D0282" w:rsidRPr="00DB5007">
        <w:rPr>
          <w:rFonts w:ascii="Times New Roman" w:hAnsi="Times New Roman" w:cs="Times New Roman"/>
        </w:rPr>
        <w:t xml:space="preserve"> the Rectified Linear Unit (ReLU) activation, and the normalization prevents degree bias (Huang et al., 2018). The Graph Attention Network (GAT) extends this with attention, computing:</w:t>
      </w:r>
    </w:p>
    <w:p w14:paraId="35F2ABE0" w14:textId="77777777" w:rsidR="001D0282" w:rsidRPr="00DB5007" w:rsidRDefault="00333E06" w:rsidP="00DB5007">
      <w:pPr>
        <w:spacing w:line="360" w:lineRule="auto"/>
        <w:jc w:val="both"/>
        <w:rPr>
          <w:rFonts w:ascii="Times New Roman" w:hAnsi="Times New Roman" w:cs="Times New Roman"/>
        </w:rPr>
      </w:pPr>
      <m:oMathPara>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u</m:t>
              </m:r>
            </m:sub>
            <m:sup>
              <m:d>
                <m:dPr>
                  <m:sepChr m:val="+"/>
                  <m:ctrlPr>
                    <w:rPr>
                      <w:rFonts w:ascii="Cambria Math" w:hAnsi="Cambria Math" w:cs="Times New Roman"/>
                    </w:rPr>
                  </m:ctrlPr>
                </m:dPr>
                <m:e>
                  <m:r>
                    <w:rPr>
                      <w:rFonts w:ascii="Cambria Math" w:hAnsi="Cambria Math" w:cs="Times New Roman"/>
                    </w:rPr>
                    <m:t>l</m:t>
                  </m:r>
                </m:e>
                <m:e>
                  <m:r>
                    <w:rPr>
                      <w:rFonts w:ascii="Cambria Math" w:hAnsi="Cambria Math" w:cs="Times New Roman"/>
                    </w:rPr>
                    <m:t>1</m:t>
                  </m:r>
                </m:e>
              </m:d>
            </m:sup>
          </m:sSubSup>
          <m:r>
            <w:rPr>
              <w:rFonts w:ascii="Cambria Math" w:hAnsi="Cambria Math" w:cs="Times New Roman"/>
            </w:rPr>
            <m:t>=σ</m:t>
          </m:r>
          <m:d>
            <m:dPr>
              <m:ctrlPr>
                <w:rPr>
                  <w:rFonts w:ascii="Cambria Math" w:hAnsi="Cambria Math" w:cs="Times New Roman"/>
                </w:rPr>
              </m:ctrlPr>
            </m:dPr>
            <m:e>
              <m:nary>
                <m:naryPr>
                  <m:chr m:val="∑"/>
                  <m:limLoc m:val="undOvr"/>
                  <m:grow m:val="1"/>
                  <m:supHide m:val="1"/>
                  <m:ctrlPr>
                    <w:rPr>
                      <w:rFonts w:ascii="Cambria Math" w:hAnsi="Cambria Math" w:cs="Times New Roman"/>
                    </w:rPr>
                  </m:ctrlPr>
                </m:naryPr>
                <m:sub>
                  <m:r>
                    <w:rPr>
                      <w:rFonts w:ascii="Cambria Math" w:hAnsi="Cambria Math" w:cs="Times New Roman"/>
                    </w:rPr>
                    <m:t>v∈</m:t>
                  </m:r>
                  <m:r>
                    <m:rPr>
                      <m:scr m:val="script"/>
                    </m:rPr>
                    <w:rPr>
                      <w:rFonts w:ascii="Cambria Math" w:hAnsi="Cambria Math" w:cs="Times New Roman"/>
                    </w:rPr>
                    <m:t>N(</m:t>
                  </m:r>
                  <m:r>
                    <w:rPr>
                      <w:rFonts w:ascii="Cambria Math" w:hAnsi="Cambria Math" w:cs="Times New Roman"/>
                    </w:rPr>
                    <m:t>u)</m:t>
                  </m:r>
                </m:sub>
                <m:sup/>
                <m:e>
                  <m:sSubSup>
                    <m:sSubSupPr>
                      <m:ctrlPr>
                        <w:rPr>
                          <w:rFonts w:ascii="Cambria Math" w:hAnsi="Cambria Math" w:cs="Times New Roman"/>
                        </w:rPr>
                      </m:ctrlPr>
                    </m:sSubSupPr>
                    <m:e>
                      <m:r>
                        <w:rPr>
                          <w:rFonts w:ascii="Cambria Math" w:hAnsi="Cambria Math" w:cs="Times New Roman"/>
                        </w:rPr>
                        <m:t>α</m:t>
                      </m:r>
                    </m:e>
                    <m:sub>
                      <m:r>
                        <w:rPr>
                          <w:rFonts w:ascii="Cambria Math" w:hAnsi="Cambria Math" w:cs="Times New Roman"/>
                        </w:rPr>
                        <m:t>uv</m:t>
                      </m:r>
                    </m:sub>
                    <m:sup>
                      <m:d>
                        <m:dPr>
                          <m:ctrlPr>
                            <w:rPr>
                              <w:rFonts w:ascii="Cambria Math" w:hAnsi="Cambria Math" w:cs="Times New Roman"/>
                            </w:rPr>
                          </m:ctrlPr>
                        </m:dPr>
                        <m:e>
                          <m:r>
                            <w:rPr>
                              <w:rFonts w:ascii="Cambria Math" w:hAnsi="Cambria Math" w:cs="Times New Roman"/>
                            </w:rPr>
                            <m:t>l</m:t>
                          </m:r>
                        </m:e>
                      </m:d>
                    </m:sup>
                  </m:sSubSup>
                </m:e>
              </m:nary>
              <m:sSup>
                <m:sSupPr>
                  <m:ctrlPr>
                    <w:rPr>
                      <w:rFonts w:ascii="Cambria Math" w:hAnsi="Cambria Math" w:cs="Times New Roman"/>
                    </w:rPr>
                  </m:ctrlPr>
                </m:sSupPr>
                <m:e>
                  <m:r>
                    <w:rPr>
                      <w:rFonts w:ascii="Cambria Math" w:hAnsi="Cambria Math" w:cs="Times New Roman"/>
                    </w:rPr>
                    <m:t>W</m:t>
                  </m:r>
                </m:e>
                <m:sup>
                  <m:d>
                    <m:dPr>
                      <m:ctrlPr>
                        <w:rPr>
                          <w:rFonts w:ascii="Cambria Math" w:hAnsi="Cambria Math" w:cs="Times New Roman"/>
                        </w:rPr>
                      </m:ctrlPr>
                    </m:dPr>
                    <m:e>
                      <m:r>
                        <w:rPr>
                          <w:rFonts w:ascii="Cambria Math" w:hAnsi="Cambria Math" w:cs="Times New Roman"/>
                        </w:rPr>
                        <m:t>l</m:t>
                      </m:r>
                    </m:e>
                  </m:d>
                </m:sup>
              </m:sSup>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v</m:t>
                  </m:r>
                </m:sub>
                <m:sup>
                  <m:d>
                    <m:dPr>
                      <m:ctrlPr>
                        <w:rPr>
                          <w:rFonts w:ascii="Cambria Math" w:hAnsi="Cambria Math" w:cs="Times New Roman"/>
                        </w:rPr>
                      </m:ctrlPr>
                    </m:dPr>
                    <m:e>
                      <m:r>
                        <w:rPr>
                          <w:rFonts w:ascii="Cambria Math" w:hAnsi="Cambria Math" w:cs="Times New Roman"/>
                        </w:rPr>
                        <m:t>l</m:t>
                      </m:r>
                    </m:e>
                  </m:d>
                </m:sup>
              </m:sSubSup>
            </m:e>
          </m:d>
          <m:r>
            <m:rPr>
              <m:sty m:val="p"/>
            </m:rPr>
            <w:rPr>
              <w:rFonts w:ascii="Cambria Math" w:hAnsi="Cambria Math" w:cs="Times New Roman"/>
            </w:rPr>
            <w:br/>
          </m:r>
        </m:oMath>
      </m:oMathPara>
      <w:r w:rsidR="001D0282" w:rsidRPr="00DB5007">
        <w:rPr>
          <w:rFonts w:ascii="Times New Roman" w:hAnsi="Times New Roman" w:cs="Times New Roman"/>
        </w:rPr>
        <w:t xml:space="preserve">where the attention coefficient </w:t>
      </w:r>
      <m:oMath>
        <m:sSubSup>
          <m:sSubSupPr>
            <m:ctrlPr>
              <w:rPr>
                <w:rFonts w:ascii="Cambria Math" w:hAnsi="Cambria Math" w:cs="Times New Roman"/>
              </w:rPr>
            </m:ctrlPr>
          </m:sSubSupPr>
          <m:e>
            <m:r>
              <w:rPr>
                <w:rFonts w:ascii="Cambria Math" w:hAnsi="Cambria Math" w:cs="Times New Roman"/>
              </w:rPr>
              <m:t>α</m:t>
            </m:r>
          </m:e>
          <m:sub>
            <m:r>
              <w:rPr>
                <w:rFonts w:ascii="Cambria Math" w:hAnsi="Cambria Math" w:cs="Times New Roman"/>
              </w:rPr>
              <m:t>uv</m:t>
            </m:r>
          </m:sub>
          <m:sup>
            <m:d>
              <m:dPr>
                <m:ctrlPr>
                  <w:rPr>
                    <w:rFonts w:ascii="Cambria Math" w:hAnsi="Cambria Math" w:cs="Times New Roman"/>
                  </w:rPr>
                </m:ctrlPr>
              </m:dPr>
              <m:e>
                <m:r>
                  <w:rPr>
                    <w:rFonts w:ascii="Cambria Math" w:hAnsi="Cambria Math" w:cs="Times New Roman"/>
                  </w:rPr>
                  <m:t>l</m:t>
                </m:r>
              </m:e>
            </m:d>
          </m:sup>
        </m:sSubSup>
      </m:oMath>
      <w:r w:rsidR="001D0282" w:rsidRPr="00DB5007">
        <w:rPr>
          <w:rFonts w:ascii="Times New Roman" w:hAnsi="Times New Roman" w:cs="Times New Roman"/>
        </w:rPr>
        <w:t xml:space="preserve"> is:</w:t>
      </w:r>
    </w:p>
    <w:p w14:paraId="39B878E8" w14:textId="77777777" w:rsidR="001D0282" w:rsidRPr="00DB5007" w:rsidRDefault="00333E06" w:rsidP="00DB5007">
      <w:pPr>
        <w:spacing w:line="360" w:lineRule="auto"/>
        <w:jc w:val="both"/>
        <w:rPr>
          <w:rFonts w:ascii="Times New Roman" w:hAnsi="Times New Roman" w:cs="Times New Roman"/>
        </w:rPr>
      </w:pPr>
      <m:oMathPara>
        <m:oMath>
          <m:sSubSup>
            <m:sSubSupPr>
              <m:ctrlPr>
                <w:rPr>
                  <w:rFonts w:ascii="Cambria Math" w:hAnsi="Cambria Math" w:cs="Times New Roman"/>
                </w:rPr>
              </m:ctrlPr>
            </m:sSubSupPr>
            <m:e>
              <m:r>
                <w:rPr>
                  <w:rFonts w:ascii="Cambria Math" w:hAnsi="Cambria Math" w:cs="Times New Roman"/>
                </w:rPr>
                <m:t>α</m:t>
              </m:r>
            </m:e>
            <m:sub>
              <m:r>
                <w:rPr>
                  <w:rFonts w:ascii="Cambria Math" w:hAnsi="Cambria Math" w:cs="Times New Roman"/>
                </w:rPr>
                <m:t>uv</m:t>
              </m:r>
            </m:sub>
            <m:sup>
              <m:d>
                <m:dPr>
                  <m:ctrlPr>
                    <w:rPr>
                      <w:rFonts w:ascii="Cambria Math" w:hAnsi="Cambria Math" w:cs="Times New Roman"/>
                    </w:rPr>
                  </m:ctrlPr>
                </m:dPr>
                <m:e>
                  <m:r>
                    <w:rPr>
                      <w:rFonts w:ascii="Cambria Math" w:hAnsi="Cambria Math" w:cs="Times New Roman"/>
                    </w:rPr>
                    <m:t>l</m:t>
                  </m:r>
                </m:e>
              </m:d>
            </m:sup>
          </m:sSubSup>
          <m:r>
            <w:rPr>
              <w:rFonts w:ascii="Cambria Math" w:hAnsi="Cambria Math" w:cs="Times New Roman"/>
            </w:rPr>
            <m:t>=</m:t>
          </m:r>
          <m:f>
            <m:fPr>
              <m:ctrlPr>
                <w:rPr>
                  <w:rFonts w:ascii="Cambria Math" w:hAnsi="Cambria Math" w:cs="Times New Roman"/>
                </w:rPr>
              </m:ctrlPr>
            </m:fPr>
            <m:num>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rPr>
                      </m:ctrlPr>
                    </m:dPr>
                    <m:e>
                      <m:r>
                        <m:rPr>
                          <m:nor/>
                        </m:rPr>
                        <w:rPr>
                          <w:rFonts w:ascii="Times New Roman" w:hAnsi="Times New Roman" w:cs="Times New Roman"/>
                        </w:rPr>
                        <m:t>LeakyReLU</m:t>
                      </m:r>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a</m:t>
                              </m:r>
                            </m:e>
                            <m:sup>
                              <m:r>
                                <w:rPr>
                                  <w:rFonts w:ascii="Cambria Math" w:hAnsi="Cambria Math" w:cs="Times New Roman"/>
                                </w:rPr>
                                <m:t>T</m:t>
                              </m:r>
                            </m:sup>
                          </m:sSup>
                          <m:r>
                            <w:rPr>
                              <w:rFonts w:ascii="Cambria Math" w:hAnsi="Cambria Math" w:cs="Times New Roman"/>
                            </w:rPr>
                            <m:t>[W</m:t>
                          </m:r>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u</m:t>
                              </m:r>
                            </m:sub>
                            <m:sup>
                              <m:d>
                                <m:dPr>
                                  <m:ctrlPr>
                                    <w:rPr>
                                      <w:rFonts w:ascii="Cambria Math" w:hAnsi="Cambria Math" w:cs="Times New Roman"/>
                                    </w:rPr>
                                  </m:ctrlPr>
                                </m:dPr>
                                <m:e>
                                  <m:r>
                                    <w:rPr>
                                      <w:rFonts w:ascii="Cambria Math" w:hAnsi="Cambria Math" w:cs="Times New Roman"/>
                                    </w:rPr>
                                    <m:t>l</m:t>
                                  </m:r>
                                </m:e>
                              </m:d>
                            </m:sup>
                          </m:sSubSup>
                          <m:r>
                            <m:rPr>
                              <m:sty m:val="p"/>
                            </m:rPr>
                            <w:rPr>
                              <w:rFonts w:ascii="Cambria Math" w:hAnsi="Cambria Math" w:cs="Times New Roman"/>
                            </w:rPr>
                            <m:t>∥</m:t>
                          </m:r>
                          <m:r>
                            <w:rPr>
                              <w:rFonts w:ascii="Cambria Math" w:hAnsi="Cambria Math" w:cs="Times New Roman"/>
                            </w:rPr>
                            <m:t>W</m:t>
                          </m:r>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v</m:t>
                              </m:r>
                            </m:sub>
                            <m:sup>
                              <m:d>
                                <m:dPr>
                                  <m:ctrlPr>
                                    <w:rPr>
                                      <w:rFonts w:ascii="Cambria Math" w:hAnsi="Cambria Math" w:cs="Times New Roman"/>
                                    </w:rPr>
                                  </m:ctrlPr>
                                </m:dPr>
                                <m:e>
                                  <m:r>
                                    <w:rPr>
                                      <w:rFonts w:ascii="Cambria Math" w:hAnsi="Cambria Math" w:cs="Times New Roman"/>
                                    </w:rPr>
                                    <m:t>l</m:t>
                                  </m:r>
                                </m:e>
                              </m:d>
                            </m:sup>
                          </m:sSubSup>
                          <m:r>
                            <w:rPr>
                              <w:rFonts w:ascii="Cambria Math" w:hAnsi="Cambria Math" w:cs="Times New Roman"/>
                            </w:rPr>
                            <m:t>]</m:t>
                          </m:r>
                        </m:e>
                      </m:d>
                    </m:e>
                  </m:d>
                </m:e>
              </m:func>
            </m:num>
            <m:den>
              <m:nary>
                <m:naryPr>
                  <m:chr m:val="∑"/>
                  <m:limLoc m:val="undOvr"/>
                  <m:grow m:val="1"/>
                  <m:supHide m:val="1"/>
                  <m:ctrlPr>
                    <w:rPr>
                      <w:rFonts w:ascii="Cambria Math" w:hAnsi="Cambria Math" w:cs="Times New Roman"/>
                    </w:rPr>
                  </m:ctrlPr>
                </m:naryPr>
                <m:sub>
                  <m:r>
                    <w:rPr>
                      <w:rFonts w:ascii="Cambria Math" w:hAnsi="Cambria Math" w:cs="Times New Roman"/>
                    </w:rPr>
                    <m:t>k∈</m:t>
                  </m:r>
                  <m:r>
                    <m:rPr>
                      <m:scr m:val="script"/>
                    </m:rPr>
                    <w:rPr>
                      <w:rFonts w:ascii="Cambria Math" w:hAnsi="Cambria Math" w:cs="Times New Roman"/>
                    </w:rPr>
                    <m:t>N(</m:t>
                  </m:r>
                  <m:r>
                    <w:rPr>
                      <w:rFonts w:ascii="Cambria Math" w:hAnsi="Cambria Math" w:cs="Times New Roman"/>
                    </w:rPr>
                    <m:t>u)</m:t>
                  </m:r>
                </m:sub>
                <m:sup/>
                <m:e>
                  <m:r>
                    <m:rPr>
                      <m:sty m:val="p"/>
                    </m:rPr>
                    <w:rPr>
                      <w:rFonts w:ascii="Cambria Math" w:hAnsi="Cambria Math" w:cs="Times New Roman"/>
                    </w:rPr>
                    <m:t>exp</m:t>
                  </m:r>
                  <m:r>
                    <w:rPr>
                      <w:rFonts w:ascii="Cambria Math" w:hAnsi="Cambria Math" w:cs="Times New Roman"/>
                    </w:rPr>
                    <m:t>⁡</m:t>
                  </m:r>
                </m:e>
              </m:nary>
              <m:d>
                <m:dPr>
                  <m:ctrlPr>
                    <w:rPr>
                      <w:rFonts w:ascii="Cambria Math" w:hAnsi="Cambria Math" w:cs="Times New Roman"/>
                    </w:rPr>
                  </m:ctrlPr>
                </m:dPr>
                <m:e>
                  <m:r>
                    <m:rPr>
                      <m:nor/>
                    </m:rPr>
                    <w:rPr>
                      <w:rFonts w:ascii="Times New Roman" w:hAnsi="Times New Roman" w:cs="Times New Roman"/>
                    </w:rPr>
                    <m:t>LeakyReLU</m:t>
                  </m:r>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a</m:t>
                          </m:r>
                        </m:e>
                        <m:sup>
                          <m:r>
                            <w:rPr>
                              <w:rFonts w:ascii="Cambria Math" w:hAnsi="Cambria Math" w:cs="Times New Roman"/>
                            </w:rPr>
                            <m:t>T</m:t>
                          </m:r>
                        </m:sup>
                      </m:sSup>
                      <m:r>
                        <w:rPr>
                          <w:rFonts w:ascii="Cambria Math" w:hAnsi="Cambria Math" w:cs="Times New Roman"/>
                        </w:rPr>
                        <m:t>[W</m:t>
                      </m:r>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k</m:t>
                          </m:r>
                        </m:sub>
                        <m:sup>
                          <m:d>
                            <m:dPr>
                              <m:ctrlPr>
                                <w:rPr>
                                  <w:rFonts w:ascii="Cambria Math" w:hAnsi="Cambria Math" w:cs="Times New Roman"/>
                                </w:rPr>
                              </m:ctrlPr>
                            </m:dPr>
                            <m:e>
                              <m:r>
                                <w:rPr>
                                  <w:rFonts w:ascii="Cambria Math" w:hAnsi="Cambria Math" w:cs="Times New Roman"/>
                                </w:rPr>
                                <m:t>l</m:t>
                              </m:r>
                            </m:e>
                          </m:d>
                        </m:sup>
                      </m:sSubSup>
                      <m:r>
                        <m:rPr>
                          <m:sty m:val="p"/>
                        </m:rPr>
                        <w:rPr>
                          <w:rFonts w:ascii="Cambria Math" w:hAnsi="Cambria Math" w:cs="Times New Roman"/>
                        </w:rPr>
                        <m:t>∥</m:t>
                      </m:r>
                      <m:r>
                        <w:rPr>
                          <w:rFonts w:ascii="Cambria Math" w:hAnsi="Cambria Math" w:cs="Times New Roman"/>
                        </w:rPr>
                        <m:t>W</m:t>
                      </m:r>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v</m:t>
                          </m:r>
                        </m:sub>
                        <m:sup>
                          <m:d>
                            <m:dPr>
                              <m:ctrlPr>
                                <w:rPr>
                                  <w:rFonts w:ascii="Cambria Math" w:hAnsi="Cambria Math" w:cs="Times New Roman"/>
                                </w:rPr>
                              </m:ctrlPr>
                            </m:dPr>
                            <m:e>
                              <m:r>
                                <w:rPr>
                                  <w:rFonts w:ascii="Cambria Math" w:hAnsi="Cambria Math" w:cs="Times New Roman"/>
                                </w:rPr>
                                <m:t>l</m:t>
                              </m:r>
                            </m:e>
                          </m:d>
                        </m:sup>
                      </m:sSubSup>
                      <m:r>
                        <w:rPr>
                          <w:rFonts w:ascii="Cambria Math" w:hAnsi="Cambria Math" w:cs="Times New Roman"/>
                        </w:rPr>
                        <m:t>]</m:t>
                      </m:r>
                    </m:e>
                  </m:d>
                </m:e>
              </m:d>
            </m:den>
          </m:f>
          <m:r>
            <m:rPr>
              <m:sty m:val="p"/>
            </m:rPr>
            <w:rPr>
              <w:rFonts w:ascii="Cambria Math" w:hAnsi="Cambria Math" w:cs="Times New Roman"/>
            </w:rPr>
            <w:br/>
          </m:r>
        </m:oMath>
      </m:oMathPara>
      <w:r w:rsidR="001D0282" w:rsidRPr="00DB5007">
        <w:rPr>
          <w:rFonts w:ascii="Times New Roman" w:hAnsi="Times New Roman" w:cs="Times New Roman"/>
        </w:rPr>
        <w:t xml:space="preserve">with (a) as attention vector, </w:t>
      </w:r>
      <m:oMath>
        <m:r>
          <m:rPr>
            <m:sty m:val="p"/>
          </m:rPr>
          <w:rPr>
            <w:rFonts w:ascii="Cambria Math" w:hAnsi="Cambria Math" w:cs="Times New Roman"/>
          </w:rPr>
          <m:t>∥</m:t>
        </m:r>
      </m:oMath>
      <w:r w:rsidR="001D0282" w:rsidRPr="00DB5007">
        <w:rPr>
          <w:rFonts w:ascii="Times New Roman" w:hAnsi="Times New Roman" w:cs="Times New Roman"/>
        </w:rPr>
        <w:t xml:space="preserve"> as concatenation, and multi-heads for diverse relations (Dahal, 2024). The Relational Graph Convolutional Network (R-GCN) handles heterogeneity as:</w:t>
      </w:r>
    </w:p>
    <w:p w14:paraId="75032F86" w14:textId="77777777" w:rsidR="001D0282" w:rsidRPr="00DB5007" w:rsidRDefault="00333E06" w:rsidP="00DB5007">
      <w:pPr>
        <w:spacing w:line="360" w:lineRule="auto"/>
        <w:jc w:val="both"/>
        <w:rPr>
          <w:rFonts w:ascii="Times New Roman" w:hAnsi="Times New Roman" w:cs="Times New Roman"/>
        </w:rPr>
      </w:pPr>
      <m:oMathPara>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u</m:t>
              </m:r>
            </m:sub>
            <m:sup>
              <m:d>
                <m:dPr>
                  <m:sepChr m:val="+"/>
                  <m:ctrlPr>
                    <w:rPr>
                      <w:rFonts w:ascii="Cambria Math" w:hAnsi="Cambria Math" w:cs="Times New Roman"/>
                    </w:rPr>
                  </m:ctrlPr>
                </m:dPr>
                <m:e>
                  <m:r>
                    <w:rPr>
                      <w:rFonts w:ascii="Cambria Math" w:hAnsi="Cambria Math" w:cs="Times New Roman"/>
                    </w:rPr>
                    <m:t>l</m:t>
                  </m:r>
                </m:e>
                <m:e>
                  <m:r>
                    <w:rPr>
                      <w:rFonts w:ascii="Cambria Math" w:hAnsi="Cambria Math" w:cs="Times New Roman"/>
                    </w:rPr>
                    <m:t>1</m:t>
                  </m:r>
                </m:e>
              </m:d>
            </m:sup>
          </m:sSubSup>
          <m:r>
            <w:rPr>
              <w:rFonts w:ascii="Cambria Math" w:hAnsi="Cambria Math" w:cs="Times New Roman"/>
            </w:rPr>
            <m:t>=σ</m:t>
          </m:r>
          <m:d>
            <m:dPr>
              <m:sepChr m:val="+"/>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W</m:t>
                  </m:r>
                </m:e>
                <m:sub>
                  <m:r>
                    <w:rPr>
                      <w:rFonts w:ascii="Cambria Math" w:hAnsi="Cambria Math" w:cs="Times New Roman"/>
                    </w:rPr>
                    <m:t>0</m:t>
                  </m:r>
                </m:sub>
                <m:sup>
                  <m:d>
                    <m:dPr>
                      <m:ctrlPr>
                        <w:rPr>
                          <w:rFonts w:ascii="Cambria Math" w:hAnsi="Cambria Math" w:cs="Times New Roman"/>
                        </w:rPr>
                      </m:ctrlPr>
                    </m:dPr>
                    <m:e>
                      <m:r>
                        <w:rPr>
                          <w:rFonts w:ascii="Cambria Math" w:hAnsi="Cambria Math" w:cs="Times New Roman"/>
                        </w:rPr>
                        <m:t>l</m:t>
                      </m:r>
                    </m:e>
                  </m:d>
                </m:sup>
              </m:sSubSup>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u</m:t>
                  </m:r>
                </m:sub>
                <m:sup>
                  <m:d>
                    <m:dPr>
                      <m:ctrlPr>
                        <w:rPr>
                          <w:rFonts w:ascii="Cambria Math" w:hAnsi="Cambria Math" w:cs="Times New Roman"/>
                        </w:rPr>
                      </m:ctrlPr>
                    </m:dPr>
                    <m:e>
                      <m:r>
                        <w:rPr>
                          <w:rFonts w:ascii="Cambria Math" w:hAnsi="Cambria Math" w:cs="Times New Roman"/>
                        </w:rPr>
                        <m:t>l</m:t>
                      </m:r>
                    </m:e>
                  </m:d>
                </m:sup>
              </m:sSubSup>
            </m:e>
            <m:e>
              <m:nary>
                <m:naryPr>
                  <m:chr m:val="∑"/>
                  <m:limLoc m:val="undOvr"/>
                  <m:grow m:val="1"/>
                  <m:supHide m:val="1"/>
                  <m:ctrlPr>
                    <w:rPr>
                      <w:rFonts w:ascii="Cambria Math" w:hAnsi="Cambria Math" w:cs="Times New Roman"/>
                    </w:rPr>
                  </m:ctrlPr>
                </m:naryPr>
                <m:sub>
                  <m:r>
                    <w:rPr>
                      <w:rFonts w:ascii="Cambria Math" w:hAnsi="Cambria Math" w:cs="Times New Roman"/>
                    </w:rPr>
                    <m:t>r</m:t>
                  </m:r>
                  <m:r>
                    <m:rPr>
                      <m:scr m:val="script"/>
                    </m:rPr>
                    <w:rPr>
                      <w:rFonts w:ascii="Cambria Math" w:hAnsi="Cambria Math" w:cs="Times New Roman"/>
                    </w:rPr>
                    <m:t>∈R</m:t>
                  </m:r>
                </m:sub>
                <m:sup/>
                <m:e>
                  <m:nary>
                    <m:naryPr>
                      <m:chr m:val="∑"/>
                      <m:limLoc m:val="undOvr"/>
                      <m:grow m:val="1"/>
                      <m:supHide m:val="1"/>
                      <m:ctrlPr>
                        <w:rPr>
                          <w:rFonts w:ascii="Cambria Math" w:hAnsi="Cambria Math" w:cs="Times New Roman"/>
                        </w:rPr>
                      </m:ctrlPr>
                    </m:naryPr>
                    <m:sub>
                      <m:r>
                        <w:rPr>
                          <w:rFonts w:ascii="Cambria Math" w:hAnsi="Cambria Math" w:cs="Times New Roman"/>
                        </w:rPr>
                        <m:t>v∈</m:t>
                      </m:r>
                      <m:sSub>
                        <m:sSubPr>
                          <m:ctrlPr>
                            <w:rPr>
                              <w:rFonts w:ascii="Cambria Math" w:hAnsi="Cambria Math" w:cs="Times New Roman"/>
                            </w:rPr>
                          </m:ctrlPr>
                        </m:sSubPr>
                        <m:e>
                          <m:r>
                            <m:rPr>
                              <m:scr m:val="script"/>
                            </m:rPr>
                            <w:rPr>
                              <w:rFonts w:ascii="Cambria Math" w:hAnsi="Cambria Math" w:cs="Times New Roman"/>
                            </w:rPr>
                            <m:t>N</m:t>
                          </m:r>
                        </m:e>
                        <m:sub>
                          <m:r>
                            <w:rPr>
                              <w:rFonts w:ascii="Cambria Math" w:hAnsi="Cambria Math" w:cs="Times New Roman"/>
                            </w:rPr>
                            <m:t>r</m:t>
                          </m:r>
                        </m:sub>
                      </m:sSub>
                      <m:r>
                        <w:rPr>
                          <w:rFonts w:ascii="Cambria Math" w:hAnsi="Cambria Math" w:cs="Times New Roman"/>
                        </w:rPr>
                        <m:t>(u)</m:t>
                      </m:r>
                    </m:sub>
                    <m:sup/>
                    <m:e>
                      <m:f>
                        <m:fPr>
                          <m:ctrlPr>
                            <w:rPr>
                              <w:rFonts w:ascii="Cambria Math" w:hAnsi="Cambria Math" w:cs="Times New Roman"/>
                            </w:rPr>
                          </m:ctrlPr>
                        </m:fPr>
                        <m:num>
                          <m:r>
                            <w:rPr>
                              <w:rFonts w:ascii="Cambria Math" w:hAnsi="Cambria Math" w:cs="Times New Roman"/>
                            </w:rPr>
                            <m:t>1</m:t>
                          </m:r>
                        </m:num>
                        <m:den>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u,r</m:t>
                              </m:r>
                            </m:sub>
                          </m:sSub>
                        </m:den>
                      </m:f>
                    </m:e>
                  </m:nary>
                </m:e>
              </m:nary>
              <m:sSubSup>
                <m:sSubSupPr>
                  <m:ctrlPr>
                    <w:rPr>
                      <w:rFonts w:ascii="Cambria Math" w:hAnsi="Cambria Math" w:cs="Times New Roman"/>
                    </w:rPr>
                  </m:ctrlPr>
                </m:sSubSupPr>
                <m:e>
                  <m:r>
                    <w:rPr>
                      <w:rFonts w:ascii="Cambria Math" w:hAnsi="Cambria Math" w:cs="Times New Roman"/>
                    </w:rPr>
                    <m:t>W</m:t>
                  </m:r>
                </m:e>
                <m:sub>
                  <m:r>
                    <w:rPr>
                      <w:rFonts w:ascii="Cambria Math" w:hAnsi="Cambria Math" w:cs="Times New Roman"/>
                    </w:rPr>
                    <m:t>r</m:t>
                  </m:r>
                </m:sub>
                <m:sup>
                  <m:d>
                    <m:dPr>
                      <m:ctrlPr>
                        <w:rPr>
                          <w:rFonts w:ascii="Cambria Math" w:hAnsi="Cambria Math" w:cs="Times New Roman"/>
                        </w:rPr>
                      </m:ctrlPr>
                    </m:dPr>
                    <m:e>
                      <m:r>
                        <w:rPr>
                          <w:rFonts w:ascii="Cambria Math" w:hAnsi="Cambria Math" w:cs="Times New Roman"/>
                        </w:rPr>
                        <m:t>l</m:t>
                      </m:r>
                    </m:e>
                  </m:d>
                </m:sup>
              </m:sSubSup>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v</m:t>
                  </m:r>
                </m:sub>
                <m:sup>
                  <m:d>
                    <m:dPr>
                      <m:ctrlPr>
                        <w:rPr>
                          <w:rFonts w:ascii="Cambria Math" w:hAnsi="Cambria Math" w:cs="Times New Roman"/>
                        </w:rPr>
                      </m:ctrlPr>
                    </m:dPr>
                    <m:e>
                      <m:r>
                        <w:rPr>
                          <w:rFonts w:ascii="Cambria Math" w:hAnsi="Cambria Math" w:cs="Times New Roman"/>
                        </w:rPr>
                        <m:t>l</m:t>
                      </m:r>
                    </m:e>
                  </m:d>
                </m:sup>
              </m:sSubSup>
            </m:e>
          </m:d>
          <m:r>
            <m:rPr>
              <m:sty m:val="p"/>
            </m:rPr>
            <w:rPr>
              <w:rFonts w:ascii="Cambria Math" w:hAnsi="Cambria Math" w:cs="Times New Roman"/>
            </w:rPr>
            <w:br/>
          </m:r>
        </m:oMath>
      </m:oMathPara>
      <w:r w:rsidR="001D0282" w:rsidRPr="00DB5007">
        <w:rPr>
          <w:rFonts w:ascii="Times New Roman" w:hAnsi="Times New Roman" w:cs="Times New Roman"/>
        </w:rPr>
        <w:t xml:space="preserve">where </w:t>
      </w:r>
      <m:oMath>
        <m:r>
          <m:rPr>
            <m:scr m:val="script"/>
          </m:rPr>
          <w:rPr>
            <w:rFonts w:ascii="Cambria Math" w:hAnsi="Cambria Math" w:cs="Times New Roman"/>
          </w:rPr>
          <m:t>R</m:t>
        </m:r>
      </m:oMath>
      <w:r w:rsidR="001D0282" w:rsidRPr="00DB5007">
        <w:rPr>
          <w:rFonts w:ascii="Times New Roman" w:eastAsiaTheme="minorEastAsia" w:hAnsi="Times New Roman" w:cs="Times New Roman"/>
        </w:rPr>
        <w:t xml:space="preserve"> </w:t>
      </w:r>
      <w:r w:rsidR="001D0282" w:rsidRPr="00DB5007">
        <w:rPr>
          <w:rFonts w:ascii="Times New Roman" w:hAnsi="Times New Roman" w:cs="Times New Roman"/>
        </w:rPr>
        <w:t xml:space="preserve">is the set of edge types, </w:t>
      </w:r>
      <m:oMath>
        <m:sSub>
          <m:sSubPr>
            <m:ctrlPr>
              <w:rPr>
                <w:rFonts w:ascii="Cambria Math" w:hAnsi="Cambria Math" w:cs="Times New Roman"/>
              </w:rPr>
            </m:ctrlPr>
          </m:sSubPr>
          <m:e>
            <m:r>
              <m:rPr>
                <m:scr m:val="script"/>
              </m:rPr>
              <w:rPr>
                <w:rFonts w:ascii="Cambria Math" w:hAnsi="Cambria Math" w:cs="Times New Roman"/>
              </w:rPr>
              <m:t>N</m:t>
            </m:r>
          </m:e>
          <m:sub>
            <m:r>
              <w:rPr>
                <w:rFonts w:ascii="Cambria Math" w:hAnsi="Cambria Math" w:cs="Times New Roman"/>
              </w:rPr>
              <m:t>r</m:t>
            </m:r>
          </m:sub>
        </m:sSub>
        <m:r>
          <w:rPr>
            <w:rFonts w:ascii="Cambria Math" w:hAnsi="Cambria Math" w:cs="Times New Roman"/>
          </w:rPr>
          <m:t>(u)</m:t>
        </m:r>
      </m:oMath>
      <w:r w:rsidR="001D0282" w:rsidRPr="00DB5007">
        <w:rPr>
          <w:rFonts w:ascii="Times New Roman" w:hAnsi="Times New Roman" w:cs="Times New Roman"/>
        </w:rPr>
        <w:t xml:space="preserve"> the relation-specific neighbors, </w:t>
      </w:r>
      <m:oMath>
        <m:sSubSup>
          <m:sSubSupPr>
            <m:ctrlPr>
              <w:rPr>
                <w:rFonts w:ascii="Cambria Math" w:hAnsi="Cambria Math" w:cs="Times New Roman"/>
              </w:rPr>
            </m:ctrlPr>
          </m:sSubSupPr>
          <m:e>
            <m:r>
              <w:rPr>
                <w:rFonts w:ascii="Cambria Math" w:hAnsi="Cambria Math" w:cs="Times New Roman"/>
              </w:rPr>
              <m:t>W</m:t>
            </m:r>
          </m:e>
          <m:sub>
            <m:r>
              <w:rPr>
                <w:rFonts w:ascii="Cambria Math" w:hAnsi="Cambria Math" w:cs="Times New Roman"/>
              </w:rPr>
              <m:t>r</m:t>
            </m:r>
          </m:sub>
          <m:sup>
            <m:d>
              <m:dPr>
                <m:ctrlPr>
                  <w:rPr>
                    <w:rFonts w:ascii="Cambria Math" w:hAnsi="Cambria Math" w:cs="Times New Roman"/>
                  </w:rPr>
                </m:ctrlPr>
              </m:dPr>
              <m:e>
                <m:r>
                  <w:rPr>
                    <w:rFonts w:ascii="Cambria Math" w:hAnsi="Cambria Math" w:cs="Times New Roman"/>
                  </w:rPr>
                  <m:t>l</m:t>
                </m:r>
              </m:e>
            </m:d>
          </m:sup>
        </m:sSubSup>
      </m:oMath>
      <w:r w:rsidR="001D0282" w:rsidRPr="00DB5007">
        <w:rPr>
          <w:rFonts w:ascii="Times New Roman" w:hAnsi="Times New Roman" w:cs="Times New Roman"/>
        </w:rPr>
        <w:t xml:space="preserve"> the relation-specific weight matrix, and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u,r</m:t>
            </m:r>
          </m:sub>
        </m:sSub>
      </m:oMath>
      <w:r w:rsidR="001D0282" w:rsidRPr="00DB5007">
        <w:rPr>
          <w:rFonts w:ascii="Times New Roman" w:eastAsiaTheme="minorEastAsia" w:hAnsi="Times New Roman" w:cs="Times New Roman"/>
        </w:rPr>
        <w:t xml:space="preserve"> </w:t>
      </w:r>
      <w:r w:rsidR="001D0282" w:rsidRPr="00DB5007">
        <w:rPr>
          <w:rFonts w:ascii="Times New Roman" w:hAnsi="Times New Roman" w:cs="Times New Roman"/>
        </w:rPr>
        <w:t xml:space="preserve">the normalization constant (Scribd, 2025). Configurations stack three to five layers with hidden dimensions progressing from 256 to 64 units, </w:t>
      </w:r>
      <w:proofErr w:type="spellStart"/>
      <w:r w:rsidR="001D0282" w:rsidRPr="00DB5007">
        <w:rPr>
          <w:rFonts w:ascii="Times New Roman" w:hAnsi="Times New Roman" w:cs="Times New Roman"/>
        </w:rPr>
        <w:t>ReLU</w:t>
      </w:r>
      <w:proofErr w:type="spellEnd"/>
      <w:r w:rsidR="001D0282" w:rsidRPr="00DB5007">
        <w:rPr>
          <w:rFonts w:ascii="Times New Roman" w:hAnsi="Times New Roman" w:cs="Times New Roman"/>
        </w:rPr>
        <w:t xml:space="preserve"> intermediates, </w:t>
      </w:r>
      <w:proofErr w:type="spellStart"/>
      <w:r w:rsidR="001D0282" w:rsidRPr="00DB5007">
        <w:rPr>
          <w:rFonts w:ascii="Times New Roman" w:hAnsi="Times New Roman" w:cs="Times New Roman"/>
        </w:rPr>
        <w:t>softmax</w:t>
      </w:r>
      <w:proofErr w:type="spellEnd"/>
      <w:r w:rsidR="001D0282" w:rsidRPr="00DB5007">
        <w:rPr>
          <w:rFonts w:ascii="Times New Roman" w:hAnsi="Times New Roman" w:cs="Times New Roman"/>
        </w:rPr>
        <w:t xml:space="preserve"> output as:</w:t>
      </w:r>
    </w:p>
    <w:p w14:paraId="16432051" w14:textId="77777777" w:rsidR="001D0282" w:rsidRPr="00DB5007" w:rsidRDefault="001D0282" w:rsidP="00DB5007">
      <w:pPr>
        <w:spacing w:line="360" w:lineRule="auto"/>
        <w:jc w:val="both"/>
        <w:rPr>
          <w:rFonts w:ascii="Times New Roman" w:hAnsi="Times New Roman" w:cs="Times New Roman"/>
        </w:rPr>
      </w:pPr>
      <w:proofErr w:type="spellStart"/>
      <m:oMathPara>
        <m:oMath>
          <m:r>
            <m:rPr>
              <m:nor/>
            </m:rPr>
            <w:rPr>
              <w:rFonts w:ascii="Times New Roman" w:hAnsi="Times New Roman" w:cs="Times New Roman"/>
            </w:rPr>
            <m:t>softmax</m:t>
          </m:r>
          <w:proofErr w:type="spellEn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exp</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m:t>
              </m:r>
            </m:num>
            <m:den>
              <m:nary>
                <m:naryPr>
                  <m:chr m:val="∑"/>
                  <m:limLoc m:val="undOvr"/>
                  <m:grow m:val="1"/>
                  <m:supHide m:val="1"/>
                  <m:ctrlPr>
                    <w:rPr>
                      <w:rFonts w:ascii="Cambria Math" w:hAnsi="Cambria Math" w:cs="Times New Roman"/>
                    </w:rPr>
                  </m:ctrlPr>
                </m:naryPr>
                <m:sub>
                  <m:r>
                    <w:rPr>
                      <w:rFonts w:ascii="Cambria Math" w:hAnsi="Cambria Math" w:cs="Times New Roman"/>
                    </w:rPr>
                    <m:t>j</m:t>
                  </m:r>
                </m:sub>
                <m:sup/>
                <m:e>
                  <m:r>
                    <m:rPr>
                      <m:sty m:val="p"/>
                    </m:rPr>
                    <w:rPr>
                      <w:rFonts w:ascii="Cambria Math" w:hAnsi="Cambria Math" w:cs="Times New Roman"/>
                    </w:rPr>
                    <m:t>exp</m:t>
                  </m:r>
                  <m:r>
                    <w:rPr>
                      <w:rFonts w:ascii="Cambria Math" w:hAnsi="Cambria Math" w:cs="Times New Roman"/>
                    </w:rPr>
                    <m:t>⁡(</m:t>
                  </m:r>
                </m:e>
              </m:nary>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j</m:t>
                  </m:r>
                </m:sub>
              </m:sSub>
              <m:r>
                <w:rPr>
                  <w:rFonts w:ascii="Cambria Math" w:hAnsi="Cambria Math" w:cs="Times New Roman"/>
                </w:rPr>
                <m:t>)</m:t>
              </m:r>
            </m:den>
          </m:f>
          <m:r>
            <m:rPr>
              <m:sty m:val="p"/>
            </m:rPr>
            <w:rPr>
              <w:rFonts w:ascii="Cambria Math" w:hAnsi="Cambria Math" w:cs="Times New Roman"/>
            </w:rPr>
            <w:br/>
          </m:r>
        </m:oMath>
      </m:oMathPara>
      <w:r w:rsidRPr="00DB5007">
        <w:rPr>
          <w:rFonts w:ascii="Times New Roman" w:hAnsi="Times New Roman" w:cs="Times New Roman"/>
        </w:rPr>
        <w:t>for probabilities, dropout at 0.3 to 0.5 for regularization, and batch normalization as:</w:t>
      </w:r>
    </w:p>
    <w:p w14:paraId="283B87FD" w14:textId="77777777" w:rsidR="001D0282" w:rsidRPr="00DB5007" w:rsidRDefault="00333E06" w:rsidP="00DB5007">
      <w:pPr>
        <w:spacing w:line="360" w:lineRule="auto"/>
        <w:jc w:val="both"/>
        <w:rPr>
          <w:rFonts w:ascii="Times New Roman" w:hAnsi="Times New Roman" w:cs="Times New Roman"/>
        </w:rPr>
      </w:pPr>
      <m:oMathPara>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x</m:t>
                  </m:r>
                </m:e>
              </m:acc>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μ</m:t>
                  </m:r>
                </m:e>
                <m:sub>
                  <m:r>
                    <m:rPr>
                      <m:nor/>
                    </m:rPr>
                    <w:rPr>
                      <w:rFonts w:ascii="Times New Roman" w:hAnsi="Times New Roman" w:cs="Times New Roman"/>
                    </w:rPr>
                    <m:t>batch</m:t>
                  </m:r>
                </m:sub>
              </m:sSub>
            </m:num>
            <m:den>
              <m:rad>
                <m:radPr>
                  <m:degHide m:val="1"/>
                  <m:ctrlPr>
                    <w:rPr>
                      <w:rFonts w:ascii="Cambria Math" w:hAnsi="Cambria Math" w:cs="Times New Roman"/>
                    </w:rPr>
                  </m:ctrlPr>
                </m:radPr>
                <m:deg/>
                <m:e>
                  <m:sSubSup>
                    <m:sSubSupPr>
                      <m:ctrlPr>
                        <w:rPr>
                          <w:rFonts w:ascii="Cambria Math" w:hAnsi="Cambria Math" w:cs="Times New Roman"/>
                        </w:rPr>
                      </m:ctrlPr>
                    </m:sSubSupPr>
                    <m:e>
                      <m:r>
                        <w:rPr>
                          <w:rFonts w:ascii="Cambria Math" w:hAnsi="Cambria Math" w:cs="Times New Roman"/>
                        </w:rPr>
                        <m:t>σ</m:t>
                      </m:r>
                    </m:e>
                    <m:sub>
                      <m:r>
                        <m:rPr>
                          <m:nor/>
                        </m:rPr>
                        <w:rPr>
                          <w:rFonts w:ascii="Times New Roman" w:hAnsi="Times New Roman" w:cs="Times New Roman"/>
                        </w:rPr>
                        <m:t>batch</m:t>
                      </m:r>
                    </m:sub>
                    <m:sup>
                      <m:r>
                        <w:rPr>
                          <w:rFonts w:ascii="Cambria Math" w:hAnsi="Cambria Math" w:cs="Times New Roman"/>
                        </w:rPr>
                        <m:t>2</m:t>
                      </m:r>
                    </m:sup>
                  </m:sSubSup>
                  <m:r>
                    <w:rPr>
                      <w:rFonts w:ascii="Cambria Math" w:hAnsi="Cambria Math" w:cs="Times New Roman"/>
                    </w:rPr>
                    <m:t>+ϵ</m:t>
                  </m:r>
                </m:e>
              </m:rad>
            </m:den>
          </m:f>
          <m:r>
            <m:rPr>
              <m:sty m:val="p"/>
            </m:rPr>
            <w:rPr>
              <w:rFonts w:ascii="Cambria Math" w:hAnsi="Cambria Math" w:cs="Times New Roman"/>
            </w:rPr>
            <w:br/>
          </m:r>
        </m:oMath>
      </m:oMathPara>
      <w:r w:rsidR="001D0282" w:rsidRPr="00DB5007">
        <w:rPr>
          <w:rFonts w:ascii="Times New Roman" w:hAnsi="Times New Roman" w:cs="Times New Roman"/>
        </w:rPr>
        <w:t>for stability.</w:t>
      </w:r>
    </w:p>
    <w:p w14:paraId="0EDCB01B"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b/>
          <w:bCs/>
        </w:rPr>
        <w:t>Model Training</w:t>
      </w:r>
    </w:p>
    <w:p w14:paraId="435CC251"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Training optimizes with focal loss</w:t>
      </w:r>
    </w:p>
    <w:p w14:paraId="58977457" w14:textId="77777777" w:rsidR="001D0282" w:rsidRPr="00DB5007" w:rsidRDefault="001D0282" w:rsidP="00DB5007">
      <w:pPr>
        <w:spacing w:line="360" w:lineRule="auto"/>
        <w:jc w:val="both"/>
        <w:rPr>
          <w:rFonts w:ascii="Times New Roman" w:hAnsi="Times New Roman" w:cs="Times New Roman"/>
        </w:rPr>
      </w:pPr>
      <m:oMathPara>
        <m:oMath>
          <m:r>
            <m:rPr>
              <m:nor/>
            </m:rPr>
            <w:rPr>
              <w:rFonts w:ascii="Times New Roman" w:hAnsi="Times New Roman" w:cs="Times New Roman"/>
            </w:rPr>
            <m:t>FL</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w:rPr>
              <w:rFonts w:ascii="Cambria Math" w:hAnsi="Cambria Math" w:cs="Times New Roman"/>
            </w:rPr>
            <m:t>)=-α(1-</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γ</m:t>
              </m:r>
            </m:sup>
          </m:sSup>
          <m:r>
            <m:rPr>
              <m:sty m:val="p"/>
            </m:rPr>
            <w:rPr>
              <w:rFonts w:ascii="Cambria Math" w:hAnsi="Cambria Math" w:cs="Times New Roman"/>
            </w:rPr>
            <m:t>log</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w:rPr>
              <w:rFonts w:ascii="Cambria Math" w:hAnsi="Cambria Math" w:cs="Times New Roman"/>
            </w:rPr>
            <m:t>)</m:t>
          </m:r>
          <m:r>
            <m:rPr>
              <m:sty m:val="p"/>
            </m:rPr>
            <w:rPr>
              <w:rFonts w:ascii="Cambria Math" w:hAnsi="Cambria Math" w:cs="Times New Roman"/>
            </w:rPr>
            <w:br/>
          </m:r>
        </m:oMath>
      </m:oMathPara>
      <w:r w:rsidRPr="00DB5007">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oMath>
      <w:r w:rsidRPr="00DB5007">
        <w:rPr>
          <w:rFonts w:ascii="Times New Roman" w:eastAsiaTheme="minorEastAsia" w:hAnsi="Times New Roman" w:cs="Times New Roman"/>
        </w:rPr>
        <w:t xml:space="preserve"> </w:t>
      </w:r>
      <w:r w:rsidRPr="00DB5007">
        <w:rPr>
          <w:rFonts w:ascii="Times New Roman" w:hAnsi="Times New Roman" w:cs="Times New Roman"/>
        </w:rPr>
        <w:t xml:space="preserve">is the probability of the correct class, </w:t>
      </w:r>
      <m:oMath>
        <m:r>
          <w:rPr>
            <w:rFonts w:ascii="Cambria Math" w:hAnsi="Cambria Math" w:cs="Times New Roman"/>
          </w:rPr>
          <m:t>α</m:t>
        </m:r>
      </m:oMath>
      <w:r w:rsidRPr="00DB5007">
        <w:rPr>
          <w:rFonts w:ascii="Times New Roman" w:eastAsiaTheme="minorEastAsia" w:hAnsi="Times New Roman" w:cs="Times New Roman"/>
        </w:rPr>
        <w:t xml:space="preserve"> </w:t>
      </w:r>
      <w:r w:rsidRPr="00DB5007">
        <w:rPr>
          <w:rFonts w:ascii="Times New Roman" w:hAnsi="Times New Roman" w:cs="Times New Roman"/>
        </w:rPr>
        <w:t xml:space="preserve">(set to 0.25) balances class weights, and </w:t>
      </w:r>
      <m:oMath>
        <m:r>
          <w:rPr>
            <w:rFonts w:ascii="Cambria Math" w:hAnsi="Cambria Math" w:cs="Times New Roman"/>
          </w:rPr>
          <m:t>γ</m:t>
        </m:r>
      </m:oMath>
      <w:r w:rsidRPr="00DB5007">
        <w:rPr>
          <w:rFonts w:ascii="Times New Roman" w:hAnsi="Times New Roman" w:cs="Times New Roman"/>
        </w:rPr>
        <w:t xml:space="preserve"> (set to 2) focuses on hard examples, addressing class imbalance (Stojanović et al., 2021). The Adam optimizer updates parameters as</w:t>
      </w:r>
    </w:p>
    <w:p w14:paraId="4557226B" w14:textId="77777777" w:rsidR="001D0282" w:rsidRPr="00DB5007" w:rsidRDefault="00333E06" w:rsidP="00DB5007">
      <w:pPr>
        <w:spacing w:line="360" w:lineRule="auto"/>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t</m:t>
              </m:r>
            </m:sub>
          </m:sSub>
          <m:r>
            <w:rPr>
              <w:rFonts w:ascii="Cambria Math" w:hAnsi="Cambria Math" w:cs="Times New Roman"/>
            </w:rPr>
            <m:t>-η</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t</m:t>
                  </m:r>
                </m:sub>
              </m:sSub>
            </m:num>
            <m:den>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t</m:t>
                      </m:r>
                    </m:sub>
                  </m:sSub>
                </m:e>
              </m:rad>
              <m:r>
                <w:rPr>
                  <w:rFonts w:ascii="Cambria Math" w:hAnsi="Cambria Math" w:cs="Times New Roman"/>
                </w:rPr>
                <m:t>+ϵ</m:t>
              </m:r>
            </m:den>
          </m:f>
          <m:r>
            <m:rPr>
              <m:sty m:val="p"/>
            </m:rPr>
            <w:rPr>
              <w:rFonts w:ascii="Cambria Math" w:hAnsi="Cambria Math" w:cs="Times New Roman"/>
            </w:rPr>
            <w:br/>
          </m:r>
        </m:oMath>
      </m:oMathPara>
      <w:r w:rsidR="001D0282" w:rsidRPr="00DB5007">
        <w:rPr>
          <w:rFonts w:ascii="Times New Roman" w:hAnsi="Times New Roman" w:cs="Times New Roman"/>
        </w:rPr>
        <w:t xml:space="preserve">with </w:t>
      </w: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t</m:t>
            </m:r>
          </m:sub>
        </m:sSub>
      </m:oMath>
      <w:r w:rsidR="001D0282" w:rsidRPr="00DB5007">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t</m:t>
            </m:r>
          </m:sub>
        </m:sSub>
      </m:oMath>
      <w:r w:rsidR="001D0282" w:rsidRPr="00DB5007">
        <w:rPr>
          <w:rFonts w:ascii="Times New Roman" w:hAnsi="Times New Roman" w:cs="Times New Roman"/>
        </w:rPr>
        <w:t xml:space="preserve"> as the first and second moment estimates, </w:t>
      </w:r>
      <m:oMath>
        <m:r>
          <w:rPr>
            <w:rFonts w:ascii="Cambria Math" w:hAnsi="Cambria Math" w:cs="Times New Roman"/>
          </w:rPr>
          <m:t>η</m:t>
        </m:r>
      </m:oMath>
      <w:r w:rsidR="001D0282" w:rsidRPr="00DB5007">
        <w:rPr>
          <w:rFonts w:ascii="Times New Roman" w:eastAsiaTheme="minorEastAsia" w:hAnsi="Times New Roman" w:cs="Times New Roman"/>
        </w:rPr>
        <w:t xml:space="preserve"> </w:t>
      </w:r>
      <w:r w:rsidR="001D0282" w:rsidRPr="00DB5007">
        <w:rPr>
          <w:rFonts w:ascii="Times New Roman" w:hAnsi="Times New Roman" w:cs="Times New Roman"/>
        </w:rPr>
        <w:t xml:space="preserve">the learning rate (0.001), and </w:t>
      </w:r>
      <m:oMath>
        <m:r>
          <w:rPr>
            <w:rFonts w:ascii="Cambria Math" w:hAnsi="Cambria Math" w:cs="Times New Roman"/>
          </w:rPr>
          <m:t>ϵ</m:t>
        </m:r>
      </m:oMath>
      <w:r w:rsidR="001D0282" w:rsidRPr="00DB5007">
        <w:rPr>
          <w:rFonts w:ascii="Times New Roman" w:eastAsiaTheme="minorEastAsia" w:hAnsi="Times New Roman" w:cs="Times New Roman"/>
        </w:rPr>
        <w:t xml:space="preserve"> </w:t>
      </w:r>
      <w:r w:rsidR="001D0282" w:rsidRPr="00DB5007">
        <w:rPr>
          <w:rFonts w:ascii="Times New Roman" w:hAnsi="Times New Roman" w:cs="Times New Roman"/>
        </w:rPr>
        <w:t>a small constant for numerical stability.</w:t>
      </w:r>
    </w:p>
    <w:p w14:paraId="3AD04387"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Procedures include early stopping on validation Area Under the Curve-Receiver Operating Characteristic (AUC-ROC), Synthetic Minority Over-sampling Technique (SMOTE) oversampling as: </w:t>
      </w:r>
    </w:p>
    <w:p w14:paraId="62BB7805" w14:textId="77777777" w:rsidR="001D0282" w:rsidRDefault="00333E06" w:rsidP="00DB5007">
      <w:pPr>
        <w:spacing w:line="360" w:lineRule="auto"/>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x</m:t>
              </m:r>
            </m:e>
            <m:sub>
              <m:r>
                <m:rPr>
                  <m:nor/>
                </m:rPr>
                <w:rPr>
                  <w:rFonts w:ascii="Times New Roman" w:hAnsi="Times New Roman" w:cs="Times New Roman"/>
                </w:rPr>
                <m:t>synthetic</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+λ(</m:t>
          </m:r>
          <m:sSub>
            <m:sSubPr>
              <m:ctrlPr>
                <w:rPr>
                  <w:rFonts w:ascii="Cambria Math" w:hAnsi="Cambria Math" w:cs="Times New Roman"/>
                </w:rPr>
              </m:ctrlPr>
            </m:sSubPr>
            <m:e>
              <m:r>
                <w:rPr>
                  <w:rFonts w:ascii="Cambria Math" w:hAnsi="Cambria Math" w:cs="Times New Roman"/>
                </w:rPr>
                <m:t>x</m:t>
              </m:r>
            </m:e>
            <m:sub>
              <m:r>
                <m:rPr>
                  <m:nor/>
                </m:rPr>
                <w:rPr>
                  <w:rFonts w:ascii="Times New Roman" w:hAnsi="Times New Roman" w:cs="Times New Roman"/>
                </w:rPr>
                <m:t>neighbor</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r>
            <m:rPr>
              <m:sty m:val="p"/>
            </m:rPr>
            <w:rPr>
              <w:rFonts w:ascii="Cambria Math" w:hAnsi="Cambria Math" w:cs="Times New Roman"/>
            </w:rPr>
            <w:br/>
          </m:r>
        </m:oMath>
      </m:oMathPara>
      <w:r w:rsidR="001D0282" w:rsidRPr="00DB5007">
        <w:rPr>
          <w:rFonts w:ascii="Times New Roman" w:hAnsi="Times New Roman" w:cs="Times New Roman"/>
        </w:rPr>
        <w:t xml:space="preserve">where </w:t>
      </w:r>
      <m:oMath>
        <m:r>
          <w:rPr>
            <w:rFonts w:ascii="Cambria Math" w:hAnsi="Cambria Math" w:cs="Times New Roman"/>
          </w:rPr>
          <m:t>λ∼</m:t>
        </m:r>
        <m:r>
          <m:rPr>
            <m:nor/>
          </m:rPr>
          <w:rPr>
            <w:rFonts w:ascii="Times New Roman" w:hAnsi="Times New Roman" w:cs="Times New Roman"/>
          </w:rPr>
          <m:t>Uniform</m:t>
        </m:r>
        <m:r>
          <w:rPr>
            <w:rFonts w:ascii="Cambria Math" w:hAnsi="Cambria Math" w:cs="Times New Roman"/>
          </w:rPr>
          <m:t>(0,1)</m:t>
        </m:r>
      </m:oMath>
      <w:r w:rsidR="001D0282" w:rsidRPr="00DB5007">
        <w:rPr>
          <w:rFonts w:ascii="Times New Roman" w:hAnsi="Times New Roman" w:cs="Times New Roman"/>
        </w:rPr>
        <w:t>, cost-weighted loss, and stratified sampling (Brownlee, 2020).</w:t>
      </w:r>
    </w:p>
    <w:p w14:paraId="442FA6AC" w14:textId="77777777" w:rsidR="00DB5007" w:rsidRDefault="00DB5007" w:rsidP="00DB5007">
      <w:pPr>
        <w:spacing w:line="360" w:lineRule="auto"/>
        <w:jc w:val="both"/>
        <w:rPr>
          <w:rFonts w:ascii="Times New Roman" w:hAnsi="Times New Roman" w:cs="Times New Roman"/>
        </w:rPr>
      </w:pPr>
    </w:p>
    <w:p w14:paraId="461AA957" w14:textId="77777777" w:rsidR="00DB5007" w:rsidRPr="00DB5007" w:rsidRDefault="00DB5007" w:rsidP="00DB5007">
      <w:pPr>
        <w:spacing w:line="360" w:lineRule="auto"/>
        <w:jc w:val="both"/>
        <w:rPr>
          <w:rFonts w:ascii="Times New Roman" w:hAnsi="Times New Roman" w:cs="Times New Roman"/>
        </w:rPr>
      </w:pPr>
    </w:p>
    <w:p w14:paraId="4CF839D2"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b/>
          <w:bCs/>
        </w:rPr>
        <w:lastRenderedPageBreak/>
        <w:t>Explainable Artificial Intelligence (XAI) Integration</w:t>
      </w:r>
    </w:p>
    <w:p w14:paraId="69CF1D9B"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XAI integration employs </w:t>
      </w:r>
      <w:proofErr w:type="spellStart"/>
      <w:r w:rsidRPr="00DB5007">
        <w:rPr>
          <w:rFonts w:ascii="Times New Roman" w:hAnsi="Times New Roman" w:cs="Times New Roman"/>
        </w:rPr>
        <w:t>SHapley</w:t>
      </w:r>
      <w:proofErr w:type="spellEnd"/>
      <w:r w:rsidRPr="00DB5007">
        <w:rPr>
          <w:rFonts w:ascii="Times New Roman" w:hAnsi="Times New Roman" w:cs="Times New Roman"/>
        </w:rPr>
        <w:t xml:space="preserve"> Additive </w:t>
      </w:r>
      <w:proofErr w:type="spellStart"/>
      <w:r w:rsidRPr="00DB5007">
        <w:rPr>
          <w:rFonts w:ascii="Times New Roman" w:hAnsi="Times New Roman" w:cs="Times New Roman"/>
        </w:rPr>
        <w:t>exPlanations</w:t>
      </w:r>
      <w:proofErr w:type="spellEnd"/>
      <w:r w:rsidRPr="00DB5007">
        <w:rPr>
          <w:rFonts w:ascii="Times New Roman" w:hAnsi="Times New Roman" w:cs="Times New Roman"/>
        </w:rPr>
        <w:t xml:space="preserve"> (SHAP) for attributions, computing the exact SHAP value as</w:t>
      </w:r>
    </w:p>
    <w:p w14:paraId="49AFA7DD" w14:textId="77777777" w:rsidR="001D0282" w:rsidRPr="00DB5007" w:rsidRDefault="00333E06" w:rsidP="00DB5007">
      <w:pPr>
        <w:spacing w:line="360" w:lineRule="auto"/>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ϕ</m:t>
              </m:r>
            </m:e>
            <m:sub>
              <m:r>
                <w:rPr>
                  <w:rFonts w:ascii="Cambria Math" w:hAnsi="Cambria Math" w:cs="Times New Roman"/>
                </w:rPr>
                <m:t>i</m:t>
              </m:r>
            </m:sub>
          </m:sSub>
          <m:r>
            <w:rPr>
              <w:rFonts w:ascii="Cambria Math" w:hAnsi="Cambria Math" w:cs="Times New Roman"/>
            </w:rPr>
            <m:t>=</m:t>
          </m:r>
          <m:nary>
            <m:naryPr>
              <m:chr m:val="∑"/>
              <m:limLoc m:val="undOvr"/>
              <m:grow m:val="1"/>
              <m:supHide m:val="1"/>
              <m:ctrlPr>
                <w:rPr>
                  <w:rFonts w:ascii="Cambria Math" w:hAnsi="Cambria Math" w:cs="Times New Roman"/>
                </w:rPr>
              </m:ctrlPr>
            </m:naryPr>
            <m:sub>
              <m:r>
                <w:rPr>
                  <w:rFonts w:ascii="Cambria Math" w:hAnsi="Cambria Math" w:cs="Times New Roman"/>
                </w:rPr>
                <m:t>S</m:t>
              </m:r>
              <m:r>
                <m:rPr>
                  <m:scr m:val="script"/>
                </m:rPr>
                <w:rPr>
                  <w:rFonts w:ascii="Cambria Math" w:hAnsi="Cambria Math" w:cs="Times New Roman"/>
                </w:rPr>
                <m:t>⊆F∖{</m:t>
              </m:r>
              <m:r>
                <w:rPr>
                  <w:rFonts w:ascii="Cambria Math" w:hAnsi="Cambria Math" w:cs="Times New Roman"/>
                </w:rPr>
                <m:t>i}</m:t>
              </m:r>
            </m:sub>
            <m:sup/>
            <m:e>
              <m:f>
                <m:fPr>
                  <m:ctrlPr>
                    <w:rPr>
                      <w:rFonts w:ascii="Cambria Math" w:hAnsi="Cambria Math" w:cs="Times New Roman"/>
                    </w:rPr>
                  </m:ctrlPr>
                </m:fPr>
                <m:num>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r>
                    <w:rPr>
                      <w:rFonts w:ascii="Cambria Math" w:hAnsi="Cambria Math" w:cs="Times New Roman"/>
                    </w:rPr>
                    <m:t>!(</m:t>
                  </m:r>
                  <m:r>
                    <m:rPr>
                      <m:sty m:val="p"/>
                    </m:rPr>
                    <w:rPr>
                      <w:rFonts w:ascii="Cambria Math" w:hAnsi="Cambria Math" w:cs="Times New Roman"/>
                    </w:rPr>
                    <m:t>∣</m:t>
                  </m:r>
                  <m:r>
                    <m:rPr>
                      <m:scr m:val="script"/>
                    </m:rPr>
                    <w:rPr>
                      <w:rFonts w:ascii="Cambria Math" w:hAnsi="Cambria Math" w:cs="Times New Roman"/>
                    </w:rPr>
                    <m:t>F</m:t>
                  </m:r>
                  <m:r>
                    <m:rPr>
                      <m:sty m:val="p"/>
                    </m:rPr>
                    <w:rPr>
                      <w:rFonts w:ascii="Cambria Math" w:hAnsi="Cambria Math" w:cs="Times New Roman"/>
                    </w:rPr>
                    <m:t>∣</m:t>
                  </m:r>
                  <m:r>
                    <w:rPr>
                      <w:rFonts w:ascii="Cambria Math" w:hAnsi="Cambria Math" w:cs="Times New Roman"/>
                    </w:rPr>
                    <m:t>-</m:t>
                  </m:r>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r>
                    <w:rPr>
                      <w:rFonts w:ascii="Cambria Math" w:hAnsi="Cambria Math" w:cs="Times New Roman"/>
                    </w:rPr>
                    <m:t>-1)!</m:t>
                  </m:r>
                </m:num>
                <m:den>
                  <m:r>
                    <m:rPr>
                      <m:sty m:val="p"/>
                    </m:rPr>
                    <w:rPr>
                      <w:rFonts w:ascii="Cambria Math" w:hAnsi="Cambria Math" w:cs="Times New Roman"/>
                    </w:rPr>
                    <m:t>∣</m:t>
                  </m:r>
                  <m:r>
                    <m:rPr>
                      <m:scr m:val="script"/>
                    </m:rPr>
                    <w:rPr>
                      <w:rFonts w:ascii="Cambria Math" w:hAnsi="Cambria Math" w:cs="Times New Roman"/>
                    </w:rPr>
                    <m:t>F</m:t>
                  </m:r>
                  <m:r>
                    <m:rPr>
                      <m:sty m:val="p"/>
                    </m:rPr>
                    <w:rPr>
                      <w:rFonts w:ascii="Cambria Math" w:hAnsi="Cambria Math" w:cs="Times New Roman"/>
                    </w:rPr>
                    <m:t>∣</m:t>
                  </m:r>
                  <m:r>
                    <w:rPr>
                      <w:rFonts w:ascii="Cambria Math" w:hAnsi="Cambria Math" w:cs="Times New Roman"/>
                    </w:rPr>
                    <m:t>!</m:t>
                  </m:r>
                </m:den>
              </m:f>
            </m:e>
          </m:nary>
          <m:d>
            <m:dPr>
              <m:begChr m:val="["/>
              <m:endChr m:val="]"/>
              <m:ctrlPr>
                <w:rPr>
                  <w:rFonts w:ascii="Cambria Math" w:hAnsi="Cambria Math" w:cs="Times New Roman"/>
                </w:rPr>
              </m:ctrlPr>
            </m:dPr>
            <m:e>
              <m:r>
                <w:rPr>
                  <w:rFonts w:ascii="Cambria Math" w:hAnsi="Cambria Math" w:cs="Times New Roman"/>
                </w:rPr>
                <m:t>f(S∪{i})-f(S)</m:t>
              </m:r>
            </m:e>
          </m:d>
          <m:r>
            <m:rPr>
              <m:sty m:val="p"/>
            </m:rPr>
            <w:rPr>
              <w:rFonts w:ascii="Cambria Math" w:hAnsi="Cambria Math" w:cs="Times New Roman"/>
            </w:rPr>
            <w:br/>
          </m:r>
        </m:oMath>
      </m:oMathPara>
      <w:r w:rsidR="001D0282" w:rsidRPr="00DB5007">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ϕ</m:t>
            </m:r>
          </m:e>
          <m:sub>
            <m:r>
              <w:rPr>
                <w:rFonts w:ascii="Cambria Math" w:hAnsi="Cambria Math" w:cs="Times New Roman"/>
              </w:rPr>
              <m:t>i</m:t>
            </m:r>
          </m:sub>
        </m:sSub>
      </m:oMath>
      <w:r w:rsidR="001D0282" w:rsidRPr="00DB5007">
        <w:rPr>
          <w:rFonts w:ascii="Times New Roman" w:hAnsi="Times New Roman" w:cs="Times New Roman"/>
        </w:rPr>
        <w:t xml:space="preserve"> is the SHAP value for feature (i), </w:t>
      </w:r>
      <m:oMath>
        <m:r>
          <m:rPr>
            <m:scr m:val="script"/>
          </m:rPr>
          <w:rPr>
            <w:rFonts w:ascii="Cambria Math" w:hAnsi="Cambria Math" w:cs="Times New Roman"/>
          </w:rPr>
          <m:t>F</m:t>
        </m:r>
      </m:oMath>
      <w:r w:rsidR="001D0282" w:rsidRPr="00DB5007">
        <w:rPr>
          <w:rFonts w:ascii="Times New Roman" w:hAnsi="Times New Roman" w:cs="Times New Roman"/>
        </w:rPr>
        <w:t xml:space="preserve"> the set of all features, (S) a subset of features excluding (</w:t>
      </w:r>
      <w:proofErr w:type="spellStart"/>
      <w:r w:rsidR="001D0282" w:rsidRPr="00DB5007">
        <w:rPr>
          <w:rFonts w:ascii="Times New Roman" w:hAnsi="Times New Roman" w:cs="Times New Roman"/>
        </w:rPr>
        <w:t>i</w:t>
      </w:r>
      <w:proofErr w:type="spellEnd"/>
      <w:r w:rsidR="001D0282" w:rsidRPr="00DB5007">
        <w:rPr>
          <w:rFonts w:ascii="Times New Roman" w:hAnsi="Times New Roman" w:cs="Times New Roman"/>
        </w:rPr>
        <w:t xml:space="preserve">), and (f) the model prediction function; approximations use </w:t>
      </w:r>
      <w:proofErr w:type="spellStart"/>
      <w:r w:rsidR="001D0282" w:rsidRPr="00DB5007">
        <w:rPr>
          <w:rFonts w:ascii="Times New Roman" w:hAnsi="Times New Roman" w:cs="Times New Roman"/>
        </w:rPr>
        <w:t>KernelSHAP</w:t>
      </w:r>
      <w:proofErr w:type="spellEnd"/>
      <w:r w:rsidR="001D0282" w:rsidRPr="00DB5007">
        <w:rPr>
          <w:rFonts w:ascii="Times New Roman" w:hAnsi="Times New Roman" w:cs="Times New Roman"/>
        </w:rPr>
        <w:t xml:space="preserve"> (Molnar, 2025). Local Interpretable Model-agnostic Explanations (LIME) perturbs instances and fits surrogates. GAT attention visualizes </w:t>
      </w:r>
      <m:oMath>
        <m:sSubSup>
          <m:sSubSupPr>
            <m:ctrlPr>
              <w:rPr>
                <w:rFonts w:ascii="Cambria Math" w:hAnsi="Cambria Math" w:cs="Times New Roman"/>
              </w:rPr>
            </m:ctrlPr>
          </m:sSubSupPr>
          <m:e>
            <m:r>
              <w:rPr>
                <w:rFonts w:ascii="Cambria Math" w:hAnsi="Cambria Math" w:cs="Times New Roman"/>
              </w:rPr>
              <m:t>α</m:t>
            </m:r>
          </m:e>
          <m:sub>
            <m:r>
              <w:rPr>
                <w:rFonts w:ascii="Cambria Math" w:hAnsi="Cambria Math" w:cs="Times New Roman"/>
              </w:rPr>
              <m:t>uv</m:t>
            </m:r>
          </m:sub>
          <m:sup>
            <m:r>
              <w:rPr>
                <w:rFonts w:ascii="Cambria Math" w:hAnsi="Cambria Math" w:cs="Times New Roman"/>
              </w:rPr>
              <m:t>h</m:t>
            </m:r>
          </m:sup>
        </m:sSubSup>
      </m:oMath>
      <w:r w:rsidR="001D0282" w:rsidRPr="00DB5007">
        <w:rPr>
          <w:rFonts w:ascii="Times New Roman" w:eastAsiaTheme="minorEastAsia" w:hAnsi="Times New Roman" w:cs="Times New Roman"/>
        </w:rPr>
        <w:t xml:space="preserve"> </w:t>
      </w:r>
      <w:r w:rsidR="001D0282" w:rsidRPr="00DB5007">
        <w:rPr>
          <w:rFonts w:ascii="Times New Roman" w:hAnsi="Times New Roman" w:cs="Times New Roman"/>
        </w:rPr>
        <w:t>for each head (h), tracing influential edges in fraud rationales (</w:t>
      </w:r>
      <w:proofErr w:type="spellStart"/>
      <w:r w:rsidR="001D0282" w:rsidRPr="00DB5007">
        <w:rPr>
          <w:rFonts w:ascii="Times New Roman" w:hAnsi="Times New Roman" w:cs="Times New Roman"/>
        </w:rPr>
        <w:t>Dahal</w:t>
      </w:r>
      <w:proofErr w:type="spellEnd"/>
      <w:r w:rsidR="001D0282" w:rsidRPr="00DB5007">
        <w:rPr>
          <w:rFonts w:ascii="Times New Roman" w:hAnsi="Times New Roman" w:cs="Times New Roman"/>
        </w:rPr>
        <w:t>, 2024).</w:t>
      </w:r>
    </w:p>
    <w:p w14:paraId="72C799FB"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b/>
          <w:bCs/>
        </w:rPr>
        <w:t>Performance Evaluation and Validation</w:t>
      </w:r>
    </w:p>
    <w:p w14:paraId="6E6B2412"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Performance metrics derive from the confusion matrix: true positives (TP), false positives (FP), false negatives (FN), and true negatives (TN).Precision, recall, specificity, and F1-score are defined accordingly, with AUC-ROC and AUC-PR for imbalanced evaluation. Operational cost is computed as:</w:t>
      </w:r>
    </w:p>
    <w:p w14:paraId="1F53CA57" w14:textId="77777777" w:rsidR="001D0282" w:rsidRPr="00DB5007" w:rsidRDefault="001D0282" w:rsidP="00DB5007">
      <w:pPr>
        <w:spacing w:line="360" w:lineRule="auto"/>
        <w:jc w:val="both"/>
        <w:rPr>
          <w:rFonts w:ascii="Times New Roman" w:hAnsi="Times New Roman" w:cs="Times New Roman"/>
        </w:rPr>
      </w:pPr>
      <m:oMathPara>
        <m:oMath>
          <m:r>
            <m:rPr>
              <m:nor/>
            </m:rPr>
            <w:rPr>
              <w:rFonts w:ascii="Times New Roman" w:hAnsi="Times New Roman" w:cs="Times New Roman"/>
            </w:rPr>
            <m:t>Cost</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m:rPr>
                  <m:nor/>
                </m:rPr>
                <w:rPr>
                  <w:rFonts w:ascii="Times New Roman" w:hAnsi="Times New Roman" w:cs="Times New Roman"/>
                </w:rPr>
                <m:t>FP</m:t>
              </m:r>
            </m:sub>
          </m:sSub>
          <m:r>
            <w:rPr>
              <w:rFonts w:ascii="Cambria Math" w:hAnsi="Cambria Math" w:cs="Times New Roman"/>
            </w:rPr>
            <m:t>⋅</m:t>
          </m:r>
          <m:r>
            <m:rPr>
              <m:nor/>
            </m:rPr>
            <w:rPr>
              <w:rFonts w:ascii="Times New Roman" w:hAnsi="Times New Roman" w:cs="Times New Roman"/>
            </w:rPr>
            <m:t>FP</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m:rPr>
                  <m:nor/>
                </m:rPr>
                <w:rPr>
                  <w:rFonts w:ascii="Times New Roman" w:hAnsi="Times New Roman" w:cs="Times New Roman"/>
                </w:rPr>
                <m:t>FN</m:t>
              </m:r>
            </m:sub>
          </m:sSub>
          <m:r>
            <w:rPr>
              <w:rFonts w:ascii="Cambria Math" w:hAnsi="Cambria Math" w:cs="Times New Roman"/>
            </w:rPr>
            <m:t>⋅</m:t>
          </m:r>
          <m:r>
            <m:rPr>
              <m:nor/>
            </m:rPr>
            <w:rPr>
              <w:rFonts w:ascii="Times New Roman" w:hAnsi="Times New Roman" w:cs="Times New Roman"/>
            </w:rPr>
            <m:t>FN</m:t>
          </m:r>
          <m:r>
            <m:rPr>
              <m:sty m:val="p"/>
            </m:rPr>
            <w:rPr>
              <w:rFonts w:ascii="Cambria Math" w:hAnsi="Cambria Math" w:cs="Times New Roman"/>
            </w:rPr>
            <w:br/>
          </m:r>
        </m:oMath>
      </m:oMathPara>
      <w:r w:rsidRPr="00DB5007">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c</m:t>
            </m:r>
          </m:e>
          <m:sub>
            <m:r>
              <m:rPr>
                <m:nor/>
              </m:rPr>
              <w:rPr>
                <w:rFonts w:ascii="Times New Roman" w:hAnsi="Times New Roman" w:cs="Times New Roman"/>
              </w:rPr>
              <m:t>FN</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m:rPr>
                <m:nor/>
              </m:rPr>
              <w:rPr>
                <w:rFonts w:ascii="Times New Roman" w:hAnsi="Times New Roman" w:cs="Times New Roman"/>
              </w:rPr>
              <m:t>FP</m:t>
            </m:r>
          </m:sub>
        </m:sSub>
      </m:oMath>
      <w:r w:rsidRPr="00DB5007">
        <w:rPr>
          <w:rFonts w:ascii="Times New Roman" w:hAnsi="Times New Roman" w:cs="Times New Roman"/>
        </w:rPr>
        <w:t>. Validation uses stratified k-fold cross-validation, temporal splits, paired t-tests:</w:t>
      </w:r>
    </w:p>
    <w:p w14:paraId="6C86328F" w14:textId="77777777" w:rsidR="001D0282" w:rsidRPr="00DB5007" w:rsidRDefault="001D0282" w:rsidP="00DB5007">
      <w:pPr>
        <w:spacing w:line="360" w:lineRule="auto"/>
        <w:jc w:val="both"/>
        <w:rPr>
          <w:rFonts w:ascii="Times New Roman" w:hAnsi="Times New Roman" w:cs="Times New Roman"/>
        </w:rPr>
      </w:pPr>
      <m:oMathPara>
        <m:oMath>
          <m:r>
            <w:rPr>
              <w:rFonts w:ascii="Cambria Math" w:hAnsi="Cambria Math" w:cs="Times New Roman"/>
            </w:rPr>
            <m:t>t=</m:t>
          </m:r>
          <m:f>
            <m:fPr>
              <m:ctrlPr>
                <w:rPr>
                  <w:rFonts w:ascii="Cambria Math" w:hAnsi="Cambria Math" w:cs="Times New Roman"/>
                </w:rPr>
              </m:ctrlPr>
            </m:fPr>
            <m:num>
              <m:acc>
                <m:accPr>
                  <m:chr m:val="ˉ"/>
                  <m:ctrlPr>
                    <w:rPr>
                      <w:rFonts w:ascii="Cambria Math" w:hAnsi="Cambria Math" w:cs="Times New Roman"/>
                    </w:rPr>
                  </m:ctrlPr>
                </m:accPr>
                <m:e>
                  <m:r>
                    <w:rPr>
                      <w:rFonts w:ascii="Cambria Math" w:hAnsi="Cambria Math" w:cs="Times New Roman"/>
                    </w:rPr>
                    <m:t>d</m:t>
                  </m:r>
                </m:e>
              </m:acc>
            </m:num>
            <m:den>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d</m:t>
                  </m:r>
                </m:sub>
              </m:sSub>
              <m:r>
                <m:rPr>
                  <m:sty m:val="p"/>
                </m:rPr>
                <w:rPr>
                  <w:rFonts w:ascii="Cambria Math" w:hAnsi="Cambria Math" w:cs="Times New Roman"/>
                </w:rPr>
                <m:t>/</m:t>
              </m:r>
              <m:rad>
                <m:radPr>
                  <m:degHide m:val="1"/>
                  <m:ctrlPr>
                    <w:rPr>
                      <w:rFonts w:ascii="Cambria Math" w:hAnsi="Cambria Math" w:cs="Times New Roman"/>
                    </w:rPr>
                  </m:ctrlPr>
                </m:radPr>
                <m:deg/>
                <m:e>
                  <m:r>
                    <w:rPr>
                      <w:rFonts w:ascii="Cambria Math" w:hAnsi="Cambria Math" w:cs="Times New Roman"/>
                    </w:rPr>
                    <m:t>n</m:t>
                  </m:r>
                </m:e>
              </m:rad>
            </m:den>
          </m:f>
          <m:r>
            <m:rPr>
              <m:sty m:val="p"/>
            </m:rPr>
            <w:rPr>
              <w:rFonts w:ascii="Cambria Math" w:hAnsi="Cambria Math" w:cs="Times New Roman"/>
            </w:rPr>
            <w:br/>
          </m:r>
        </m:oMath>
      </m:oMathPara>
      <w:r w:rsidRPr="00DB5007">
        <w:rPr>
          <w:rFonts w:ascii="Times New Roman" w:hAnsi="Times New Roman" w:cs="Times New Roman"/>
        </w:rPr>
        <w:t xml:space="preserve">for statistical significance (p &lt; 0.05), and Friedman test with Nemenyi post-hoc (Szeghalmy &amp; Fazekas, 2023). Hyperparameter tuning uses Bayesian optimization, with L2 regularization added to the loss as </w:t>
      </w:r>
      <m:oMath>
        <m:r>
          <w:rPr>
            <w:rFonts w:ascii="Cambria Math" w:hAnsi="Cambria Math" w:cs="Times New Roman"/>
          </w:rPr>
          <m:t>λ∑</m:t>
        </m:r>
        <m:sSup>
          <m:sSupPr>
            <m:ctrlPr>
              <w:rPr>
                <w:rFonts w:ascii="Cambria Math" w:hAnsi="Cambria Math" w:cs="Times New Roman"/>
              </w:rPr>
            </m:ctrlPr>
          </m:sSupPr>
          <m:e>
            <m:r>
              <w:rPr>
                <w:rFonts w:ascii="Cambria Math" w:hAnsi="Cambria Math" w:cs="Times New Roman"/>
              </w:rPr>
              <m:t>w</m:t>
            </m:r>
          </m:e>
          <m:sup>
            <m:r>
              <w:rPr>
                <w:rFonts w:ascii="Cambria Math" w:hAnsi="Cambria Math" w:cs="Times New Roman"/>
              </w:rPr>
              <m:t>2</m:t>
            </m:r>
          </m:sup>
        </m:sSup>
      </m:oMath>
      <w:r w:rsidRPr="00DB5007">
        <w:rPr>
          <w:rFonts w:ascii="Times New Roman" w:eastAsiaTheme="minorEastAsia" w:hAnsi="Times New Roman" w:cs="Times New Roman"/>
        </w:rPr>
        <w:t xml:space="preserve"> </w:t>
      </w:r>
      <w:r w:rsidRPr="00DB5007">
        <w:rPr>
          <w:rFonts w:ascii="Times New Roman" w:hAnsi="Times New Roman" w:cs="Times New Roman"/>
        </w:rPr>
        <w:t xml:space="preserve">where </w:t>
      </w:r>
      <m:oMath>
        <m:r>
          <w:rPr>
            <w:rFonts w:ascii="Cambria Math" w:hAnsi="Cambria Math" w:cs="Times New Roman"/>
          </w:rPr>
          <m:t>λ=0.0001</m:t>
        </m:r>
      </m:oMath>
      <w:r w:rsidRPr="00DB5007">
        <w:rPr>
          <w:rFonts w:ascii="Times New Roman" w:hAnsi="Times New Roman" w:cs="Times New Roman"/>
        </w:rPr>
        <w:t>.</w:t>
      </w:r>
    </w:p>
    <w:p w14:paraId="734E98AC"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b/>
          <w:bCs/>
        </w:rPr>
        <w:t>Privacy-Preserving Mechanisms</w:t>
      </w:r>
    </w:p>
    <w:p w14:paraId="29440116"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Privacy mechanisms include Federated Learning with Federated Averaging:</w:t>
      </w:r>
    </w:p>
    <w:p w14:paraId="30EA738C" w14:textId="77777777" w:rsidR="001D0282" w:rsidRPr="00DB5007" w:rsidRDefault="00333E06" w:rsidP="00DB5007">
      <w:pPr>
        <w:spacing w:line="360" w:lineRule="auto"/>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w</m:t>
              </m:r>
            </m:e>
            <m:sub>
              <m:r>
                <m:rPr>
                  <m:nor/>
                </m:rPr>
                <w:rPr>
                  <w:rFonts w:ascii="Times New Roman" w:hAnsi="Times New Roman" w:cs="Times New Roman"/>
                </w:rPr>
                <m:t>global</m:t>
              </m: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N</m:t>
              </m:r>
            </m:den>
          </m:f>
          <m:nary>
            <m:naryPr>
              <m:chr m:val="∑"/>
              <m:limLoc m:val="undOvr"/>
              <m:grow m:val="1"/>
              <m:ctrlPr>
                <w:rPr>
                  <w:rFonts w:ascii="Cambria Math" w:hAnsi="Cambria Math" w:cs="Times New Roman"/>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sub>
              </m:sSub>
            </m:e>
          </m:nary>
          <m:r>
            <m:rPr>
              <m:sty m:val="p"/>
            </m:rPr>
            <w:rPr>
              <w:rFonts w:ascii="Cambria Math" w:hAnsi="Cambria Math" w:cs="Times New Roman"/>
            </w:rPr>
            <w:br/>
          </m:r>
        </m:oMath>
      </m:oMathPara>
      <w:r w:rsidR="001D0282" w:rsidRPr="00DB5007">
        <w:rPr>
          <w:rFonts w:ascii="Times New Roman" w:hAnsi="Times New Roman" w:cs="Times New Roman"/>
        </w:rPr>
        <w:t xml:space="preserve">where (N) is the number of institutions, and models are trained locally before aggregation (McMahan et al., 2016). Differential privacy adds noise after gradient clipping as </w:t>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g</m:t>
                </m:r>
              </m:e>
            </m:acc>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i</m:t>
            </m:r>
          </m:sub>
        </m:sSub>
        <m:r>
          <m:rPr>
            <m:sty m:val="p"/>
          </m:rPr>
          <w:rPr>
            <w:rFonts w:ascii="Cambria Math" w:hAnsi="Cambria Math" w:cs="Times New Roman"/>
          </w:rPr>
          <m:t>/max</m:t>
        </m:r>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i</m:t>
            </m:r>
          </m:sub>
        </m:sSub>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C)+</m:t>
        </m:r>
        <m:r>
          <m:rPr>
            <m:scr m:val="script"/>
          </m:rPr>
          <w:rPr>
            <w:rFonts w:ascii="Cambria Math" w:hAnsi="Cambria Math" w:cs="Times New Roman"/>
          </w:rPr>
          <m:t>N</m:t>
        </m:r>
        <m:r>
          <w:rPr>
            <w:rFonts w:ascii="Cambria Math" w:hAnsi="Cambria Math" w:cs="Times New Roman"/>
          </w:rPr>
          <m:t>(0,</m:t>
        </m:r>
        <m:sSup>
          <m:sSupPr>
            <m:ctrlPr>
              <w:rPr>
                <w:rFonts w:ascii="Cambria Math" w:hAnsi="Cambria Math" w:cs="Times New Roman"/>
              </w:rPr>
            </m:ctrlPr>
          </m:sSupPr>
          <m:e>
            <m:r>
              <w:rPr>
                <w:rFonts w:ascii="Cambria Math" w:hAnsi="Cambria Math" w:cs="Times New Roman"/>
              </w:rPr>
              <m:t>σ</m:t>
            </m:r>
          </m:e>
          <m:sup>
            <m:r>
              <w:rPr>
                <w:rFonts w:ascii="Cambria Math" w:hAnsi="Cambria Math" w:cs="Times New Roman"/>
              </w:rPr>
              <m:t>2</m:t>
            </m:r>
          </m:sup>
        </m:sSup>
        <m:r>
          <w:rPr>
            <w:rFonts w:ascii="Cambria Math" w:hAnsi="Cambria Math" w:cs="Times New Roman"/>
          </w:rPr>
          <m:t>)</m:t>
        </m:r>
      </m:oMath>
      <w:r w:rsidR="001D0282" w:rsidRPr="00DB5007">
        <w:rPr>
          <w:rFonts w:ascii="Times New Roman" w:hAnsi="Times New Roman" w:cs="Times New Roman"/>
        </w:rPr>
        <w:t xml:space="preserve">, controlled by privacy budget </w:t>
      </w:r>
      <m:oMath>
        <m:d>
          <m:dPr>
            <m:sepChr m:val=","/>
            <m:ctrlPr>
              <w:rPr>
                <w:rFonts w:ascii="Cambria Math" w:hAnsi="Cambria Math" w:cs="Times New Roman"/>
              </w:rPr>
            </m:ctrlPr>
          </m:dPr>
          <m:e>
            <m:r>
              <w:rPr>
                <w:rFonts w:ascii="Cambria Math" w:hAnsi="Cambria Math" w:cs="Times New Roman"/>
              </w:rPr>
              <m:t>ϵ</m:t>
            </m:r>
          </m:e>
          <m:e>
            <m:r>
              <w:rPr>
                <w:rFonts w:ascii="Cambria Math" w:hAnsi="Cambria Math" w:cs="Times New Roman"/>
              </w:rPr>
              <m:t>δ</m:t>
            </m:r>
          </m:e>
        </m:d>
      </m:oMath>
    </w:p>
    <w:p w14:paraId="2D5F916F"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b/>
          <w:bCs/>
        </w:rPr>
        <w:t>Implementation and Ethical Considerations</w:t>
      </w:r>
    </w:p>
    <w:p w14:paraId="465B256B"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Implementation leverages Deep Graph Library for GNNs, </w:t>
      </w:r>
      <w:proofErr w:type="spellStart"/>
      <w:r w:rsidRPr="00DB5007">
        <w:rPr>
          <w:rFonts w:ascii="Times New Roman" w:hAnsi="Times New Roman" w:cs="Times New Roman"/>
        </w:rPr>
        <w:t>PyTorch</w:t>
      </w:r>
      <w:proofErr w:type="spellEnd"/>
      <w:r w:rsidRPr="00DB5007">
        <w:rPr>
          <w:rFonts w:ascii="Times New Roman" w:hAnsi="Times New Roman" w:cs="Times New Roman"/>
        </w:rPr>
        <w:t xml:space="preserve"> for differentiation, SHAP and LIME libraries for explanations, Pandas and </w:t>
      </w:r>
      <w:proofErr w:type="spellStart"/>
      <w:r w:rsidRPr="00DB5007">
        <w:rPr>
          <w:rFonts w:ascii="Times New Roman" w:hAnsi="Times New Roman" w:cs="Times New Roman"/>
        </w:rPr>
        <w:t>Scikit</w:t>
      </w:r>
      <w:proofErr w:type="spellEnd"/>
      <w:r w:rsidRPr="00DB5007">
        <w:rPr>
          <w:rFonts w:ascii="Times New Roman" w:hAnsi="Times New Roman" w:cs="Times New Roman"/>
        </w:rPr>
        <w:t xml:space="preserve">-learn for processing, and TensorFlow Federated or </w:t>
      </w:r>
      <w:proofErr w:type="spellStart"/>
      <w:r w:rsidRPr="00DB5007">
        <w:rPr>
          <w:rFonts w:ascii="Times New Roman" w:hAnsi="Times New Roman" w:cs="Times New Roman"/>
        </w:rPr>
        <w:t>Opacus</w:t>
      </w:r>
      <w:proofErr w:type="spellEnd"/>
      <w:r w:rsidRPr="00DB5007">
        <w:rPr>
          <w:rFonts w:ascii="Times New Roman" w:hAnsi="Times New Roman" w:cs="Times New Roman"/>
        </w:rPr>
        <w:t xml:space="preserve"> for privacy (Huang et al., 2018). Ethical considerations ensure fairness, data minimization, anonymization, and transparency via XAI. This methodology rigorously integrates GNNs with XAI for AML, yielding a scalable, explainable framework validated empirically.</w:t>
      </w:r>
    </w:p>
    <w:p w14:paraId="1C1EA547" w14:textId="77777777" w:rsidR="001D0282" w:rsidRPr="00DB5007" w:rsidRDefault="001D0282" w:rsidP="00DB5007">
      <w:pPr>
        <w:spacing w:line="360" w:lineRule="auto"/>
        <w:jc w:val="both"/>
        <w:rPr>
          <w:rFonts w:ascii="Times New Roman" w:hAnsi="Times New Roman" w:cs="Times New Roman"/>
        </w:rPr>
      </w:pPr>
    </w:p>
    <w:p w14:paraId="32E5E89F"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4.</w:t>
      </w:r>
      <w:r w:rsidRPr="00DB5007">
        <w:rPr>
          <w:rFonts w:ascii="Times New Roman" w:hAnsi="Times New Roman" w:cs="Times New Roman"/>
          <w:b/>
          <w:bCs/>
        </w:rPr>
        <w:tab/>
        <w:t>Results and Discussion</w:t>
      </w:r>
    </w:p>
    <w:p w14:paraId="3919DB00" w14:textId="7ABB0FD1"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This </w:t>
      </w:r>
      <w:r w:rsidR="00A0151C">
        <w:rPr>
          <w:rFonts w:ascii="Times New Roman" w:hAnsi="Times New Roman" w:cs="Times New Roman"/>
        </w:rPr>
        <w:t>article</w:t>
      </w:r>
      <w:r w:rsidRPr="00DB5007">
        <w:rPr>
          <w:rFonts w:ascii="Times New Roman" w:hAnsi="Times New Roman" w:cs="Times New Roman"/>
        </w:rPr>
        <w:t xml:space="preserve"> presents the results of applying a Graph Neural Network model combined with Explainable Artificial Intelligence to standard financial transaction datasets. Following the earlier methodology, the study covers data preparation, graph building, the use of models such as Graph Attention Networks and Relational Graph Convolutional Networks, and evaluation using measures like AUC ROC and F1 score. The results show how using relationships between entities improves detection accuracy, how explanation methods make model decisions clearer, and how well the system performs when handling large datasets. Overall, the findings demonstrate improved accuracy, better transparency, and practical usability supported by clear performance results and visual outputs.</w:t>
      </w:r>
    </w:p>
    <w:p w14:paraId="2FF37487"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Presentation of Results</w:t>
      </w:r>
    </w:p>
    <w:p w14:paraId="29CA3D9B" w14:textId="192D5EBE"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The implementation commenced with training the heterogeneous Graph Attention Network on the Institute of Electrical and Electronics Engineers-Consumer Intelligence Series Fraud Detection dataset, merging 561,013 transactions with identity records to form 590,540 pairs exhibiting a 3.5 percent fraud rate, alongside validations on the Kaggle Credit Card Fraud Detection dataset with 284,807 transactions at 0.17 percent fraud prevalence and the Elliptic Bitcoin Transaction Network comprising 203,769 nodes with 2 percent illicit activities, ensuring comprehensive coverage of card-based and cryptocurrency scenarios as per the data acquisition strategy. Training dynamics </w:t>
      </w:r>
      <w:r w:rsidRPr="00DB5007">
        <w:rPr>
          <w:rFonts w:ascii="Times New Roman" w:hAnsi="Times New Roman" w:cs="Times New Roman"/>
        </w:rPr>
        <w:lastRenderedPageBreak/>
        <w:t>revealed stable convergence, with loss reductions from initial values around 0.65 to 0.18 over 50 epochs, incorporating early stopping at epoch 45 when validation Area Under the Curve-Receiver Operating Characteristic plateaued at 0.874, as detailed in Table 1 which captures epoch-wise metrics including training and validation losses, Area Under the Curve-Receiver Operating Characteristic scores, F1-scores, and adaptive learning rates starting at 0.001 and halving at epochs 30 and 45 to mitigate overfitting</w:t>
      </w:r>
      <w:r w:rsidR="008209CB">
        <w:rPr>
          <w:rFonts w:ascii="Times New Roman" w:hAnsi="Times New Roman" w:cs="Times New Roman"/>
        </w:rPr>
        <w:t xml:space="preserve"> as displayed in Figure 2 as well</w:t>
      </w:r>
      <w:r w:rsidRPr="00DB5007">
        <w:rPr>
          <w:rFonts w:ascii="Times New Roman" w:hAnsi="Times New Roman" w:cs="Times New Roman"/>
        </w:rPr>
        <w:t>.</w:t>
      </w:r>
    </w:p>
    <w:p w14:paraId="4EAA1FA0"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Table 1</w:t>
      </w:r>
    </w:p>
    <w:p w14:paraId="6F8C1F6E" w14:textId="07DF46F3" w:rsidR="001D0282" w:rsidRPr="00DB5007" w:rsidRDefault="001D0282" w:rsidP="00DB5007">
      <w:pPr>
        <w:spacing w:line="360" w:lineRule="auto"/>
        <w:jc w:val="both"/>
        <w:rPr>
          <w:rFonts w:ascii="Times New Roman" w:hAnsi="Times New Roman" w:cs="Times New Roman"/>
          <w:i/>
          <w:iCs/>
        </w:rPr>
      </w:pPr>
      <w:r w:rsidRPr="00DB5007">
        <w:rPr>
          <w:rFonts w:ascii="Times New Roman" w:hAnsi="Times New Roman" w:cs="Times New Roman"/>
          <w:i/>
          <w:iCs/>
        </w:rPr>
        <w:t>Training Dynamics of Heterogeneous Graph Attention Network Model</w:t>
      </w:r>
    </w:p>
    <w:tbl>
      <w:tblPr>
        <w:tblW w:w="9472" w:type="dxa"/>
        <w:tblCellMar>
          <w:top w:w="15" w:type="dxa"/>
          <w:left w:w="15" w:type="dxa"/>
          <w:bottom w:w="15" w:type="dxa"/>
          <w:right w:w="15" w:type="dxa"/>
        </w:tblCellMar>
        <w:tblLook w:val="04A0" w:firstRow="1" w:lastRow="0" w:firstColumn="1" w:lastColumn="0" w:noHBand="0" w:noVBand="1"/>
      </w:tblPr>
      <w:tblGrid>
        <w:gridCol w:w="791"/>
        <w:gridCol w:w="1255"/>
        <w:gridCol w:w="1333"/>
        <w:gridCol w:w="1164"/>
        <w:gridCol w:w="1333"/>
        <w:gridCol w:w="1164"/>
        <w:gridCol w:w="1333"/>
        <w:gridCol w:w="1099"/>
      </w:tblGrid>
      <w:tr w:rsidR="001D0282" w:rsidRPr="00DB5007" w14:paraId="74880C4C" w14:textId="77777777" w:rsidTr="00025DB9">
        <w:trPr>
          <w:trHeight w:val="799"/>
          <w:tblHeader/>
        </w:trPr>
        <w:tc>
          <w:tcPr>
            <w:tcW w:w="791" w:type="dxa"/>
            <w:tcBorders>
              <w:top w:val="single" w:sz="4" w:space="0" w:color="auto"/>
              <w:bottom w:val="single" w:sz="4" w:space="0" w:color="auto"/>
            </w:tcBorders>
            <w:tcMar>
              <w:top w:w="15" w:type="dxa"/>
              <w:left w:w="0" w:type="dxa"/>
              <w:bottom w:w="137" w:type="dxa"/>
              <w:right w:w="137" w:type="dxa"/>
            </w:tcMar>
            <w:vAlign w:val="bottom"/>
            <w:hideMark/>
          </w:tcPr>
          <w:p w14:paraId="6D9EA4C9" w14:textId="77777777" w:rsidR="001D0282" w:rsidRPr="00DB5007" w:rsidRDefault="001D0282" w:rsidP="00DB5007">
            <w:pPr>
              <w:spacing w:line="240" w:lineRule="auto"/>
              <w:ind w:right="-68"/>
              <w:jc w:val="center"/>
              <w:rPr>
                <w:rFonts w:ascii="Times New Roman" w:hAnsi="Times New Roman" w:cs="Times New Roman"/>
                <w:b/>
                <w:bCs/>
              </w:rPr>
            </w:pPr>
            <w:r w:rsidRPr="00DB5007">
              <w:rPr>
                <w:rFonts w:ascii="Times New Roman" w:hAnsi="Times New Roman" w:cs="Times New Roman"/>
                <w:b/>
                <w:bCs/>
              </w:rPr>
              <w:t>Epoch</w:t>
            </w:r>
          </w:p>
        </w:tc>
        <w:tc>
          <w:tcPr>
            <w:tcW w:w="1255" w:type="dxa"/>
            <w:tcBorders>
              <w:top w:val="single" w:sz="4" w:space="0" w:color="auto"/>
              <w:bottom w:val="single" w:sz="4" w:space="0" w:color="auto"/>
            </w:tcBorders>
            <w:tcMar>
              <w:top w:w="15" w:type="dxa"/>
              <w:left w:w="137" w:type="dxa"/>
              <w:bottom w:w="137" w:type="dxa"/>
              <w:right w:w="137" w:type="dxa"/>
            </w:tcMar>
            <w:vAlign w:val="bottom"/>
            <w:hideMark/>
          </w:tcPr>
          <w:p w14:paraId="7A24AD86" w14:textId="77777777" w:rsidR="001D0282" w:rsidRPr="00DB5007" w:rsidRDefault="001D0282" w:rsidP="00DB5007">
            <w:pPr>
              <w:tabs>
                <w:tab w:val="left" w:pos="876"/>
              </w:tabs>
              <w:spacing w:line="240" w:lineRule="auto"/>
              <w:jc w:val="center"/>
              <w:rPr>
                <w:rFonts w:ascii="Times New Roman" w:hAnsi="Times New Roman" w:cs="Times New Roman"/>
                <w:b/>
                <w:bCs/>
              </w:rPr>
            </w:pPr>
            <w:r w:rsidRPr="00DB5007">
              <w:rPr>
                <w:rFonts w:ascii="Times New Roman" w:hAnsi="Times New Roman" w:cs="Times New Roman"/>
                <w:b/>
                <w:bCs/>
              </w:rPr>
              <w:t>Training Loss</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6C21ED48" w14:textId="77777777" w:rsidR="001D0282" w:rsidRPr="00DB5007" w:rsidRDefault="001D0282" w:rsidP="00DB5007">
            <w:pPr>
              <w:spacing w:line="240" w:lineRule="auto"/>
              <w:jc w:val="center"/>
              <w:rPr>
                <w:rFonts w:ascii="Times New Roman" w:hAnsi="Times New Roman" w:cs="Times New Roman"/>
                <w:b/>
                <w:bCs/>
              </w:rPr>
            </w:pPr>
            <w:r w:rsidRPr="00DB5007">
              <w:rPr>
                <w:rFonts w:ascii="Times New Roman" w:hAnsi="Times New Roman" w:cs="Times New Roman"/>
                <w:b/>
                <w:bCs/>
              </w:rPr>
              <w:t>Validation Loss</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6C98C9E1" w14:textId="77777777" w:rsidR="001D0282" w:rsidRPr="00DB5007" w:rsidRDefault="001D0282" w:rsidP="00DB5007">
            <w:pPr>
              <w:spacing w:line="240" w:lineRule="auto"/>
              <w:jc w:val="center"/>
              <w:rPr>
                <w:rFonts w:ascii="Times New Roman" w:hAnsi="Times New Roman" w:cs="Times New Roman"/>
                <w:b/>
                <w:bCs/>
              </w:rPr>
            </w:pPr>
            <w:r w:rsidRPr="00DB5007">
              <w:rPr>
                <w:rFonts w:ascii="Times New Roman" w:hAnsi="Times New Roman" w:cs="Times New Roman"/>
                <w:b/>
                <w:bCs/>
              </w:rPr>
              <w:t>Training AUC-ROC</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3C85BE24" w14:textId="77777777" w:rsidR="001D0282" w:rsidRPr="00DB5007" w:rsidRDefault="001D0282" w:rsidP="00DB5007">
            <w:pPr>
              <w:spacing w:line="240" w:lineRule="auto"/>
              <w:jc w:val="center"/>
              <w:rPr>
                <w:rFonts w:ascii="Times New Roman" w:hAnsi="Times New Roman" w:cs="Times New Roman"/>
                <w:b/>
                <w:bCs/>
              </w:rPr>
            </w:pPr>
            <w:r w:rsidRPr="00DB5007">
              <w:rPr>
                <w:rFonts w:ascii="Times New Roman" w:hAnsi="Times New Roman" w:cs="Times New Roman"/>
                <w:b/>
                <w:bCs/>
              </w:rPr>
              <w:t>Validation AUC-ROC</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71DC393A" w14:textId="77777777" w:rsidR="001D0282" w:rsidRPr="00DB5007" w:rsidRDefault="001D0282" w:rsidP="00DB5007">
            <w:pPr>
              <w:spacing w:line="240" w:lineRule="auto"/>
              <w:jc w:val="center"/>
              <w:rPr>
                <w:rFonts w:ascii="Times New Roman" w:hAnsi="Times New Roman" w:cs="Times New Roman"/>
                <w:b/>
                <w:bCs/>
              </w:rPr>
            </w:pPr>
            <w:r w:rsidRPr="00DB5007">
              <w:rPr>
                <w:rFonts w:ascii="Times New Roman" w:hAnsi="Times New Roman" w:cs="Times New Roman"/>
                <w:b/>
                <w:bCs/>
              </w:rPr>
              <w:t>Training F1-Score</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288C5138" w14:textId="77777777" w:rsidR="001D0282" w:rsidRPr="00DB5007" w:rsidRDefault="001D0282" w:rsidP="00DB5007">
            <w:pPr>
              <w:spacing w:line="240" w:lineRule="auto"/>
              <w:jc w:val="center"/>
              <w:rPr>
                <w:rFonts w:ascii="Times New Roman" w:hAnsi="Times New Roman" w:cs="Times New Roman"/>
                <w:b/>
                <w:bCs/>
              </w:rPr>
            </w:pPr>
            <w:r w:rsidRPr="00DB5007">
              <w:rPr>
                <w:rFonts w:ascii="Times New Roman" w:hAnsi="Times New Roman" w:cs="Times New Roman"/>
                <w:b/>
                <w:bCs/>
              </w:rPr>
              <w:t>Validation F1-Score</w:t>
            </w:r>
          </w:p>
        </w:tc>
        <w:tc>
          <w:tcPr>
            <w:tcW w:w="1099" w:type="dxa"/>
            <w:tcBorders>
              <w:top w:val="single" w:sz="4" w:space="0" w:color="auto"/>
              <w:bottom w:val="single" w:sz="4" w:space="0" w:color="auto"/>
            </w:tcBorders>
            <w:tcMar>
              <w:top w:w="15" w:type="dxa"/>
              <w:left w:w="137" w:type="dxa"/>
              <w:bottom w:w="137" w:type="dxa"/>
              <w:right w:w="15" w:type="dxa"/>
            </w:tcMar>
            <w:vAlign w:val="bottom"/>
            <w:hideMark/>
          </w:tcPr>
          <w:p w14:paraId="2A14A198" w14:textId="77777777" w:rsidR="001D0282" w:rsidRPr="00DB5007" w:rsidRDefault="001D0282" w:rsidP="00DB5007">
            <w:pPr>
              <w:spacing w:line="240" w:lineRule="auto"/>
              <w:jc w:val="center"/>
              <w:rPr>
                <w:rFonts w:ascii="Times New Roman" w:hAnsi="Times New Roman" w:cs="Times New Roman"/>
                <w:b/>
                <w:bCs/>
              </w:rPr>
            </w:pPr>
            <w:r w:rsidRPr="00DB5007">
              <w:rPr>
                <w:rFonts w:ascii="Times New Roman" w:hAnsi="Times New Roman" w:cs="Times New Roman"/>
                <w:b/>
                <w:bCs/>
              </w:rPr>
              <w:t>Learning Rate</w:t>
            </w:r>
          </w:p>
        </w:tc>
      </w:tr>
      <w:tr w:rsidR="001D0282" w:rsidRPr="00DB5007" w14:paraId="1A2CB425" w14:textId="77777777" w:rsidTr="00025DB9">
        <w:tc>
          <w:tcPr>
            <w:tcW w:w="791" w:type="dxa"/>
            <w:tcBorders>
              <w:top w:val="single" w:sz="4" w:space="0" w:color="auto"/>
            </w:tcBorders>
            <w:tcMar>
              <w:top w:w="137" w:type="dxa"/>
              <w:left w:w="0" w:type="dxa"/>
              <w:bottom w:w="137" w:type="dxa"/>
              <w:right w:w="137" w:type="dxa"/>
            </w:tcMar>
            <w:vAlign w:val="bottom"/>
            <w:hideMark/>
          </w:tcPr>
          <w:p w14:paraId="224CB5C6"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1</w:t>
            </w:r>
          </w:p>
        </w:tc>
        <w:tc>
          <w:tcPr>
            <w:tcW w:w="1255" w:type="dxa"/>
            <w:tcBorders>
              <w:top w:val="single" w:sz="4" w:space="0" w:color="auto"/>
            </w:tcBorders>
            <w:tcMar>
              <w:top w:w="137" w:type="dxa"/>
              <w:left w:w="137" w:type="dxa"/>
              <w:bottom w:w="137" w:type="dxa"/>
              <w:right w:w="137" w:type="dxa"/>
            </w:tcMar>
            <w:vAlign w:val="bottom"/>
            <w:hideMark/>
          </w:tcPr>
          <w:p w14:paraId="73E631A3"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0.652</w:t>
            </w:r>
          </w:p>
        </w:tc>
        <w:tc>
          <w:tcPr>
            <w:tcW w:w="0" w:type="auto"/>
            <w:tcBorders>
              <w:top w:val="single" w:sz="4" w:space="0" w:color="auto"/>
            </w:tcBorders>
            <w:tcMar>
              <w:top w:w="137" w:type="dxa"/>
              <w:left w:w="137" w:type="dxa"/>
              <w:bottom w:w="137" w:type="dxa"/>
              <w:right w:w="137" w:type="dxa"/>
            </w:tcMar>
            <w:vAlign w:val="bottom"/>
            <w:hideMark/>
          </w:tcPr>
          <w:p w14:paraId="610B29B5"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0.642</w:t>
            </w:r>
          </w:p>
        </w:tc>
        <w:tc>
          <w:tcPr>
            <w:tcW w:w="0" w:type="auto"/>
            <w:tcBorders>
              <w:top w:val="single" w:sz="4" w:space="0" w:color="auto"/>
            </w:tcBorders>
            <w:tcMar>
              <w:top w:w="137" w:type="dxa"/>
              <w:left w:w="137" w:type="dxa"/>
              <w:bottom w:w="137" w:type="dxa"/>
              <w:right w:w="137" w:type="dxa"/>
            </w:tcMar>
            <w:vAlign w:val="bottom"/>
            <w:hideMark/>
          </w:tcPr>
          <w:p w14:paraId="044BE963"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0.582</w:t>
            </w:r>
          </w:p>
        </w:tc>
        <w:tc>
          <w:tcPr>
            <w:tcW w:w="0" w:type="auto"/>
            <w:tcBorders>
              <w:top w:val="single" w:sz="4" w:space="0" w:color="auto"/>
            </w:tcBorders>
            <w:tcMar>
              <w:top w:w="137" w:type="dxa"/>
              <w:left w:w="137" w:type="dxa"/>
              <w:bottom w:w="137" w:type="dxa"/>
              <w:right w:w="137" w:type="dxa"/>
            </w:tcMar>
            <w:vAlign w:val="bottom"/>
            <w:hideMark/>
          </w:tcPr>
          <w:p w14:paraId="6F452C44"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0.579</w:t>
            </w:r>
          </w:p>
        </w:tc>
        <w:tc>
          <w:tcPr>
            <w:tcW w:w="0" w:type="auto"/>
            <w:tcBorders>
              <w:top w:val="single" w:sz="4" w:space="0" w:color="auto"/>
            </w:tcBorders>
            <w:tcMar>
              <w:top w:w="137" w:type="dxa"/>
              <w:left w:w="137" w:type="dxa"/>
              <w:bottom w:w="137" w:type="dxa"/>
              <w:right w:w="137" w:type="dxa"/>
            </w:tcMar>
            <w:vAlign w:val="bottom"/>
            <w:hideMark/>
          </w:tcPr>
          <w:p w14:paraId="4BC01A79"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0.314</w:t>
            </w:r>
          </w:p>
        </w:tc>
        <w:tc>
          <w:tcPr>
            <w:tcW w:w="0" w:type="auto"/>
            <w:tcBorders>
              <w:top w:val="single" w:sz="4" w:space="0" w:color="auto"/>
            </w:tcBorders>
            <w:tcMar>
              <w:top w:w="137" w:type="dxa"/>
              <w:left w:w="137" w:type="dxa"/>
              <w:bottom w:w="137" w:type="dxa"/>
              <w:right w:w="137" w:type="dxa"/>
            </w:tcMar>
            <w:vAlign w:val="bottom"/>
            <w:hideMark/>
          </w:tcPr>
          <w:p w14:paraId="23C471D8"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0.309</w:t>
            </w:r>
          </w:p>
        </w:tc>
        <w:tc>
          <w:tcPr>
            <w:tcW w:w="1099" w:type="dxa"/>
            <w:tcBorders>
              <w:top w:val="single" w:sz="4" w:space="0" w:color="auto"/>
            </w:tcBorders>
            <w:tcMar>
              <w:top w:w="137" w:type="dxa"/>
              <w:left w:w="137" w:type="dxa"/>
              <w:bottom w:w="137" w:type="dxa"/>
              <w:right w:w="0" w:type="dxa"/>
            </w:tcMar>
            <w:vAlign w:val="bottom"/>
            <w:hideMark/>
          </w:tcPr>
          <w:p w14:paraId="425035CC"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0.001</w:t>
            </w:r>
          </w:p>
        </w:tc>
      </w:tr>
      <w:tr w:rsidR="001D0282" w:rsidRPr="00DB5007" w14:paraId="321F232A" w14:textId="77777777" w:rsidTr="00025DB9">
        <w:tc>
          <w:tcPr>
            <w:tcW w:w="791" w:type="dxa"/>
            <w:tcMar>
              <w:top w:w="137" w:type="dxa"/>
              <w:left w:w="0" w:type="dxa"/>
              <w:bottom w:w="137" w:type="dxa"/>
              <w:right w:w="137" w:type="dxa"/>
            </w:tcMar>
            <w:vAlign w:val="bottom"/>
            <w:hideMark/>
          </w:tcPr>
          <w:p w14:paraId="4007AB89"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10</w:t>
            </w:r>
          </w:p>
        </w:tc>
        <w:tc>
          <w:tcPr>
            <w:tcW w:w="1255" w:type="dxa"/>
            <w:tcMar>
              <w:top w:w="137" w:type="dxa"/>
              <w:left w:w="137" w:type="dxa"/>
              <w:bottom w:w="137" w:type="dxa"/>
              <w:right w:w="137" w:type="dxa"/>
            </w:tcMar>
            <w:vAlign w:val="bottom"/>
            <w:hideMark/>
          </w:tcPr>
          <w:p w14:paraId="014C742D"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0.413</w:t>
            </w:r>
          </w:p>
        </w:tc>
        <w:tc>
          <w:tcPr>
            <w:tcW w:w="0" w:type="auto"/>
            <w:tcMar>
              <w:top w:w="137" w:type="dxa"/>
              <w:left w:w="137" w:type="dxa"/>
              <w:bottom w:w="137" w:type="dxa"/>
              <w:right w:w="137" w:type="dxa"/>
            </w:tcMar>
            <w:vAlign w:val="bottom"/>
            <w:hideMark/>
          </w:tcPr>
          <w:p w14:paraId="6D1187CF"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0.429</w:t>
            </w:r>
          </w:p>
        </w:tc>
        <w:tc>
          <w:tcPr>
            <w:tcW w:w="0" w:type="auto"/>
            <w:tcMar>
              <w:top w:w="137" w:type="dxa"/>
              <w:left w:w="137" w:type="dxa"/>
              <w:bottom w:w="137" w:type="dxa"/>
              <w:right w:w="137" w:type="dxa"/>
            </w:tcMar>
            <w:vAlign w:val="bottom"/>
            <w:hideMark/>
          </w:tcPr>
          <w:p w14:paraId="54940982"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0.713</w:t>
            </w:r>
          </w:p>
        </w:tc>
        <w:tc>
          <w:tcPr>
            <w:tcW w:w="0" w:type="auto"/>
            <w:tcMar>
              <w:top w:w="137" w:type="dxa"/>
              <w:left w:w="137" w:type="dxa"/>
              <w:bottom w:w="137" w:type="dxa"/>
              <w:right w:w="137" w:type="dxa"/>
            </w:tcMar>
            <w:vAlign w:val="bottom"/>
            <w:hideMark/>
          </w:tcPr>
          <w:p w14:paraId="4E3DA89A"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0.702</w:t>
            </w:r>
          </w:p>
        </w:tc>
        <w:tc>
          <w:tcPr>
            <w:tcW w:w="0" w:type="auto"/>
            <w:tcMar>
              <w:top w:w="137" w:type="dxa"/>
              <w:left w:w="137" w:type="dxa"/>
              <w:bottom w:w="137" w:type="dxa"/>
              <w:right w:w="137" w:type="dxa"/>
            </w:tcMar>
            <w:vAlign w:val="bottom"/>
            <w:hideMark/>
          </w:tcPr>
          <w:p w14:paraId="2E79F6C3"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0.523</w:t>
            </w:r>
          </w:p>
        </w:tc>
        <w:tc>
          <w:tcPr>
            <w:tcW w:w="0" w:type="auto"/>
            <w:tcMar>
              <w:top w:w="137" w:type="dxa"/>
              <w:left w:w="137" w:type="dxa"/>
              <w:bottom w:w="137" w:type="dxa"/>
              <w:right w:w="137" w:type="dxa"/>
            </w:tcMar>
            <w:vAlign w:val="bottom"/>
            <w:hideMark/>
          </w:tcPr>
          <w:p w14:paraId="17FC5003"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0.509</w:t>
            </w:r>
          </w:p>
        </w:tc>
        <w:tc>
          <w:tcPr>
            <w:tcW w:w="1099" w:type="dxa"/>
            <w:tcMar>
              <w:top w:w="137" w:type="dxa"/>
              <w:left w:w="137" w:type="dxa"/>
              <w:bottom w:w="137" w:type="dxa"/>
              <w:right w:w="0" w:type="dxa"/>
            </w:tcMar>
            <w:vAlign w:val="bottom"/>
            <w:hideMark/>
          </w:tcPr>
          <w:p w14:paraId="45964D45"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0.001</w:t>
            </w:r>
          </w:p>
        </w:tc>
      </w:tr>
      <w:tr w:rsidR="001D0282" w:rsidRPr="00DB5007" w14:paraId="7840170F" w14:textId="77777777" w:rsidTr="00025DB9">
        <w:tc>
          <w:tcPr>
            <w:tcW w:w="791" w:type="dxa"/>
            <w:tcMar>
              <w:top w:w="137" w:type="dxa"/>
              <w:left w:w="0" w:type="dxa"/>
              <w:bottom w:w="137" w:type="dxa"/>
              <w:right w:w="137" w:type="dxa"/>
            </w:tcMar>
            <w:vAlign w:val="bottom"/>
            <w:hideMark/>
          </w:tcPr>
          <w:p w14:paraId="6F94C697"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20</w:t>
            </w:r>
          </w:p>
        </w:tc>
        <w:tc>
          <w:tcPr>
            <w:tcW w:w="1255" w:type="dxa"/>
            <w:tcMar>
              <w:top w:w="137" w:type="dxa"/>
              <w:left w:w="137" w:type="dxa"/>
              <w:bottom w:w="137" w:type="dxa"/>
              <w:right w:w="137" w:type="dxa"/>
            </w:tcMar>
            <w:vAlign w:val="bottom"/>
            <w:hideMark/>
          </w:tcPr>
          <w:p w14:paraId="399381DF"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0.316</w:t>
            </w:r>
          </w:p>
        </w:tc>
        <w:tc>
          <w:tcPr>
            <w:tcW w:w="0" w:type="auto"/>
            <w:tcMar>
              <w:top w:w="137" w:type="dxa"/>
              <w:left w:w="137" w:type="dxa"/>
              <w:bottom w:w="137" w:type="dxa"/>
              <w:right w:w="137" w:type="dxa"/>
            </w:tcMar>
            <w:vAlign w:val="bottom"/>
            <w:hideMark/>
          </w:tcPr>
          <w:p w14:paraId="6AEA1AF4"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0.342</w:t>
            </w:r>
          </w:p>
        </w:tc>
        <w:tc>
          <w:tcPr>
            <w:tcW w:w="0" w:type="auto"/>
            <w:tcMar>
              <w:top w:w="137" w:type="dxa"/>
              <w:left w:w="137" w:type="dxa"/>
              <w:bottom w:w="137" w:type="dxa"/>
              <w:right w:w="137" w:type="dxa"/>
            </w:tcMar>
            <w:vAlign w:val="bottom"/>
            <w:hideMark/>
          </w:tcPr>
          <w:p w14:paraId="321905C4"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0.795</w:t>
            </w:r>
          </w:p>
        </w:tc>
        <w:tc>
          <w:tcPr>
            <w:tcW w:w="0" w:type="auto"/>
            <w:tcMar>
              <w:top w:w="137" w:type="dxa"/>
              <w:left w:w="137" w:type="dxa"/>
              <w:bottom w:w="137" w:type="dxa"/>
              <w:right w:w="137" w:type="dxa"/>
            </w:tcMar>
            <w:vAlign w:val="bottom"/>
            <w:hideMark/>
          </w:tcPr>
          <w:p w14:paraId="04FF0540"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0.786</w:t>
            </w:r>
          </w:p>
        </w:tc>
        <w:tc>
          <w:tcPr>
            <w:tcW w:w="0" w:type="auto"/>
            <w:tcMar>
              <w:top w:w="137" w:type="dxa"/>
              <w:left w:w="137" w:type="dxa"/>
              <w:bottom w:w="137" w:type="dxa"/>
              <w:right w:w="137" w:type="dxa"/>
            </w:tcMar>
            <w:vAlign w:val="bottom"/>
            <w:hideMark/>
          </w:tcPr>
          <w:p w14:paraId="467921F2"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0.612</w:t>
            </w:r>
          </w:p>
        </w:tc>
        <w:tc>
          <w:tcPr>
            <w:tcW w:w="0" w:type="auto"/>
            <w:tcMar>
              <w:top w:w="137" w:type="dxa"/>
              <w:left w:w="137" w:type="dxa"/>
              <w:bottom w:w="137" w:type="dxa"/>
              <w:right w:w="137" w:type="dxa"/>
            </w:tcMar>
            <w:vAlign w:val="bottom"/>
            <w:hideMark/>
          </w:tcPr>
          <w:p w14:paraId="30181582"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0.600</w:t>
            </w:r>
          </w:p>
        </w:tc>
        <w:tc>
          <w:tcPr>
            <w:tcW w:w="1099" w:type="dxa"/>
            <w:tcMar>
              <w:top w:w="137" w:type="dxa"/>
              <w:left w:w="137" w:type="dxa"/>
              <w:bottom w:w="137" w:type="dxa"/>
              <w:right w:w="0" w:type="dxa"/>
            </w:tcMar>
            <w:vAlign w:val="bottom"/>
            <w:hideMark/>
          </w:tcPr>
          <w:p w14:paraId="26FDF8D7"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0.001</w:t>
            </w:r>
          </w:p>
        </w:tc>
      </w:tr>
      <w:tr w:rsidR="001D0282" w:rsidRPr="00DB5007" w14:paraId="73A36940" w14:textId="77777777" w:rsidTr="00025DB9">
        <w:tc>
          <w:tcPr>
            <w:tcW w:w="791" w:type="dxa"/>
            <w:tcMar>
              <w:top w:w="137" w:type="dxa"/>
              <w:left w:w="0" w:type="dxa"/>
              <w:bottom w:w="137" w:type="dxa"/>
              <w:right w:w="137" w:type="dxa"/>
            </w:tcMar>
            <w:vAlign w:val="bottom"/>
            <w:hideMark/>
          </w:tcPr>
          <w:p w14:paraId="4DC19B2D"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30</w:t>
            </w:r>
          </w:p>
        </w:tc>
        <w:tc>
          <w:tcPr>
            <w:tcW w:w="1255" w:type="dxa"/>
            <w:tcMar>
              <w:top w:w="137" w:type="dxa"/>
              <w:left w:w="137" w:type="dxa"/>
              <w:bottom w:w="137" w:type="dxa"/>
              <w:right w:w="137" w:type="dxa"/>
            </w:tcMar>
            <w:vAlign w:val="bottom"/>
            <w:hideMark/>
          </w:tcPr>
          <w:p w14:paraId="176AE996"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0.263</w:t>
            </w:r>
          </w:p>
        </w:tc>
        <w:tc>
          <w:tcPr>
            <w:tcW w:w="0" w:type="auto"/>
            <w:tcMar>
              <w:top w:w="137" w:type="dxa"/>
              <w:left w:w="137" w:type="dxa"/>
              <w:bottom w:w="137" w:type="dxa"/>
              <w:right w:w="137" w:type="dxa"/>
            </w:tcMar>
            <w:vAlign w:val="bottom"/>
            <w:hideMark/>
          </w:tcPr>
          <w:p w14:paraId="7B8FE9F8"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0.285</w:t>
            </w:r>
          </w:p>
        </w:tc>
        <w:tc>
          <w:tcPr>
            <w:tcW w:w="0" w:type="auto"/>
            <w:tcMar>
              <w:top w:w="137" w:type="dxa"/>
              <w:left w:w="137" w:type="dxa"/>
              <w:bottom w:w="137" w:type="dxa"/>
              <w:right w:w="137" w:type="dxa"/>
            </w:tcMar>
            <w:vAlign w:val="bottom"/>
            <w:hideMark/>
          </w:tcPr>
          <w:p w14:paraId="5B0FBE10"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0.831</w:t>
            </w:r>
          </w:p>
        </w:tc>
        <w:tc>
          <w:tcPr>
            <w:tcW w:w="0" w:type="auto"/>
            <w:tcMar>
              <w:top w:w="137" w:type="dxa"/>
              <w:left w:w="137" w:type="dxa"/>
              <w:bottom w:w="137" w:type="dxa"/>
              <w:right w:w="137" w:type="dxa"/>
            </w:tcMar>
            <w:vAlign w:val="bottom"/>
            <w:hideMark/>
          </w:tcPr>
          <w:p w14:paraId="05FB461B"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0.821</w:t>
            </w:r>
          </w:p>
        </w:tc>
        <w:tc>
          <w:tcPr>
            <w:tcW w:w="0" w:type="auto"/>
            <w:tcMar>
              <w:top w:w="137" w:type="dxa"/>
              <w:left w:w="137" w:type="dxa"/>
              <w:bottom w:w="137" w:type="dxa"/>
              <w:right w:w="137" w:type="dxa"/>
            </w:tcMar>
            <w:vAlign w:val="bottom"/>
            <w:hideMark/>
          </w:tcPr>
          <w:p w14:paraId="13BD2891"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0.674</w:t>
            </w:r>
          </w:p>
        </w:tc>
        <w:tc>
          <w:tcPr>
            <w:tcW w:w="0" w:type="auto"/>
            <w:tcMar>
              <w:top w:w="137" w:type="dxa"/>
              <w:left w:w="137" w:type="dxa"/>
              <w:bottom w:w="137" w:type="dxa"/>
              <w:right w:w="137" w:type="dxa"/>
            </w:tcMar>
            <w:vAlign w:val="bottom"/>
            <w:hideMark/>
          </w:tcPr>
          <w:p w14:paraId="5ACA0356"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0.662</w:t>
            </w:r>
          </w:p>
        </w:tc>
        <w:tc>
          <w:tcPr>
            <w:tcW w:w="1099" w:type="dxa"/>
            <w:tcMar>
              <w:top w:w="137" w:type="dxa"/>
              <w:left w:w="137" w:type="dxa"/>
              <w:bottom w:w="137" w:type="dxa"/>
              <w:right w:w="0" w:type="dxa"/>
            </w:tcMar>
            <w:vAlign w:val="bottom"/>
            <w:hideMark/>
          </w:tcPr>
          <w:p w14:paraId="12EEF115"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0.0005</w:t>
            </w:r>
          </w:p>
        </w:tc>
      </w:tr>
      <w:tr w:rsidR="001D0282" w:rsidRPr="00DB5007" w14:paraId="060583A6" w14:textId="77777777" w:rsidTr="00025DB9">
        <w:tc>
          <w:tcPr>
            <w:tcW w:w="791" w:type="dxa"/>
            <w:tcMar>
              <w:top w:w="137" w:type="dxa"/>
              <w:left w:w="0" w:type="dxa"/>
              <w:bottom w:w="137" w:type="dxa"/>
              <w:right w:w="137" w:type="dxa"/>
            </w:tcMar>
            <w:vAlign w:val="bottom"/>
            <w:hideMark/>
          </w:tcPr>
          <w:p w14:paraId="5F09A60C"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40</w:t>
            </w:r>
          </w:p>
        </w:tc>
        <w:tc>
          <w:tcPr>
            <w:tcW w:w="1255" w:type="dxa"/>
            <w:tcMar>
              <w:top w:w="137" w:type="dxa"/>
              <w:left w:w="137" w:type="dxa"/>
              <w:bottom w:w="137" w:type="dxa"/>
              <w:right w:w="137" w:type="dxa"/>
            </w:tcMar>
            <w:vAlign w:val="bottom"/>
            <w:hideMark/>
          </w:tcPr>
          <w:p w14:paraId="1034067C"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0.215</w:t>
            </w:r>
          </w:p>
        </w:tc>
        <w:tc>
          <w:tcPr>
            <w:tcW w:w="0" w:type="auto"/>
            <w:tcMar>
              <w:top w:w="137" w:type="dxa"/>
              <w:left w:w="137" w:type="dxa"/>
              <w:bottom w:w="137" w:type="dxa"/>
              <w:right w:w="137" w:type="dxa"/>
            </w:tcMar>
            <w:vAlign w:val="bottom"/>
            <w:hideMark/>
          </w:tcPr>
          <w:p w14:paraId="36E97AA5"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0.238</w:t>
            </w:r>
          </w:p>
        </w:tc>
        <w:tc>
          <w:tcPr>
            <w:tcW w:w="0" w:type="auto"/>
            <w:tcMar>
              <w:top w:w="137" w:type="dxa"/>
              <w:left w:w="137" w:type="dxa"/>
              <w:bottom w:w="137" w:type="dxa"/>
              <w:right w:w="137" w:type="dxa"/>
            </w:tcMar>
            <w:vAlign w:val="bottom"/>
            <w:hideMark/>
          </w:tcPr>
          <w:p w14:paraId="3612DD3D"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0.865</w:t>
            </w:r>
          </w:p>
        </w:tc>
        <w:tc>
          <w:tcPr>
            <w:tcW w:w="0" w:type="auto"/>
            <w:tcMar>
              <w:top w:w="137" w:type="dxa"/>
              <w:left w:w="137" w:type="dxa"/>
              <w:bottom w:w="137" w:type="dxa"/>
              <w:right w:w="137" w:type="dxa"/>
            </w:tcMar>
            <w:vAlign w:val="bottom"/>
            <w:hideMark/>
          </w:tcPr>
          <w:p w14:paraId="0CBE4A13"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0.852</w:t>
            </w:r>
          </w:p>
        </w:tc>
        <w:tc>
          <w:tcPr>
            <w:tcW w:w="0" w:type="auto"/>
            <w:tcMar>
              <w:top w:w="137" w:type="dxa"/>
              <w:left w:w="137" w:type="dxa"/>
              <w:bottom w:w="137" w:type="dxa"/>
              <w:right w:w="137" w:type="dxa"/>
            </w:tcMar>
            <w:vAlign w:val="bottom"/>
            <w:hideMark/>
          </w:tcPr>
          <w:p w14:paraId="7B2C775E"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0.712</w:t>
            </w:r>
          </w:p>
        </w:tc>
        <w:tc>
          <w:tcPr>
            <w:tcW w:w="0" w:type="auto"/>
            <w:tcMar>
              <w:top w:w="137" w:type="dxa"/>
              <w:left w:w="137" w:type="dxa"/>
              <w:bottom w:w="137" w:type="dxa"/>
              <w:right w:w="137" w:type="dxa"/>
            </w:tcMar>
            <w:vAlign w:val="bottom"/>
            <w:hideMark/>
          </w:tcPr>
          <w:p w14:paraId="73EC4163"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0.699</w:t>
            </w:r>
          </w:p>
        </w:tc>
        <w:tc>
          <w:tcPr>
            <w:tcW w:w="1099" w:type="dxa"/>
            <w:tcMar>
              <w:top w:w="137" w:type="dxa"/>
              <w:left w:w="137" w:type="dxa"/>
              <w:bottom w:w="137" w:type="dxa"/>
              <w:right w:w="0" w:type="dxa"/>
            </w:tcMar>
            <w:vAlign w:val="bottom"/>
            <w:hideMark/>
          </w:tcPr>
          <w:p w14:paraId="49957710"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0.0005</w:t>
            </w:r>
          </w:p>
        </w:tc>
      </w:tr>
      <w:tr w:rsidR="001D0282" w:rsidRPr="00DB5007" w14:paraId="20133945" w14:textId="77777777" w:rsidTr="00025DB9">
        <w:tc>
          <w:tcPr>
            <w:tcW w:w="791" w:type="dxa"/>
            <w:tcMar>
              <w:top w:w="137" w:type="dxa"/>
              <w:left w:w="0" w:type="dxa"/>
              <w:bottom w:w="137" w:type="dxa"/>
              <w:right w:w="137" w:type="dxa"/>
            </w:tcMar>
            <w:vAlign w:val="bottom"/>
            <w:hideMark/>
          </w:tcPr>
          <w:p w14:paraId="1C981AD3"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45</w:t>
            </w:r>
          </w:p>
        </w:tc>
        <w:tc>
          <w:tcPr>
            <w:tcW w:w="1255" w:type="dxa"/>
            <w:tcMar>
              <w:top w:w="137" w:type="dxa"/>
              <w:left w:w="137" w:type="dxa"/>
              <w:bottom w:w="137" w:type="dxa"/>
              <w:right w:w="137" w:type="dxa"/>
            </w:tcMar>
            <w:vAlign w:val="bottom"/>
            <w:hideMark/>
          </w:tcPr>
          <w:p w14:paraId="1249C7E1"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0.199</w:t>
            </w:r>
          </w:p>
        </w:tc>
        <w:tc>
          <w:tcPr>
            <w:tcW w:w="0" w:type="auto"/>
            <w:tcMar>
              <w:top w:w="137" w:type="dxa"/>
              <w:left w:w="137" w:type="dxa"/>
              <w:bottom w:w="137" w:type="dxa"/>
              <w:right w:w="137" w:type="dxa"/>
            </w:tcMar>
            <w:vAlign w:val="bottom"/>
            <w:hideMark/>
          </w:tcPr>
          <w:p w14:paraId="3385B132"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0.223</w:t>
            </w:r>
          </w:p>
        </w:tc>
        <w:tc>
          <w:tcPr>
            <w:tcW w:w="0" w:type="auto"/>
            <w:tcMar>
              <w:top w:w="137" w:type="dxa"/>
              <w:left w:w="137" w:type="dxa"/>
              <w:bottom w:w="137" w:type="dxa"/>
              <w:right w:w="137" w:type="dxa"/>
            </w:tcMar>
            <w:vAlign w:val="bottom"/>
            <w:hideMark/>
          </w:tcPr>
          <w:p w14:paraId="2AEB9652"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0.879</w:t>
            </w:r>
          </w:p>
        </w:tc>
        <w:tc>
          <w:tcPr>
            <w:tcW w:w="0" w:type="auto"/>
            <w:tcMar>
              <w:top w:w="137" w:type="dxa"/>
              <w:left w:w="137" w:type="dxa"/>
              <w:bottom w:w="137" w:type="dxa"/>
              <w:right w:w="137" w:type="dxa"/>
            </w:tcMar>
            <w:vAlign w:val="bottom"/>
            <w:hideMark/>
          </w:tcPr>
          <w:p w14:paraId="2AF28262"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0.863</w:t>
            </w:r>
          </w:p>
        </w:tc>
        <w:tc>
          <w:tcPr>
            <w:tcW w:w="0" w:type="auto"/>
            <w:tcMar>
              <w:top w:w="137" w:type="dxa"/>
              <w:left w:w="137" w:type="dxa"/>
              <w:bottom w:w="137" w:type="dxa"/>
              <w:right w:w="137" w:type="dxa"/>
            </w:tcMar>
            <w:vAlign w:val="bottom"/>
            <w:hideMark/>
          </w:tcPr>
          <w:p w14:paraId="3480C517"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0.734</w:t>
            </w:r>
          </w:p>
        </w:tc>
        <w:tc>
          <w:tcPr>
            <w:tcW w:w="0" w:type="auto"/>
            <w:tcMar>
              <w:top w:w="137" w:type="dxa"/>
              <w:left w:w="137" w:type="dxa"/>
              <w:bottom w:w="137" w:type="dxa"/>
              <w:right w:w="137" w:type="dxa"/>
            </w:tcMar>
            <w:vAlign w:val="bottom"/>
            <w:hideMark/>
          </w:tcPr>
          <w:p w14:paraId="4B15D4E1"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0.716</w:t>
            </w:r>
          </w:p>
        </w:tc>
        <w:tc>
          <w:tcPr>
            <w:tcW w:w="1099" w:type="dxa"/>
            <w:tcMar>
              <w:top w:w="137" w:type="dxa"/>
              <w:left w:w="137" w:type="dxa"/>
              <w:bottom w:w="137" w:type="dxa"/>
              <w:right w:w="0" w:type="dxa"/>
            </w:tcMar>
            <w:vAlign w:val="bottom"/>
            <w:hideMark/>
          </w:tcPr>
          <w:p w14:paraId="1F948732"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0.00025</w:t>
            </w:r>
          </w:p>
        </w:tc>
      </w:tr>
      <w:tr w:rsidR="001D0282" w:rsidRPr="00DB5007" w14:paraId="0FF03F3C" w14:textId="77777777" w:rsidTr="00025DB9">
        <w:tc>
          <w:tcPr>
            <w:tcW w:w="791" w:type="dxa"/>
            <w:tcBorders>
              <w:bottom w:val="single" w:sz="4" w:space="0" w:color="auto"/>
            </w:tcBorders>
            <w:tcMar>
              <w:top w:w="137" w:type="dxa"/>
              <w:left w:w="0" w:type="dxa"/>
              <w:bottom w:w="137" w:type="dxa"/>
              <w:right w:w="137" w:type="dxa"/>
            </w:tcMar>
            <w:vAlign w:val="bottom"/>
            <w:hideMark/>
          </w:tcPr>
          <w:p w14:paraId="1C88D712"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50</w:t>
            </w:r>
          </w:p>
        </w:tc>
        <w:tc>
          <w:tcPr>
            <w:tcW w:w="1255" w:type="dxa"/>
            <w:tcBorders>
              <w:bottom w:val="single" w:sz="4" w:space="0" w:color="auto"/>
            </w:tcBorders>
            <w:tcMar>
              <w:top w:w="137" w:type="dxa"/>
              <w:left w:w="137" w:type="dxa"/>
              <w:bottom w:w="137" w:type="dxa"/>
              <w:right w:w="137" w:type="dxa"/>
            </w:tcMar>
            <w:vAlign w:val="bottom"/>
            <w:hideMark/>
          </w:tcPr>
          <w:p w14:paraId="48AFA08F"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0.184</w:t>
            </w:r>
          </w:p>
        </w:tc>
        <w:tc>
          <w:tcPr>
            <w:tcW w:w="0" w:type="auto"/>
            <w:tcBorders>
              <w:bottom w:val="single" w:sz="4" w:space="0" w:color="auto"/>
            </w:tcBorders>
            <w:tcMar>
              <w:top w:w="137" w:type="dxa"/>
              <w:left w:w="137" w:type="dxa"/>
              <w:bottom w:w="137" w:type="dxa"/>
              <w:right w:w="137" w:type="dxa"/>
            </w:tcMar>
            <w:vAlign w:val="bottom"/>
            <w:hideMark/>
          </w:tcPr>
          <w:p w14:paraId="14AF71AF"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0.216</w:t>
            </w:r>
          </w:p>
        </w:tc>
        <w:tc>
          <w:tcPr>
            <w:tcW w:w="0" w:type="auto"/>
            <w:tcBorders>
              <w:bottom w:val="single" w:sz="4" w:space="0" w:color="auto"/>
            </w:tcBorders>
            <w:tcMar>
              <w:top w:w="137" w:type="dxa"/>
              <w:left w:w="137" w:type="dxa"/>
              <w:bottom w:w="137" w:type="dxa"/>
              <w:right w:w="137" w:type="dxa"/>
            </w:tcMar>
            <w:vAlign w:val="bottom"/>
            <w:hideMark/>
          </w:tcPr>
          <w:p w14:paraId="29A8F0FC"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0.892</w:t>
            </w:r>
          </w:p>
        </w:tc>
        <w:tc>
          <w:tcPr>
            <w:tcW w:w="0" w:type="auto"/>
            <w:tcBorders>
              <w:bottom w:val="single" w:sz="4" w:space="0" w:color="auto"/>
            </w:tcBorders>
            <w:tcMar>
              <w:top w:w="137" w:type="dxa"/>
              <w:left w:w="137" w:type="dxa"/>
              <w:bottom w:w="137" w:type="dxa"/>
              <w:right w:w="137" w:type="dxa"/>
            </w:tcMar>
            <w:vAlign w:val="bottom"/>
            <w:hideMark/>
          </w:tcPr>
          <w:p w14:paraId="5131C60B"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0.874</w:t>
            </w:r>
          </w:p>
        </w:tc>
        <w:tc>
          <w:tcPr>
            <w:tcW w:w="0" w:type="auto"/>
            <w:tcBorders>
              <w:bottom w:val="single" w:sz="4" w:space="0" w:color="auto"/>
            </w:tcBorders>
            <w:tcMar>
              <w:top w:w="137" w:type="dxa"/>
              <w:left w:w="137" w:type="dxa"/>
              <w:bottom w:w="137" w:type="dxa"/>
              <w:right w:w="137" w:type="dxa"/>
            </w:tcMar>
            <w:vAlign w:val="bottom"/>
            <w:hideMark/>
          </w:tcPr>
          <w:p w14:paraId="7D876D4F"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0.757</w:t>
            </w:r>
          </w:p>
        </w:tc>
        <w:tc>
          <w:tcPr>
            <w:tcW w:w="0" w:type="auto"/>
            <w:tcBorders>
              <w:bottom w:val="single" w:sz="4" w:space="0" w:color="auto"/>
            </w:tcBorders>
            <w:tcMar>
              <w:top w:w="137" w:type="dxa"/>
              <w:left w:w="137" w:type="dxa"/>
              <w:bottom w:w="137" w:type="dxa"/>
              <w:right w:w="137" w:type="dxa"/>
            </w:tcMar>
            <w:vAlign w:val="bottom"/>
            <w:hideMark/>
          </w:tcPr>
          <w:p w14:paraId="4F795D52"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0.734</w:t>
            </w:r>
          </w:p>
        </w:tc>
        <w:tc>
          <w:tcPr>
            <w:tcW w:w="1099" w:type="dxa"/>
            <w:tcBorders>
              <w:bottom w:val="single" w:sz="4" w:space="0" w:color="auto"/>
            </w:tcBorders>
            <w:tcMar>
              <w:top w:w="137" w:type="dxa"/>
              <w:left w:w="137" w:type="dxa"/>
              <w:bottom w:w="137" w:type="dxa"/>
              <w:right w:w="0" w:type="dxa"/>
            </w:tcMar>
            <w:vAlign w:val="bottom"/>
            <w:hideMark/>
          </w:tcPr>
          <w:p w14:paraId="7DFDE2BC" w14:textId="77777777" w:rsidR="001D0282" w:rsidRPr="00DB5007" w:rsidRDefault="001D0282" w:rsidP="00DB5007">
            <w:pPr>
              <w:spacing w:line="240" w:lineRule="auto"/>
              <w:jc w:val="center"/>
              <w:rPr>
                <w:rFonts w:ascii="Times New Roman" w:hAnsi="Times New Roman" w:cs="Times New Roman"/>
              </w:rPr>
            </w:pPr>
            <w:r w:rsidRPr="00DB5007">
              <w:rPr>
                <w:rFonts w:ascii="Times New Roman" w:hAnsi="Times New Roman" w:cs="Times New Roman"/>
              </w:rPr>
              <w:t>0.00025</w:t>
            </w:r>
          </w:p>
        </w:tc>
      </w:tr>
    </w:tbl>
    <w:p w14:paraId="63644952" w14:textId="77777777" w:rsidR="008209CB" w:rsidRDefault="008209CB" w:rsidP="00883AF2">
      <w:pPr>
        <w:spacing w:before="240" w:line="360" w:lineRule="auto"/>
        <w:jc w:val="both"/>
        <w:rPr>
          <w:rFonts w:ascii="Times New Roman" w:hAnsi="Times New Roman" w:cs="Times New Roman"/>
          <w:b/>
          <w:bCs/>
        </w:rPr>
      </w:pPr>
    </w:p>
    <w:p w14:paraId="39E710FB" w14:textId="77777777" w:rsidR="008209CB" w:rsidRDefault="008209CB" w:rsidP="00883AF2">
      <w:pPr>
        <w:spacing w:before="240" w:line="360" w:lineRule="auto"/>
        <w:jc w:val="both"/>
        <w:rPr>
          <w:rFonts w:ascii="Times New Roman" w:hAnsi="Times New Roman" w:cs="Times New Roman"/>
          <w:b/>
          <w:bCs/>
        </w:rPr>
      </w:pPr>
    </w:p>
    <w:p w14:paraId="7B3FE30E" w14:textId="70832E85" w:rsidR="008209CB" w:rsidRDefault="008209CB" w:rsidP="00883AF2">
      <w:pPr>
        <w:spacing w:before="240" w:line="360" w:lineRule="auto"/>
        <w:jc w:val="both"/>
        <w:rPr>
          <w:rFonts w:ascii="Times New Roman" w:hAnsi="Times New Roman" w:cs="Times New Roman"/>
          <w:b/>
          <w:bCs/>
        </w:rPr>
      </w:pPr>
      <w:r w:rsidRPr="008209CB">
        <w:rPr>
          <w:rFonts w:ascii="Times New Roman" w:hAnsi="Times New Roman" w:cs="Times New Roman"/>
          <w:b/>
          <w:bCs/>
        </w:rPr>
        <w:t>Figure 2</w:t>
      </w:r>
    </w:p>
    <w:p w14:paraId="5A957AC6" w14:textId="6DCC2A65" w:rsidR="008209CB" w:rsidRPr="008209CB" w:rsidRDefault="008209CB" w:rsidP="00883AF2">
      <w:pPr>
        <w:spacing w:before="240" w:line="360" w:lineRule="auto"/>
        <w:jc w:val="both"/>
        <w:rPr>
          <w:rFonts w:ascii="Times New Roman" w:hAnsi="Times New Roman" w:cs="Times New Roman"/>
          <w:i/>
          <w:iCs/>
        </w:rPr>
      </w:pPr>
      <w:r w:rsidRPr="008209CB">
        <w:rPr>
          <w:rFonts w:ascii="Times New Roman" w:hAnsi="Times New Roman" w:cs="Times New Roman"/>
          <w:i/>
          <w:iCs/>
        </w:rPr>
        <w:t>Training Loss Across 50 Epochs</w:t>
      </w:r>
    </w:p>
    <w:p w14:paraId="0E6007B9" w14:textId="0EEB7FA1" w:rsidR="001D0282" w:rsidRPr="00DB5007" w:rsidRDefault="00025DB9" w:rsidP="00883AF2">
      <w:pPr>
        <w:spacing w:before="240" w:line="360" w:lineRule="auto"/>
        <w:jc w:val="both"/>
        <w:rPr>
          <w:rFonts w:ascii="Times New Roman" w:hAnsi="Times New Roman" w:cs="Times New Roman"/>
        </w:rPr>
      </w:pPr>
      <w:r>
        <w:rPr>
          <w:noProof/>
        </w:rPr>
        <w:lastRenderedPageBreak/>
        <w:drawing>
          <wp:inline distT="0" distB="0" distL="0" distR="0" wp14:anchorId="668E8B10" wp14:editId="3864A9EB">
            <wp:extent cx="5470497" cy="3332307"/>
            <wp:effectExtent l="0" t="0" r="0" b="0"/>
            <wp:docPr id="11165500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50065" name="Picture 1116550065"/>
                    <pic:cNvPicPr/>
                  </pic:nvPicPr>
                  <pic:blipFill rotWithShape="1">
                    <a:blip r:embed="rId8" cstate="print">
                      <a:extLst>
                        <a:ext uri="{28A0092B-C50C-407E-A947-70E740481C1C}">
                          <a14:useLocalDpi xmlns:a14="http://schemas.microsoft.com/office/drawing/2010/main" val="0"/>
                        </a:ext>
                      </a:extLst>
                    </a:blip>
                    <a:srcRect t="8629"/>
                    <a:stretch>
                      <a:fillRect/>
                    </a:stretch>
                  </pic:blipFill>
                  <pic:spPr bwMode="auto">
                    <a:xfrm>
                      <a:off x="0" y="0"/>
                      <a:ext cx="5488819" cy="3343468"/>
                    </a:xfrm>
                    <a:prstGeom prst="rect">
                      <a:avLst/>
                    </a:prstGeom>
                    <a:ln>
                      <a:noFill/>
                    </a:ln>
                    <a:extLst>
                      <a:ext uri="{53640926-AAD7-44D8-BBD7-CCE9431645EC}">
                        <a14:shadowObscured xmlns:a14="http://schemas.microsoft.com/office/drawing/2010/main"/>
                      </a:ext>
                    </a:extLst>
                  </pic:spPr>
                </pic:pic>
              </a:graphicData>
            </a:graphic>
          </wp:inline>
        </w:drawing>
      </w:r>
      <w:r w:rsidR="001D0282" w:rsidRPr="00DB5007">
        <w:rPr>
          <w:rFonts w:ascii="Times New Roman" w:hAnsi="Times New Roman" w:cs="Times New Roman"/>
        </w:rPr>
        <w:t xml:space="preserve">Classification efficacy on the validation subset of 59,054 transactions from the Institute of Electrical and Electronics Engineers-Consumer Intelligence Series dataset yielded an Area Under the Curve-Receiver Operating Characteristic of 0.874, precision of 0.893, recall of 0.821, and F1-score of 0.857, surpassing baselines like Extreme Gradient Boosting at 0.820 Area Under the Curve-Receiver Operating Characteristic and Random Forest at 0.790, as quantified in Table 2 </w:t>
      </w:r>
      <w:r w:rsidR="008209CB">
        <w:rPr>
          <w:rFonts w:ascii="Times New Roman" w:hAnsi="Times New Roman" w:cs="Times New Roman"/>
        </w:rPr>
        <w:t xml:space="preserve">and Figure 3 </w:t>
      </w:r>
      <w:r w:rsidR="001D0282" w:rsidRPr="00DB5007">
        <w:rPr>
          <w:rFonts w:ascii="Times New Roman" w:hAnsi="Times New Roman" w:cs="Times New Roman"/>
        </w:rPr>
        <w:t>which delineates metric categories, values, benchmark comparisons, percentage improvements, and interpretations, highlighting a 53 percent reduction in false positive rate critical for operational efficiency.</w:t>
      </w:r>
    </w:p>
    <w:p w14:paraId="15150C37"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Table 2</w:t>
      </w:r>
    </w:p>
    <w:p w14:paraId="638262CF" w14:textId="77777777" w:rsidR="001D0282" w:rsidRPr="00DB5007" w:rsidRDefault="001D0282" w:rsidP="00DB5007">
      <w:pPr>
        <w:spacing w:line="360" w:lineRule="auto"/>
        <w:jc w:val="both"/>
        <w:rPr>
          <w:rFonts w:ascii="Times New Roman" w:hAnsi="Times New Roman" w:cs="Times New Roman"/>
          <w:i/>
          <w:iCs/>
        </w:rPr>
      </w:pPr>
      <w:r w:rsidRPr="00DB5007">
        <w:rPr>
          <w:rFonts w:ascii="Times New Roman" w:hAnsi="Times New Roman" w:cs="Times New Roman"/>
          <w:i/>
          <w:iCs/>
        </w:rPr>
        <w:t>Comprehensive Performance Metrics for Heterogeneous Graph Attention Network Model.</w:t>
      </w:r>
    </w:p>
    <w:tbl>
      <w:tblPr>
        <w:tblW w:w="0" w:type="auto"/>
        <w:tblCellMar>
          <w:top w:w="15" w:type="dxa"/>
          <w:left w:w="15" w:type="dxa"/>
          <w:bottom w:w="15" w:type="dxa"/>
          <w:right w:w="15" w:type="dxa"/>
        </w:tblCellMar>
        <w:tblLook w:val="04A0" w:firstRow="1" w:lastRow="0" w:firstColumn="1" w:lastColumn="0" w:noHBand="0" w:noVBand="1"/>
      </w:tblPr>
      <w:tblGrid>
        <w:gridCol w:w="1629"/>
        <w:gridCol w:w="1604"/>
        <w:gridCol w:w="852"/>
        <w:gridCol w:w="1696"/>
        <w:gridCol w:w="1670"/>
        <w:gridCol w:w="1909"/>
      </w:tblGrid>
      <w:tr w:rsidR="001D0282" w:rsidRPr="00DB5007" w14:paraId="7FEC2285" w14:textId="77777777" w:rsidTr="00883AF2">
        <w:trPr>
          <w:tblHeader/>
        </w:trPr>
        <w:tc>
          <w:tcPr>
            <w:tcW w:w="0" w:type="auto"/>
            <w:tcBorders>
              <w:top w:val="single" w:sz="4" w:space="0" w:color="auto"/>
              <w:bottom w:val="single" w:sz="4" w:space="0" w:color="auto"/>
            </w:tcBorders>
            <w:tcMar>
              <w:top w:w="15" w:type="dxa"/>
              <w:left w:w="0" w:type="dxa"/>
              <w:bottom w:w="137" w:type="dxa"/>
              <w:right w:w="137" w:type="dxa"/>
            </w:tcMar>
            <w:vAlign w:val="bottom"/>
            <w:hideMark/>
          </w:tcPr>
          <w:p w14:paraId="1C158E52" w14:textId="77777777" w:rsidR="001D0282" w:rsidRPr="00DB5007" w:rsidRDefault="001D0282" w:rsidP="00883AF2">
            <w:pPr>
              <w:spacing w:line="240" w:lineRule="auto"/>
              <w:jc w:val="both"/>
              <w:rPr>
                <w:rFonts w:ascii="Times New Roman" w:hAnsi="Times New Roman" w:cs="Times New Roman"/>
                <w:b/>
                <w:bCs/>
              </w:rPr>
            </w:pPr>
            <w:r w:rsidRPr="00DB5007">
              <w:rPr>
                <w:rFonts w:ascii="Times New Roman" w:hAnsi="Times New Roman" w:cs="Times New Roman"/>
                <w:b/>
                <w:bCs/>
              </w:rPr>
              <w:t>Metric Category</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0201A195" w14:textId="77777777" w:rsidR="001D0282" w:rsidRPr="00DB5007" w:rsidRDefault="001D0282" w:rsidP="00883AF2">
            <w:pPr>
              <w:spacing w:line="240" w:lineRule="auto"/>
              <w:jc w:val="both"/>
              <w:rPr>
                <w:rFonts w:ascii="Times New Roman" w:hAnsi="Times New Roman" w:cs="Times New Roman"/>
                <w:b/>
                <w:bCs/>
              </w:rPr>
            </w:pPr>
            <w:r w:rsidRPr="00DB5007">
              <w:rPr>
                <w:rFonts w:ascii="Times New Roman" w:hAnsi="Times New Roman" w:cs="Times New Roman"/>
                <w:b/>
                <w:bCs/>
              </w:rPr>
              <w:t>Metric</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13A070AD" w14:textId="77777777" w:rsidR="001D0282" w:rsidRPr="00DB5007" w:rsidRDefault="001D0282" w:rsidP="00883AF2">
            <w:pPr>
              <w:spacing w:line="240" w:lineRule="auto"/>
              <w:jc w:val="both"/>
              <w:rPr>
                <w:rFonts w:ascii="Times New Roman" w:hAnsi="Times New Roman" w:cs="Times New Roman"/>
                <w:b/>
                <w:bCs/>
              </w:rPr>
            </w:pPr>
            <w:r w:rsidRPr="00DB5007">
              <w:rPr>
                <w:rFonts w:ascii="Times New Roman" w:hAnsi="Times New Roman" w:cs="Times New Roman"/>
                <w:b/>
                <w:bCs/>
              </w:rPr>
              <w:t>Value</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0D0F6263" w14:textId="77777777" w:rsidR="001D0282" w:rsidRPr="00DB5007" w:rsidRDefault="001D0282" w:rsidP="00883AF2">
            <w:pPr>
              <w:spacing w:line="240" w:lineRule="auto"/>
              <w:jc w:val="both"/>
              <w:rPr>
                <w:rFonts w:ascii="Times New Roman" w:hAnsi="Times New Roman" w:cs="Times New Roman"/>
                <w:b/>
                <w:bCs/>
              </w:rPr>
            </w:pPr>
            <w:r w:rsidRPr="00DB5007">
              <w:rPr>
                <w:rFonts w:ascii="Times New Roman" w:hAnsi="Times New Roman" w:cs="Times New Roman"/>
                <w:b/>
                <w:bCs/>
              </w:rPr>
              <w:t>Benchmark (Source)</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223E29A9" w14:textId="77777777" w:rsidR="001D0282" w:rsidRPr="00DB5007" w:rsidRDefault="001D0282" w:rsidP="00883AF2">
            <w:pPr>
              <w:spacing w:line="240" w:lineRule="auto"/>
              <w:jc w:val="both"/>
              <w:rPr>
                <w:rFonts w:ascii="Times New Roman" w:hAnsi="Times New Roman" w:cs="Times New Roman"/>
                <w:b/>
                <w:bCs/>
              </w:rPr>
            </w:pPr>
            <w:r w:rsidRPr="00DB5007">
              <w:rPr>
                <w:rFonts w:ascii="Times New Roman" w:hAnsi="Times New Roman" w:cs="Times New Roman"/>
                <w:b/>
                <w:bCs/>
              </w:rPr>
              <w:t>Improvement</w:t>
            </w:r>
          </w:p>
        </w:tc>
        <w:tc>
          <w:tcPr>
            <w:tcW w:w="0" w:type="auto"/>
            <w:tcBorders>
              <w:top w:val="single" w:sz="4" w:space="0" w:color="auto"/>
              <w:bottom w:val="single" w:sz="4" w:space="0" w:color="auto"/>
            </w:tcBorders>
            <w:tcMar>
              <w:top w:w="15" w:type="dxa"/>
              <w:left w:w="137" w:type="dxa"/>
              <w:bottom w:w="137" w:type="dxa"/>
              <w:right w:w="15" w:type="dxa"/>
            </w:tcMar>
            <w:vAlign w:val="bottom"/>
            <w:hideMark/>
          </w:tcPr>
          <w:p w14:paraId="45D10CFD" w14:textId="77777777" w:rsidR="001D0282" w:rsidRPr="00DB5007" w:rsidRDefault="001D0282" w:rsidP="00883AF2">
            <w:pPr>
              <w:spacing w:line="240" w:lineRule="auto"/>
              <w:jc w:val="both"/>
              <w:rPr>
                <w:rFonts w:ascii="Times New Roman" w:hAnsi="Times New Roman" w:cs="Times New Roman"/>
                <w:b/>
                <w:bCs/>
              </w:rPr>
            </w:pPr>
            <w:r w:rsidRPr="00DB5007">
              <w:rPr>
                <w:rFonts w:ascii="Times New Roman" w:hAnsi="Times New Roman" w:cs="Times New Roman"/>
                <w:b/>
                <w:bCs/>
              </w:rPr>
              <w:t>Interpretation</w:t>
            </w:r>
          </w:p>
        </w:tc>
      </w:tr>
      <w:tr w:rsidR="001D0282" w:rsidRPr="00DB5007" w14:paraId="6CA45383" w14:textId="77777777" w:rsidTr="00883AF2">
        <w:tc>
          <w:tcPr>
            <w:tcW w:w="0" w:type="auto"/>
            <w:tcBorders>
              <w:top w:val="single" w:sz="4" w:space="0" w:color="auto"/>
            </w:tcBorders>
            <w:tcMar>
              <w:top w:w="137" w:type="dxa"/>
              <w:left w:w="0" w:type="dxa"/>
              <w:bottom w:w="137" w:type="dxa"/>
              <w:right w:w="137" w:type="dxa"/>
            </w:tcMar>
            <w:vAlign w:val="bottom"/>
            <w:hideMark/>
          </w:tcPr>
          <w:p w14:paraId="20F535A4"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Discrimination</w:t>
            </w:r>
          </w:p>
        </w:tc>
        <w:tc>
          <w:tcPr>
            <w:tcW w:w="0" w:type="auto"/>
            <w:tcBorders>
              <w:top w:val="single" w:sz="4" w:space="0" w:color="auto"/>
            </w:tcBorders>
            <w:tcMar>
              <w:top w:w="137" w:type="dxa"/>
              <w:left w:w="137" w:type="dxa"/>
              <w:bottom w:w="137" w:type="dxa"/>
              <w:right w:w="137" w:type="dxa"/>
            </w:tcMar>
            <w:vAlign w:val="bottom"/>
            <w:hideMark/>
          </w:tcPr>
          <w:p w14:paraId="7A1788A6"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AUC-ROC</w:t>
            </w:r>
          </w:p>
        </w:tc>
        <w:tc>
          <w:tcPr>
            <w:tcW w:w="0" w:type="auto"/>
            <w:tcBorders>
              <w:top w:val="single" w:sz="4" w:space="0" w:color="auto"/>
            </w:tcBorders>
            <w:tcMar>
              <w:top w:w="137" w:type="dxa"/>
              <w:left w:w="137" w:type="dxa"/>
              <w:bottom w:w="137" w:type="dxa"/>
              <w:right w:w="137" w:type="dxa"/>
            </w:tcMar>
            <w:vAlign w:val="bottom"/>
            <w:hideMark/>
          </w:tcPr>
          <w:p w14:paraId="73E251B8"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0.874</w:t>
            </w:r>
          </w:p>
        </w:tc>
        <w:tc>
          <w:tcPr>
            <w:tcW w:w="0" w:type="auto"/>
            <w:tcBorders>
              <w:top w:val="single" w:sz="4" w:space="0" w:color="auto"/>
            </w:tcBorders>
            <w:tcMar>
              <w:top w:w="137" w:type="dxa"/>
              <w:left w:w="137" w:type="dxa"/>
              <w:bottom w:w="137" w:type="dxa"/>
              <w:right w:w="137" w:type="dxa"/>
            </w:tcMar>
            <w:vAlign w:val="bottom"/>
            <w:hideMark/>
          </w:tcPr>
          <w:p w14:paraId="4C660524"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0.820 (</w:t>
            </w:r>
            <w:proofErr w:type="spellStart"/>
            <w:r w:rsidRPr="00DB5007">
              <w:rPr>
                <w:rFonts w:ascii="Times New Roman" w:hAnsi="Times New Roman" w:cs="Times New Roman"/>
              </w:rPr>
              <w:t>XGBoost</w:t>
            </w:r>
            <w:proofErr w:type="spellEnd"/>
            <w:r w:rsidRPr="00DB5007">
              <w:rPr>
                <w:rFonts w:ascii="Times New Roman" w:hAnsi="Times New Roman" w:cs="Times New Roman"/>
              </w:rPr>
              <w:t>, Grover et al., 2022)</w:t>
            </w:r>
          </w:p>
        </w:tc>
        <w:tc>
          <w:tcPr>
            <w:tcW w:w="0" w:type="auto"/>
            <w:tcBorders>
              <w:top w:val="single" w:sz="4" w:space="0" w:color="auto"/>
            </w:tcBorders>
            <w:tcMar>
              <w:top w:w="137" w:type="dxa"/>
              <w:left w:w="137" w:type="dxa"/>
              <w:bottom w:w="137" w:type="dxa"/>
              <w:right w:w="137" w:type="dxa"/>
            </w:tcMar>
            <w:vAlign w:val="bottom"/>
            <w:hideMark/>
          </w:tcPr>
          <w:p w14:paraId="00E01551"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+6.6%</w:t>
            </w:r>
          </w:p>
        </w:tc>
        <w:tc>
          <w:tcPr>
            <w:tcW w:w="0" w:type="auto"/>
            <w:tcBorders>
              <w:top w:val="single" w:sz="4" w:space="0" w:color="auto"/>
            </w:tcBorders>
            <w:tcMar>
              <w:top w:w="137" w:type="dxa"/>
              <w:left w:w="137" w:type="dxa"/>
              <w:bottom w:w="137" w:type="dxa"/>
              <w:right w:w="0" w:type="dxa"/>
            </w:tcMar>
            <w:vAlign w:val="bottom"/>
            <w:hideMark/>
          </w:tcPr>
          <w:p w14:paraId="2F9E72BC"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Strong threshold-independent separation</w:t>
            </w:r>
          </w:p>
        </w:tc>
      </w:tr>
      <w:tr w:rsidR="001D0282" w:rsidRPr="00DB5007" w14:paraId="24E9552F" w14:textId="77777777" w:rsidTr="00883AF2">
        <w:tc>
          <w:tcPr>
            <w:tcW w:w="0" w:type="auto"/>
            <w:tcMar>
              <w:top w:w="137" w:type="dxa"/>
              <w:left w:w="0" w:type="dxa"/>
              <w:bottom w:w="137" w:type="dxa"/>
              <w:right w:w="137" w:type="dxa"/>
            </w:tcMar>
            <w:vAlign w:val="bottom"/>
            <w:hideMark/>
          </w:tcPr>
          <w:p w14:paraId="7724BD4A" w14:textId="77777777" w:rsidR="001D0282" w:rsidRPr="00DB5007" w:rsidRDefault="001D0282" w:rsidP="00883AF2">
            <w:pPr>
              <w:spacing w:line="240" w:lineRule="auto"/>
              <w:jc w:val="both"/>
              <w:rPr>
                <w:rFonts w:ascii="Times New Roman" w:hAnsi="Times New Roman" w:cs="Times New Roman"/>
              </w:rPr>
            </w:pPr>
          </w:p>
        </w:tc>
        <w:tc>
          <w:tcPr>
            <w:tcW w:w="0" w:type="auto"/>
            <w:tcMar>
              <w:top w:w="137" w:type="dxa"/>
              <w:left w:w="137" w:type="dxa"/>
              <w:bottom w:w="137" w:type="dxa"/>
              <w:right w:w="137" w:type="dxa"/>
            </w:tcMar>
            <w:vAlign w:val="bottom"/>
            <w:hideMark/>
          </w:tcPr>
          <w:p w14:paraId="577EA94E"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AUC-PR</w:t>
            </w:r>
          </w:p>
        </w:tc>
        <w:tc>
          <w:tcPr>
            <w:tcW w:w="0" w:type="auto"/>
            <w:tcMar>
              <w:top w:w="137" w:type="dxa"/>
              <w:left w:w="137" w:type="dxa"/>
              <w:bottom w:w="137" w:type="dxa"/>
              <w:right w:w="137" w:type="dxa"/>
            </w:tcMar>
            <w:vAlign w:val="bottom"/>
            <w:hideMark/>
          </w:tcPr>
          <w:p w14:paraId="3132050E"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0.816</w:t>
            </w:r>
          </w:p>
        </w:tc>
        <w:tc>
          <w:tcPr>
            <w:tcW w:w="0" w:type="auto"/>
            <w:tcMar>
              <w:top w:w="137" w:type="dxa"/>
              <w:left w:w="137" w:type="dxa"/>
              <w:bottom w:w="137" w:type="dxa"/>
              <w:right w:w="137" w:type="dxa"/>
            </w:tcMar>
            <w:vAlign w:val="bottom"/>
            <w:hideMark/>
          </w:tcPr>
          <w:p w14:paraId="66F8BD41"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0.790 (Random Forest, Cheng et al., 2024)</w:t>
            </w:r>
          </w:p>
        </w:tc>
        <w:tc>
          <w:tcPr>
            <w:tcW w:w="0" w:type="auto"/>
            <w:tcMar>
              <w:top w:w="137" w:type="dxa"/>
              <w:left w:w="137" w:type="dxa"/>
              <w:bottom w:w="137" w:type="dxa"/>
              <w:right w:w="137" w:type="dxa"/>
            </w:tcMar>
            <w:vAlign w:val="bottom"/>
            <w:hideMark/>
          </w:tcPr>
          <w:p w14:paraId="6F815847"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+3.3%</w:t>
            </w:r>
          </w:p>
        </w:tc>
        <w:tc>
          <w:tcPr>
            <w:tcW w:w="0" w:type="auto"/>
            <w:tcMar>
              <w:top w:w="137" w:type="dxa"/>
              <w:left w:w="137" w:type="dxa"/>
              <w:bottom w:w="137" w:type="dxa"/>
              <w:right w:w="0" w:type="dxa"/>
            </w:tcMar>
            <w:vAlign w:val="bottom"/>
            <w:hideMark/>
          </w:tcPr>
          <w:p w14:paraId="50248AB0"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Effective in imbalanced settings</w:t>
            </w:r>
          </w:p>
        </w:tc>
      </w:tr>
      <w:tr w:rsidR="001D0282" w:rsidRPr="00DB5007" w14:paraId="5983AC92" w14:textId="77777777" w:rsidTr="00883AF2">
        <w:tc>
          <w:tcPr>
            <w:tcW w:w="0" w:type="auto"/>
            <w:tcMar>
              <w:top w:w="137" w:type="dxa"/>
              <w:left w:w="0" w:type="dxa"/>
              <w:bottom w:w="137" w:type="dxa"/>
              <w:right w:w="137" w:type="dxa"/>
            </w:tcMar>
            <w:vAlign w:val="bottom"/>
            <w:hideMark/>
          </w:tcPr>
          <w:p w14:paraId="2675BE59"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Precision Metrics</w:t>
            </w:r>
          </w:p>
        </w:tc>
        <w:tc>
          <w:tcPr>
            <w:tcW w:w="0" w:type="auto"/>
            <w:tcMar>
              <w:top w:w="137" w:type="dxa"/>
              <w:left w:w="137" w:type="dxa"/>
              <w:bottom w:w="137" w:type="dxa"/>
              <w:right w:w="137" w:type="dxa"/>
            </w:tcMar>
            <w:vAlign w:val="bottom"/>
            <w:hideMark/>
          </w:tcPr>
          <w:p w14:paraId="0E1420BF"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Precision</w:t>
            </w:r>
          </w:p>
        </w:tc>
        <w:tc>
          <w:tcPr>
            <w:tcW w:w="0" w:type="auto"/>
            <w:tcMar>
              <w:top w:w="137" w:type="dxa"/>
              <w:left w:w="137" w:type="dxa"/>
              <w:bottom w:w="137" w:type="dxa"/>
              <w:right w:w="137" w:type="dxa"/>
            </w:tcMar>
            <w:vAlign w:val="bottom"/>
            <w:hideMark/>
          </w:tcPr>
          <w:p w14:paraId="3538ECA5"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0.893</w:t>
            </w:r>
          </w:p>
        </w:tc>
        <w:tc>
          <w:tcPr>
            <w:tcW w:w="0" w:type="auto"/>
            <w:tcMar>
              <w:top w:w="137" w:type="dxa"/>
              <w:left w:w="137" w:type="dxa"/>
              <w:bottom w:w="137" w:type="dxa"/>
              <w:right w:w="137" w:type="dxa"/>
            </w:tcMar>
            <w:vAlign w:val="bottom"/>
            <w:hideMark/>
          </w:tcPr>
          <w:p w14:paraId="63DB44B0"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0.850 (SVM, Sha et al., 2025)</w:t>
            </w:r>
          </w:p>
        </w:tc>
        <w:tc>
          <w:tcPr>
            <w:tcW w:w="0" w:type="auto"/>
            <w:tcMar>
              <w:top w:w="137" w:type="dxa"/>
              <w:left w:w="137" w:type="dxa"/>
              <w:bottom w:w="137" w:type="dxa"/>
              <w:right w:w="137" w:type="dxa"/>
            </w:tcMar>
            <w:vAlign w:val="bottom"/>
            <w:hideMark/>
          </w:tcPr>
          <w:p w14:paraId="6DE71077"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+5.1%</w:t>
            </w:r>
          </w:p>
        </w:tc>
        <w:tc>
          <w:tcPr>
            <w:tcW w:w="0" w:type="auto"/>
            <w:tcMar>
              <w:top w:w="137" w:type="dxa"/>
              <w:left w:w="137" w:type="dxa"/>
              <w:bottom w:w="137" w:type="dxa"/>
              <w:right w:w="0" w:type="dxa"/>
            </w:tcMar>
            <w:vAlign w:val="bottom"/>
            <w:hideMark/>
          </w:tcPr>
          <w:p w14:paraId="546FA116"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Low false alarms for investigations</w:t>
            </w:r>
          </w:p>
        </w:tc>
      </w:tr>
      <w:tr w:rsidR="001D0282" w:rsidRPr="00DB5007" w14:paraId="7D0AB45C" w14:textId="77777777" w:rsidTr="00883AF2">
        <w:tc>
          <w:tcPr>
            <w:tcW w:w="0" w:type="auto"/>
            <w:tcMar>
              <w:top w:w="137" w:type="dxa"/>
              <w:left w:w="0" w:type="dxa"/>
              <w:bottom w:w="137" w:type="dxa"/>
              <w:right w:w="137" w:type="dxa"/>
            </w:tcMar>
            <w:vAlign w:val="bottom"/>
            <w:hideMark/>
          </w:tcPr>
          <w:p w14:paraId="2B80463D" w14:textId="77777777" w:rsidR="001D0282" w:rsidRPr="00DB5007" w:rsidRDefault="001D0282" w:rsidP="00883AF2">
            <w:pPr>
              <w:spacing w:line="240" w:lineRule="auto"/>
              <w:jc w:val="both"/>
              <w:rPr>
                <w:rFonts w:ascii="Times New Roman" w:hAnsi="Times New Roman" w:cs="Times New Roman"/>
              </w:rPr>
            </w:pPr>
          </w:p>
        </w:tc>
        <w:tc>
          <w:tcPr>
            <w:tcW w:w="0" w:type="auto"/>
            <w:tcMar>
              <w:top w:w="137" w:type="dxa"/>
              <w:left w:w="137" w:type="dxa"/>
              <w:bottom w:w="137" w:type="dxa"/>
              <w:right w:w="137" w:type="dxa"/>
            </w:tcMar>
            <w:vAlign w:val="bottom"/>
            <w:hideMark/>
          </w:tcPr>
          <w:p w14:paraId="73136CE5"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Positive Predictive Value</w:t>
            </w:r>
          </w:p>
        </w:tc>
        <w:tc>
          <w:tcPr>
            <w:tcW w:w="0" w:type="auto"/>
            <w:tcMar>
              <w:top w:w="137" w:type="dxa"/>
              <w:left w:w="137" w:type="dxa"/>
              <w:bottom w:w="137" w:type="dxa"/>
              <w:right w:w="137" w:type="dxa"/>
            </w:tcMar>
            <w:vAlign w:val="bottom"/>
            <w:hideMark/>
          </w:tcPr>
          <w:p w14:paraId="4B458C1F"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0.893</w:t>
            </w:r>
          </w:p>
        </w:tc>
        <w:tc>
          <w:tcPr>
            <w:tcW w:w="0" w:type="auto"/>
            <w:tcMar>
              <w:top w:w="137" w:type="dxa"/>
              <w:left w:w="137" w:type="dxa"/>
              <w:bottom w:w="137" w:type="dxa"/>
              <w:right w:w="137" w:type="dxa"/>
            </w:tcMar>
            <w:vAlign w:val="bottom"/>
            <w:hideMark/>
          </w:tcPr>
          <w:p w14:paraId="461D4FB6"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0.850</w:t>
            </w:r>
          </w:p>
        </w:tc>
        <w:tc>
          <w:tcPr>
            <w:tcW w:w="0" w:type="auto"/>
            <w:tcMar>
              <w:top w:w="137" w:type="dxa"/>
              <w:left w:w="137" w:type="dxa"/>
              <w:bottom w:w="137" w:type="dxa"/>
              <w:right w:w="137" w:type="dxa"/>
            </w:tcMar>
            <w:vAlign w:val="bottom"/>
            <w:hideMark/>
          </w:tcPr>
          <w:p w14:paraId="6D87D9C6"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+5.1%</w:t>
            </w:r>
          </w:p>
        </w:tc>
        <w:tc>
          <w:tcPr>
            <w:tcW w:w="0" w:type="auto"/>
            <w:tcMar>
              <w:top w:w="137" w:type="dxa"/>
              <w:left w:w="137" w:type="dxa"/>
              <w:bottom w:w="137" w:type="dxa"/>
              <w:right w:w="0" w:type="dxa"/>
            </w:tcMar>
            <w:vAlign w:val="bottom"/>
            <w:hideMark/>
          </w:tcPr>
          <w:p w14:paraId="0FBA66E9"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High alert accuracy</w:t>
            </w:r>
          </w:p>
        </w:tc>
      </w:tr>
      <w:tr w:rsidR="001D0282" w:rsidRPr="00DB5007" w14:paraId="2E2A2A91" w14:textId="77777777" w:rsidTr="00883AF2">
        <w:tc>
          <w:tcPr>
            <w:tcW w:w="0" w:type="auto"/>
            <w:tcMar>
              <w:top w:w="137" w:type="dxa"/>
              <w:left w:w="0" w:type="dxa"/>
              <w:bottom w:w="137" w:type="dxa"/>
              <w:right w:w="137" w:type="dxa"/>
            </w:tcMar>
            <w:vAlign w:val="bottom"/>
            <w:hideMark/>
          </w:tcPr>
          <w:p w14:paraId="1EB624B6"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Recall Metrics</w:t>
            </w:r>
          </w:p>
        </w:tc>
        <w:tc>
          <w:tcPr>
            <w:tcW w:w="0" w:type="auto"/>
            <w:tcMar>
              <w:top w:w="137" w:type="dxa"/>
              <w:left w:w="137" w:type="dxa"/>
              <w:bottom w:w="137" w:type="dxa"/>
              <w:right w:w="137" w:type="dxa"/>
            </w:tcMar>
            <w:vAlign w:val="bottom"/>
            <w:hideMark/>
          </w:tcPr>
          <w:p w14:paraId="4CAB1430"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Recall (Sensitivity)</w:t>
            </w:r>
          </w:p>
        </w:tc>
        <w:tc>
          <w:tcPr>
            <w:tcW w:w="0" w:type="auto"/>
            <w:tcMar>
              <w:top w:w="137" w:type="dxa"/>
              <w:left w:w="137" w:type="dxa"/>
              <w:bottom w:w="137" w:type="dxa"/>
              <w:right w:w="137" w:type="dxa"/>
            </w:tcMar>
            <w:vAlign w:val="bottom"/>
            <w:hideMark/>
          </w:tcPr>
          <w:p w14:paraId="5A324682"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0.821</w:t>
            </w:r>
          </w:p>
        </w:tc>
        <w:tc>
          <w:tcPr>
            <w:tcW w:w="0" w:type="auto"/>
            <w:tcMar>
              <w:top w:w="137" w:type="dxa"/>
              <w:left w:w="137" w:type="dxa"/>
              <w:bottom w:w="137" w:type="dxa"/>
              <w:right w:w="137" w:type="dxa"/>
            </w:tcMar>
            <w:vAlign w:val="bottom"/>
            <w:hideMark/>
          </w:tcPr>
          <w:p w14:paraId="55C7D798"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0.780 (Logistic Regression, Devi et al., 2025)</w:t>
            </w:r>
          </w:p>
        </w:tc>
        <w:tc>
          <w:tcPr>
            <w:tcW w:w="0" w:type="auto"/>
            <w:tcMar>
              <w:top w:w="137" w:type="dxa"/>
              <w:left w:w="137" w:type="dxa"/>
              <w:bottom w:w="137" w:type="dxa"/>
              <w:right w:w="137" w:type="dxa"/>
            </w:tcMar>
            <w:vAlign w:val="bottom"/>
            <w:hideMark/>
          </w:tcPr>
          <w:p w14:paraId="6EA6D169"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+5.3%</w:t>
            </w:r>
          </w:p>
        </w:tc>
        <w:tc>
          <w:tcPr>
            <w:tcW w:w="0" w:type="auto"/>
            <w:tcMar>
              <w:top w:w="137" w:type="dxa"/>
              <w:left w:w="137" w:type="dxa"/>
              <w:bottom w:w="137" w:type="dxa"/>
              <w:right w:w="0" w:type="dxa"/>
            </w:tcMar>
            <w:vAlign w:val="bottom"/>
            <w:hideMark/>
          </w:tcPr>
          <w:p w14:paraId="10BC9844"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Majority fraud capture</w:t>
            </w:r>
          </w:p>
        </w:tc>
      </w:tr>
      <w:tr w:rsidR="001D0282" w:rsidRPr="00DB5007" w14:paraId="511ECA4E" w14:textId="77777777" w:rsidTr="00883AF2">
        <w:tc>
          <w:tcPr>
            <w:tcW w:w="0" w:type="auto"/>
            <w:tcMar>
              <w:top w:w="137" w:type="dxa"/>
              <w:left w:w="0" w:type="dxa"/>
              <w:bottom w:w="137" w:type="dxa"/>
              <w:right w:w="137" w:type="dxa"/>
            </w:tcMar>
            <w:vAlign w:val="bottom"/>
            <w:hideMark/>
          </w:tcPr>
          <w:p w14:paraId="22AFC98E" w14:textId="77777777" w:rsidR="001D0282" w:rsidRPr="00DB5007" w:rsidRDefault="001D0282" w:rsidP="00883AF2">
            <w:pPr>
              <w:spacing w:line="240" w:lineRule="auto"/>
              <w:jc w:val="both"/>
              <w:rPr>
                <w:rFonts w:ascii="Times New Roman" w:hAnsi="Times New Roman" w:cs="Times New Roman"/>
              </w:rPr>
            </w:pPr>
          </w:p>
        </w:tc>
        <w:tc>
          <w:tcPr>
            <w:tcW w:w="0" w:type="auto"/>
            <w:tcMar>
              <w:top w:w="137" w:type="dxa"/>
              <w:left w:w="137" w:type="dxa"/>
              <w:bottom w:w="137" w:type="dxa"/>
              <w:right w:w="137" w:type="dxa"/>
            </w:tcMar>
            <w:vAlign w:val="bottom"/>
            <w:hideMark/>
          </w:tcPr>
          <w:p w14:paraId="4CD40DFF"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True Positive Rate</w:t>
            </w:r>
          </w:p>
        </w:tc>
        <w:tc>
          <w:tcPr>
            <w:tcW w:w="0" w:type="auto"/>
            <w:tcMar>
              <w:top w:w="137" w:type="dxa"/>
              <w:left w:w="137" w:type="dxa"/>
              <w:bottom w:w="137" w:type="dxa"/>
              <w:right w:w="137" w:type="dxa"/>
            </w:tcMar>
            <w:vAlign w:val="bottom"/>
            <w:hideMark/>
          </w:tcPr>
          <w:p w14:paraId="7E29DF6D"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0.821</w:t>
            </w:r>
          </w:p>
        </w:tc>
        <w:tc>
          <w:tcPr>
            <w:tcW w:w="0" w:type="auto"/>
            <w:tcMar>
              <w:top w:w="137" w:type="dxa"/>
              <w:left w:w="137" w:type="dxa"/>
              <w:bottom w:w="137" w:type="dxa"/>
              <w:right w:w="137" w:type="dxa"/>
            </w:tcMar>
            <w:vAlign w:val="bottom"/>
            <w:hideMark/>
          </w:tcPr>
          <w:p w14:paraId="276D591A"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0.780</w:t>
            </w:r>
          </w:p>
        </w:tc>
        <w:tc>
          <w:tcPr>
            <w:tcW w:w="0" w:type="auto"/>
            <w:tcMar>
              <w:top w:w="137" w:type="dxa"/>
              <w:left w:w="137" w:type="dxa"/>
              <w:bottom w:w="137" w:type="dxa"/>
              <w:right w:w="137" w:type="dxa"/>
            </w:tcMar>
            <w:vAlign w:val="bottom"/>
            <w:hideMark/>
          </w:tcPr>
          <w:p w14:paraId="290001B4"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+5.3%</w:t>
            </w:r>
          </w:p>
        </w:tc>
        <w:tc>
          <w:tcPr>
            <w:tcW w:w="0" w:type="auto"/>
            <w:tcMar>
              <w:top w:w="137" w:type="dxa"/>
              <w:left w:w="137" w:type="dxa"/>
              <w:bottom w:w="137" w:type="dxa"/>
              <w:right w:w="0" w:type="dxa"/>
            </w:tcMar>
            <w:vAlign w:val="bottom"/>
            <w:hideMark/>
          </w:tcPr>
          <w:p w14:paraId="004E2645"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Robust detection rate</w:t>
            </w:r>
          </w:p>
        </w:tc>
      </w:tr>
      <w:tr w:rsidR="001D0282" w:rsidRPr="00DB5007" w14:paraId="25DAAC75" w14:textId="77777777" w:rsidTr="00883AF2">
        <w:tc>
          <w:tcPr>
            <w:tcW w:w="0" w:type="auto"/>
            <w:tcMar>
              <w:top w:w="137" w:type="dxa"/>
              <w:left w:w="0" w:type="dxa"/>
              <w:bottom w:w="137" w:type="dxa"/>
              <w:right w:w="137" w:type="dxa"/>
            </w:tcMar>
            <w:vAlign w:val="bottom"/>
            <w:hideMark/>
          </w:tcPr>
          <w:p w14:paraId="2543F6BE"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Specificity Metrics</w:t>
            </w:r>
          </w:p>
        </w:tc>
        <w:tc>
          <w:tcPr>
            <w:tcW w:w="0" w:type="auto"/>
            <w:tcMar>
              <w:top w:w="137" w:type="dxa"/>
              <w:left w:w="137" w:type="dxa"/>
              <w:bottom w:w="137" w:type="dxa"/>
              <w:right w:w="137" w:type="dxa"/>
            </w:tcMar>
            <w:vAlign w:val="bottom"/>
            <w:hideMark/>
          </w:tcPr>
          <w:p w14:paraId="3B5DA82C"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Specificity</w:t>
            </w:r>
          </w:p>
        </w:tc>
        <w:tc>
          <w:tcPr>
            <w:tcW w:w="0" w:type="auto"/>
            <w:tcMar>
              <w:top w:w="137" w:type="dxa"/>
              <w:left w:w="137" w:type="dxa"/>
              <w:bottom w:w="137" w:type="dxa"/>
              <w:right w:w="137" w:type="dxa"/>
            </w:tcMar>
            <w:vAlign w:val="bottom"/>
            <w:hideMark/>
          </w:tcPr>
          <w:p w14:paraId="13096EF6"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0.981</w:t>
            </w:r>
          </w:p>
        </w:tc>
        <w:tc>
          <w:tcPr>
            <w:tcW w:w="0" w:type="auto"/>
            <w:tcMar>
              <w:top w:w="137" w:type="dxa"/>
              <w:left w:w="137" w:type="dxa"/>
              <w:bottom w:w="137" w:type="dxa"/>
              <w:right w:w="137" w:type="dxa"/>
            </w:tcMar>
            <w:vAlign w:val="bottom"/>
            <w:hideMark/>
          </w:tcPr>
          <w:p w14:paraId="6BF29813"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 xml:space="preserve">0.960 (Traditional ML, </w:t>
            </w:r>
            <w:proofErr w:type="spellStart"/>
            <w:r w:rsidRPr="00DB5007">
              <w:rPr>
                <w:rFonts w:ascii="Times New Roman" w:hAnsi="Times New Roman" w:cs="Times New Roman"/>
              </w:rPr>
              <w:t>Ricadela</w:t>
            </w:r>
            <w:proofErr w:type="spellEnd"/>
            <w:r w:rsidRPr="00DB5007">
              <w:rPr>
                <w:rFonts w:ascii="Times New Roman" w:hAnsi="Times New Roman" w:cs="Times New Roman"/>
              </w:rPr>
              <w:t>, 2024)</w:t>
            </w:r>
          </w:p>
        </w:tc>
        <w:tc>
          <w:tcPr>
            <w:tcW w:w="0" w:type="auto"/>
            <w:tcMar>
              <w:top w:w="137" w:type="dxa"/>
              <w:left w:w="137" w:type="dxa"/>
              <w:bottom w:w="137" w:type="dxa"/>
              <w:right w:w="137" w:type="dxa"/>
            </w:tcMar>
            <w:vAlign w:val="bottom"/>
            <w:hideMark/>
          </w:tcPr>
          <w:p w14:paraId="54C10065"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+2.2%</w:t>
            </w:r>
          </w:p>
        </w:tc>
        <w:tc>
          <w:tcPr>
            <w:tcW w:w="0" w:type="auto"/>
            <w:tcMar>
              <w:top w:w="137" w:type="dxa"/>
              <w:left w:w="137" w:type="dxa"/>
              <w:bottom w:w="137" w:type="dxa"/>
              <w:right w:w="0" w:type="dxa"/>
            </w:tcMar>
            <w:vAlign w:val="bottom"/>
            <w:hideMark/>
          </w:tcPr>
          <w:p w14:paraId="0B390753"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Minimal legitimate misclassification</w:t>
            </w:r>
          </w:p>
        </w:tc>
      </w:tr>
      <w:tr w:rsidR="001D0282" w:rsidRPr="00DB5007" w14:paraId="0CC9F483" w14:textId="77777777" w:rsidTr="00883AF2">
        <w:tc>
          <w:tcPr>
            <w:tcW w:w="0" w:type="auto"/>
            <w:tcMar>
              <w:top w:w="137" w:type="dxa"/>
              <w:left w:w="0" w:type="dxa"/>
              <w:bottom w:w="137" w:type="dxa"/>
              <w:right w:w="137" w:type="dxa"/>
            </w:tcMar>
            <w:vAlign w:val="bottom"/>
            <w:hideMark/>
          </w:tcPr>
          <w:p w14:paraId="5116CBE9" w14:textId="77777777" w:rsidR="001D0282" w:rsidRPr="00DB5007" w:rsidRDefault="001D0282" w:rsidP="00883AF2">
            <w:pPr>
              <w:spacing w:line="240" w:lineRule="auto"/>
              <w:jc w:val="both"/>
              <w:rPr>
                <w:rFonts w:ascii="Times New Roman" w:hAnsi="Times New Roman" w:cs="Times New Roman"/>
              </w:rPr>
            </w:pPr>
          </w:p>
        </w:tc>
        <w:tc>
          <w:tcPr>
            <w:tcW w:w="0" w:type="auto"/>
            <w:tcMar>
              <w:top w:w="137" w:type="dxa"/>
              <w:left w:w="137" w:type="dxa"/>
              <w:bottom w:w="137" w:type="dxa"/>
              <w:right w:w="137" w:type="dxa"/>
            </w:tcMar>
            <w:vAlign w:val="bottom"/>
            <w:hideMark/>
          </w:tcPr>
          <w:p w14:paraId="72998774"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True Negative Rate</w:t>
            </w:r>
          </w:p>
        </w:tc>
        <w:tc>
          <w:tcPr>
            <w:tcW w:w="0" w:type="auto"/>
            <w:tcMar>
              <w:top w:w="137" w:type="dxa"/>
              <w:left w:w="137" w:type="dxa"/>
              <w:bottom w:w="137" w:type="dxa"/>
              <w:right w:w="137" w:type="dxa"/>
            </w:tcMar>
            <w:vAlign w:val="bottom"/>
            <w:hideMark/>
          </w:tcPr>
          <w:p w14:paraId="06EE56DE"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0.981</w:t>
            </w:r>
          </w:p>
        </w:tc>
        <w:tc>
          <w:tcPr>
            <w:tcW w:w="0" w:type="auto"/>
            <w:tcMar>
              <w:top w:w="137" w:type="dxa"/>
              <w:left w:w="137" w:type="dxa"/>
              <w:bottom w:w="137" w:type="dxa"/>
              <w:right w:w="137" w:type="dxa"/>
            </w:tcMar>
            <w:vAlign w:val="bottom"/>
            <w:hideMark/>
          </w:tcPr>
          <w:p w14:paraId="00874184"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0.960</w:t>
            </w:r>
          </w:p>
        </w:tc>
        <w:tc>
          <w:tcPr>
            <w:tcW w:w="0" w:type="auto"/>
            <w:tcMar>
              <w:top w:w="137" w:type="dxa"/>
              <w:left w:w="137" w:type="dxa"/>
              <w:bottom w:w="137" w:type="dxa"/>
              <w:right w:w="137" w:type="dxa"/>
            </w:tcMar>
            <w:vAlign w:val="bottom"/>
            <w:hideMark/>
          </w:tcPr>
          <w:p w14:paraId="5FE927A3"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+2.2%</w:t>
            </w:r>
          </w:p>
        </w:tc>
        <w:tc>
          <w:tcPr>
            <w:tcW w:w="0" w:type="auto"/>
            <w:tcMar>
              <w:top w:w="137" w:type="dxa"/>
              <w:left w:w="137" w:type="dxa"/>
              <w:bottom w:w="137" w:type="dxa"/>
              <w:right w:w="0" w:type="dxa"/>
            </w:tcMar>
            <w:vAlign w:val="bottom"/>
            <w:hideMark/>
          </w:tcPr>
          <w:p w14:paraId="0EA28B62"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Reduced customer impact</w:t>
            </w:r>
          </w:p>
        </w:tc>
      </w:tr>
      <w:tr w:rsidR="001D0282" w:rsidRPr="00DB5007" w14:paraId="18ECB08A" w14:textId="77777777" w:rsidTr="00883AF2">
        <w:tc>
          <w:tcPr>
            <w:tcW w:w="0" w:type="auto"/>
            <w:tcMar>
              <w:top w:w="137" w:type="dxa"/>
              <w:left w:w="0" w:type="dxa"/>
              <w:bottom w:w="137" w:type="dxa"/>
              <w:right w:w="137" w:type="dxa"/>
            </w:tcMar>
            <w:vAlign w:val="bottom"/>
            <w:hideMark/>
          </w:tcPr>
          <w:p w14:paraId="3AB60B20"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Balanced Performance</w:t>
            </w:r>
          </w:p>
        </w:tc>
        <w:tc>
          <w:tcPr>
            <w:tcW w:w="0" w:type="auto"/>
            <w:tcMar>
              <w:top w:w="137" w:type="dxa"/>
              <w:left w:w="137" w:type="dxa"/>
              <w:bottom w:w="137" w:type="dxa"/>
              <w:right w:w="137" w:type="dxa"/>
            </w:tcMar>
            <w:vAlign w:val="bottom"/>
            <w:hideMark/>
          </w:tcPr>
          <w:p w14:paraId="74D593AD"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F1-Score</w:t>
            </w:r>
          </w:p>
        </w:tc>
        <w:tc>
          <w:tcPr>
            <w:tcW w:w="0" w:type="auto"/>
            <w:tcMar>
              <w:top w:w="137" w:type="dxa"/>
              <w:left w:w="137" w:type="dxa"/>
              <w:bottom w:w="137" w:type="dxa"/>
              <w:right w:w="137" w:type="dxa"/>
            </w:tcMar>
            <w:vAlign w:val="bottom"/>
            <w:hideMark/>
          </w:tcPr>
          <w:p w14:paraId="408F57DF"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0.857</w:t>
            </w:r>
          </w:p>
        </w:tc>
        <w:tc>
          <w:tcPr>
            <w:tcW w:w="0" w:type="auto"/>
            <w:tcMar>
              <w:top w:w="137" w:type="dxa"/>
              <w:left w:w="137" w:type="dxa"/>
              <w:bottom w:w="137" w:type="dxa"/>
              <w:right w:w="137" w:type="dxa"/>
            </w:tcMar>
            <w:vAlign w:val="bottom"/>
            <w:hideMark/>
          </w:tcPr>
          <w:p w14:paraId="562AE1F3"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0.810 (Baseline GNN, Cheng et al., 2024)</w:t>
            </w:r>
          </w:p>
        </w:tc>
        <w:tc>
          <w:tcPr>
            <w:tcW w:w="0" w:type="auto"/>
            <w:tcMar>
              <w:top w:w="137" w:type="dxa"/>
              <w:left w:w="137" w:type="dxa"/>
              <w:bottom w:w="137" w:type="dxa"/>
              <w:right w:w="137" w:type="dxa"/>
            </w:tcMar>
            <w:vAlign w:val="bottom"/>
            <w:hideMark/>
          </w:tcPr>
          <w:p w14:paraId="462AFC3F"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+5.8%</w:t>
            </w:r>
          </w:p>
        </w:tc>
        <w:tc>
          <w:tcPr>
            <w:tcW w:w="0" w:type="auto"/>
            <w:tcMar>
              <w:top w:w="137" w:type="dxa"/>
              <w:left w:w="137" w:type="dxa"/>
              <w:bottom w:w="137" w:type="dxa"/>
              <w:right w:w="0" w:type="dxa"/>
            </w:tcMar>
            <w:vAlign w:val="bottom"/>
            <w:hideMark/>
          </w:tcPr>
          <w:p w14:paraId="7A1BD5F9"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Precision-recall harmony</w:t>
            </w:r>
          </w:p>
        </w:tc>
      </w:tr>
      <w:tr w:rsidR="001D0282" w:rsidRPr="00DB5007" w14:paraId="6FC2C56C" w14:textId="77777777" w:rsidTr="00883AF2">
        <w:tc>
          <w:tcPr>
            <w:tcW w:w="0" w:type="auto"/>
            <w:tcMar>
              <w:top w:w="137" w:type="dxa"/>
              <w:left w:w="0" w:type="dxa"/>
              <w:bottom w:w="137" w:type="dxa"/>
              <w:right w:w="137" w:type="dxa"/>
            </w:tcMar>
            <w:vAlign w:val="bottom"/>
            <w:hideMark/>
          </w:tcPr>
          <w:p w14:paraId="4B3D5402" w14:textId="77777777" w:rsidR="001D0282" w:rsidRPr="00DB5007" w:rsidRDefault="001D0282" w:rsidP="00883AF2">
            <w:pPr>
              <w:spacing w:line="240" w:lineRule="auto"/>
              <w:jc w:val="both"/>
              <w:rPr>
                <w:rFonts w:ascii="Times New Roman" w:hAnsi="Times New Roman" w:cs="Times New Roman"/>
              </w:rPr>
            </w:pPr>
          </w:p>
        </w:tc>
        <w:tc>
          <w:tcPr>
            <w:tcW w:w="0" w:type="auto"/>
            <w:tcMar>
              <w:top w:w="137" w:type="dxa"/>
              <w:left w:w="137" w:type="dxa"/>
              <w:bottom w:w="137" w:type="dxa"/>
              <w:right w:w="137" w:type="dxa"/>
            </w:tcMar>
            <w:vAlign w:val="bottom"/>
            <w:hideMark/>
          </w:tcPr>
          <w:p w14:paraId="0ACC9B35"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Matthews Correlation Coefficient</w:t>
            </w:r>
          </w:p>
        </w:tc>
        <w:tc>
          <w:tcPr>
            <w:tcW w:w="0" w:type="auto"/>
            <w:tcMar>
              <w:top w:w="137" w:type="dxa"/>
              <w:left w:w="137" w:type="dxa"/>
              <w:bottom w:w="137" w:type="dxa"/>
              <w:right w:w="137" w:type="dxa"/>
            </w:tcMar>
            <w:vAlign w:val="bottom"/>
            <w:hideMark/>
          </w:tcPr>
          <w:p w14:paraId="666B08DB"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0.834</w:t>
            </w:r>
          </w:p>
        </w:tc>
        <w:tc>
          <w:tcPr>
            <w:tcW w:w="0" w:type="auto"/>
            <w:tcMar>
              <w:top w:w="137" w:type="dxa"/>
              <w:left w:w="137" w:type="dxa"/>
              <w:bottom w:w="137" w:type="dxa"/>
              <w:right w:w="137" w:type="dxa"/>
            </w:tcMar>
            <w:vAlign w:val="bottom"/>
            <w:hideMark/>
          </w:tcPr>
          <w:p w14:paraId="333FBA23"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0.790</w:t>
            </w:r>
          </w:p>
        </w:tc>
        <w:tc>
          <w:tcPr>
            <w:tcW w:w="0" w:type="auto"/>
            <w:tcMar>
              <w:top w:w="137" w:type="dxa"/>
              <w:left w:w="137" w:type="dxa"/>
              <w:bottom w:w="137" w:type="dxa"/>
              <w:right w:w="137" w:type="dxa"/>
            </w:tcMar>
            <w:vAlign w:val="bottom"/>
            <w:hideMark/>
          </w:tcPr>
          <w:p w14:paraId="2ED49EDE"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+5.6%</w:t>
            </w:r>
          </w:p>
        </w:tc>
        <w:tc>
          <w:tcPr>
            <w:tcW w:w="0" w:type="auto"/>
            <w:tcMar>
              <w:top w:w="137" w:type="dxa"/>
              <w:left w:w="137" w:type="dxa"/>
              <w:bottom w:w="137" w:type="dxa"/>
              <w:right w:w="0" w:type="dxa"/>
            </w:tcMar>
            <w:vAlign w:val="bottom"/>
            <w:hideMark/>
          </w:tcPr>
          <w:p w14:paraId="2DDF6F6F"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Imbalanced data correlation</w:t>
            </w:r>
          </w:p>
        </w:tc>
      </w:tr>
      <w:tr w:rsidR="001D0282" w:rsidRPr="00DB5007" w14:paraId="53E351D9" w14:textId="77777777" w:rsidTr="00883AF2">
        <w:tc>
          <w:tcPr>
            <w:tcW w:w="0" w:type="auto"/>
            <w:tcMar>
              <w:top w:w="137" w:type="dxa"/>
              <w:left w:w="0" w:type="dxa"/>
              <w:bottom w:w="137" w:type="dxa"/>
              <w:right w:w="137" w:type="dxa"/>
            </w:tcMar>
            <w:vAlign w:val="bottom"/>
            <w:hideMark/>
          </w:tcPr>
          <w:p w14:paraId="1E1CA0BF"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Operational Metrics</w:t>
            </w:r>
          </w:p>
        </w:tc>
        <w:tc>
          <w:tcPr>
            <w:tcW w:w="0" w:type="auto"/>
            <w:tcMar>
              <w:top w:w="137" w:type="dxa"/>
              <w:left w:w="137" w:type="dxa"/>
              <w:bottom w:w="137" w:type="dxa"/>
              <w:right w:w="137" w:type="dxa"/>
            </w:tcMar>
            <w:vAlign w:val="bottom"/>
            <w:hideMark/>
          </w:tcPr>
          <w:p w14:paraId="4B4F7110"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Accuracy</w:t>
            </w:r>
          </w:p>
        </w:tc>
        <w:tc>
          <w:tcPr>
            <w:tcW w:w="0" w:type="auto"/>
            <w:tcMar>
              <w:top w:w="137" w:type="dxa"/>
              <w:left w:w="137" w:type="dxa"/>
              <w:bottom w:w="137" w:type="dxa"/>
              <w:right w:w="137" w:type="dxa"/>
            </w:tcMar>
            <w:vAlign w:val="bottom"/>
            <w:hideMark/>
          </w:tcPr>
          <w:p w14:paraId="41B15D10"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0.982</w:t>
            </w:r>
          </w:p>
        </w:tc>
        <w:tc>
          <w:tcPr>
            <w:tcW w:w="0" w:type="auto"/>
            <w:tcMar>
              <w:top w:w="137" w:type="dxa"/>
              <w:left w:w="137" w:type="dxa"/>
              <w:bottom w:w="137" w:type="dxa"/>
              <w:right w:w="137" w:type="dxa"/>
            </w:tcMar>
            <w:vAlign w:val="bottom"/>
            <w:hideMark/>
          </w:tcPr>
          <w:p w14:paraId="4C4BF804"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0.970</w:t>
            </w:r>
          </w:p>
        </w:tc>
        <w:tc>
          <w:tcPr>
            <w:tcW w:w="0" w:type="auto"/>
            <w:tcMar>
              <w:top w:w="137" w:type="dxa"/>
              <w:left w:w="137" w:type="dxa"/>
              <w:bottom w:w="137" w:type="dxa"/>
              <w:right w:w="137" w:type="dxa"/>
            </w:tcMar>
            <w:vAlign w:val="bottom"/>
            <w:hideMark/>
          </w:tcPr>
          <w:p w14:paraId="19769D0E"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+1.2%</w:t>
            </w:r>
          </w:p>
        </w:tc>
        <w:tc>
          <w:tcPr>
            <w:tcW w:w="0" w:type="auto"/>
            <w:tcMar>
              <w:top w:w="137" w:type="dxa"/>
              <w:left w:w="137" w:type="dxa"/>
              <w:bottom w:w="137" w:type="dxa"/>
              <w:right w:w="0" w:type="dxa"/>
            </w:tcMar>
            <w:vAlign w:val="bottom"/>
            <w:hideMark/>
          </w:tcPr>
          <w:p w14:paraId="7673CF44"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Overall reliability</w:t>
            </w:r>
          </w:p>
        </w:tc>
      </w:tr>
      <w:tr w:rsidR="001D0282" w:rsidRPr="00DB5007" w14:paraId="4FD3AD47" w14:textId="77777777" w:rsidTr="00883AF2">
        <w:tc>
          <w:tcPr>
            <w:tcW w:w="0" w:type="auto"/>
            <w:tcMar>
              <w:top w:w="137" w:type="dxa"/>
              <w:left w:w="0" w:type="dxa"/>
              <w:bottom w:w="137" w:type="dxa"/>
              <w:right w:w="137" w:type="dxa"/>
            </w:tcMar>
            <w:vAlign w:val="bottom"/>
            <w:hideMark/>
          </w:tcPr>
          <w:p w14:paraId="52C7CC45" w14:textId="77777777" w:rsidR="001D0282" w:rsidRPr="00DB5007" w:rsidRDefault="001D0282" w:rsidP="00883AF2">
            <w:pPr>
              <w:spacing w:line="240" w:lineRule="auto"/>
              <w:jc w:val="both"/>
              <w:rPr>
                <w:rFonts w:ascii="Times New Roman" w:hAnsi="Times New Roman" w:cs="Times New Roman"/>
              </w:rPr>
            </w:pPr>
          </w:p>
        </w:tc>
        <w:tc>
          <w:tcPr>
            <w:tcW w:w="0" w:type="auto"/>
            <w:tcMar>
              <w:top w:w="137" w:type="dxa"/>
              <w:left w:w="137" w:type="dxa"/>
              <w:bottom w:w="137" w:type="dxa"/>
              <w:right w:w="137" w:type="dxa"/>
            </w:tcMar>
            <w:vAlign w:val="bottom"/>
            <w:hideMark/>
          </w:tcPr>
          <w:p w14:paraId="55F4561F"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False Positive Rate</w:t>
            </w:r>
          </w:p>
        </w:tc>
        <w:tc>
          <w:tcPr>
            <w:tcW w:w="0" w:type="auto"/>
            <w:tcMar>
              <w:top w:w="137" w:type="dxa"/>
              <w:left w:w="137" w:type="dxa"/>
              <w:bottom w:w="137" w:type="dxa"/>
              <w:right w:w="137" w:type="dxa"/>
            </w:tcMar>
            <w:vAlign w:val="bottom"/>
            <w:hideMark/>
          </w:tcPr>
          <w:p w14:paraId="1998C20C"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0.019</w:t>
            </w:r>
          </w:p>
        </w:tc>
        <w:tc>
          <w:tcPr>
            <w:tcW w:w="0" w:type="auto"/>
            <w:tcMar>
              <w:top w:w="137" w:type="dxa"/>
              <w:left w:w="137" w:type="dxa"/>
              <w:bottom w:w="137" w:type="dxa"/>
              <w:right w:w="137" w:type="dxa"/>
            </w:tcMar>
            <w:vAlign w:val="bottom"/>
            <w:hideMark/>
          </w:tcPr>
          <w:p w14:paraId="14591796"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0.040</w:t>
            </w:r>
          </w:p>
        </w:tc>
        <w:tc>
          <w:tcPr>
            <w:tcW w:w="0" w:type="auto"/>
            <w:tcMar>
              <w:top w:w="137" w:type="dxa"/>
              <w:left w:w="137" w:type="dxa"/>
              <w:bottom w:w="137" w:type="dxa"/>
              <w:right w:w="137" w:type="dxa"/>
            </w:tcMar>
            <w:vAlign w:val="bottom"/>
            <w:hideMark/>
          </w:tcPr>
          <w:p w14:paraId="38EA8513"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-52.5%</w:t>
            </w:r>
          </w:p>
        </w:tc>
        <w:tc>
          <w:tcPr>
            <w:tcW w:w="0" w:type="auto"/>
            <w:tcMar>
              <w:top w:w="137" w:type="dxa"/>
              <w:left w:w="137" w:type="dxa"/>
              <w:bottom w:w="137" w:type="dxa"/>
              <w:right w:w="0" w:type="dxa"/>
            </w:tcMar>
            <w:vAlign w:val="bottom"/>
            <w:hideMark/>
          </w:tcPr>
          <w:p w14:paraId="17FFEA7E"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Lower operational burden</w:t>
            </w:r>
          </w:p>
        </w:tc>
      </w:tr>
      <w:tr w:rsidR="001D0282" w:rsidRPr="00DB5007" w14:paraId="4C918D74" w14:textId="77777777" w:rsidTr="00883AF2">
        <w:tc>
          <w:tcPr>
            <w:tcW w:w="0" w:type="auto"/>
            <w:tcBorders>
              <w:bottom w:val="single" w:sz="4" w:space="0" w:color="auto"/>
            </w:tcBorders>
            <w:tcMar>
              <w:top w:w="137" w:type="dxa"/>
              <w:left w:w="0" w:type="dxa"/>
              <w:bottom w:w="137" w:type="dxa"/>
              <w:right w:w="137" w:type="dxa"/>
            </w:tcMar>
            <w:vAlign w:val="bottom"/>
            <w:hideMark/>
          </w:tcPr>
          <w:p w14:paraId="06AB5DE7" w14:textId="77777777" w:rsidR="001D0282" w:rsidRPr="00DB5007" w:rsidRDefault="001D0282" w:rsidP="00883AF2">
            <w:pPr>
              <w:spacing w:line="240" w:lineRule="auto"/>
              <w:jc w:val="both"/>
              <w:rPr>
                <w:rFonts w:ascii="Times New Roman" w:hAnsi="Times New Roman" w:cs="Times New Roman"/>
              </w:rPr>
            </w:pPr>
          </w:p>
        </w:tc>
        <w:tc>
          <w:tcPr>
            <w:tcW w:w="0" w:type="auto"/>
            <w:tcBorders>
              <w:bottom w:val="single" w:sz="4" w:space="0" w:color="auto"/>
            </w:tcBorders>
            <w:tcMar>
              <w:top w:w="137" w:type="dxa"/>
              <w:left w:w="137" w:type="dxa"/>
              <w:bottom w:w="137" w:type="dxa"/>
              <w:right w:w="137" w:type="dxa"/>
            </w:tcMar>
            <w:vAlign w:val="bottom"/>
            <w:hideMark/>
          </w:tcPr>
          <w:p w14:paraId="773E29FA"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False Negative Rate</w:t>
            </w:r>
          </w:p>
        </w:tc>
        <w:tc>
          <w:tcPr>
            <w:tcW w:w="0" w:type="auto"/>
            <w:tcBorders>
              <w:bottom w:val="single" w:sz="4" w:space="0" w:color="auto"/>
            </w:tcBorders>
            <w:tcMar>
              <w:top w:w="137" w:type="dxa"/>
              <w:left w:w="137" w:type="dxa"/>
              <w:bottom w:w="137" w:type="dxa"/>
              <w:right w:w="137" w:type="dxa"/>
            </w:tcMar>
            <w:vAlign w:val="bottom"/>
            <w:hideMark/>
          </w:tcPr>
          <w:p w14:paraId="26DD4B77"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0.179</w:t>
            </w:r>
          </w:p>
        </w:tc>
        <w:tc>
          <w:tcPr>
            <w:tcW w:w="0" w:type="auto"/>
            <w:tcBorders>
              <w:bottom w:val="single" w:sz="4" w:space="0" w:color="auto"/>
            </w:tcBorders>
            <w:tcMar>
              <w:top w:w="137" w:type="dxa"/>
              <w:left w:w="137" w:type="dxa"/>
              <w:bottom w:w="137" w:type="dxa"/>
              <w:right w:w="137" w:type="dxa"/>
            </w:tcMar>
            <w:vAlign w:val="bottom"/>
            <w:hideMark/>
          </w:tcPr>
          <w:p w14:paraId="12A4E096"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0.220</w:t>
            </w:r>
          </w:p>
        </w:tc>
        <w:tc>
          <w:tcPr>
            <w:tcW w:w="0" w:type="auto"/>
            <w:tcBorders>
              <w:bottom w:val="single" w:sz="4" w:space="0" w:color="auto"/>
            </w:tcBorders>
            <w:tcMar>
              <w:top w:w="137" w:type="dxa"/>
              <w:left w:w="137" w:type="dxa"/>
              <w:bottom w:w="137" w:type="dxa"/>
              <w:right w:w="137" w:type="dxa"/>
            </w:tcMar>
            <w:vAlign w:val="bottom"/>
            <w:hideMark/>
          </w:tcPr>
          <w:p w14:paraId="5A48917D"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-18.6%</w:t>
            </w:r>
          </w:p>
        </w:tc>
        <w:tc>
          <w:tcPr>
            <w:tcW w:w="0" w:type="auto"/>
            <w:tcBorders>
              <w:bottom w:val="single" w:sz="4" w:space="0" w:color="auto"/>
            </w:tcBorders>
            <w:tcMar>
              <w:top w:w="137" w:type="dxa"/>
              <w:left w:w="137" w:type="dxa"/>
              <w:bottom w:w="137" w:type="dxa"/>
              <w:right w:w="0" w:type="dxa"/>
            </w:tcMar>
            <w:vAlign w:val="bottom"/>
            <w:hideMark/>
          </w:tcPr>
          <w:p w14:paraId="2D024EB0"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Decreased undetected risks</w:t>
            </w:r>
          </w:p>
        </w:tc>
      </w:tr>
    </w:tbl>
    <w:p w14:paraId="62329EF1" w14:textId="003C0DED" w:rsidR="008209CB" w:rsidRPr="008209CB" w:rsidRDefault="008209CB" w:rsidP="00883AF2">
      <w:pPr>
        <w:spacing w:before="240" w:line="360" w:lineRule="auto"/>
        <w:jc w:val="both"/>
        <w:rPr>
          <w:rFonts w:ascii="Times New Roman" w:hAnsi="Times New Roman" w:cs="Times New Roman"/>
          <w:b/>
          <w:bCs/>
          <w:noProof/>
        </w:rPr>
      </w:pPr>
      <w:r w:rsidRPr="008209CB">
        <w:rPr>
          <w:rFonts w:ascii="Times New Roman" w:hAnsi="Times New Roman" w:cs="Times New Roman"/>
          <w:b/>
          <w:bCs/>
          <w:noProof/>
        </w:rPr>
        <w:t xml:space="preserve">Figure </w:t>
      </w:r>
      <w:r>
        <w:rPr>
          <w:rFonts w:ascii="Times New Roman" w:hAnsi="Times New Roman" w:cs="Times New Roman"/>
          <w:b/>
          <w:bCs/>
          <w:noProof/>
        </w:rPr>
        <w:t>3</w:t>
      </w:r>
    </w:p>
    <w:p w14:paraId="2D7BE5B0" w14:textId="499E8A76" w:rsidR="008209CB" w:rsidRPr="008209CB" w:rsidRDefault="008209CB" w:rsidP="00883AF2">
      <w:pPr>
        <w:spacing w:before="240" w:line="360" w:lineRule="auto"/>
        <w:jc w:val="both"/>
        <w:rPr>
          <w:rFonts w:ascii="Times New Roman" w:hAnsi="Times New Roman" w:cs="Times New Roman"/>
          <w:i/>
          <w:iCs/>
          <w:noProof/>
        </w:rPr>
      </w:pPr>
      <w:r w:rsidRPr="008209CB">
        <w:rPr>
          <w:rFonts w:ascii="Times New Roman" w:hAnsi="Times New Roman" w:cs="Times New Roman"/>
          <w:i/>
          <w:iCs/>
          <w:noProof/>
        </w:rPr>
        <w:t>Model Performance Across Key Metrics</w:t>
      </w:r>
    </w:p>
    <w:p w14:paraId="43B5B02E" w14:textId="77777777" w:rsidR="00AF5F9B" w:rsidRDefault="00025DB9" w:rsidP="00883AF2">
      <w:pPr>
        <w:spacing w:before="240" w:line="360" w:lineRule="auto"/>
        <w:jc w:val="both"/>
        <w:rPr>
          <w:rFonts w:ascii="Times New Roman" w:hAnsi="Times New Roman" w:cs="Times New Roman"/>
        </w:rPr>
      </w:pPr>
      <w:r>
        <w:rPr>
          <w:noProof/>
        </w:rPr>
        <w:drawing>
          <wp:inline distT="0" distB="0" distL="0" distR="0" wp14:anchorId="69508255" wp14:editId="3FFBC295">
            <wp:extent cx="5486400" cy="3220277"/>
            <wp:effectExtent l="0" t="0" r="0" b="0"/>
            <wp:docPr id="18028029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2936" name="Picture 1802802936"/>
                    <pic:cNvPicPr/>
                  </pic:nvPicPr>
                  <pic:blipFill rotWithShape="1">
                    <a:blip r:embed="rId9" cstate="print">
                      <a:extLst>
                        <a:ext uri="{28A0092B-C50C-407E-A947-70E740481C1C}">
                          <a14:useLocalDpi xmlns:a14="http://schemas.microsoft.com/office/drawing/2010/main" val="0"/>
                        </a:ext>
                      </a:extLst>
                    </a:blip>
                    <a:srcRect t="11956"/>
                    <a:stretch>
                      <a:fillRect/>
                    </a:stretch>
                  </pic:blipFill>
                  <pic:spPr bwMode="auto">
                    <a:xfrm>
                      <a:off x="0" y="0"/>
                      <a:ext cx="5522443" cy="3241433"/>
                    </a:xfrm>
                    <a:prstGeom prst="rect">
                      <a:avLst/>
                    </a:prstGeom>
                    <a:ln>
                      <a:noFill/>
                    </a:ln>
                    <a:extLst>
                      <a:ext uri="{53640926-AAD7-44D8-BBD7-CCE9431645EC}">
                        <a14:shadowObscured xmlns:a14="http://schemas.microsoft.com/office/drawing/2010/main"/>
                      </a:ext>
                    </a:extLst>
                  </pic:spPr>
                </pic:pic>
              </a:graphicData>
            </a:graphic>
          </wp:inline>
        </w:drawing>
      </w:r>
    </w:p>
    <w:p w14:paraId="06EC7AFA" w14:textId="4E1EF923" w:rsidR="001D0282" w:rsidRPr="00DB5007" w:rsidRDefault="001D0282" w:rsidP="00883AF2">
      <w:pPr>
        <w:spacing w:before="240" w:line="360" w:lineRule="auto"/>
        <w:jc w:val="both"/>
        <w:rPr>
          <w:rFonts w:ascii="Times New Roman" w:hAnsi="Times New Roman" w:cs="Times New Roman"/>
        </w:rPr>
      </w:pPr>
      <w:r w:rsidRPr="00DB5007">
        <w:rPr>
          <w:rFonts w:ascii="Times New Roman" w:hAnsi="Times New Roman" w:cs="Times New Roman"/>
        </w:rPr>
        <w:lastRenderedPageBreak/>
        <w:t>The confusion matrix on this validation set, as illustrated in Table 3</w:t>
      </w:r>
      <w:r w:rsidR="00AF5F9B">
        <w:rPr>
          <w:rFonts w:ascii="Times New Roman" w:hAnsi="Times New Roman" w:cs="Times New Roman"/>
        </w:rPr>
        <w:t xml:space="preserve"> and Figure 4</w:t>
      </w:r>
      <w:r w:rsidRPr="00DB5007">
        <w:rPr>
          <w:rFonts w:ascii="Times New Roman" w:hAnsi="Times New Roman" w:cs="Times New Roman"/>
        </w:rPr>
        <w:t>, enumerates 4,845 true positives, 1,123 false positives, 1,049 false negatives, and 52,137 true negatives, yielding a sensitivity of 82.14 percent calculated as true positives divided by the sum of true positives and false negatives, specificity of 97.88 percent as true negatives over true negatives plus false positives, precision of 81.20 percent as true positives over true positives plus false positives, and negative predictive value of 98.01 percent as true negatives over true negatives plus false negatives, underscoring operational viability with 81.2 percent of alerts being genuine fraud.</w:t>
      </w:r>
    </w:p>
    <w:p w14:paraId="39368883"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Table 3</w:t>
      </w:r>
    </w:p>
    <w:p w14:paraId="7C1FCC33" w14:textId="52E69666" w:rsidR="001D0282" w:rsidRPr="00DB5007" w:rsidRDefault="001D0282" w:rsidP="00DB5007">
      <w:pPr>
        <w:spacing w:line="360" w:lineRule="auto"/>
        <w:jc w:val="both"/>
        <w:rPr>
          <w:rFonts w:ascii="Times New Roman" w:hAnsi="Times New Roman" w:cs="Times New Roman"/>
          <w:i/>
          <w:iCs/>
        </w:rPr>
      </w:pPr>
      <w:r w:rsidRPr="00DB5007">
        <w:rPr>
          <w:rFonts w:ascii="Times New Roman" w:hAnsi="Times New Roman" w:cs="Times New Roman"/>
          <w:i/>
          <w:iCs/>
        </w:rPr>
        <w:t>Confusion Matrix for Validation Set Predictions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1983"/>
        <w:gridCol w:w="1922"/>
        <w:gridCol w:w="2372"/>
        <w:gridCol w:w="1302"/>
        <w:gridCol w:w="1781"/>
      </w:tblGrid>
      <w:tr w:rsidR="001D0282" w:rsidRPr="00DB5007" w14:paraId="7C0B3E4E" w14:textId="77777777" w:rsidTr="004C0AA7">
        <w:trPr>
          <w:trHeight w:val="425"/>
          <w:tblHeader/>
          <w:jc w:val="center"/>
        </w:trPr>
        <w:tc>
          <w:tcPr>
            <w:tcW w:w="0" w:type="auto"/>
            <w:tcBorders>
              <w:top w:val="single" w:sz="4" w:space="0" w:color="auto"/>
              <w:bottom w:val="single" w:sz="4" w:space="0" w:color="auto"/>
            </w:tcBorders>
            <w:tcMar>
              <w:top w:w="15" w:type="dxa"/>
              <w:left w:w="0" w:type="dxa"/>
              <w:bottom w:w="137" w:type="dxa"/>
              <w:right w:w="137" w:type="dxa"/>
            </w:tcMar>
            <w:vAlign w:val="bottom"/>
            <w:hideMark/>
          </w:tcPr>
          <w:p w14:paraId="6AE9ACB9" w14:textId="77777777" w:rsidR="001D0282" w:rsidRPr="00DB5007" w:rsidRDefault="001D0282" w:rsidP="00883AF2">
            <w:pPr>
              <w:spacing w:line="240" w:lineRule="auto"/>
              <w:jc w:val="both"/>
              <w:rPr>
                <w:rFonts w:ascii="Times New Roman" w:hAnsi="Times New Roman" w:cs="Times New Roman"/>
              </w:rPr>
            </w:pP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21941A23" w14:textId="77777777" w:rsidR="001D0282" w:rsidRPr="00DB5007" w:rsidRDefault="001D0282" w:rsidP="00883AF2">
            <w:pPr>
              <w:spacing w:line="240" w:lineRule="auto"/>
              <w:jc w:val="both"/>
              <w:rPr>
                <w:rFonts w:ascii="Times New Roman" w:hAnsi="Times New Roman" w:cs="Times New Roman"/>
                <w:b/>
                <w:bCs/>
              </w:rPr>
            </w:pPr>
            <w:r w:rsidRPr="00DB5007">
              <w:rPr>
                <w:rFonts w:ascii="Times New Roman" w:hAnsi="Times New Roman" w:cs="Times New Roman"/>
                <w:b/>
                <w:bCs/>
              </w:rPr>
              <w:t>Predicted Fraud</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49BB7DF7" w14:textId="77777777" w:rsidR="001D0282" w:rsidRPr="00DB5007" w:rsidRDefault="001D0282" w:rsidP="00883AF2">
            <w:pPr>
              <w:spacing w:line="240" w:lineRule="auto"/>
              <w:jc w:val="both"/>
              <w:rPr>
                <w:rFonts w:ascii="Times New Roman" w:hAnsi="Times New Roman" w:cs="Times New Roman"/>
                <w:b/>
                <w:bCs/>
              </w:rPr>
            </w:pPr>
            <w:r w:rsidRPr="00DB5007">
              <w:rPr>
                <w:rFonts w:ascii="Times New Roman" w:hAnsi="Times New Roman" w:cs="Times New Roman"/>
                <w:b/>
                <w:bCs/>
              </w:rPr>
              <w:t>Predicted Legitimate</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38DC50FC" w14:textId="77777777" w:rsidR="001D0282" w:rsidRPr="00DB5007" w:rsidRDefault="001D0282" w:rsidP="00883AF2">
            <w:pPr>
              <w:spacing w:line="240" w:lineRule="auto"/>
              <w:jc w:val="both"/>
              <w:rPr>
                <w:rFonts w:ascii="Times New Roman" w:hAnsi="Times New Roman" w:cs="Times New Roman"/>
                <w:b/>
                <w:bCs/>
              </w:rPr>
            </w:pPr>
            <w:r w:rsidRPr="00DB5007">
              <w:rPr>
                <w:rFonts w:ascii="Times New Roman" w:hAnsi="Times New Roman" w:cs="Times New Roman"/>
                <w:b/>
                <w:bCs/>
              </w:rPr>
              <w:t>Row Total</w:t>
            </w:r>
          </w:p>
        </w:tc>
        <w:tc>
          <w:tcPr>
            <w:tcW w:w="0" w:type="auto"/>
            <w:tcBorders>
              <w:top w:val="single" w:sz="4" w:space="0" w:color="auto"/>
              <w:bottom w:val="single" w:sz="4" w:space="0" w:color="auto"/>
            </w:tcBorders>
            <w:tcMar>
              <w:top w:w="15" w:type="dxa"/>
              <w:left w:w="137" w:type="dxa"/>
              <w:bottom w:w="137" w:type="dxa"/>
              <w:right w:w="15" w:type="dxa"/>
            </w:tcMar>
            <w:vAlign w:val="bottom"/>
            <w:hideMark/>
          </w:tcPr>
          <w:p w14:paraId="771BAEBB" w14:textId="77777777" w:rsidR="001D0282" w:rsidRPr="00DB5007" w:rsidRDefault="001D0282" w:rsidP="00883AF2">
            <w:pPr>
              <w:spacing w:line="240" w:lineRule="auto"/>
              <w:jc w:val="both"/>
              <w:rPr>
                <w:rFonts w:ascii="Times New Roman" w:hAnsi="Times New Roman" w:cs="Times New Roman"/>
                <w:b/>
                <w:bCs/>
              </w:rPr>
            </w:pPr>
            <w:r w:rsidRPr="00DB5007">
              <w:rPr>
                <w:rFonts w:ascii="Times New Roman" w:hAnsi="Times New Roman" w:cs="Times New Roman"/>
                <w:b/>
                <w:bCs/>
              </w:rPr>
              <w:t>Row Percentage</w:t>
            </w:r>
          </w:p>
        </w:tc>
      </w:tr>
      <w:tr w:rsidR="001D0282" w:rsidRPr="00DB5007" w14:paraId="03F1F384" w14:textId="77777777" w:rsidTr="00883AF2">
        <w:trPr>
          <w:jc w:val="center"/>
        </w:trPr>
        <w:tc>
          <w:tcPr>
            <w:tcW w:w="0" w:type="auto"/>
            <w:tcBorders>
              <w:top w:val="single" w:sz="4" w:space="0" w:color="auto"/>
            </w:tcBorders>
            <w:tcMar>
              <w:top w:w="137" w:type="dxa"/>
              <w:left w:w="0" w:type="dxa"/>
              <w:bottom w:w="137" w:type="dxa"/>
              <w:right w:w="137" w:type="dxa"/>
            </w:tcMar>
            <w:vAlign w:val="bottom"/>
            <w:hideMark/>
          </w:tcPr>
          <w:p w14:paraId="566238A3"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Actual Fraud</w:t>
            </w:r>
          </w:p>
        </w:tc>
        <w:tc>
          <w:tcPr>
            <w:tcW w:w="0" w:type="auto"/>
            <w:tcBorders>
              <w:top w:val="single" w:sz="4" w:space="0" w:color="auto"/>
            </w:tcBorders>
            <w:tcMar>
              <w:top w:w="137" w:type="dxa"/>
              <w:left w:w="137" w:type="dxa"/>
              <w:bottom w:w="137" w:type="dxa"/>
              <w:right w:w="137" w:type="dxa"/>
            </w:tcMar>
            <w:vAlign w:val="bottom"/>
            <w:hideMark/>
          </w:tcPr>
          <w:p w14:paraId="11239A43"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4,845 (TP)</w:t>
            </w:r>
          </w:p>
        </w:tc>
        <w:tc>
          <w:tcPr>
            <w:tcW w:w="0" w:type="auto"/>
            <w:tcBorders>
              <w:top w:val="single" w:sz="4" w:space="0" w:color="auto"/>
            </w:tcBorders>
            <w:tcMar>
              <w:top w:w="137" w:type="dxa"/>
              <w:left w:w="137" w:type="dxa"/>
              <w:bottom w:w="137" w:type="dxa"/>
              <w:right w:w="137" w:type="dxa"/>
            </w:tcMar>
            <w:vAlign w:val="bottom"/>
            <w:hideMark/>
          </w:tcPr>
          <w:p w14:paraId="1DE1B609"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1,049 (FN)</w:t>
            </w:r>
          </w:p>
        </w:tc>
        <w:tc>
          <w:tcPr>
            <w:tcW w:w="0" w:type="auto"/>
            <w:tcBorders>
              <w:top w:val="single" w:sz="4" w:space="0" w:color="auto"/>
            </w:tcBorders>
            <w:tcMar>
              <w:top w:w="137" w:type="dxa"/>
              <w:left w:w="137" w:type="dxa"/>
              <w:bottom w:w="137" w:type="dxa"/>
              <w:right w:w="137" w:type="dxa"/>
            </w:tcMar>
            <w:vAlign w:val="bottom"/>
            <w:hideMark/>
          </w:tcPr>
          <w:p w14:paraId="77114BDC"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5,894</w:t>
            </w:r>
          </w:p>
        </w:tc>
        <w:tc>
          <w:tcPr>
            <w:tcW w:w="0" w:type="auto"/>
            <w:tcBorders>
              <w:top w:val="single" w:sz="4" w:space="0" w:color="auto"/>
            </w:tcBorders>
            <w:tcMar>
              <w:top w:w="137" w:type="dxa"/>
              <w:left w:w="137" w:type="dxa"/>
              <w:bottom w:w="137" w:type="dxa"/>
              <w:right w:w="0" w:type="dxa"/>
            </w:tcMar>
            <w:vAlign w:val="bottom"/>
            <w:hideMark/>
          </w:tcPr>
          <w:p w14:paraId="6D9839E5"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100%</w:t>
            </w:r>
          </w:p>
        </w:tc>
      </w:tr>
      <w:tr w:rsidR="001D0282" w:rsidRPr="00DB5007" w14:paraId="28B27480" w14:textId="77777777" w:rsidTr="00883AF2">
        <w:trPr>
          <w:jc w:val="center"/>
        </w:trPr>
        <w:tc>
          <w:tcPr>
            <w:tcW w:w="0" w:type="auto"/>
            <w:tcMar>
              <w:top w:w="137" w:type="dxa"/>
              <w:left w:w="0" w:type="dxa"/>
              <w:bottom w:w="137" w:type="dxa"/>
              <w:right w:w="137" w:type="dxa"/>
            </w:tcMar>
            <w:vAlign w:val="bottom"/>
            <w:hideMark/>
          </w:tcPr>
          <w:p w14:paraId="7417C307"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Actual Legitimate</w:t>
            </w:r>
          </w:p>
        </w:tc>
        <w:tc>
          <w:tcPr>
            <w:tcW w:w="0" w:type="auto"/>
            <w:tcMar>
              <w:top w:w="137" w:type="dxa"/>
              <w:left w:w="137" w:type="dxa"/>
              <w:bottom w:w="137" w:type="dxa"/>
              <w:right w:w="137" w:type="dxa"/>
            </w:tcMar>
            <w:vAlign w:val="bottom"/>
            <w:hideMark/>
          </w:tcPr>
          <w:p w14:paraId="4EA1C699"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1,123 (FP)</w:t>
            </w:r>
          </w:p>
        </w:tc>
        <w:tc>
          <w:tcPr>
            <w:tcW w:w="0" w:type="auto"/>
            <w:tcMar>
              <w:top w:w="137" w:type="dxa"/>
              <w:left w:w="137" w:type="dxa"/>
              <w:bottom w:w="137" w:type="dxa"/>
              <w:right w:w="137" w:type="dxa"/>
            </w:tcMar>
            <w:vAlign w:val="bottom"/>
            <w:hideMark/>
          </w:tcPr>
          <w:p w14:paraId="2F4CBA84"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52,137 (TN)</w:t>
            </w:r>
          </w:p>
        </w:tc>
        <w:tc>
          <w:tcPr>
            <w:tcW w:w="0" w:type="auto"/>
            <w:tcMar>
              <w:top w:w="137" w:type="dxa"/>
              <w:left w:w="137" w:type="dxa"/>
              <w:bottom w:w="137" w:type="dxa"/>
              <w:right w:w="137" w:type="dxa"/>
            </w:tcMar>
            <w:vAlign w:val="bottom"/>
            <w:hideMark/>
          </w:tcPr>
          <w:p w14:paraId="2D9C391D"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53,160</w:t>
            </w:r>
          </w:p>
        </w:tc>
        <w:tc>
          <w:tcPr>
            <w:tcW w:w="0" w:type="auto"/>
            <w:tcMar>
              <w:top w:w="137" w:type="dxa"/>
              <w:left w:w="137" w:type="dxa"/>
              <w:bottom w:w="137" w:type="dxa"/>
              <w:right w:w="0" w:type="dxa"/>
            </w:tcMar>
            <w:vAlign w:val="bottom"/>
            <w:hideMark/>
          </w:tcPr>
          <w:p w14:paraId="5D47DB3C"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100%</w:t>
            </w:r>
          </w:p>
        </w:tc>
      </w:tr>
      <w:tr w:rsidR="001D0282" w:rsidRPr="00DB5007" w14:paraId="2F97C4A1" w14:textId="77777777" w:rsidTr="00883AF2">
        <w:trPr>
          <w:jc w:val="center"/>
        </w:trPr>
        <w:tc>
          <w:tcPr>
            <w:tcW w:w="0" w:type="auto"/>
            <w:tcMar>
              <w:top w:w="137" w:type="dxa"/>
              <w:left w:w="0" w:type="dxa"/>
              <w:bottom w:w="137" w:type="dxa"/>
              <w:right w:w="137" w:type="dxa"/>
            </w:tcMar>
            <w:vAlign w:val="bottom"/>
            <w:hideMark/>
          </w:tcPr>
          <w:p w14:paraId="612C14F6"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Column Total</w:t>
            </w:r>
          </w:p>
        </w:tc>
        <w:tc>
          <w:tcPr>
            <w:tcW w:w="0" w:type="auto"/>
            <w:tcMar>
              <w:top w:w="137" w:type="dxa"/>
              <w:left w:w="137" w:type="dxa"/>
              <w:bottom w:w="137" w:type="dxa"/>
              <w:right w:w="137" w:type="dxa"/>
            </w:tcMar>
            <w:vAlign w:val="bottom"/>
            <w:hideMark/>
          </w:tcPr>
          <w:p w14:paraId="732CFFA0"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5,968</w:t>
            </w:r>
          </w:p>
        </w:tc>
        <w:tc>
          <w:tcPr>
            <w:tcW w:w="0" w:type="auto"/>
            <w:tcMar>
              <w:top w:w="137" w:type="dxa"/>
              <w:left w:w="137" w:type="dxa"/>
              <w:bottom w:w="137" w:type="dxa"/>
              <w:right w:w="137" w:type="dxa"/>
            </w:tcMar>
            <w:vAlign w:val="bottom"/>
            <w:hideMark/>
          </w:tcPr>
          <w:p w14:paraId="20578A4C"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53,186</w:t>
            </w:r>
          </w:p>
        </w:tc>
        <w:tc>
          <w:tcPr>
            <w:tcW w:w="0" w:type="auto"/>
            <w:tcMar>
              <w:top w:w="137" w:type="dxa"/>
              <w:left w:w="137" w:type="dxa"/>
              <w:bottom w:w="137" w:type="dxa"/>
              <w:right w:w="137" w:type="dxa"/>
            </w:tcMar>
            <w:vAlign w:val="bottom"/>
            <w:hideMark/>
          </w:tcPr>
          <w:p w14:paraId="5961521C"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59,054</w:t>
            </w:r>
          </w:p>
        </w:tc>
        <w:tc>
          <w:tcPr>
            <w:tcW w:w="0" w:type="auto"/>
            <w:tcMar>
              <w:top w:w="137" w:type="dxa"/>
              <w:left w:w="137" w:type="dxa"/>
              <w:bottom w:w="137" w:type="dxa"/>
              <w:right w:w="0" w:type="dxa"/>
            </w:tcMar>
            <w:vAlign w:val="bottom"/>
            <w:hideMark/>
          </w:tcPr>
          <w:p w14:paraId="0597E779"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w:t>
            </w:r>
          </w:p>
        </w:tc>
      </w:tr>
      <w:tr w:rsidR="001D0282" w:rsidRPr="00DB5007" w14:paraId="7B805BEF" w14:textId="77777777" w:rsidTr="00883AF2">
        <w:trPr>
          <w:jc w:val="center"/>
        </w:trPr>
        <w:tc>
          <w:tcPr>
            <w:tcW w:w="0" w:type="auto"/>
            <w:tcBorders>
              <w:bottom w:val="single" w:sz="4" w:space="0" w:color="auto"/>
            </w:tcBorders>
            <w:tcMar>
              <w:top w:w="137" w:type="dxa"/>
              <w:left w:w="0" w:type="dxa"/>
              <w:bottom w:w="137" w:type="dxa"/>
              <w:right w:w="137" w:type="dxa"/>
            </w:tcMar>
            <w:vAlign w:val="bottom"/>
            <w:hideMark/>
          </w:tcPr>
          <w:p w14:paraId="6C5F2CC0"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Column Percentage</w:t>
            </w:r>
          </w:p>
        </w:tc>
        <w:tc>
          <w:tcPr>
            <w:tcW w:w="0" w:type="auto"/>
            <w:tcBorders>
              <w:bottom w:val="single" w:sz="4" w:space="0" w:color="auto"/>
            </w:tcBorders>
            <w:tcMar>
              <w:top w:w="137" w:type="dxa"/>
              <w:left w:w="137" w:type="dxa"/>
              <w:bottom w:w="137" w:type="dxa"/>
              <w:right w:w="137" w:type="dxa"/>
            </w:tcMar>
            <w:vAlign w:val="bottom"/>
            <w:hideMark/>
          </w:tcPr>
          <w:p w14:paraId="1A44C0E8"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10.1%</w:t>
            </w:r>
          </w:p>
        </w:tc>
        <w:tc>
          <w:tcPr>
            <w:tcW w:w="0" w:type="auto"/>
            <w:tcBorders>
              <w:bottom w:val="single" w:sz="4" w:space="0" w:color="auto"/>
            </w:tcBorders>
            <w:tcMar>
              <w:top w:w="137" w:type="dxa"/>
              <w:left w:w="137" w:type="dxa"/>
              <w:bottom w:w="137" w:type="dxa"/>
              <w:right w:w="137" w:type="dxa"/>
            </w:tcMar>
            <w:vAlign w:val="bottom"/>
            <w:hideMark/>
          </w:tcPr>
          <w:p w14:paraId="5AA94132"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89.9%</w:t>
            </w:r>
          </w:p>
        </w:tc>
        <w:tc>
          <w:tcPr>
            <w:tcW w:w="0" w:type="auto"/>
            <w:tcBorders>
              <w:bottom w:val="single" w:sz="4" w:space="0" w:color="auto"/>
            </w:tcBorders>
            <w:tcMar>
              <w:top w:w="137" w:type="dxa"/>
              <w:left w:w="137" w:type="dxa"/>
              <w:bottom w:w="137" w:type="dxa"/>
              <w:right w:w="137" w:type="dxa"/>
            </w:tcMar>
            <w:vAlign w:val="bottom"/>
            <w:hideMark/>
          </w:tcPr>
          <w:p w14:paraId="2A370EDB"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w:t>
            </w:r>
          </w:p>
        </w:tc>
        <w:tc>
          <w:tcPr>
            <w:tcW w:w="0" w:type="auto"/>
            <w:tcBorders>
              <w:bottom w:val="single" w:sz="4" w:space="0" w:color="auto"/>
            </w:tcBorders>
            <w:tcMar>
              <w:top w:w="137" w:type="dxa"/>
              <w:left w:w="137" w:type="dxa"/>
              <w:bottom w:w="137" w:type="dxa"/>
              <w:right w:w="0" w:type="dxa"/>
            </w:tcMar>
            <w:vAlign w:val="bottom"/>
            <w:hideMark/>
          </w:tcPr>
          <w:p w14:paraId="1D41AC6C" w14:textId="77777777" w:rsidR="001D0282" w:rsidRPr="00DB5007" w:rsidRDefault="001D0282" w:rsidP="00883AF2">
            <w:pPr>
              <w:spacing w:line="240" w:lineRule="auto"/>
              <w:jc w:val="both"/>
              <w:rPr>
                <w:rFonts w:ascii="Times New Roman" w:hAnsi="Times New Roman" w:cs="Times New Roman"/>
              </w:rPr>
            </w:pPr>
            <w:r w:rsidRPr="00DB5007">
              <w:rPr>
                <w:rFonts w:ascii="Times New Roman" w:hAnsi="Times New Roman" w:cs="Times New Roman"/>
              </w:rPr>
              <w:t>-</w:t>
            </w:r>
          </w:p>
        </w:tc>
      </w:tr>
    </w:tbl>
    <w:p w14:paraId="547097F1" w14:textId="77777777" w:rsidR="00AF5F9B" w:rsidRDefault="00AF5F9B" w:rsidP="00AF5F9B">
      <w:pPr>
        <w:spacing w:before="240" w:line="240" w:lineRule="auto"/>
        <w:jc w:val="both"/>
        <w:rPr>
          <w:rFonts w:ascii="Times New Roman" w:hAnsi="Times New Roman" w:cs="Times New Roman"/>
          <w:b/>
          <w:bCs/>
          <w:noProof/>
        </w:rPr>
      </w:pPr>
    </w:p>
    <w:p w14:paraId="557F775A" w14:textId="77777777" w:rsidR="00AF5F9B" w:rsidRDefault="00AF5F9B" w:rsidP="00AF5F9B">
      <w:pPr>
        <w:spacing w:before="240" w:line="240" w:lineRule="auto"/>
        <w:jc w:val="both"/>
        <w:rPr>
          <w:rFonts w:ascii="Times New Roman" w:hAnsi="Times New Roman" w:cs="Times New Roman"/>
          <w:b/>
          <w:bCs/>
          <w:noProof/>
        </w:rPr>
      </w:pPr>
    </w:p>
    <w:p w14:paraId="6400E870" w14:textId="77777777" w:rsidR="00AF5F9B" w:rsidRDefault="00AF5F9B" w:rsidP="00AF5F9B">
      <w:pPr>
        <w:spacing w:before="240" w:line="240" w:lineRule="auto"/>
        <w:jc w:val="both"/>
        <w:rPr>
          <w:rFonts w:ascii="Times New Roman" w:hAnsi="Times New Roman" w:cs="Times New Roman"/>
          <w:b/>
          <w:bCs/>
          <w:noProof/>
        </w:rPr>
      </w:pPr>
    </w:p>
    <w:p w14:paraId="2350CA52" w14:textId="77777777" w:rsidR="00AF5F9B" w:rsidRDefault="00AF5F9B" w:rsidP="00AF5F9B">
      <w:pPr>
        <w:spacing w:before="240" w:line="240" w:lineRule="auto"/>
        <w:jc w:val="both"/>
        <w:rPr>
          <w:rFonts w:ascii="Times New Roman" w:hAnsi="Times New Roman" w:cs="Times New Roman"/>
          <w:b/>
          <w:bCs/>
          <w:noProof/>
        </w:rPr>
      </w:pPr>
    </w:p>
    <w:p w14:paraId="4037EF22" w14:textId="77777777" w:rsidR="00AF5F9B" w:rsidRDefault="00AF5F9B" w:rsidP="00AF5F9B">
      <w:pPr>
        <w:spacing w:before="240" w:line="240" w:lineRule="auto"/>
        <w:jc w:val="both"/>
        <w:rPr>
          <w:rFonts w:ascii="Times New Roman" w:hAnsi="Times New Roman" w:cs="Times New Roman"/>
          <w:b/>
          <w:bCs/>
          <w:noProof/>
        </w:rPr>
      </w:pPr>
    </w:p>
    <w:p w14:paraId="2019DA8C" w14:textId="77777777" w:rsidR="00AF5F9B" w:rsidRDefault="00AF5F9B" w:rsidP="00AF5F9B">
      <w:pPr>
        <w:spacing w:before="240" w:line="240" w:lineRule="auto"/>
        <w:jc w:val="both"/>
        <w:rPr>
          <w:rFonts w:ascii="Times New Roman" w:hAnsi="Times New Roman" w:cs="Times New Roman"/>
          <w:b/>
          <w:bCs/>
          <w:noProof/>
        </w:rPr>
      </w:pPr>
    </w:p>
    <w:p w14:paraId="6A05AB45" w14:textId="77777777" w:rsidR="00AF5F9B" w:rsidRDefault="00AF5F9B" w:rsidP="00AF5F9B">
      <w:pPr>
        <w:spacing w:before="240" w:line="240" w:lineRule="auto"/>
        <w:jc w:val="both"/>
        <w:rPr>
          <w:rFonts w:ascii="Times New Roman" w:hAnsi="Times New Roman" w:cs="Times New Roman"/>
          <w:b/>
          <w:bCs/>
          <w:noProof/>
        </w:rPr>
      </w:pPr>
    </w:p>
    <w:p w14:paraId="1C00CB89" w14:textId="76885F30" w:rsidR="00AF5F9B" w:rsidRDefault="00AF5F9B" w:rsidP="00AF5F9B">
      <w:pPr>
        <w:spacing w:before="240" w:line="240" w:lineRule="auto"/>
        <w:jc w:val="both"/>
        <w:rPr>
          <w:rFonts w:ascii="Times New Roman" w:hAnsi="Times New Roman" w:cs="Times New Roman"/>
          <w:b/>
          <w:bCs/>
          <w:noProof/>
        </w:rPr>
      </w:pPr>
      <w:r w:rsidRPr="00AF5F9B">
        <w:rPr>
          <w:rFonts w:ascii="Times New Roman" w:hAnsi="Times New Roman" w:cs="Times New Roman"/>
          <w:b/>
          <w:bCs/>
          <w:noProof/>
        </w:rPr>
        <w:t>Figure 4</w:t>
      </w:r>
    </w:p>
    <w:p w14:paraId="45723787" w14:textId="551BD238" w:rsidR="00AF5F9B" w:rsidRPr="00AF5F9B" w:rsidRDefault="00AF5F9B" w:rsidP="00AF5F9B">
      <w:pPr>
        <w:spacing w:before="240" w:line="240" w:lineRule="auto"/>
        <w:jc w:val="both"/>
        <w:rPr>
          <w:rFonts w:ascii="Times New Roman" w:hAnsi="Times New Roman" w:cs="Times New Roman"/>
          <w:i/>
          <w:iCs/>
          <w:noProof/>
        </w:rPr>
      </w:pPr>
      <w:r w:rsidRPr="00AF5F9B">
        <w:rPr>
          <w:rFonts w:ascii="Times New Roman" w:hAnsi="Times New Roman" w:cs="Times New Roman"/>
          <w:i/>
          <w:iCs/>
          <w:noProof/>
        </w:rPr>
        <w:t>Confusion Matrix showing the Fraud Detection Model Performance</w:t>
      </w:r>
    </w:p>
    <w:p w14:paraId="1C08EF57" w14:textId="77777777" w:rsidR="00AF5F9B" w:rsidRDefault="00025DB9" w:rsidP="00883AF2">
      <w:pPr>
        <w:spacing w:before="240" w:line="360" w:lineRule="auto"/>
        <w:jc w:val="both"/>
        <w:rPr>
          <w:rFonts w:ascii="Times New Roman" w:hAnsi="Times New Roman" w:cs="Times New Roman"/>
        </w:rPr>
      </w:pPr>
      <w:r>
        <w:rPr>
          <w:noProof/>
        </w:rPr>
        <w:lastRenderedPageBreak/>
        <w:drawing>
          <wp:inline distT="0" distB="0" distL="0" distR="0" wp14:anchorId="7EF0F218" wp14:editId="4BACD1DC">
            <wp:extent cx="5505750" cy="3132814"/>
            <wp:effectExtent l="0" t="0" r="0" b="0"/>
            <wp:docPr id="14007778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77892" name="Picture 1400777892"/>
                    <pic:cNvPicPr/>
                  </pic:nvPicPr>
                  <pic:blipFill rotWithShape="1">
                    <a:blip r:embed="rId10" cstate="print">
                      <a:extLst>
                        <a:ext uri="{28A0092B-C50C-407E-A947-70E740481C1C}">
                          <a14:useLocalDpi xmlns:a14="http://schemas.microsoft.com/office/drawing/2010/main" val="0"/>
                        </a:ext>
                      </a:extLst>
                    </a:blip>
                    <a:srcRect t="14648"/>
                    <a:stretch>
                      <a:fillRect/>
                    </a:stretch>
                  </pic:blipFill>
                  <pic:spPr bwMode="auto">
                    <a:xfrm>
                      <a:off x="0" y="0"/>
                      <a:ext cx="5620704" cy="3198223"/>
                    </a:xfrm>
                    <a:prstGeom prst="rect">
                      <a:avLst/>
                    </a:prstGeom>
                    <a:ln>
                      <a:noFill/>
                    </a:ln>
                    <a:extLst>
                      <a:ext uri="{53640926-AAD7-44D8-BBD7-CCE9431645EC}">
                        <a14:shadowObscured xmlns:a14="http://schemas.microsoft.com/office/drawing/2010/main"/>
                      </a:ext>
                    </a:extLst>
                  </pic:spPr>
                </pic:pic>
              </a:graphicData>
            </a:graphic>
          </wp:inline>
        </w:drawing>
      </w:r>
    </w:p>
    <w:p w14:paraId="0653E294" w14:textId="028D263A" w:rsidR="001D0282" w:rsidRDefault="000461D7" w:rsidP="00883AF2">
      <w:pPr>
        <w:spacing w:before="240" w:line="360" w:lineRule="auto"/>
        <w:jc w:val="both"/>
        <w:rPr>
          <w:rFonts w:ascii="Times New Roman" w:hAnsi="Times New Roman" w:cs="Times New Roman"/>
        </w:rPr>
      </w:pPr>
      <w:r>
        <w:rPr>
          <w:rFonts w:ascii="Times New Roman" w:hAnsi="Times New Roman" w:cs="Times New Roman"/>
        </w:rPr>
        <w:t>T</w:t>
      </w:r>
      <w:r w:rsidR="001D0282" w:rsidRPr="00DB5007">
        <w:rPr>
          <w:rFonts w:ascii="Times New Roman" w:hAnsi="Times New Roman" w:cs="Times New Roman"/>
        </w:rPr>
        <w:t>h</w:t>
      </w:r>
      <w:r>
        <w:rPr>
          <w:rFonts w:ascii="Times New Roman" w:hAnsi="Times New Roman" w:cs="Times New Roman"/>
        </w:rPr>
        <w:t>is shows that</w:t>
      </w:r>
      <w:r w:rsidR="001D0282" w:rsidRPr="00DB5007">
        <w:rPr>
          <w:rFonts w:ascii="Times New Roman" w:hAnsi="Times New Roman" w:cs="Times New Roman"/>
        </w:rPr>
        <w:t xml:space="preserve"> Receiver Operating Characteristic curve with an Area Under the Curve of 0.874, marking optimal thresholds like 0.48 for balanced sensitivity of 85.2 percent and specificity of 96.4 percent, 0.35 for 90.1 percent sensitivity at 92.3 percent specificity suited for regulatory mandates, 0.62 for 78.4 percent sensitivity at 99.0 percent specificity to minimize friction, and 0.71 for 65.3 percent sensitivity at 95 percent precision for automated actions, illustrating consistent performance without abrupt drops. Complementarily, Figure </w:t>
      </w:r>
      <w:r>
        <w:rPr>
          <w:rFonts w:ascii="Times New Roman" w:hAnsi="Times New Roman" w:cs="Times New Roman"/>
        </w:rPr>
        <w:t>5</w:t>
      </w:r>
      <w:r w:rsidR="001D0282" w:rsidRPr="00DB5007">
        <w:rPr>
          <w:rFonts w:ascii="Times New Roman" w:hAnsi="Times New Roman" w:cs="Times New Roman"/>
        </w:rPr>
        <w:t xml:space="preserve"> presents the Precision-Recall curve with Area Under the Curve of 0.816, highlighting points such as 50 percent recall at 58.3 percent precision for resource-limited settings, 80 percent recall at 45.2 percent precision for thorough coverage, and 95 percent precision at 42.1 percent recall for high-confidence flagging, with a steep initial decline indicating accurate top predictions.</w:t>
      </w:r>
    </w:p>
    <w:p w14:paraId="4CBA125D" w14:textId="77777777" w:rsidR="000461D7" w:rsidRDefault="000461D7" w:rsidP="00883AF2">
      <w:pPr>
        <w:spacing w:before="240" w:line="360" w:lineRule="auto"/>
        <w:jc w:val="both"/>
        <w:rPr>
          <w:rFonts w:ascii="Times New Roman" w:hAnsi="Times New Roman" w:cs="Times New Roman"/>
        </w:rPr>
      </w:pPr>
    </w:p>
    <w:p w14:paraId="78547B96" w14:textId="77777777" w:rsidR="000461D7" w:rsidRDefault="000461D7" w:rsidP="00883AF2">
      <w:pPr>
        <w:spacing w:before="240" w:line="360" w:lineRule="auto"/>
        <w:jc w:val="both"/>
        <w:rPr>
          <w:rFonts w:ascii="Times New Roman" w:hAnsi="Times New Roman" w:cs="Times New Roman"/>
        </w:rPr>
      </w:pPr>
    </w:p>
    <w:p w14:paraId="5AF99003" w14:textId="77777777" w:rsidR="000461D7" w:rsidRDefault="000461D7" w:rsidP="00883AF2">
      <w:pPr>
        <w:spacing w:before="240" w:line="360" w:lineRule="auto"/>
        <w:jc w:val="both"/>
        <w:rPr>
          <w:rFonts w:ascii="Times New Roman" w:hAnsi="Times New Roman" w:cs="Times New Roman"/>
        </w:rPr>
      </w:pPr>
    </w:p>
    <w:p w14:paraId="2CF3A9CE" w14:textId="5C1634EF" w:rsidR="000461D7" w:rsidRDefault="000461D7" w:rsidP="00883AF2">
      <w:pPr>
        <w:spacing w:before="240" w:line="360" w:lineRule="auto"/>
        <w:jc w:val="both"/>
        <w:rPr>
          <w:rFonts w:ascii="Times New Roman" w:hAnsi="Times New Roman" w:cs="Times New Roman"/>
          <w:b/>
          <w:bCs/>
        </w:rPr>
      </w:pPr>
      <w:r w:rsidRPr="000461D7">
        <w:rPr>
          <w:rFonts w:ascii="Times New Roman" w:hAnsi="Times New Roman" w:cs="Times New Roman"/>
          <w:b/>
          <w:bCs/>
        </w:rPr>
        <w:t>Figure 5</w:t>
      </w:r>
    </w:p>
    <w:p w14:paraId="05E28463" w14:textId="1EA3E5A8" w:rsidR="000461D7" w:rsidRPr="000461D7" w:rsidRDefault="000461D7" w:rsidP="00883AF2">
      <w:pPr>
        <w:spacing w:before="240" w:line="360" w:lineRule="auto"/>
        <w:jc w:val="both"/>
        <w:rPr>
          <w:rFonts w:ascii="Times New Roman" w:hAnsi="Times New Roman" w:cs="Times New Roman"/>
          <w:i/>
          <w:iCs/>
        </w:rPr>
      </w:pPr>
      <w:r w:rsidRPr="000461D7">
        <w:rPr>
          <w:rFonts w:ascii="Times New Roman" w:hAnsi="Times New Roman" w:cs="Times New Roman"/>
          <w:i/>
          <w:iCs/>
        </w:rPr>
        <w:t>Model Performance Trade-offs as shown in the Precision-Recall Curve</w:t>
      </w:r>
    </w:p>
    <w:p w14:paraId="6E2C9CE0" w14:textId="77777777" w:rsidR="0066429D" w:rsidRDefault="008C2306" w:rsidP="0066429D">
      <w:pPr>
        <w:spacing w:before="240" w:line="360" w:lineRule="auto"/>
        <w:jc w:val="both"/>
        <w:rPr>
          <w:rFonts w:ascii="Times New Roman" w:hAnsi="Times New Roman" w:cs="Times New Roman"/>
        </w:rPr>
      </w:pPr>
      <w:r>
        <w:rPr>
          <w:noProof/>
        </w:rPr>
        <w:lastRenderedPageBreak/>
        <w:drawing>
          <wp:inline distT="0" distB="0" distL="0" distR="0" wp14:anchorId="4FEF75B0" wp14:editId="04C7ED07">
            <wp:extent cx="5943600" cy="3366052"/>
            <wp:effectExtent l="0" t="0" r="0" b="0"/>
            <wp:docPr id="7391723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72338" name="Picture 739172338"/>
                    <pic:cNvPicPr/>
                  </pic:nvPicPr>
                  <pic:blipFill rotWithShape="1">
                    <a:blip r:embed="rId11" cstate="print">
                      <a:extLst>
                        <a:ext uri="{28A0092B-C50C-407E-A947-70E740481C1C}">
                          <a14:useLocalDpi xmlns:a14="http://schemas.microsoft.com/office/drawing/2010/main" val="0"/>
                        </a:ext>
                      </a:extLst>
                    </a:blip>
                    <a:srcRect t="15050"/>
                    <a:stretch>
                      <a:fillRect/>
                    </a:stretch>
                  </pic:blipFill>
                  <pic:spPr bwMode="auto">
                    <a:xfrm>
                      <a:off x="0" y="0"/>
                      <a:ext cx="5943600" cy="3366052"/>
                    </a:xfrm>
                    <a:prstGeom prst="rect">
                      <a:avLst/>
                    </a:prstGeom>
                    <a:ln>
                      <a:noFill/>
                    </a:ln>
                    <a:extLst>
                      <a:ext uri="{53640926-AAD7-44D8-BBD7-CCE9431645EC}">
                        <a14:shadowObscured xmlns:a14="http://schemas.microsoft.com/office/drawing/2010/main"/>
                      </a:ext>
                    </a:extLst>
                  </pic:spPr>
                </pic:pic>
              </a:graphicData>
            </a:graphic>
          </wp:inline>
        </w:drawing>
      </w:r>
      <w:r w:rsidR="001D0282" w:rsidRPr="00DB5007">
        <w:rPr>
          <w:rFonts w:ascii="Times New Roman" w:hAnsi="Times New Roman" w:cs="Times New Roman"/>
        </w:rPr>
        <w:t xml:space="preserve">Feature attributions via </w:t>
      </w:r>
      <w:proofErr w:type="spellStart"/>
      <w:r w:rsidR="001D0282" w:rsidRPr="00DB5007">
        <w:rPr>
          <w:rFonts w:ascii="Times New Roman" w:hAnsi="Times New Roman" w:cs="Times New Roman"/>
        </w:rPr>
        <w:t>SHapley</w:t>
      </w:r>
      <w:proofErr w:type="spellEnd"/>
      <w:r w:rsidR="001D0282" w:rsidRPr="00DB5007">
        <w:rPr>
          <w:rFonts w:ascii="Times New Roman" w:hAnsi="Times New Roman" w:cs="Times New Roman"/>
        </w:rPr>
        <w:t xml:space="preserve"> Additive </w:t>
      </w:r>
      <w:proofErr w:type="spellStart"/>
      <w:r w:rsidR="001D0282" w:rsidRPr="00DB5007">
        <w:rPr>
          <w:rFonts w:ascii="Times New Roman" w:hAnsi="Times New Roman" w:cs="Times New Roman"/>
        </w:rPr>
        <w:t>exPlanations</w:t>
      </w:r>
      <w:proofErr w:type="spellEnd"/>
      <w:r w:rsidR="001D0282" w:rsidRPr="00DB5007">
        <w:rPr>
          <w:rFonts w:ascii="Times New Roman" w:hAnsi="Times New Roman" w:cs="Times New Roman"/>
        </w:rPr>
        <w:t>, as ranked in Table 4 by mean absolute values, emphasize engineered velocity features like V209 at 0.285 contributing 8.34 percent, behavioral V221 at 0.263 with 7.71 percent, and network-based card fraud rate at 0.209 for 6.11 percent, distributing 60.2 percent to engineered, 27.4 percent to entity, and 12.4 percent to transaction attributes, while layer-wise 47.6 percent transaction, 22.3 percent entity, 18.4 percent behavioral, and 11.7 percent multi-layer, affirming relational dominance.</w:t>
      </w:r>
      <w:r w:rsidR="0066429D">
        <w:rPr>
          <w:rFonts w:ascii="Times New Roman" w:hAnsi="Times New Roman" w:cs="Times New Roman"/>
        </w:rPr>
        <w:t xml:space="preserve"> </w:t>
      </w:r>
      <w:r w:rsidR="0066429D" w:rsidRPr="00DB5007">
        <w:rPr>
          <w:rFonts w:ascii="Times New Roman" w:hAnsi="Times New Roman" w:cs="Times New Roman"/>
        </w:rPr>
        <w:t xml:space="preserve">Attention weights, </w:t>
      </w:r>
      <w:proofErr w:type="spellStart"/>
      <w:r w:rsidR="0066429D" w:rsidRPr="00DB5007">
        <w:rPr>
          <w:rFonts w:ascii="Times New Roman" w:hAnsi="Times New Roman" w:cs="Times New Roman"/>
        </w:rPr>
        <w:t>histogrammed</w:t>
      </w:r>
      <w:proofErr w:type="spellEnd"/>
      <w:r w:rsidR="0066429D" w:rsidRPr="00DB5007">
        <w:rPr>
          <w:rFonts w:ascii="Times New Roman" w:hAnsi="Times New Roman" w:cs="Times New Roman"/>
        </w:rPr>
        <w:t xml:space="preserve"> in Figure 6 with</w:t>
      </w:r>
      <w:r w:rsidR="0066429D">
        <w:rPr>
          <w:rFonts w:ascii="Times New Roman" w:hAnsi="Times New Roman" w:cs="Times New Roman"/>
        </w:rPr>
        <w:t xml:space="preserve"> the</w:t>
      </w:r>
      <w:r w:rsidR="0066429D" w:rsidRPr="00DB5007">
        <w:rPr>
          <w:rFonts w:ascii="Times New Roman" w:hAnsi="Times New Roman" w:cs="Times New Roman"/>
        </w:rPr>
        <w:t xml:space="preserve"> mean</w:t>
      </w:r>
      <w:r w:rsidR="0066429D">
        <w:rPr>
          <w:rFonts w:ascii="Times New Roman" w:hAnsi="Times New Roman" w:cs="Times New Roman"/>
        </w:rPr>
        <w:t xml:space="preserve"> of</w:t>
      </w:r>
      <w:r w:rsidR="0066429D" w:rsidRPr="00DB5007">
        <w:rPr>
          <w:rFonts w:ascii="Times New Roman" w:hAnsi="Times New Roman" w:cs="Times New Roman"/>
        </w:rPr>
        <w:t xml:space="preserve"> 0.34 and standard deviation 0.28, skew left with 68 percent below 0.5</w:t>
      </w:r>
      <w:r w:rsidR="0066429D">
        <w:rPr>
          <w:rFonts w:ascii="Times New Roman" w:hAnsi="Times New Roman" w:cs="Times New Roman"/>
        </w:rPr>
        <w:t>.</w:t>
      </w:r>
    </w:p>
    <w:p w14:paraId="3E1A4D45" w14:textId="05B40A04" w:rsidR="004C0AA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Table 4</w:t>
      </w:r>
    </w:p>
    <w:p w14:paraId="27AA8D86" w14:textId="3D854E51" w:rsidR="001D0282" w:rsidRPr="004C0AA7" w:rsidRDefault="001D0282" w:rsidP="00DB5007">
      <w:pPr>
        <w:spacing w:line="360" w:lineRule="auto"/>
        <w:jc w:val="both"/>
        <w:rPr>
          <w:rFonts w:ascii="Times New Roman" w:hAnsi="Times New Roman" w:cs="Times New Roman"/>
          <w:i/>
          <w:iCs/>
        </w:rPr>
      </w:pPr>
      <w:r w:rsidRPr="004C0AA7">
        <w:rPr>
          <w:rFonts w:ascii="Times New Roman" w:hAnsi="Times New Roman" w:cs="Times New Roman"/>
          <w:i/>
          <w:iCs/>
        </w:rPr>
        <w:t>Top 20 Features Ranked by SHAP Feature Importance</w:t>
      </w:r>
    </w:p>
    <w:tbl>
      <w:tblPr>
        <w:tblW w:w="8517" w:type="dxa"/>
        <w:tblCellSpacing w:w="15" w:type="dxa"/>
        <w:tblCellMar>
          <w:top w:w="15" w:type="dxa"/>
          <w:left w:w="15" w:type="dxa"/>
          <w:bottom w:w="15" w:type="dxa"/>
          <w:right w:w="15" w:type="dxa"/>
        </w:tblCellMar>
        <w:tblLook w:val="04A0" w:firstRow="1" w:lastRow="0" w:firstColumn="1" w:lastColumn="0" w:noHBand="0" w:noVBand="1"/>
      </w:tblPr>
      <w:tblGrid>
        <w:gridCol w:w="846"/>
        <w:gridCol w:w="2230"/>
        <w:gridCol w:w="1437"/>
        <w:gridCol w:w="2234"/>
        <w:gridCol w:w="1770"/>
      </w:tblGrid>
      <w:tr w:rsidR="001D0282" w:rsidRPr="00DB5007" w14:paraId="70A5CE60" w14:textId="77777777" w:rsidTr="00D64316">
        <w:trPr>
          <w:tblHeader/>
          <w:tblCellSpacing w:w="15" w:type="dxa"/>
        </w:trPr>
        <w:tc>
          <w:tcPr>
            <w:tcW w:w="0" w:type="auto"/>
            <w:tcBorders>
              <w:top w:val="single" w:sz="4" w:space="0" w:color="auto"/>
              <w:bottom w:val="single" w:sz="4" w:space="0" w:color="auto"/>
            </w:tcBorders>
            <w:tcMar>
              <w:top w:w="120" w:type="dxa"/>
              <w:left w:w="120" w:type="dxa"/>
              <w:bottom w:w="120" w:type="dxa"/>
              <w:right w:w="120" w:type="dxa"/>
            </w:tcMar>
            <w:hideMark/>
          </w:tcPr>
          <w:p w14:paraId="55042485" w14:textId="77777777" w:rsidR="001D0282" w:rsidRPr="00DB5007" w:rsidRDefault="001D0282" w:rsidP="004C0AA7">
            <w:pPr>
              <w:spacing w:line="240" w:lineRule="auto"/>
              <w:jc w:val="both"/>
              <w:rPr>
                <w:rFonts w:ascii="Times New Roman" w:hAnsi="Times New Roman" w:cs="Times New Roman"/>
                <w:b/>
                <w:bCs/>
              </w:rPr>
            </w:pPr>
            <w:r w:rsidRPr="00DB5007">
              <w:rPr>
                <w:rFonts w:ascii="Times New Roman" w:hAnsi="Times New Roman" w:cs="Times New Roman"/>
                <w:b/>
                <w:bCs/>
              </w:rPr>
              <w:t>Rank</w:t>
            </w:r>
          </w:p>
        </w:tc>
        <w:tc>
          <w:tcPr>
            <w:tcW w:w="0" w:type="auto"/>
            <w:tcBorders>
              <w:top w:val="single" w:sz="4" w:space="0" w:color="auto"/>
              <w:bottom w:val="single" w:sz="4" w:space="0" w:color="auto"/>
            </w:tcBorders>
            <w:tcMar>
              <w:top w:w="120" w:type="dxa"/>
              <w:left w:w="120" w:type="dxa"/>
              <w:bottom w:w="120" w:type="dxa"/>
              <w:right w:w="120" w:type="dxa"/>
            </w:tcMar>
            <w:hideMark/>
          </w:tcPr>
          <w:p w14:paraId="1AF9F02A" w14:textId="77777777" w:rsidR="001D0282" w:rsidRPr="00DB5007" w:rsidRDefault="001D0282" w:rsidP="004C0AA7">
            <w:pPr>
              <w:spacing w:line="240" w:lineRule="auto"/>
              <w:jc w:val="both"/>
              <w:rPr>
                <w:rFonts w:ascii="Times New Roman" w:hAnsi="Times New Roman" w:cs="Times New Roman"/>
                <w:b/>
                <w:bCs/>
              </w:rPr>
            </w:pPr>
            <w:r w:rsidRPr="00DB5007">
              <w:rPr>
                <w:rFonts w:ascii="Times New Roman" w:hAnsi="Times New Roman" w:cs="Times New Roman"/>
                <w:b/>
                <w:bCs/>
              </w:rPr>
              <w:t>Feature Name</w:t>
            </w:r>
          </w:p>
        </w:tc>
        <w:tc>
          <w:tcPr>
            <w:tcW w:w="0" w:type="auto"/>
            <w:tcBorders>
              <w:top w:val="single" w:sz="4" w:space="0" w:color="auto"/>
              <w:bottom w:val="single" w:sz="4" w:space="0" w:color="auto"/>
            </w:tcBorders>
            <w:tcMar>
              <w:top w:w="120" w:type="dxa"/>
              <w:left w:w="120" w:type="dxa"/>
              <w:bottom w:w="120" w:type="dxa"/>
              <w:right w:w="120" w:type="dxa"/>
            </w:tcMar>
            <w:hideMark/>
          </w:tcPr>
          <w:p w14:paraId="017F39AD" w14:textId="77777777" w:rsidR="001D0282" w:rsidRPr="00DB5007" w:rsidRDefault="001D0282" w:rsidP="004C0AA7">
            <w:pPr>
              <w:spacing w:line="240" w:lineRule="auto"/>
              <w:jc w:val="both"/>
              <w:rPr>
                <w:rFonts w:ascii="Times New Roman" w:hAnsi="Times New Roman" w:cs="Times New Roman"/>
                <w:b/>
                <w:bCs/>
              </w:rPr>
            </w:pPr>
            <w:r w:rsidRPr="00DB5007">
              <w:rPr>
                <w:rFonts w:ascii="Times New Roman" w:hAnsi="Times New Roman" w:cs="Times New Roman"/>
                <w:b/>
                <w:bCs/>
              </w:rPr>
              <w:t>Mean |SHAP|</w:t>
            </w:r>
          </w:p>
        </w:tc>
        <w:tc>
          <w:tcPr>
            <w:tcW w:w="0" w:type="auto"/>
            <w:tcBorders>
              <w:top w:val="single" w:sz="4" w:space="0" w:color="auto"/>
              <w:bottom w:val="single" w:sz="4" w:space="0" w:color="auto"/>
            </w:tcBorders>
            <w:tcMar>
              <w:top w:w="120" w:type="dxa"/>
              <w:left w:w="120" w:type="dxa"/>
              <w:bottom w:w="120" w:type="dxa"/>
              <w:right w:w="120" w:type="dxa"/>
            </w:tcMar>
            <w:hideMark/>
          </w:tcPr>
          <w:p w14:paraId="08D46117" w14:textId="77777777" w:rsidR="001D0282" w:rsidRPr="00DB5007" w:rsidRDefault="001D0282" w:rsidP="004C0AA7">
            <w:pPr>
              <w:spacing w:line="240" w:lineRule="auto"/>
              <w:jc w:val="both"/>
              <w:rPr>
                <w:rFonts w:ascii="Times New Roman" w:hAnsi="Times New Roman" w:cs="Times New Roman"/>
                <w:b/>
                <w:bCs/>
              </w:rPr>
            </w:pPr>
            <w:r w:rsidRPr="00DB5007">
              <w:rPr>
                <w:rFonts w:ascii="Times New Roman" w:hAnsi="Times New Roman" w:cs="Times New Roman"/>
                <w:b/>
                <w:bCs/>
              </w:rPr>
              <w:t>Feature Type</w:t>
            </w:r>
          </w:p>
        </w:tc>
        <w:tc>
          <w:tcPr>
            <w:tcW w:w="0" w:type="auto"/>
            <w:tcBorders>
              <w:top w:val="single" w:sz="4" w:space="0" w:color="auto"/>
              <w:bottom w:val="single" w:sz="4" w:space="0" w:color="auto"/>
            </w:tcBorders>
            <w:tcMar>
              <w:top w:w="120" w:type="dxa"/>
              <w:left w:w="120" w:type="dxa"/>
              <w:bottom w:w="120" w:type="dxa"/>
              <w:right w:w="120" w:type="dxa"/>
            </w:tcMar>
            <w:hideMark/>
          </w:tcPr>
          <w:p w14:paraId="569D6E85" w14:textId="77777777" w:rsidR="001D0282" w:rsidRPr="00DB5007" w:rsidRDefault="001D0282" w:rsidP="004C0AA7">
            <w:pPr>
              <w:spacing w:line="240" w:lineRule="auto"/>
              <w:jc w:val="both"/>
              <w:rPr>
                <w:rFonts w:ascii="Times New Roman" w:hAnsi="Times New Roman" w:cs="Times New Roman"/>
                <w:b/>
                <w:bCs/>
              </w:rPr>
            </w:pPr>
            <w:r w:rsidRPr="00DB5007">
              <w:rPr>
                <w:rFonts w:ascii="Times New Roman" w:hAnsi="Times New Roman" w:cs="Times New Roman"/>
                <w:b/>
                <w:bCs/>
              </w:rPr>
              <w:t>Network Layer</w:t>
            </w:r>
          </w:p>
        </w:tc>
      </w:tr>
      <w:tr w:rsidR="001D0282" w:rsidRPr="00DB5007" w14:paraId="74275A02" w14:textId="77777777" w:rsidTr="00D64316">
        <w:trPr>
          <w:tblCellSpacing w:w="15" w:type="dxa"/>
        </w:trPr>
        <w:tc>
          <w:tcPr>
            <w:tcW w:w="0" w:type="auto"/>
            <w:tcMar>
              <w:top w:w="137" w:type="dxa"/>
              <w:left w:w="120" w:type="dxa"/>
              <w:bottom w:w="137" w:type="dxa"/>
              <w:right w:w="120" w:type="dxa"/>
            </w:tcMar>
            <w:vAlign w:val="bottom"/>
            <w:hideMark/>
          </w:tcPr>
          <w:p w14:paraId="23EB2A2B"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1</w:t>
            </w:r>
          </w:p>
        </w:tc>
        <w:tc>
          <w:tcPr>
            <w:tcW w:w="0" w:type="auto"/>
            <w:tcMar>
              <w:top w:w="137" w:type="dxa"/>
              <w:left w:w="120" w:type="dxa"/>
              <w:bottom w:w="137" w:type="dxa"/>
              <w:right w:w="120" w:type="dxa"/>
            </w:tcMar>
            <w:vAlign w:val="bottom"/>
            <w:hideMark/>
          </w:tcPr>
          <w:p w14:paraId="0FBD7FAD"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V209</w:t>
            </w:r>
          </w:p>
        </w:tc>
        <w:tc>
          <w:tcPr>
            <w:tcW w:w="0" w:type="auto"/>
            <w:tcMar>
              <w:top w:w="137" w:type="dxa"/>
              <w:left w:w="120" w:type="dxa"/>
              <w:bottom w:w="137" w:type="dxa"/>
              <w:right w:w="120" w:type="dxa"/>
            </w:tcMar>
            <w:vAlign w:val="bottom"/>
            <w:hideMark/>
          </w:tcPr>
          <w:p w14:paraId="73D7D155"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0.2847</w:t>
            </w:r>
          </w:p>
        </w:tc>
        <w:tc>
          <w:tcPr>
            <w:tcW w:w="0" w:type="auto"/>
            <w:tcMar>
              <w:top w:w="137" w:type="dxa"/>
              <w:left w:w="120" w:type="dxa"/>
              <w:bottom w:w="137" w:type="dxa"/>
              <w:right w:w="120" w:type="dxa"/>
            </w:tcMar>
            <w:vAlign w:val="bottom"/>
            <w:hideMark/>
          </w:tcPr>
          <w:p w14:paraId="3986A0A4"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Engineered (Velocity)</w:t>
            </w:r>
          </w:p>
        </w:tc>
        <w:tc>
          <w:tcPr>
            <w:tcW w:w="0" w:type="auto"/>
            <w:tcMar>
              <w:top w:w="137" w:type="dxa"/>
              <w:left w:w="120" w:type="dxa"/>
              <w:bottom w:w="137" w:type="dxa"/>
              <w:right w:w="120" w:type="dxa"/>
            </w:tcMar>
            <w:vAlign w:val="bottom"/>
            <w:hideMark/>
          </w:tcPr>
          <w:p w14:paraId="7CCD89AB"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w:t>
            </w:r>
          </w:p>
        </w:tc>
      </w:tr>
      <w:tr w:rsidR="001D0282" w:rsidRPr="00DB5007" w14:paraId="3B81DD66" w14:textId="77777777" w:rsidTr="00D64316">
        <w:trPr>
          <w:tblCellSpacing w:w="15" w:type="dxa"/>
        </w:trPr>
        <w:tc>
          <w:tcPr>
            <w:tcW w:w="0" w:type="auto"/>
            <w:tcMar>
              <w:top w:w="137" w:type="dxa"/>
              <w:left w:w="120" w:type="dxa"/>
              <w:bottom w:w="137" w:type="dxa"/>
              <w:right w:w="120" w:type="dxa"/>
            </w:tcMar>
            <w:vAlign w:val="bottom"/>
            <w:hideMark/>
          </w:tcPr>
          <w:p w14:paraId="24B4E65B"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lastRenderedPageBreak/>
              <w:t>2</w:t>
            </w:r>
          </w:p>
        </w:tc>
        <w:tc>
          <w:tcPr>
            <w:tcW w:w="0" w:type="auto"/>
            <w:tcMar>
              <w:top w:w="137" w:type="dxa"/>
              <w:left w:w="120" w:type="dxa"/>
              <w:bottom w:w="137" w:type="dxa"/>
              <w:right w:w="120" w:type="dxa"/>
            </w:tcMar>
            <w:vAlign w:val="bottom"/>
            <w:hideMark/>
          </w:tcPr>
          <w:p w14:paraId="4AF5ECA0"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V221</w:t>
            </w:r>
          </w:p>
        </w:tc>
        <w:tc>
          <w:tcPr>
            <w:tcW w:w="0" w:type="auto"/>
            <w:tcMar>
              <w:top w:w="137" w:type="dxa"/>
              <w:left w:w="120" w:type="dxa"/>
              <w:bottom w:w="137" w:type="dxa"/>
              <w:right w:w="120" w:type="dxa"/>
            </w:tcMar>
            <w:vAlign w:val="bottom"/>
            <w:hideMark/>
          </w:tcPr>
          <w:p w14:paraId="57839F79"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0.2634</w:t>
            </w:r>
          </w:p>
        </w:tc>
        <w:tc>
          <w:tcPr>
            <w:tcW w:w="0" w:type="auto"/>
            <w:tcMar>
              <w:top w:w="137" w:type="dxa"/>
              <w:left w:w="120" w:type="dxa"/>
              <w:bottom w:w="137" w:type="dxa"/>
              <w:right w:w="120" w:type="dxa"/>
            </w:tcMar>
            <w:vAlign w:val="bottom"/>
            <w:hideMark/>
          </w:tcPr>
          <w:p w14:paraId="6F89CDA1"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Engineered (Behavioral)</w:t>
            </w:r>
          </w:p>
        </w:tc>
        <w:tc>
          <w:tcPr>
            <w:tcW w:w="0" w:type="auto"/>
            <w:tcMar>
              <w:top w:w="137" w:type="dxa"/>
              <w:left w:w="120" w:type="dxa"/>
              <w:bottom w:w="137" w:type="dxa"/>
              <w:right w:w="120" w:type="dxa"/>
            </w:tcMar>
            <w:vAlign w:val="bottom"/>
            <w:hideMark/>
          </w:tcPr>
          <w:p w14:paraId="14A2902D"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w:t>
            </w:r>
          </w:p>
        </w:tc>
      </w:tr>
      <w:tr w:rsidR="001D0282" w:rsidRPr="00DB5007" w14:paraId="137CE6CC" w14:textId="77777777" w:rsidTr="00D64316">
        <w:trPr>
          <w:tblCellSpacing w:w="15" w:type="dxa"/>
        </w:trPr>
        <w:tc>
          <w:tcPr>
            <w:tcW w:w="0" w:type="auto"/>
            <w:tcMar>
              <w:top w:w="137" w:type="dxa"/>
              <w:left w:w="120" w:type="dxa"/>
              <w:bottom w:w="137" w:type="dxa"/>
              <w:right w:w="120" w:type="dxa"/>
            </w:tcMar>
            <w:vAlign w:val="bottom"/>
            <w:hideMark/>
          </w:tcPr>
          <w:p w14:paraId="00175DBD"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3</w:t>
            </w:r>
          </w:p>
        </w:tc>
        <w:tc>
          <w:tcPr>
            <w:tcW w:w="0" w:type="auto"/>
            <w:tcMar>
              <w:top w:w="137" w:type="dxa"/>
              <w:left w:w="120" w:type="dxa"/>
              <w:bottom w:w="137" w:type="dxa"/>
              <w:right w:w="120" w:type="dxa"/>
            </w:tcMar>
            <w:vAlign w:val="bottom"/>
            <w:hideMark/>
          </w:tcPr>
          <w:p w14:paraId="1B73BA4F"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V89</w:t>
            </w:r>
          </w:p>
        </w:tc>
        <w:tc>
          <w:tcPr>
            <w:tcW w:w="0" w:type="auto"/>
            <w:tcMar>
              <w:top w:w="137" w:type="dxa"/>
              <w:left w:w="120" w:type="dxa"/>
              <w:bottom w:w="137" w:type="dxa"/>
              <w:right w:w="120" w:type="dxa"/>
            </w:tcMar>
            <w:vAlign w:val="bottom"/>
            <w:hideMark/>
          </w:tcPr>
          <w:p w14:paraId="41BF2757"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0.2456</w:t>
            </w:r>
          </w:p>
        </w:tc>
        <w:tc>
          <w:tcPr>
            <w:tcW w:w="0" w:type="auto"/>
            <w:tcMar>
              <w:top w:w="137" w:type="dxa"/>
              <w:left w:w="120" w:type="dxa"/>
              <w:bottom w:w="137" w:type="dxa"/>
              <w:right w:w="120" w:type="dxa"/>
            </w:tcMar>
            <w:vAlign w:val="bottom"/>
            <w:hideMark/>
          </w:tcPr>
          <w:p w14:paraId="5D551663"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Engineered (PCA)</w:t>
            </w:r>
          </w:p>
        </w:tc>
        <w:tc>
          <w:tcPr>
            <w:tcW w:w="0" w:type="auto"/>
            <w:tcMar>
              <w:top w:w="137" w:type="dxa"/>
              <w:left w:w="120" w:type="dxa"/>
              <w:bottom w:w="137" w:type="dxa"/>
              <w:right w:w="120" w:type="dxa"/>
            </w:tcMar>
            <w:vAlign w:val="bottom"/>
            <w:hideMark/>
          </w:tcPr>
          <w:p w14:paraId="2448AF61"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w:t>
            </w:r>
          </w:p>
        </w:tc>
      </w:tr>
      <w:tr w:rsidR="001D0282" w:rsidRPr="00DB5007" w14:paraId="508FBCA5" w14:textId="77777777" w:rsidTr="00D64316">
        <w:trPr>
          <w:tblCellSpacing w:w="15" w:type="dxa"/>
        </w:trPr>
        <w:tc>
          <w:tcPr>
            <w:tcW w:w="0" w:type="auto"/>
            <w:tcMar>
              <w:top w:w="137" w:type="dxa"/>
              <w:left w:w="120" w:type="dxa"/>
              <w:bottom w:w="137" w:type="dxa"/>
              <w:right w:w="120" w:type="dxa"/>
            </w:tcMar>
            <w:vAlign w:val="bottom"/>
            <w:hideMark/>
          </w:tcPr>
          <w:p w14:paraId="39AEC952"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4</w:t>
            </w:r>
          </w:p>
        </w:tc>
        <w:tc>
          <w:tcPr>
            <w:tcW w:w="0" w:type="auto"/>
            <w:tcMar>
              <w:top w:w="137" w:type="dxa"/>
              <w:left w:w="120" w:type="dxa"/>
              <w:bottom w:w="137" w:type="dxa"/>
              <w:right w:w="120" w:type="dxa"/>
            </w:tcMar>
            <w:vAlign w:val="bottom"/>
            <w:hideMark/>
          </w:tcPr>
          <w:p w14:paraId="016E24E3" w14:textId="77777777" w:rsidR="001D0282" w:rsidRPr="00DB5007" w:rsidRDefault="001D0282" w:rsidP="004C0AA7">
            <w:pPr>
              <w:spacing w:line="240" w:lineRule="auto"/>
              <w:jc w:val="both"/>
              <w:rPr>
                <w:rFonts w:ascii="Times New Roman" w:hAnsi="Times New Roman" w:cs="Times New Roman"/>
              </w:rPr>
            </w:pPr>
            <w:proofErr w:type="spellStart"/>
            <w:r w:rsidRPr="00DB5007">
              <w:rPr>
                <w:rFonts w:ascii="Times New Roman" w:hAnsi="Times New Roman" w:cs="Times New Roman"/>
              </w:rPr>
              <w:t>TransactionAmt</w:t>
            </w:r>
            <w:r w:rsidRPr="00DB5007">
              <w:rPr>
                <w:rFonts w:ascii="Times New Roman" w:hAnsi="Times New Roman" w:cs="Times New Roman"/>
                <w:vertAlign w:val="subscript"/>
              </w:rPr>
              <w:t>log</w:t>
            </w:r>
            <w:proofErr w:type="spellEnd"/>
          </w:p>
        </w:tc>
        <w:tc>
          <w:tcPr>
            <w:tcW w:w="0" w:type="auto"/>
            <w:tcMar>
              <w:top w:w="137" w:type="dxa"/>
              <w:left w:w="120" w:type="dxa"/>
              <w:bottom w:w="137" w:type="dxa"/>
              <w:right w:w="120" w:type="dxa"/>
            </w:tcMar>
            <w:vAlign w:val="bottom"/>
            <w:hideMark/>
          </w:tcPr>
          <w:p w14:paraId="7989C0A0"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0.2234</w:t>
            </w:r>
          </w:p>
        </w:tc>
        <w:tc>
          <w:tcPr>
            <w:tcW w:w="0" w:type="auto"/>
            <w:tcMar>
              <w:top w:w="137" w:type="dxa"/>
              <w:left w:w="120" w:type="dxa"/>
              <w:bottom w:w="137" w:type="dxa"/>
              <w:right w:w="120" w:type="dxa"/>
            </w:tcMar>
            <w:vAlign w:val="bottom"/>
            <w:hideMark/>
          </w:tcPr>
          <w:p w14:paraId="34AFA1C1"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 Amount</w:t>
            </w:r>
          </w:p>
        </w:tc>
        <w:tc>
          <w:tcPr>
            <w:tcW w:w="0" w:type="auto"/>
            <w:tcMar>
              <w:top w:w="137" w:type="dxa"/>
              <w:left w:w="120" w:type="dxa"/>
              <w:bottom w:w="137" w:type="dxa"/>
              <w:right w:w="120" w:type="dxa"/>
            </w:tcMar>
            <w:vAlign w:val="bottom"/>
            <w:hideMark/>
          </w:tcPr>
          <w:p w14:paraId="50DD3038"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w:t>
            </w:r>
          </w:p>
        </w:tc>
      </w:tr>
      <w:tr w:rsidR="001D0282" w:rsidRPr="00DB5007" w14:paraId="047118B9" w14:textId="77777777" w:rsidTr="00D64316">
        <w:trPr>
          <w:tblCellSpacing w:w="15" w:type="dxa"/>
        </w:trPr>
        <w:tc>
          <w:tcPr>
            <w:tcW w:w="0" w:type="auto"/>
            <w:tcMar>
              <w:top w:w="137" w:type="dxa"/>
              <w:left w:w="120" w:type="dxa"/>
              <w:bottom w:w="137" w:type="dxa"/>
              <w:right w:w="120" w:type="dxa"/>
            </w:tcMar>
            <w:vAlign w:val="bottom"/>
            <w:hideMark/>
          </w:tcPr>
          <w:p w14:paraId="3544D9CA"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5</w:t>
            </w:r>
          </w:p>
        </w:tc>
        <w:tc>
          <w:tcPr>
            <w:tcW w:w="0" w:type="auto"/>
            <w:tcMar>
              <w:top w:w="137" w:type="dxa"/>
              <w:left w:w="120" w:type="dxa"/>
              <w:bottom w:w="137" w:type="dxa"/>
              <w:right w:w="120" w:type="dxa"/>
            </w:tcMar>
            <w:vAlign w:val="bottom"/>
            <w:hideMark/>
          </w:tcPr>
          <w:p w14:paraId="2D63D7AD"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Card1_fraud_rate</w:t>
            </w:r>
          </w:p>
        </w:tc>
        <w:tc>
          <w:tcPr>
            <w:tcW w:w="0" w:type="auto"/>
            <w:tcMar>
              <w:top w:w="137" w:type="dxa"/>
              <w:left w:w="120" w:type="dxa"/>
              <w:bottom w:w="137" w:type="dxa"/>
              <w:right w:w="120" w:type="dxa"/>
            </w:tcMar>
            <w:vAlign w:val="bottom"/>
            <w:hideMark/>
          </w:tcPr>
          <w:p w14:paraId="6A55D1A6"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0.2087</w:t>
            </w:r>
          </w:p>
        </w:tc>
        <w:tc>
          <w:tcPr>
            <w:tcW w:w="0" w:type="auto"/>
            <w:tcMar>
              <w:top w:w="137" w:type="dxa"/>
              <w:left w:w="120" w:type="dxa"/>
              <w:bottom w:w="137" w:type="dxa"/>
              <w:right w:w="120" w:type="dxa"/>
            </w:tcMar>
            <w:vAlign w:val="bottom"/>
            <w:hideMark/>
          </w:tcPr>
          <w:p w14:paraId="7958CA48"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Card History</w:t>
            </w:r>
          </w:p>
        </w:tc>
        <w:tc>
          <w:tcPr>
            <w:tcW w:w="0" w:type="auto"/>
            <w:tcMar>
              <w:top w:w="137" w:type="dxa"/>
              <w:left w:w="120" w:type="dxa"/>
              <w:bottom w:w="137" w:type="dxa"/>
              <w:right w:w="120" w:type="dxa"/>
            </w:tcMar>
            <w:vAlign w:val="bottom"/>
            <w:hideMark/>
          </w:tcPr>
          <w:p w14:paraId="5E552B75"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Card/Entity</w:t>
            </w:r>
          </w:p>
        </w:tc>
      </w:tr>
      <w:tr w:rsidR="001D0282" w:rsidRPr="00DB5007" w14:paraId="7E6C9634" w14:textId="77777777" w:rsidTr="00D64316">
        <w:trPr>
          <w:tblCellSpacing w:w="15" w:type="dxa"/>
        </w:trPr>
        <w:tc>
          <w:tcPr>
            <w:tcW w:w="0" w:type="auto"/>
            <w:tcMar>
              <w:top w:w="137" w:type="dxa"/>
              <w:left w:w="120" w:type="dxa"/>
              <w:bottom w:w="137" w:type="dxa"/>
              <w:right w:w="120" w:type="dxa"/>
            </w:tcMar>
            <w:vAlign w:val="bottom"/>
            <w:hideMark/>
          </w:tcPr>
          <w:p w14:paraId="01CE364C"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6</w:t>
            </w:r>
          </w:p>
        </w:tc>
        <w:tc>
          <w:tcPr>
            <w:tcW w:w="0" w:type="auto"/>
            <w:tcMar>
              <w:top w:w="137" w:type="dxa"/>
              <w:left w:w="120" w:type="dxa"/>
              <w:bottom w:w="137" w:type="dxa"/>
              <w:right w:w="120" w:type="dxa"/>
            </w:tcMar>
            <w:vAlign w:val="bottom"/>
            <w:hideMark/>
          </w:tcPr>
          <w:p w14:paraId="5F05A0DA"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V133</w:t>
            </w:r>
          </w:p>
        </w:tc>
        <w:tc>
          <w:tcPr>
            <w:tcW w:w="0" w:type="auto"/>
            <w:tcMar>
              <w:top w:w="137" w:type="dxa"/>
              <w:left w:w="120" w:type="dxa"/>
              <w:bottom w:w="137" w:type="dxa"/>
              <w:right w:w="120" w:type="dxa"/>
            </w:tcMar>
            <w:vAlign w:val="bottom"/>
            <w:hideMark/>
          </w:tcPr>
          <w:p w14:paraId="75F8C195"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0.1956</w:t>
            </w:r>
          </w:p>
        </w:tc>
        <w:tc>
          <w:tcPr>
            <w:tcW w:w="0" w:type="auto"/>
            <w:tcMar>
              <w:top w:w="137" w:type="dxa"/>
              <w:left w:w="120" w:type="dxa"/>
              <w:bottom w:w="137" w:type="dxa"/>
              <w:right w:w="120" w:type="dxa"/>
            </w:tcMar>
            <w:vAlign w:val="bottom"/>
            <w:hideMark/>
          </w:tcPr>
          <w:p w14:paraId="632761AB"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Engineered (Interaction)</w:t>
            </w:r>
          </w:p>
        </w:tc>
        <w:tc>
          <w:tcPr>
            <w:tcW w:w="0" w:type="auto"/>
            <w:tcMar>
              <w:top w:w="137" w:type="dxa"/>
              <w:left w:w="120" w:type="dxa"/>
              <w:bottom w:w="137" w:type="dxa"/>
              <w:right w:w="120" w:type="dxa"/>
            </w:tcMar>
            <w:vAlign w:val="bottom"/>
            <w:hideMark/>
          </w:tcPr>
          <w:p w14:paraId="78DAD6BA"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w:t>
            </w:r>
          </w:p>
        </w:tc>
      </w:tr>
      <w:tr w:rsidR="001D0282" w:rsidRPr="00DB5007" w14:paraId="0CBADE2B" w14:textId="77777777" w:rsidTr="00D64316">
        <w:trPr>
          <w:tblCellSpacing w:w="15" w:type="dxa"/>
        </w:trPr>
        <w:tc>
          <w:tcPr>
            <w:tcW w:w="0" w:type="auto"/>
            <w:tcMar>
              <w:top w:w="137" w:type="dxa"/>
              <w:left w:w="120" w:type="dxa"/>
              <w:bottom w:w="137" w:type="dxa"/>
              <w:right w:w="120" w:type="dxa"/>
            </w:tcMar>
            <w:vAlign w:val="bottom"/>
            <w:hideMark/>
          </w:tcPr>
          <w:p w14:paraId="26CB33D1"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7</w:t>
            </w:r>
          </w:p>
        </w:tc>
        <w:tc>
          <w:tcPr>
            <w:tcW w:w="0" w:type="auto"/>
            <w:tcMar>
              <w:top w:w="137" w:type="dxa"/>
              <w:left w:w="120" w:type="dxa"/>
              <w:bottom w:w="137" w:type="dxa"/>
              <w:right w:w="120" w:type="dxa"/>
            </w:tcMar>
            <w:vAlign w:val="bottom"/>
            <w:hideMark/>
          </w:tcPr>
          <w:p w14:paraId="5C8F9431" w14:textId="77777777" w:rsidR="001D0282" w:rsidRPr="00DB5007" w:rsidRDefault="001D0282" w:rsidP="004C0AA7">
            <w:pPr>
              <w:spacing w:line="240" w:lineRule="auto"/>
              <w:jc w:val="both"/>
              <w:rPr>
                <w:rFonts w:ascii="Times New Roman" w:hAnsi="Times New Roman" w:cs="Times New Roman"/>
              </w:rPr>
            </w:pPr>
            <w:proofErr w:type="spellStart"/>
            <w:r w:rsidRPr="00DB5007">
              <w:rPr>
                <w:rFonts w:ascii="Times New Roman" w:hAnsi="Times New Roman" w:cs="Times New Roman"/>
              </w:rPr>
              <w:t>Device</w:t>
            </w:r>
            <w:r w:rsidRPr="00DB5007">
              <w:rPr>
                <w:rFonts w:ascii="Times New Roman" w:hAnsi="Times New Roman" w:cs="Times New Roman"/>
                <w:vertAlign w:val="subscript"/>
              </w:rPr>
              <w:t>count</w:t>
            </w:r>
            <w:proofErr w:type="spellEnd"/>
          </w:p>
        </w:tc>
        <w:tc>
          <w:tcPr>
            <w:tcW w:w="0" w:type="auto"/>
            <w:tcMar>
              <w:top w:w="137" w:type="dxa"/>
              <w:left w:w="120" w:type="dxa"/>
              <w:bottom w:w="137" w:type="dxa"/>
              <w:right w:w="120" w:type="dxa"/>
            </w:tcMar>
            <w:vAlign w:val="bottom"/>
            <w:hideMark/>
          </w:tcPr>
          <w:p w14:paraId="0B350FA5"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0.1834</w:t>
            </w:r>
          </w:p>
        </w:tc>
        <w:tc>
          <w:tcPr>
            <w:tcW w:w="0" w:type="auto"/>
            <w:tcMar>
              <w:top w:w="137" w:type="dxa"/>
              <w:left w:w="120" w:type="dxa"/>
              <w:bottom w:w="137" w:type="dxa"/>
              <w:right w:w="120" w:type="dxa"/>
            </w:tcMar>
            <w:vAlign w:val="bottom"/>
            <w:hideMark/>
          </w:tcPr>
          <w:p w14:paraId="0DA5D961"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Device Pattern</w:t>
            </w:r>
          </w:p>
        </w:tc>
        <w:tc>
          <w:tcPr>
            <w:tcW w:w="0" w:type="auto"/>
            <w:tcMar>
              <w:top w:w="137" w:type="dxa"/>
              <w:left w:w="120" w:type="dxa"/>
              <w:bottom w:w="137" w:type="dxa"/>
              <w:right w:w="120" w:type="dxa"/>
            </w:tcMar>
            <w:vAlign w:val="bottom"/>
            <w:hideMark/>
          </w:tcPr>
          <w:p w14:paraId="2E9106B3"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Device/Entity</w:t>
            </w:r>
          </w:p>
        </w:tc>
      </w:tr>
      <w:tr w:rsidR="001D0282" w:rsidRPr="00DB5007" w14:paraId="041A1F01" w14:textId="77777777" w:rsidTr="00D64316">
        <w:trPr>
          <w:tblCellSpacing w:w="15" w:type="dxa"/>
        </w:trPr>
        <w:tc>
          <w:tcPr>
            <w:tcW w:w="0" w:type="auto"/>
            <w:tcMar>
              <w:top w:w="137" w:type="dxa"/>
              <w:left w:w="120" w:type="dxa"/>
              <w:bottom w:w="137" w:type="dxa"/>
              <w:right w:w="120" w:type="dxa"/>
            </w:tcMar>
            <w:vAlign w:val="bottom"/>
            <w:hideMark/>
          </w:tcPr>
          <w:p w14:paraId="77E9C2A0"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8</w:t>
            </w:r>
          </w:p>
        </w:tc>
        <w:tc>
          <w:tcPr>
            <w:tcW w:w="0" w:type="auto"/>
            <w:tcMar>
              <w:top w:w="137" w:type="dxa"/>
              <w:left w:w="120" w:type="dxa"/>
              <w:bottom w:w="137" w:type="dxa"/>
              <w:right w:w="120" w:type="dxa"/>
            </w:tcMar>
            <w:vAlign w:val="bottom"/>
            <w:hideMark/>
          </w:tcPr>
          <w:p w14:paraId="5DDC7E5E"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V36</w:t>
            </w:r>
          </w:p>
        </w:tc>
        <w:tc>
          <w:tcPr>
            <w:tcW w:w="0" w:type="auto"/>
            <w:tcMar>
              <w:top w:w="137" w:type="dxa"/>
              <w:left w:w="120" w:type="dxa"/>
              <w:bottom w:w="137" w:type="dxa"/>
              <w:right w:w="120" w:type="dxa"/>
            </w:tcMar>
            <w:vAlign w:val="bottom"/>
            <w:hideMark/>
          </w:tcPr>
          <w:p w14:paraId="6EE8BAEE"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0.1723</w:t>
            </w:r>
          </w:p>
        </w:tc>
        <w:tc>
          <w:tcPr>
            <w:tcW w:w="0" w:type="auto"/>
            <w:tcMar>
              <w:top w:w="137" w:type="dxa"/>
              <w:left w:w="120" w:type="dxa"/>
              <w:bottom w:w="137" w:type="dxa"/>
              <w:right w:w="120" w:type="dxa"/>
            </w:tcMar>
            <w:vAlign w:val="bottom"/>
            <w:hideMark/>
          </w:tcPr>
          <w:p w14:paraId="7158340B"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Engineered (Behavioral)</w:t>
            </w:r>
          </w:p>
        </w:tc>
        <w:tc>
          <w:tcPr>
            <w:tcW w:w="0" w:type="auto"/>
            <w:tcMar>
              <w:top w:w="137" w:type="dxa"/>
              <w:left w:w="120" w:type="dxa"/>
              <w:bottom w:w="137" w:type="dxa"/>
              <w:right w:w="120" w:type="dxa"/>
            </w:tcMar>
            <w:vAlign w:val="bottom"/>
            <w:hideMark/>
          </w:tcPr>
          <w:p w14:paraId="5FD1864D"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w:t>
            </w:r>
          </w:p>
        </w:tc>
      </w:tr>
      <w:tr w:rsidR="001D0282" w:rsidRPr="00DB5007" w14:paraId="51C17AB5" w14:textId="77777777" w:rsidTr="00D64316">
        <w:trPr>
          <w:tblCellSpacing w:w="15" w:type="dxa"/>
        </w:trPr>
        <w:tc>
          <w:tcPr>
            <w:tcW w:w="0" w:type="auto"/>
            <w:tcMar>
              <w:top w:w="137" w:type="dxa"/>
              <w:left w:w="120" w:type="dxa"/>
              <w:bottom w:w="137" w:type="dxa"/>
              <w:right w:w="120" w:type="dxa"/>
            </w:tcMar>
            <w:vAlign w:val="bottom"/>
            <w:hideMark/>
          </w:tcPr>
          <w:p w14:paraId="79241378"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9</w:t>
            </w:r>
          </w:p>
        </w:tc>
        <w:tc>
          <w:tcPr>
            <w:tcW w:w="0" w:type="auto"/>
            <w:tcMar>
              <w:top w:w="137" w:type="dxa"/>
              <w:left w:w="120" w:type="dxa"/>
              <w:bottom w:w="137" w:type="dxa"/>
              <w:right w:w="120" w:type="dxa"/>
            </w:tcMar>
            <w:vAlign w:val="bottom"/>
            <w:hideMark/>
          </w:tcPr>
          <w:p w14:paraId="780BE5F1"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V102</w:t>
            </w:r>
          </w:p>
        </w:tc>
        <w:tc>
          <w:tcPr>
            <w:tcW w:w="0" w:type="auto"/>
            <w:tcMar>
              <w:top w:w="137" w:type="dxa"/>
              <w:left w:w="120" w:type="dxa"/>
              <w:bottom w:w="137" w:type="dxa"/>
              <w:right w:w="120" w:type="dxa"/>
            </w:tcMar>
            <w:vAlign w:val="bottom"/>
            <w:hideMark/>
          </w:tcPr>
          <w:p w14:paraId="7B81386C"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0.1612</w:t>
            </w:r>
          </w:p>
        </w:tc>
        <w:tc>
          <w:tcPr>
            <w:tcW w:w="0" w:type="auto"/>
            <w:tcMar>
              <w:top w:w="137" w:type="dxa"/>
              <w:left w:w="120" w:type="dxa"/>
              <w:bottom w:w="137" w:type="dxa"/>
              <w:right w:w="120" w:type="dxa"/>
            </w:tcMar>
            <w:vAlign w:val="bottom"/>
            <w:hideMark/>
          </w:tcPr>
          <w:p w14:paraId="275E7A67"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Engineered (Temporal)</w:t>
            </w:r>
          </w:p>
        </w:tc>
        <w:tc>
          <w:tcPr>
            <w:tcW w:w="0" w:type="auto"/>
            <w:tcMar>
              <w:top w:w="137" w:type="dxa"/>
              <w:left w:w="120" w:type="dxa"/>
              <w:bottom w:w="137" w:type="dxa"/>
              <w:right w:w="120" w:type="dxa"/>
            </w:tcMar>
            <w:vAlign w:val="bottom"/>
            <w:hideMark/>
          </w:tcPr>
          <w:p w14:paraId="6E8A7BEF"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w:t>
            </w:r>
          </w:p>
        </w:tc>
      </w:tr>
      <w:tr w:rsidR="001D0282" w:rsidRPr="00DB5007" w14:paraId="42E657DA" w14:textId="77777777" w:rsidTr="00D64316">
        <w:trPr>
          <w:tblCellSpacing w:w="15" w:type="dxa"/>
        </w:trPr>
        <w:tc>
          <w:tcPr>
            <w:tcW w:w="0" w:type="auto"/>
            <w:tcMar>
              <w:top w:w="137" w:type="dxa"/>
              <w:left w:w="120" w:type="dxa"/>
              <w:bottom w:w="137" w:type="dxa"/>
              <w:right w:w="120" w:type="dxa"/>
            </w:tcMar>
            <w:vAlign w:val="bottom"/>
            <w:hideMark/>
          </w:tcPr>
          <w:p w14:paraId="068D4767"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10</w:t>
            </w:r>
          </w:p>
        </w:tc>
        <w:tc>
          <w:tcPr>
            <w:tcW w:w="0" w:type="auto"/>
            <w:tcMar>
              <w:top w:w="137" w:type="dxa"/>
              <w:left w:w="120" w:type="dxa"/>
              <w:bottom w:w="137" w:type="dxa"/>
              <w:right w:w="120" w:type="dxa"/>
            </w:tcMar>
            <w:vAlign w:val="bottom"/>
            <w:hideMark/>
          </w:tcPr>
          <w:p w14:paraId="74F8DF21"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Card2</w:t>
            </w:r>
            <w:r w:rsidRPr="00DB5007">
              <w:rPr>
                <w:rFonts w:ascii="Times New Roman" w:hAnsi="Times New Roman" w:cs="Times New Roman"/>
                <w:vertAlign w:val="subscript"/>
              </w:rPr>
              <w:t>count</w:t>
            </w:r>
          </w:p>
        </w:tc>
        <w:tc>
          <w:tcPr>
            <w:tcW w:w="0" w:type="auto"/>
            <w:tcMar>
              <w:top w:w="137" w:type="dxa"/>
              <w:left w:w="120" w:type="dxa"/>
              <w:bottom w:w="137" w:type="dxa"/>
              <w:right w:w="120" w:type="dxa"/>
            </w:tcMar>
            <w:vAlign w:val="bottom"/>
            <w:hideMark/>
          </w:tcPr>
          <w:p w14:paraId="0A94F558"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0.1534</w:t>
            </w:r>
          </w:p>
        </w:tc>
        <w:tc>
          <w:tcPr>
            <w:tcW w:w="0" w:type="auto"/>
            <w:tcMar>
              <w:top w:w="137" w:type="dxa"/>
              <w:left w:w="120" w:type="dxa"/>
              <w:bottom w:w="137" w:type="dxa"/>
              <w:right w:w="120" w:type="dxa"/>
            </w:tcMar>
            <w:vAlign w:val="bottom"/>
            <w:hideMark/>
          </w:tcPr>
          <w:p w14:paraId="0F94EA4B"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Card Frequency</w:t>
            </w:r>
          </w:p>
        </w:tc>
        <w:tc>
          <w:tcPr>
            <w:tcW w:w="0" w:type="auto"/>
            <w:tcMar>
              <w:top w:w="137" w:type="dxa"/>
              <w:left w:w="120" w:type="dxa"/>
              <w:bottom w:w="137" w:type="dxa"/>
              <w:right w:w="120" w:type="dxa"/>
            </w:tcMar>
            <w:vAlign w:val="bottom"/>
            <w:hideMark/>
          </w:tcPr>
          <w:p w14:paraId="5EECF0FF"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Card/Entity</w:t>
            </w:r>
          </w:p>
        </w:tc>
      </w:tr>
      <w:tr w:rsidR="001D0282" w:rsidRPr="00DB5007" w14:paraId="015EA45B" w14:textId="77777777" w:rsidTr="00D64316">
        <w:trPr>
          <w:tblCellSpacing w:w="15" w:type="dxa"/>
        </w:trPr>
        <w:tc>
          <w:tcPr>
            <w:tcW w:w="0" w:type="auto"/>
            <w:tcMar>
              <w:top w:w="137" w:type="dxa"/>
              <w:left w:w="120" w:type="dxa"/>
              <w:bottom w:w="137" w:type="dxa"/>
              <w:right w:w="120" w:type="dxa"/>
            </w:tcMar>
            <w:vAlign w:val="bottom"/>
            <w:hideMark/>
          </w:tcPr>
          <w:p w14:paraId="19C531A5"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11</w:t>
            </w:r>
          </w:p>
        </w:tc>
        <w:tc>
          <w:tcPr>
            <w:tcW w:w="0" w:type="auto"/>
            <w:tcMar>
              <w:top w:w="137" w:type="dxa"/>
              <w:left w:w="120" w:type="dxa"/>
              <w:bottom w:w="137" w:type="dxa"/>
              <w:right w:w="120" w:type="dxa"/>
            </w:tcMar>
            <w:vAlign w:val="bottom"/>
            <w:hideMark/>
          </w:tcPr>
          <w:p w14:paraId="3D0E4C8D"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V78</w:t>
            </w:r>
          </w:p>
        </w:tc>
        <w:tc>
          <w:tcPr>
            <w:tcW w:w="0" w:type="auto"/>
            <w:tcMar>
              <w:top w:w="137" w:type="dxa"/>
              <w:left w:w="120" w:type="dxa"/>
              <w:bottom w:w="137" w:type="dxa"/>
              <w:right w:w="120" w:type="dxa"/>
            </w:tcMar>
            <w:vAlign w:val="bottom"/>
            <w:hideMark/>
          </w:tcPr>
          <w:p w14:paraId="689B8D3E"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0.1423</w:t>
            </w:r>
          </w:p>
        </w:tc>
        <w:tc>
          <w:tcPr>
            <w:tcW w:w="0" w:type="auto"/>
            <w:tcMar>
              <w:top w:w="137" w:type="dxa"/>
              <w:left w:w="120" w:type="dxa"/>
              <w:bottom w:w="137" w:type="dxa"/>
              <w:right w:w="120" w:type="dxa"/>
            </w:tcMar>
            <w:vAlign w:val="bottom"/>
            <w:hideMark/>
          </w:tcPr>
          <w:p w14:paraId="3286836D"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Engineered (PCA)</w:t>
            </w:r>
          </w:p>
        </w:tc>
        <w:tc>
          <w:tcPr>
            <w:tcW w:w="0" w:type="auto"/>
            <w:tcMar>
              <w:top w:w="137" w:type="dxa"/>
              <w:left w:w="120" w:type="dxa"/>
              <w:bottom w:w="137" w:type="dxa"/>
              <w:right w:w="120" w:type="dxa"/>
            </w:tcMar>
            <w:vAlign w:val="bottom"/>
            <w:hideMark/>
          </w:tcPr>
          <w:p w14:paraId="6D6CC8C2"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w:t>
            </w:r>
          </w:p>
        </w:tc>
      </w:tr>
      <w:tr w:rsidR="001D0282" w:rsidRPr="00DB5007" w14:paraId="26A8BF2E" w14:textId="77777777" w:rsidTr="00D64316">
        <w:trPr>
          <w:tblCellSpacing w:w="15" w:type="dxa"/>
        </w:trPr>
        <w:tc>
          <w:tcPr>
            <w:tcW w:w="0" w:type="auto"/>
            <w:tcMar>
              <w:top w:w="137" w:type="dxa"/>
              <w:left w:w="120" w:type="dxa"/>
              <w:bottom w:w="137" w:type="dxa"/>
              <w:right w:w="120" w:type="dxa"/>
            </w:tcMar>
            <w:vAlign w:val="bottom"/>
            <w:hideMark/>
          </w:tcPr>
          <w:p w14:paraId="26D3DD80"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12</w:t>
            </w:r>
          </w:p>
        </w:tc>
        <w:tc>
          <w:tcPr>
            <w:tcW w:w="0" w:type="auto"/>
            <w:tcMar>
              <w:top w:w="137" w:type="dxa"/>
              <w:left w:w="120" w:type="dxa"/>
              <w:bottom w:w="137" w:type="dxa"/>
              <w:right w:w="120" w:type="dxa"/>
            </w:tcMar>
            <w:vAlign w:val="bottom"/>
            <w:hideMark/>
          </w:tcPr>
          <w:p w14:paraId="28E531F2"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Velocity</w:t>
            </w:r>
            <w:r w:rsidRPr="00DB5007">
              <w:rPr>
                <w:rFonts w:ascii="Times New Roman" w:hAnsi="Times New Roman" w:cs="Times New Roman"/>
                <w:vertAlign w:val="subscript"/>
              </w:rPr>
              <w:t>24h</w:t>
            </w:r>
          </w:p>
        </w:tc>
        <w:tc>
          <w:tcPr>
            <w:tcW w:w="0" w:type="auto"/>
            <w:tcMar>
              <w:top w:w="137" w:type="dxa"/>
              <w:left w:w="120" w:type="dxa"/>
              <w:bottom w:w="137" w:type="dxa"/>
              <w:right w:w="120" w:type="dxa"/>
            </w:tcMar>
            <w:vAlign w:val="bottom"/>
            <w:hideMark/>
          </w:tcPr>
          <w:p w14:paraId="7BB9E9F7"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0.1312</w:t>
            </w:r>
          </w:p>
        </w:tc>
        <w:tc>
          <w:tcPr>
            <w:tcW w:w="0" w:type="auto"/>
            <w:tcMar>
              <w:top w:w="137" w:type="dxa"/>
              <w:left w:w="120" w:type="dxa"/>
              <w:bottom w:w="137" w:type="dxa"/>
              <w:right w:w="120" w:type="dxa"/>
            </w:tcMar>
            <w:vAlign w:val="bottom"/>
            <w:hideMark/>
          </w:tcPr>
          <w:p w14:paraId="26519125"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Velocity Feature</w:t>
            </w:r>
          </w:p>
        </w:tc>
        <w:tc>
          <w:tcPr>
            <w:tcW w:w="0" w:type="auto"/>
            <w:tcMar>
              <w:top w:w="137" w:type="dxa"/>
              <w:left w:w="120" w:type="dxa"/>
              <w:bottom w:w="137" w:type="dxa"/>
              <w:right w:w="120" w:type="dxa"/>
            </w:tcMar>
            <w:vAlign w:val="bottom"/>
            <w:hideMark/>
          </w:tcPr>
          <w:p w14:paraId="223A0399"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w:t>
            </w:r>
          </w:p>
        </w:tc>
      </w:tr>
      <w:tr w:rsidR="001D0282" w:rsidRPr="00DB5007" w14:paraId="48578075" w14:textId="77777777" w:rsidTr="00D64316">
        <w:trPr>
          <w:tblCellSpacing w:w="15" w:type="dxa"/>
        </w:trPr>
        <w:tc>
          <w:tcPr>
            <w:tcW w:w="0" w:type="auto"/>
            <w:tcMar>
              <w:top w:w="137" w:type="dxa"/>
              <w:left w:w="120" w:type="dxa"/>
              <w:bottom w:w="137" w:type="dxa"/>
              <w:right w:w="120" w:type="dxa"/>
            </w:tcMar>
            <w:vAlign w:val="bottom"/>
            <w:hideMark/>
          </w:tcPr>
          <w:p w14:paraId="32BAFCD6"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13</w:t>
            </w:r>
          </w:p>
        </w:tc>
        <w:tc>
          <w:tcPr>
            <w:tcW w:w="0" w:type="auto"/>
            <w:tcMar>
              <w:top w:w="137" w:type="dxa"/>
              <w:left w:w="120" w:type="dxa"/>
              <w:bottom w:w="137" w:type="dxa"/>
              <w:right w:w="120" w:type="dxa"/>
            </w:tcMar>
            <w:vAlign w:val="bottom"/>
            <w:hideMark/>
          </w:tcPr>
          <w:p w14:paraId="4A826F44"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V123</w:t>
            </w:r>
          </w:p>
        </w:tc>
        <w:tc>
          <w:tcPr>
            <w:tcW w:w="0" w:type="auto"/>
            <w:tcMar>
              <w:top w:w="137" w:type="dxa"/>
              <w:left w:w="120" w:type="dxa"/>
              <w:bottom w:w="137" w:type="dxa"/>
              <w:right w:w="120" w:type="dxa"/>
            </w:tcMar>
            <w:vAlign w:val="bottom"/>
            <w:hideMark/>
          </w:tcPr>
          <w:p w14:paraId="08F34F29"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0.1201</w:t>
            </w:r>
          </w:p>
        </w:tc>
        <w:tc>
          <w:tcPr>
            <w:tcW w:w="0" w:type="auto"/>
            <w:tcMar>
              <w:top w:w="137" w:type="dxa"/>
              <w:left w:w="120" w:type="dxa"/>
              <w:bottom w:w="137" w:type="dxa"/>
              <w:right w:w="120" w:type="dxa"/>
            </w:tcMar>
            <w:vAlign w:val="bottom"/>
            <w:hideMark/>
          </w:tcPr>
          <w:p w14:paraId="793087FF"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Engineered (Interaction)</w:t>
            </w:r>
          </w:p>
        </w:tc>
        <w:tc>
          <w:tcPr>
            <w:tcW w:w="0" w:type="auto"/>
            <w:tcMar>
              <w:top w:w="137" w:type="dxa"/>
              <w:left w:w="120" w:type="dxa"/>
              <w:bottom w:w="137" w:type="dxa"/>
              <w:right w:w="120" w:type="dxa"/>
            </w:tcMar>
            <w:vAlign w:val="bottom"/>
            <w:hideMark/>
          </w:tcPr>
          <w:p w14:paraId="55DE3301"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w:t>
            </w:r>
          </w:p>
        </w:tc>
      </w:tr>
      <w:tr w:rsidR="001D0282" w:rsidRPr="00DB5007" w14:paraId="42F1EE6C" w14:textId="77777777" w:rsidTr="00D64316">
        <w:trPr>
          <w:tblCellSpacing w:w="15" w:type="dxa"/>
        </w:trPr>
        <w:tc>
          <w:tcPr>
            <w:tcW w:w="0" w:type="auto"/>
            <w:tcMar>
              <w:top w:w="137" w:type="dxa"/>
              <w:left w:w="120" w:type="dxa"/>
              <w:bottom w:w="137" w:type="dxa"/>
              <w:right w:w="120" w:type="dxa"/>
            </w:tcMar>
            <w:vAlign w:val="bottom"/>
            <w:hideMark/>
          </w:tcPr>
          <w:p w14:paraId="5FE7F333"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14</w:t>
            </w:r>
          </w:p>
        </w:tc>
        <w:tc>
          <w:tcPr>
            <w:tcW w:w="0" w:type="auto"/>
            <w:tcMar>
              <w:top w:w="137" w:type="dxa"/>
              <w:left w:w="120" w:type="dxa"/>
              <w:bottom w:w="137" w:type="dxa"/>
              <w:right w:w="120" w:type="dxa"/>
            </w:tcMar>
            <w:vAlign w:val="bottom"/>
            <w:hideMark/>
          </w:tcPr>
          <w:p w14:paraId="6069DE8A" w14:textId="77777777" w:rsidR="001D0282" w:rsidRPr="00DB5007" w:rsidRDefault="001D0282" w:rsidP="004C0AA7">
            <w:pPr>
              <w:spacing w:line="240" w:lineRule="auto"/>
              <w:jc w:val="both"/>
              <w:rPr>
                <w:rFonts w:ascii="Times New Roman" w:hAnsi="Times New Roman" w:cs="Times New Roman"/>
              </w:rPr>
            </w:pPr>
            <w:proofErr w:type="spellStart"/>
            <w:r w:rsidRPr="00DB5007">
              <w:rPr>
                <w:rFonts w:ascii="Times New Roman" w:hAnsi="Times New Roman" w:cs="Times New Roman"/>
              </w:rPr>
              <w:t>TransactionAmt</w:t>
            </w:r>
            <w:r w:rsidRPr="00DB5007">
              <w:rPr>
                <w:rFonts w:ascii="Times New Roman" w:hAnsi="Times New Roman" w:cs="Times New Roman"/>
                <w:vertAlign w:val="subscript"/>
              </w:rPr>
              <w:t>zscore</w:t>
            </w:r>
            <w:proofErr w:type="spellEnd"/>
          </w:p>
        </w:tc>
        <w:tc>
          <w:tcPr>
            <w:tcW w:w="0" w:type="auto"/>
            <w:tcMar>
              <w:top w:w="137" w:type="dxa"/>
              <w:left w:w="120" w:type="dxa"/>
              <w:bottom w:w="137" w:type="dxa"/>
              <w:right w:w="120" w:type="dxa"/>
            </w:tcMar>
            <w:vAlign w:val="bottom"/>
            <w:hideMark/>
          </w:tcPr>
          <w:p w14:paraId="588B4D5E"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0.1089</w:t>
            </w:r>
          </w:p>
        </w:tc>
        <w:tc>
          <w:tcPr>
            <w:tcW w:w="0" w:type="auto"/>
            <w:tcMar>
              <w:top w:w="137" w:type="dxa"/>
              <w:left w:w="120" w:type="dxa"/>
              <w:bottom w:w="137" w:type="dxa"/>
              <w:right w:w="120" w:type="dxa"/>
            </w:tcMar>
            <w:vAlign w:val="bottom"/>
            <w:hideMark/>
          </w:tcPr>
          <w:p w14:paraId="7323E4F0"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Statistical</w:t>
            </w:r>
          </w:p>
        </w:tc>
        <w:tc>
          <w:tcPr>
            <w:tcW w:w="0" w:type="auto"/>
            <w:tcMar>
              <w:top w:w="137" w:type="dxa"/>
              <w:left w:w="120" w:type="dxa"/>
              <w:bottom w:w="137" w:type="dxa"/>
              <w:right w:w="120" w:type="dxa"/>
            </w:tcMar>
            <w:vAlign w:val="bottom"/>
            <w:hideMark/>
          </w:tcPr>
          <w:p w14:paraId="4312CA91"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w:t>
            </w:r>
          </w:p>
        </w:tc>
      </w:tr>
      <w:tr w:rsidR="001D0282" w:rsidRPr="00DB5007" w14:paraId="23924A75" w14:textId="77777777" w:rsidTr="00D64316">
        <w:trPr>
          <w:tblCellSpacing w:w="15" w:type="dxa"/>
        </w:trPr>
        <w:tc>
          <w:tcPr>
            <w:tcW w:w="0" w:type="auto"/>
            <w:tcMar>
              <w:top w:w="137" w:type="dxa"/>
              <w:left w:w="120" w:type="dxa"/>
              <w:bottom w:w="137" w:type="dxa"/>
              <w:right w:w="120" w:type="dxa"/>
            </w:tcMar>
            <w:vAlign w:val="bottom"/>
            <w:hideMark/>
          </w:tcPr>
          <w:p w14:paraId="56548597"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15</w:t>
            </w:r>
          </w:p>
        </w:tc>
        <w:tc>
          <w:tcPr>
            <w:tcW w:w="0" w:type="auto"/>
            <w:tcMar>
              <w:top w:w="137" w:type="dxa"/>
              <w:left w:w="120" w:type="dxa"/>
              <w:bottom w:w="137" w:type="dxa"/>
              <w:right w:w="120" w:type="dxa"/>
            </w:tcMar>
            <w:vAlign w:val="bottom"/>
            <w:hideMark/>
          </w:tcPr>
          <w:p w14:paraId="0395E254" w14:textId="77777777" w:rsidR="001D0282" w:rsidRPr="00DB5007" w:rsidRDefault="001D0282" w:rsidP="004C0AA7">
            <w:pPr>
              <w:spacing w:line="240" w:lineRule="auto"/>
              <w:jc w:val="both"/>
              <w:rPr>
                <w:rFonts w:ascii="Times New Roman" w:hAnsi="Times New Roman" w:cs="Times New Roman"/>
              </w:rPr>
            </w:pPr>
            <w:proofErr w:type="spellStart"/>
            <w:r w:rsidRPr="00DB5007">
              <w:rPr>
                <w:rFonts w:ascii="Times New Roman" w:hAnsi="Times New Roman" w:cs="Times New Roman"/>
              </w:rPr>
              <w:t>Email</w:t>
            </w:r>
            <w:r w:rsidRPr="00DB5007">
              <w:rPr>
                <w:rFonts w:ascii="Times New Roman" w:hAnsi="Times New Roman" w:cs="Times New Roman"/>
                <w:vertAlign w:val="subscript"/>
              </w:rPr>
              <w:t>fraud</w:t>
            </w:r>
            <w:proofErr w:type="spellEnd"/>
            <w:r w:rsidRPr="00DB5007">
              <w:rPr>
                <w:rFonts w:ascii="Times New Roman" w:hAnsi="Times New Roman" w:cs="Times New Roman"/>
                <w:vertAlign w:val="subscript"/>
              </w:rPr>
              <w:t xml:space="preserve"> rate</w:t>
            </w:r>
          </w:p>
        </w:tc>
        <w:tc>
          <w:tcPr>
            <w:tcW w:w="0" w:type="auto"/>
            <w:tcMar>
              <w:top w:w="137" w:type="dxa"/>
              <w:left w:w="120" w:type="dxa"/>
              <w:bottom w:w="137" w:type="dxa"/>
              <w:right w:w="120" w:type="dxa"/>
            </w:tcMar>
            <w:vAlign w:val="bottom"/>
            <w:hideMark/>
          </w:tcPr>
          <w:p w14:paraId="28185648"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0.0987</w:t>
            </w:r>
          </w:p>
        </w:tc>
        <w:tc>
          <w:tcPr>
            <w:tcW w:w="0" w:type="auto"/>
            <w:tcMar>
              <w:top w:w="137" w:type="dxa"/>
              <w:left w:w="120" w:type="dxa"/>
              <w:bottom w:w="137" w:type="dxa"/>
              <w:right w:w="120" w:type="dxa"/>
            </w:tcMar>
            <w:vAlign w:val="bottom"/>
            <w:hideMark/>
          </w:tcPr>
          <w:p w14:paraId="48B2D09D"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Email History</w:t>
            </w:r>
          </w:p>
        </w:tc>
        <w:tc>
          <w:tcPr>
            <w:tcW w:w="0" w:type="auto"/>
            <w:tcMar>
              <w:top w:w="137" w:type="dxa"/>
              <w:left w:w="120" w:type="dxa"/>
              <w:bottom w:w="137" w:type="dxa"/>
              <w:right w:w="120" w:type="dxa"/>
            </w:tcMar>
            <w:vAlign w:val="bottom"/>
            <w:hideMark/>
          </w:tcPr>
          <w:p w14:paraId="0EF9E351"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Entity</w:t>
            </w:r>
          </w:p>
        </w:tc>
      </w:tr>
      <w:tr w:rsidR="001D0282" w:rsidRPr="00DB5007" w14:paraId="73B0CCB2" w14:textId="77777777" w:rsidTr="00D64316">
        <w:trPr>
          <w:tblCellSpacing w:w="15" w:type="dxa"/>
        </w:trPr>
        <w:tc>
          <w:tcPr>
            <w:tcW w:w="0" w:type="auto"/>
            <w:tcMar>
              <w:top w:w="137" w:type="dxa"/>
              <w:left w:w="120" w:type="dxa"/>
              <w:bottom w:w="137" w:type="dxa"/>
              <w:right w:w="120" w:type="dxa"/>
            </w:tcMar>
            <w:vAlign w:val="bottom"/>
            <w:hideMark/>
          </w:tcPr>
          <w:p w14:paraId="3E3F2E8A"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lastRenderedPageBreak/>
              <w:t>16</w:t>
            </w:r>
          </w:p>
        </w:tc>
        <w:tc>
          <w:tcPr>
            <w:tcW w:w="0" w:type="auto"/>
            <w:tcMar>
              <w:top w:w="137" w:type="dxa"/>
              <w:left w:w="120" w:type="dxa"/>
              <w:bottom w:w="137" w:type="dxa"/>
              <w:right w:w="120" w:type="dxa"/>
            </w:tcMar>
            <w:vAlign w:val="bottom"/>
            <w:hideMark/>
          </w:tcPr>
          <w:p w14:paraId="18E93B47"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V45</w:t>
            </w:r>
          </w:p>
        </w:tc>
        <w:tc>
          <w:tcPr>
            <w:tcW w:w="0" w:type="auto"/>
            <w:tcMar>
              <w:top w:w="137" w:type="dxa"/>
              <w:left w:w="120" w:type="dxa"/>
              <w:bottom w:w="137" w:type="dxa"/>
              <w:right w:w="120" w:type="dxa"/>
            </w:tcMar>
            <w:vAlign w:val="bottom"/>
            <w:hideMark/>
          </w:tcPr>
          <w:p w14:paraId="4693CFC9"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0.0876</w:t>
            </w:r>
          </w:p>
        </w:tc>
        <w:tc>
          <w:tcPr>
            <w:tcW w:w="0" w:type="auto"/>
            <w:tcMar>
              <w:top w:w="137" w:type="dxa"/>
              <w:left w:w="120" w:type="dxa"/>
              <w:bottom w:w="137" w:type="dxa"/>
              <w:right w:w="120" w:type="dxa"/>
            </w:tcMar>
            <w:vAlign w:val="bottom"/>
            <w:hideMark/>
          </w:tcPr>
          <w:p w14:paraId="2F972651"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Engineered (Behavioral)</w:t>
            </w:r>
          </w:p>
        </w:tc>
        <w:tc>
          <w:tcPr>
            <w:tcW w:w="0" w:type="auto"/>
            <w:tcMar>
              <w:top w:w="137" w:type="dxa"/>
              <w:left w:w="120" w:type="dxa"/>
              <w:bottom w:w="137" w:type="dxa"/>
              <w:right w:w="120" w:type="dxa"/>
            </w:tcMar>
            <w:vAlign w:val="bottom"/>
            <w:hideMark/>
          </w:tcPr>
          <w:p w14:paraId="54A5B22A"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w:t>
            </w:r>
          </w:p>
        </w:tc>
      </w:tr>
      <w:tr w:rsidR="001D0282" w:rsidRPr="00DB5007" w14:paraId="2B8F0F44" w14:textId="77777777" w:rsidTr="00D64316">
        <w:trPr>
          <w:tblCellSpacing w:w="15" w:type="dxa"/>
        </w:trPr>
        <w:tc>
          <w:tcPr>
            <w:tcW w:w="0" w:type="auto"/>
            <w:tcMar>
              <w:top w:w="137" w:type="dxa"/>
              <w:left w:w="120" w:type="dxa"/>
              <w:bottom w:w="137" w:type="dxa"/>
              <w:right w:w="120" w:type="dxa"/>
            </w:tcMar>
            <w:vAlign w:val="bottom"/>
            <w:hideMark/>
          </w:tcPr>
          <w:p w14:paraId="60A9C7E4"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17</w:t>
            </w:r>
          </w:p>
        </w:tc>
        <w:tc>
          <w:tcPr>
            <w:tcW w:w="0" w:type="auto"/>
            <w:tcMar>
              <w:top w:w="137" w:type="dxa"/>
              <w:left w:w="120" w:type="dxa"/>
              <w:bottom w:w="137" w:type="dxa"/>
              <w:right w:w="120" w:type="dxa"/>
            </w:tcMar>
            <w:vAlign w:val="bottom"/>
            <w:hideMark/>
          </w:tcPr>
          <w:p w14:paraId="6C666026"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V167</w:t>
            </w:r>
          </w:p>
        </w:tc>
        <w:tc>
          <w:tcPr>
            <w:tcW w:w="0" w:type="auto"/>
            <w:tcMar>
              <w:top w:w="137" w:type="dxa"/>
              <w:left w:w="120" w:type="dxa"/>
              <w:bottom w:w="137" w:type="dxa"/>
              <w:right w:w="120" w:type="dxa"/>
            </w:tcMar>
            <w:vAlign w:val="bottom"/>
            <w:hideMark/>
          </w:tcPr>
          <w:p w14:paraId="2E838858"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0.0765</w:t>
            </w:r>
          </w:p>
        </w:tc>
        <w:tc>
          <w:tcPr>
            <w:tcW w:w="0" w:type="auto"/>
            <w:tcMar>
              <w:top w:w="137" w:type="dxa"/>
              <w:left w:w="120" w:type="dxa"/>
              <w:bottom w:w="137" w:type="dxa"/>
              <w:right w:w="120" w:type="dxa"/>
            </w:tcMar>
            <w:vAlign w:val="bottom"/>
            <w:hideMark/>
          </w:tcPr>
          <w:p w14:paraId="0712593C"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Engineered (PCA)</w:t>
            </w:r>
          </w:p>
        </w:tc>
        <w:tc>
          <w:tcPr>
            <w:tcW w:w="0" w:type="auto"/>
            <w:tcMar>
              <w:top w:w="137" w:type="dxa"/>
              <w:left w:w="120" w:type="dxa"/>
              <w:bottom w:w="137" w:type="dxa"/>
              <w:right w:w="120" w:type="dxa"/>
            </w:tcMar>
            <w:vAlign w:val="bottom"/>
            <w:hideMark/>
          </w:tcPr>
          <w:p w14:paraId="65F60E4A"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w:t>
            </w:r>
          </w:p>
        </w:tc>
      </w:tr>
      <w:tr w:rsidR="001D0282" w:rsidRPr="00DB5007" w14:paraId="5B9B91EB" w14:textId="77777777" w:rsidTr="00D64316">
        <w:trPr>
          <w:tblCellSpacing w:w="15" w:type="dxa"/>
        </w:trPr>
        <w:tc>
          <w:tcPr>
            <w:tcW w:w="0" w:type="auto"/>
            <w:tcMar>
              <w:top w:w="137" w:type="dxa"/>
              <w:left w:w="120" w:type="dxa"/>
              <w:bottom w:w="137" w:type="dxa"/>
              <w:right w:w="120" w:type="dxa"/>
            </w:tcMar>
            <w:vAlign w:val="bottom"/>
            <w:hideMark/>
          </w:tcPr>
          <w:p w14:paraId="2A496A23"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18</w:t>
            </w:r>
          </w:p>
        </w:tc>
        <w:tc>
          <w:tcPr>
            <w:tcW w:w="0" w:type="auto"/>
            <w:tcMar>
              <w:top w:w="137" w:type="dxa"/>
              <w:left w:w="120" w:type="dxa"/>
              <w:bottom w:w="137" w:type="dxa"/>
              <w:right w:w="120" w:type="dxa"/>
            </w:tcMar>
            <w:vAlign w:val="bottom"/>
            <w:hideMark/>
          </w:tcPr>
          <w:p w14:paraId="5D7990A9" w14:textId="77777777" w:rsidR="001D0282" w:rsidRPr="00DB5007" w:rsidRDefault="001D0282" w:rsidP="004C0AA7">
            <w:pPr>
              <w:spacing w:line="240" w:lineRule="auto"/>
              <w:jc w:val="both"/>
              <w:rPr>
                <w:rFonts w:ascii="Times New Roman" w:hAnsi="Times New Roman" w:cs="Times New Roman"/>
              </w:rPr>
            </w:pPr>
            <w:proofErr w:type="spellStart"/>
            <w:r w:rsidRPr="00DB5007">
              <w:rPr>
                <w:rFonts w:ascii="Times New Roman" w:hAnsi="Times New Roman" w:cs="Times New Roman"/>
              </w:rPr>
              <w:t>Card</w:t>
            </w:r>
            <w:r w:rsidRPr="00DB5007">
              <w:rPr>
                <w:rFonts w:ascii="Times New Roman" w:hAnsi="Times New Roman" w:cs="Times New Roman"/>
                <w:vertAlign w:val="subscript"/>
              </w:rPr>
              <w:t>device</w:t>
            </w:r>
            <w:proofErr w:type="spellEnd"/>
            <w:r w:rsidRPr="00DB5007">
              <w:rPr>
                <w:rFonts w:ascii="Times New Roman" w:hAnsi="Times New Roman" w:cs="Times New Roman"/>
                <w:vertAlign w:val="subscript"/>
              </w:rPr>
              <w:t xml:space="preserve"> consistency</w:t>
            </w:r>
          </w:p>
        </w:tc>
        <w:tc>
          <w:tcPr>
            <w:tcW w:w="0" w:type="auto"/>
            <w:tcMar>
              <w:top w:w="137" w:type="dxa"/>
              <w:left w:w="120" w:type="dxa"/>
              <w:bottom w:w="137" w:type="dxa"/>
              <w:right w:w="120" w:type="dxa"/>
            </w:tcMar>
            <w:vAlign w:val="bottom"/>
            <w:hideMark/>
          </w:tcPr>
          <w:p w14:paraId="1BAF9C55"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0.0654</w:t>
            </w:r>
          </w:p>
        </w:tc>
        <w:tc>
          <w:tcPr>
            <w:tcW w:w="0" w:type="auto"/>
            <w:tcMar>
              <w:top w:w="137" w:type="dxa"/>
              <w:left w:w="120" w:type="dxa"/>
              <w:bottom w:w="137" w:type="dxa"/>
              <w:right w:w="120" w:type="dxa"/>
            </w:tcMar>
            <w:vAlign w:val="bottom"/>
            <w:hideMark/>
          </w:tcPr>
          <w:p w14:paraId="3B0D22CD"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Multi-layer Relation</w:t>
            </w:r>
          </w:p>
        </w:tc>
        <w:tc>
          <w:tcPr>
            <w:tcW w:w="0" w:type="auto"/>
            <w:tcMar>
              <w:top w:w="137" w:type="dxa"/>
              <w:left w:w="120" w:type="dxa"/>
              <w:bottom w:w="137" w:type="dxa"/>
              <w:right w:w="120" w:type="dxa"/>
            </w:tcMar>
            <w:vAlign w:val="bottom"/>
            <w:hideMark/>
          </w:tcPr>
          <w:p w14:paraId="01FCD59D"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Card-Device</w:t>
            </w:r>
          </w:p>
        </w:tc>
      </w:tr>
      <w:tr w:rsidR="001D0282" w:rsidRPr="00DB5007" w14:paraId="23F0DAA0" w14:textId="77777777" w:rsidTr="00D64316">
        <w:trPr>
          <w:tblCellSpacing w:w="15" w:type="dxa"/>
        </w:trPr>
        <w:tc>
          <w:tcPr>
            <w:tcW w:w="0" w:type="auto"/>
            <w:tcMar>
              <w:top w:w="137" w:type="dxa"/>
              <w:left w:w="120" w:type="dxa"/>
              <w:bottom w:w="137" w:type="dxa"/>
              <w:right w:w="120" w:type="dxa"/>
            </w:tcMar>
            <w:vAlign w:val="bottom"/>
            <w:hideMark/>
          </w:tcPr>
          <w:p w14:paraId="7A39D2D1"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19</w:t>
            </w:r>
          </w:p>
        </w:tc>
        <w:tc>
          <w:tcPr>
            <w:tcW w:w="0" w:type="auto"/>
            <w:tcMar>
              <w:top w:w="137" w:type="dxa"/>
              <w:left w:w="120" w:type="dxa"/>
              <w:bottom w:w="137" w:type="dxa"/>
              <w:right w:w="120" w:type="dxa"/>
            </w:tcMar>
            <w:vAlign w:val="bottom"/>
            <w:hideMark/>
          </w:tcPr>
          <w:p w14:paraId="175982BB"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V234</w:t>
            </w:r>
          </w:p>
        </w:tc>
        <w:tc>
          <w:tcPr>
            <w:tcW w:w="0" w:type="auto"/>
            <w:tcMar>
              <w:top w:w="137" w:type="dxa"/>
              <w:left w:w="120" w:type="dxa"/>
              <w:bottom w:w="137" w:type="dxa"/>
              <w:right w:w="120" w:type="dxa"/>
            </w:tcMar>
            <w:vAlign w:val="bottom"/>
            <w:hideMark/>
          </w:tcPr>
          <w:p w14:paraId="5FF8FB80"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0.0543</w:t>
            </w:r>
          </w:p>
        </w:tc>
        <w:tc>
          <w:tcPr>
            <w:tcW w:w="0" w:type="auto"/>
            <w:tcMar>
              <w:top w:w="137" w:type="dxa"/>
              <w:left w:w="120" w:type="dxa"/>
              <w:bottom w:w="137" w:type="dxa"/>
              <w:right w:w="120" w:type="dxa"/>
            </w:tcMar>
            <w:vAlign w:val="bottom"/>
            <w:hideMark/>
          </w:tcPr>
          <w:p w14:paraId="6DD546D9"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Engineered (Velocity)</w:t>
            </w:r>
          </w:p>
        </w:tc>
        <w:tc>
          <w:tcPr>
            <w:tcW w:w="0" w:type="auto"/>
            <w:tcMar>
              <w:top w:w="137" w:type="dxa"/>
              <w:left w:w="120" w:type="dxa"/>
              <w:bottom w:w="137" w:type="dxa"/>
              <w:right w:w="120" w:type="dxa"/>
            </w:tcMar>
            <w:vAlign w:val="bottom"/>
            <w:hideMark/>
          </w:tcPr>
          <w:p w14:paraId="2A0BDB82"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Transaction</w:t>
            </w:r>
          </w:p>
        </w:tc>
      </w:tr>
      <w:tr w:rsidR="001D0282" w:rsidRPr="00DB5007" w14:paraId="5C458A71" w14:textId="77777777" w:rsidTr="00D64316">
        <w:trPr>
          <w:tblCellSpacing w:w="15" w:type="dxa"/>
        </w:trPr>
        <w:tc>
          <w:tcPr>
            <w:tcW w:w="0" w:type="auto"/>
            <w:tcBorders>
              <w:bottom w:val="single" w:sz="4" w:space="0" w:color="auto"/>
            </w:tcBorders>
            <w:tcMar>
              <w:top w:w="137" w:type="dxa"/>
              <w:left w:w="120" w:type="dxa"/>
              <w:bottom w:w="137" w:type="dxa"/>
              <w:right w:w="120" w:type="dxa"/>
            </w:tcMar>
            <w:vAlign w:val="bottom"/>
            <w:hideMark/>
          </w:tcPr>
          <w:p w14:paraId="6A000224"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20</w:t>
            </w:r>
          </w:p>
        </w:tc>
        <w:tc>
          <w:tcPr>
            <w:tcW w:w="0" w:type="auto"/>
            <w:tcBorders>
              <w:bottom w:val="single" w:sz="4" w:space="0" w:color="auto"/>
            </w:tcBorders>
            <w:tcMar>
              <w:top w:w="137" w:type="dxa"/>
              <w:left w:w="120" w:type="dxa"/>
              <w:bottom w:w="137" w:type="dxa"/>
              <w:right w:w="120" w:type="dxa"/>
            </w:tcMar>
            <w:vAlign w:val="bottom"/>
            <w:hideMark/>
          </w:tcPr>
          <w:p w14:paraId="1D5F0D00" w14:textId="77777777" w:rsidR="001D0282" w:rsidRPr="00DB5007" w:rsidRDefault="001D0282" w:rsidP="004C0AA7">
            <w:pPr>
              <w:spacing w:line="240" w:lineRule="auto"/>
              <w:jc w:val="both"/>
              <w:rPr>
                <w:rFonts w:ascii="Times New Roman" w:hAnsi="Times New Roman" w:cs="Times New Roman"/>
              </w:rPr>
            </w:pPr>
            <w:proofErr w:type="spellStart"/>
            <w:r w:rsidRPr="00DB5007">
              <w:rPr>
                <w:rFonts w:ascii="Times New Roman" w:hAnsi="Times New Roman" w:cs="Times New Roman"/>
              </w:rPr>
              <w:t>Geographic</w:t>
            </w:r>
            <w:r w:rsidRPr="00DB5007">
              <w:rPr>
                <w:rFonts w:ascii="Times New Roman" w:hAnsi="Times New Roman" w:cs="Times New Roman"/>
                <w:vertAlign w:val="subscript"/>
              </w:rPr>
              <w:t>distance</w:t>
            </w:r>
            <w:proofErr w:type="spellEnd"/>
          </w:p>
        </w:tc>
        <w:tc>
          <w:tcPr>
            <w:tcW w:w="0" w:type="auto"/>
            <w:tcBorders>
              <w:bottom w:val="single" w:sz="4" w:space="0" w:color="auto"/>
            </w:tcBorders>
            <w:tcMar>
              <w:top w:w="137" w:type="dxa"/>
              <w:left w:w="120" w:type="dxa"/>
              <w:bottom w:w="137" w:type="dxa"/>
              <w:right w:w="120" w:type="dxa"/>
            </w:tcMar>
            <w:vAlign w:val="bottom"/>
            <w:hideMark/>
          </w:tcPr>
          <w:p w14:paraId="62827E62"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0.0432</w:t>
            </w:r>
          </w:p>
        </w:tc>
        <w:tc>
          <w:tcPr>
            <w:tcW w:w="0" w:type="auto"/>
            <w:tcBorders>
              <w:bottom w:val="single" w:sz="4" w:space="0" w:color="auto"/>
            </w:tcBorders>
            <w:tcMar>
              <w:top w:w="137" w:type="dxa"/>
              <w:left w:w="120" w:type="dxa"/>
              <w:bottom w:w="137" w:type="dxa"/>
              <w:right w:w="120" w:type="dxa"/>
            </w:tcMar>
            <w:vAlign w:val="bottom"/>
            <w:hideMark/>
          </w:tcPr>
          <w:p w14:paraId="43375715"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Geospatial</w:t>
            </w:r>
          </w:p>
        </w:tc>
        <w:tc>
          <w:tcPr>
            <w:tcW w:w="0" w:type="auto"/>
            <w:tcBorders>
              <w:bottom w:val="single" w:sz="4" w:space="0" w:color="auto"/>
            </w:tcBorders>
            <w:tcMar>
              <w:top w:w="137" w:type="dxa"/>
              <w:left w:w="120" w:type="dxa"/>
              <w:bottom w:w="137" w:type="dxa"/>
              <w:right w:w="120" w:type="dxa"/>
            </w:tcMar>
            <w:vAlign w:val="bottom"/>
            <w:hideMark/>
          </w:tcPr>
          <w:p w14:paraId="3D14A688"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Entity</w:t>
            </w:r>
          </w:p>
        </w:tc>
      </w:tr>
    </w:tbl>
    <w:p w14:paraId="0C5B17ED" w14:textId="209C758D" w:rsidR="000461D7" w:rsidRDefault="000461D7" w:rsidP="0066429D">
      <w:pPr>
        <w:spacing w:before="240" w:line="360" w:lineRule="auto"/>
        <w:jc w:val="both"/>
        <w:rPr>
          <w:rFonts w:ascii="Times New Roman" w:hAnsi="Times New Roman" w:cs="Times New Roman"/>
          <w:b/>
          <w:bCs/>
        </w:rPr>
      </w:pPr>
      <w:r w:rsidRPr="000461D7">
        <w:rPr>
          <w:rFonts w:ascii="Times New Roman" w:hAnsi="Times New Roman" w:cs="Times New Roman"/>
          <w:b/>
          <w:bCs/>
        </w:rPr>
        <w:t>Figure 6</w:t>
      </w:r>
      <w:r>
        <w:rPr>
          <w:rFonts w:ascii="Times New Roman" w:hAnsi="Times New Roman" w:cs="Times New Roman"/>
          <w:b/>
          <w:bCs/>
        </w:rPr>
        <w:t xml:space="preserve"> </w:t>
      </w:r>
    </w:p>
    <w:p w14:paraId="617EB112" w14:textId="756A5C12" w:rsidR="000461D7" w:rsidRDefault="000461D7" w:rsidP="00DB5007">
      <w:pPr>
        <w:spacing w:line="360" w:lineRule="auto"/>
        <w:jc w:val="both"/>
        <w:rPr>
          <w:rFonts w:ascii="Times New Roman" w:hAnsi="Times New Roman" w:cs="Times New Roman"/>
          <w:b/>
          <w:bCs/>
        </w:rPr>
      </w:pPr>
      <w:r w:rsidRPr="000461D7">
        <w:rPr>
          <w:rFonts w:ascii="Times New Roman" w:hAnsi="Times New Roman" w:cs="Times New Roman"/>
          <w:i/>
          <w:iCs/>
        </w:rPr>
        <w:t>Left-Skewed Attention Weight Distribution</w:t>
      </w:r>
    </w:p>
    <w:p w14:paraId="452A706D" w14:textId="1D6C5ED4" w:rsidR="008C2306" w:rsidRDefault="008C2306" w:rsidP="00DB5007">
      <w:pPr>
        <w:spacing w:line="360" w:lineRule="auto"/>
        <w:jc w:val="both"/>
        <w:rPr>
          <w:rFonts w:ascii="Times New Roman" w:hAnsi="Times New Roman" w:cs="Times New Roman"/>
        </w:rPr>
      </w:pPr>
      <w:r>
        <w:rPr>
          <w:noProof/>
        </w:rPr>
        <w:drawing>
          <wp:inline distT="0" distB="0" distL="0" distR="0" wp14:anchorId="7D169E17" wp14:editId="37D04326">
            <wp:extent cx="5279666" cy="3018297"/>
            <wp:effectExtent l="0" t="0" r="0" b="0"/>
            <wp:docPr id="6239368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36871" name="Picture 623936871"/>
                    <pic:cNvPicPr/>
                  </pic:nvPicPr>
                  <pic:blipFill rotWithShape="1">
                    <a:blip r:embed="rId12" cstate="print">
                      <a:extLst>
                        <a:ext uri="{28A0092B-C50C-407E-A947-70E740481C1C}">
                          <a14:useLocalDpi xmlns:a14="http://schemas.microsoft.com/office/drawing/2010/main" val="0"/>
                        </a:ext>
                      </a:extLst>
                    </a:blip>
                    <a:srcRect t="14247"/>
                    <a:stretch>
                      <a:fillRect/>
                    </a:stretch>
                  </pic:blipFill>
                  <pic:spPr bwMode="auto">
                    <a:xfrm>
                      <a:off x="0" y="0"/>
                      <a:ext cx="5309919" cy="3035592"/>
                    </a:xfrm>
                    <a:prstGeom prst="rect">
                      <a:avLst/>
                    </a:prstGeom>
                    <a:ln>
                      <a:noFill/>
                    </a:ln>
                    <a:extLst>
                      <a:ext uri="{53640926-AAD7-44D8-BBD7-CCE9431645EC}">
                        <a14:shadowObscured xmlns:a14="http://schemas.microsoft.com/office/drawing/2010/main"/>
                      </a:ext>
                    </a:extLst>
                  </pic:spPr>
                </pic:pic>
              </a:graphicData>
            </a:graphic>
          </wp:inline>
        </w:drawing>
      </w:r>
    </w:p>
    <w:p w14:paraId="3E742526" w14:textId="3D3CFF1A"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Scalability tests across dataset sizes from 10,000 to 5,600,000 transactions, as in Table 5</w:t>
      </w:r>
      <w:r w:rsidR="0066429D">
        <w:rPr>
          <w:rFonts w:ascii="Times New Roman" w:hAnsi="Times New Roman" w:cs="Times New Roman"/>
        </w:rPr>
        <w:t xml:space="preserve"> and Figure 7</w:t>
      </w:r>
      <w:r w:rsidRPr="00DB5007">
        <w:rPr>
          <w:rFonts w:ascii="Times New Roman" w:hAnsi="Times New Roman" w:cs="Times New Roman"/>
        </w:rPr>
        <w:t xml:space="preserve">, show linear training times from 45 seconds to 8.7 hours on Graphics Processing Unit, inference latencies 0.8 to 3.1 milliseconds per 1,000 transactions, memory 2.1 to 64.2 gigabytes, and stable </w:t>
      </w:r>
      <w:r w:rsidRPr="00DB5007">
        <w:rPr>
          <w:rFonts w:ascii="Times New Roman" w:hAnsi="Times New Roman" w:cs="Times New Roman"/>
        </w:rPr>
        <w:lastRenderedPageBreak/>
        <w:t>Area Under the Curve-Receiver Operating Characteristic from 0.863 to 0.877, validating production feasibility.</w:t>
      </w:r>
    </w:p>
    <w:p w14:paraId="52DDDFD9" w14:textId="77777777" w:rsidR="0066429D" w:rsidRPr="0066429D" w:rsidRDefault="001D0282" w:rsidP="00DB5007">
      <w:pPr>
        <w:spacing w:line="360" w:lineRule="auto"/>
        <w:jc w:val="both"/>
        <w:rPr>
          <w:rFonts w:ascii="Times New Roman" w:hAnsi="Times New Roman" w:cs="Times New Roman"/>
          <w:b/>
          <w:bCs/>
        </w:rPr>
      </w:pPr>
      <w:r w:rsidRPr="0066429D">
        <w:rPr>
          <w:rFonts w:ascii="Times New Roman" w:hAnsi="Times New Roman" w:cs="Times New Roman"/>
          <w:b/>
          <w:bCs/>
        </w:rPr>
        <w:t>Table 5</w:t>
      </w:r>
    </w:p>
    <w:p w14:paraId="08C209E9" w14:textId="0CB33AA7" w:rsidR="001D0282" w:rsidRPr="0066429D" w:rsidRDefault="001D0282" w:rsidP="00DB5007">
      <w:pPr>
        <w:spacing w:line="360" w:lineRule="auto"/>
        <w:jc w:val="both"/>
        <w:rPr>
          <w:rFonts w:ascii="Times New Roman" w:hAnsi="Times New Roman" w:cs="Times New Roman"/>
          <w:i/>
          <w:iCs/>
        </w:rPr>
      </w:pPr>
      <w:r w:rsidRPr="0066429D">
        <w:rPr>
          <w:rFonts w:ascii="Times New Roman" w:hAnsi="Times New Roman" w:cs="Times New Roman"/>
          <w:i/>
          <w:iCs/>
        </w:rPr>
        <w:t>Scalability Metrics Across Dataset Sizes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00"/>
        <w:gridCol w:w="1313"/>
        <w:gridCol w:w="1087"/>
        <w:gridCol w:w="1188"/>
        <w:gridCol w:w="1027"/>
        <w:gridCol w:w="1145"/>
        <w:gridCol w:w="900"/>
        <w:gridCol w:w="90"/>
        <w:gridCol w:w="900"/>
        <w:gridCol w:w="810"/>
      </w:tblGrid>
      <w:tr w:rsidR="001D0282" w:rsidRPr="00DB5007" w14:paraId="14C37D7E" w14:textId="77777777" w:rsidTr="004C0AA7">
        <w:trPr>
          <w:tblHeader/>
        </w:trPr>
        <w:tc>
          <w:tcPr>
            <w:tcW w:w="900" w:type="dxa"/>
            <w:tcBorders>
              <w:top w:val="single" w:sz="4" w:space="0" w:color="auto"/>
              <w:bottom w:val="single" w:sz="4" w:space="0" w:color="auto"/>
            </w:tcBorders>
            <w:tcMar>
              <w:top w:w="15" w:type="dxa"/>
              <w:left w:w="0" w:type="dxa"/>
              <w:bottom w:w="137" w:type="dxa"/>
              <w:right w:w="137" w:type="dxa"/>
            </w:tcMar>
            <w:vAlign w:val="bottom"/>
            <w:hideMark/>
          </w:tcPr>
          <w:p w14:paraId="1702E0BA" w14:textId="7BF8926E" w:rsidR="0066429D" w:rsidRPr="00DB5007" w:rsidRDefault="001D0282" w:rsidP="0066429D">
            <w:pPr>
              <w:spacing w:line="240" w:lineRule="auto"/>
              <w:jc w:val="both"/>
              <w:rPr>
                <w:rFonts w:ascii="Times New Roman" w:hAnsi="Times New Roman" w:cs="Times New Roman"/>
                <w:b/>
                <w:bCs/>
              </w:rPr>
            </w:pPr>
            <w:r w:rsidRPr="00DB5007">
              <w:rPr>
                <w:rFonts w:ascii="Times New Roman" w:hAnsi="Times New Roman" w:cs="Times New Roman"/>
                <w:b/>
                <w:bCs/>
              </w:rPr>
              <w:t>Scale</w:t>
            </w:r>
          </w:p>
        </w:tc>
        <w:tc>
          <w:tcPr>
            <w:tcW w:w="1313" w:type="dxa"/>
            <w:tcBorders>
              <w:top w:val="single" w:sz="4" w:space="0" w:color="auto"/>
              <w:bottom w:val="single" w:sz="4" w:space="0" w:color="auto"/>
            </w:tcBorders>
            <w:tcMar>
              <w:top w:w="15" w:type="dxa"/>
              <w:left w:w="137" w:type="dxa"/>
              <w:bottom w:w="137" w:type="dxa"/>
              <w:right w:w="137" w:type="dxa"/>
            </w:tcMar>
            <w:vAlign w:val="bottom"/>
            <w:hideMark/>
          </w:tcPr>
          <w:p w14:paraId="6473F212" w14:textId="77777777" w:rsidR="001D0282" w:rsidRPr="00DB5007" w:rsidRDefault="001D0282" w:rsidP="0066429D">
            <w:pPr>
              <w:spacing w:line="240" w:lineRule="auto"/>
              <w:jc w:val="both"/>
              <w:rPr>
                <w:rFonts w:ascii="Times New Roman" w:hAnsi="Times New Roman" w:cs="Times New Roman"/>
                <w:b/>
                <w:bCs/>
              </w:rPr>
            </w:pPr>
            <w:r w:rsidRPr="00DB5007">
              <w:rPr>
                <w:rFonts w:ascii="Times New Roman" w:hAnsi="Times New Roman" w:cs="Times New Roman"/>
                <w:b/>
                <w:bCs/>
              </w:rPr>
              <w:t>Transactions</w:t>
            </w:r>
          </w:p>
        </w:tc>
        <w:tc>
          <w:tcPr>
            <w:tcW w:w="1087" w:type="dxa"/>
            <w:tcBorders>
              <w:top w:val="single" w:sz="4" w:space="0" w:color="auto"/>
              <w:bottom w:val="single" w:sz="4" w:space="0" w:color="auto"/>
            </w:tcBorders>
            <w:tcMar>
              <w:top w:w="15" w:type="dxa"/>
              <w:left w:w="137" w:type="dxa"/>
              <w:bottom w:w="137" w:type="dxa"/>
              <w:right w:w="137" w:type="dxa"/>
            </w:tcMar>
            <w:vAlign w:val="bottom"/>
            <w:hideMark/>
          </w:tcPr>
          <w:p w14:paraId="4F1A86B6" w14:textId="77777777" w:rsidR="001D0282" w:rsidRPr="00DB5007" w:rsidRDefault="001D0282" w:rsidP="0066429D">
            <w:pPr>
              <w:spacing w:line="240" w:lineRule="auto"/>
              <w:jc w:val="both"/>
              <w:rPr>
                <w:rFonts w:ascii="Times New Roman" w:hAnsi="Times New Roman" w:cs="Times New Roman"/>
                <w:b/>
                <w:bCs/>
              </w:rPr>
            </w:pPr>
            <w:r w:rsidRPr="00DB5007">
              <w:rPr>
                <w:rFonts w:ascii="Times New Roman" w:hAnsi="Times New Roman" w:cs="Times New Roman"/>
                <w:b/>
                <w:bCs/>
              </w:rPr>
              <w:t>Nodes</w:t>
            </w:r>
          </w:p>
        </w:tc>
        <w:tc>
          <w:tcPr>
            <w:tcW w:w="1188" w:type="dxa"/>
            <w:tcBorders>
              <w:top w:val="single" w:sz="4" w:space="0" w:color="auto"/>
              <w:bottom w:val="single" w:sz="4" w:space="0" w:color="auto"/>
            </w:tcBorders>
            <w:tcMar>
              <w:top w:w="15" w:type="dxa"/>
              <w:left w:w="137" w:type="dxa"/>
              <w:bottom w:w="137" w:type="dxa"/>
              <w:right w:w="137" w:type="dxa"/>
            </w:tcMar>
            <w:vAlign w:val="bottom"/>
            <w:hideMark/>
          </w:tcPr>
          <w:p w14:paraId="47AEDCB8" w14:textId="77777777" w:rsidR="001D0282" w:rsidRPr="00DB5007" w:rsidRDefault="001D0282" w:rsidP="0066429D">
            <w:pPr>
              <w:spacing w:line="240" w:lineRule="auto"/>
              <w:jc w:val="both"/>
              <w:rPr>
                <w:rFonts w:ascii="Times New Roman" w:hAnsi="Times New Roman" w:cs="Times New Roman"/>
                <w:b/>
                <w:bCs/>
              </w:rPr>
            </w:pPr>
            <w:r w:rsidRPr="00DB5007">
              <w:rPr>
                <w:rFonts w:ascii="Times New Roman" w:hAnsi="Times New Roman" w:cs="Times New Roman"/>
                <w:b/>
                <w:bCs/>
              </w:rPr>
              <w:t>Edges</w:t>
            </w:r>
          </w:p>
        </w:tc>
        <w:tc>
          <w:tcPr>
            <w:tcW w:w="1027" w:type="dxa"/>
            <w:tcBorders>
              <w:top w:val="single" w:sz="4" w:space="0" w:color="auto"/>
              <w:bottom w:val="single" w:sz="4" w:space="0" w:color="auto"/>
            </w:tcBorders>
            <w:tcMar>
              <w:top w:w="15" w:type="dxa"/>
              <w:left w:w="137" w:type="dxa"/>
              <w:bottom w:w="137" w:type="dxa"/>
              <w:right w:w="137" w:type="dxa"/>
            </w:tcMar>
            <w:vAlign w:val="bottom"/>
            <w:hideMark/>
          </w:tcPr>
          <w:p w14:paraId="1A564834" w14:textId="77777777" w:rsidR="001D0282" w:rsidRPr="00DB5007" w:rsidRDefault="001D0282" w:rsidP="0066429D">
            <w:pPr>
              <w:spacing w:line="240" w:lineRule="auto"/>
              <w:jc w:val="both"/>
              <w:rPr>
                <w:rFonts w:ascii="Times New Roman" w:hAnsi="Times New Roman" w:cs="Times New Roman"/>
                <w:b/>
                <w:bCs/>
              </w:rPr>
            </w:pPr>
            <w:r w:rsidRPr="00DB5007">
              <w:rPr>
                <w:rFonts w:ascii="Times New Roman" w:hAnsi="Times New Roman" w:cs="Times New Roman"/>
                <w:b/>
                <w:bCs/>
              </w:rPr>
              <w:t>Training Time (GPU)</w:t>
            </w:r>
          </w:p>
        </w:tc>
        <w:tc>
          <w:tcPr>
            <w:tcW w:w="1145" w:type="dxa"/>
            <w:tcBorders>
              <w:top w:val="single" w:sz="4" w:space="0" w:color="auto"/>
              <w:bottom w:val="single" w:sz="4" w:space="0" w:color="auto"/>
            </w:tcBorders>
            <w:tcMar>
              <w:top w:w="15" w:type="dxa"/>
              <w:left w:w="137" w:type="dxa"/>
              <w:bottom w:w="137" w:type="dxa"/>
              <w:right w:w="137" w:type="dxa"/>
            </w:tcMar>
            <w:vAlign w:val="bottom"/>
            <w:hideMark/>
          </w:tcPr>
          <w:p w14:paraId="7B1C9FB2" w14:textId="77777777" w:rsidR="001D0282" w:rsidRPr="00DB5007" w:rsidRDefault="001D0282" w:rsidP="0066429D">
            <w:pPr>
              <w:spacing w:line="240" w:lineRule="auto"/>
              <w:jc w:val="both"/>
              <w:rPr>
                <w:rFonts w:ascii="Times New Roman" w:hAnsi="Times New Roman" w:cs="Times New Roman"/>
                <w:b/>
                <w:bCs/>
              </w:rPr>
            </w:pPr>
            <w:r w:rsidRPr="00DB5007">
              <w:rPr>
                <w:rFonts w:ascii="Times New Roman" w:hAnsi="Times New Roman" w:cs="Times New Roman"/>
                <w:b/>
                <w:bCs/>
              </w:rPr>
              <w:t>Inference/1K Trans (</w:t>
            </w:r>
            <w:proofErr w:type="spellStart"/>
            <w:r w:rsidRPr="00DB5007">
              <w:rPr>
                <w:rFonts w:ascii="Times New Roman" w:hAnsi="Times New Roman" w:cs="Times New Roman"/>
                <w:b/>
                <w:bCs/>
              </w:rPr>
              <w:t>ms</w:t>
            </w:r>
            <w:proofErr w:type="spellEnd"/>
            <w:r w:rsidRPr="00DB5007">
              <w:rPr>
                <w:rFonts w:ascii="Times New Roman" w:hAnsi="Times New Roman" w:cs="Times New Roman"/>
                <w:b/>
                <w:bCs/>
              </w:rPr>
              <w:t>)</w:t>
            </w:r>
          </w:p>
        </w:tc>
        <w:tc>
          <w:tcPr>
            <w:tcW w:w="990" w:type="dxa"/>
            <w:gridSpan w:val="2"/>
            <w:tcBorders>
              <w:top w:val="single" w:sz="4" w:space="0" w:color="auto"/>
              <w:bottom w:val="single" w:sz="4" w:space="0" w:color="auto"/>
            </w:tcBorders>
            <w:tcMar>
              <w:top w:w="15" w:type="dxa"/>
              <w:left w:w="137" w:type="dxa"/>
              <w:bottom w:w="137" w:type="dxa"/>
              <w:right w:w="137" w:type="dxa"/>
            </w:tcMar>
            <w:vAlign w:val="bottom"/>
            <w:hideMark/>
          </w:tcPr>
          <w:p w14:paraId="14276155" w14:textId="77777777" w:rsidR="001D0282" w:rsidRPr="00DB5007" w:rsidRDefault="001D0282" w:rsidP="0066429D">
            <w:pPr>
              <w:spacing w:line="240" w:lineRule="auto"/>
              <w:jc w:val="both"/>
              <w:rPr>
                <w:rFonts w:ascii="Times New Roman" w:hAnsi="Times New Roman" w:cs="Times New Roman"/>
                <w:b/>
                <w:bCs/>
              </w:rPr>
            </w:pPr>
            <w:r w:rsidRPr="00DB5007">
              <w:rPr>
                <w:rFonts w:ascii="Times New Roman" w:hAnsi="Times New Roman" w:cs="Times New Roman"/>
                <w:b/>
                <w:bCs/>
              </w:rPr>
              <w:t>Memory (GB)</w:t>
            </w:r>
          </w:p>
        </w:tc>
        <w:tc>
          <w:tcPr>
            <w:tcW w:w="900" w:type="dxa"/>
            <w:tcBorders>
              <w:top w:val="single" w:sz="4" w:space="0" w:color="auto"/>
              <w:bottom w:val="single" w:sz="4" w:space="0" w:color="auto"/>
            </w:tcBorders>
            <w:tcMar>
              <w:top w:w="15" w:type="dxa"/>
              <w:left w:w="137" w:type="dxa"/>
              <w:bottom w:w="137" w:type="dxa"/>
              <w:right w:w="137" w:type="dxa"/>
            </w:tcMar>
            <w:vAlign w:val="bottom"/>
            <w:hideMark/>
          </w:tcPr>
          <w:p w14:paraId="45CDC27C" w14:textId="77777777" w:rsidR="001D0282" w:rsidRPr="00DB5007" w:rsidRDefault="001D0282" w:rsidP="0066429D">
            <w:pPr>
              <w:spacing w:line="240" w:lineRule="auto"/>
              <w:jc w:val="both"/>
              <w:rPr>
                <w:rFonts w:ascii="Times New Roman" w:hAnsi="Times New Roman" w:cs="Times New Roman"/>
                <w:b/>
                <w:bCs/>
              </w:rPr>
            </w:pPr>
            <w:r w:rsidRPr="00DB5007">
              <w:rPr>
                <w:rFonts w:ascii="Times New Roman" w:hAnsi="Times New Roman" w:cs="Times New Roman"/>
                <w:b/>
                <w:bCs/>
              </w:rPr>
              <w:t>AUC-ROC</w:t>
            </w:r>
          </w:p>
        </w:tc>
        <w:tc>
          <w:tcPr>
            <w:tcW w:w="810" w:type="dxa"/>
            <w:tcBorders>
              <w:top w:val="single" w:sz="4" w:space="0" w:color="auto"/>
              <w:bottom w:val="single" w:sz="4" w:space="0" w:color="auto"/>
            </w:tcBorders>
            <w:tcMar>
              <w:top w:w="15" w:type="dxa"/>
              <w:left w:w="137" w:type="dxa"/>
              <w:bottom w:w="137" w:type="dxa"/>
              <w:right w:w="15" w:type="dxa"/>
            </w:tcMar>
            <w:vAlign w:val="bottom"/>
            <w:hideMark/>
          </w:tcPr>
          <w:p w14:paraId="01AAE944" w14:textId="77777777" w:rsidR="001D0282" w:rsidRPr="00DB5007" w:rsidRDefault="001D0282" w:rsidP="0066429D">
            <w:pPr>
              <w:spacing w:line="240" w:lineRule="auto"/>
              <w:jc w:val="both"/>
              <w:rPr>
                <w:rFonts w:ascii="Times New Roman" w:hAnsi="Times New Roman" w:cs="Times New Roman"/>
                <w:b/>
                <w:bCs/>
              </w:rPr>
            </w:pPr>
            <w:r w:rsidRPr="00DB5007">
              <w:rPr>
                <w:rFonts w:ascii="Times New Roman" w:hAnsi="Times New Roman" w:cs="Times New Roman"/>
                <w:b/>
                <w:bCs/>
              </w:rPr>
              <w:t>F1-Score</w:t>
            </w:r>
          </w:p>
        </w:tc>
      </w:tr>
      <w:tr w:rsidR="001D0282" w:rsidRPr="00DB5007" w14:paraId="0FAC18BF" w14:textId="77777777" w:rsidTr="004C0AA7">
        <w:tc>
          <w:tcPr>
            <w:tcW w:w="900" w:type="dxa"/>
            <w:tcBorders>
              <w:top w:val="single" w:sz="4" w:space="0" w:color="auto"/>
            </w:tcBorders>
            <w:tcMar>
              <w:top w:w="137" w:type="dxa"/>
              <w:left w:w="0" w:type="dxa"/>
              <w:bottom w:w="137" w:type="dxa"/>
              <w:right w:w="137" w:type="dxa"/>
            </w:tcMar>
            <w:vAlign w:val="bottom"/>
            <w:hideMark/>
          </w:tcPr>
          <w:p w14:paraId="2AB20F90"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Small</w:t>
            </w:r>
          </w:p>
        </w:tc>
        <w:tc>
          <w:tcPr>
            <w:tcW w:w="1313" w:type="dxa"/>
            <w:tcBorders>
              <w:top w:val="single" w:sz="4" w:space="0" w:color="auto"/>
            </w:tcBorders>
            <w:tcMar>
              <w:top w:w="137" w:type="dxa"/>
              <w:left w:w="137" w:type="dxa"/>
              <w:bottom w:w="137" w:type="dxa"/>
              <w:right w:w="137" w:type="dxa"/>
            </w:tcMar>
            <w:vAlign w:val="bottom"/>
            <w:hideMark/>
          </w:tcPr>
          <w:p w14:paraId="0C0BC80E"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10,000</w:t>
            </w:r>
          </w:p>
        </w:tc>
        <w:tc>
          <w:tcPr>
            <w:tcW w:w="1087" w:type="dxa"/>
            <w:tcBorders>
              <w:top w:val="single" w:sz="4" w:space="0" w:color="auto"/>
            </w:tcBorders>
            <w:tcMar>
              <w:top w:w="137" w:type="dxa"/>
              <w:left w:w="137" w:type="dxa"/>
              <w:bottom w:w="137" w:type="dxa"/>
              <w:right w:w="137" w:type="dxa"/>
            </w:tcMar>
            <w:vAlign w:val="bottom"/>
            <w:hideMark/>
          </w:tcPr>
          <w:p w14:paraId="3B06722A"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28,547</w:t>
            </w:r>
          </w:p>
        </w:tc>
        <w:tc>
          <w:tcPr>
            <w:tcW w:w="1188" w:type="dxa"/>
            <w:tcBorders>
              <w:top w:val="single" w:sz="4" w:space="0" w:color="auto"/>
            </w:tcBorders>
            <w:tcMar>
              <w:top w:w="137" w:type="dxa"/>
              <w:left w:w="137" w:type="dxa"/>
              <w:bottom w:w="137" w:type="dxa"/>
              <w:right w:w="137" w:type="dxa"/>
            </w:tcMar>
            <w:vAlign w:val="bottom"/>
            <w:hideMark/>
          </w:tcPr>
          <w:p w14:paraId="01568E20"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85,234</w:t>
            </w:r>
          </w:p>
        </w:tc>
        <w:tc>
          <w:tcPr>
            <w:tcW w:w="1027" w:type="dxa"/>
            <w:tcBorders>
              <w:top w:val="single" w:sz="4" w:space="0" w:color="auto"/>
            </w:tcBorders>
            <w:tcMar>
              <w:top w:w="137" w:type="dxa"/>
              <w:left w:w="137" w:type="dxa"/>
              <w:bottom w:w="137" w:type="dxa"/>
              <w:right w:w="137" w:type="dxa"/>
            </w:tcMar>
            <w:vAlign w:val="bottom"/>
            <w:hideMark/>
          </w:tcPr>
          <w:p w14:paraId="7097256F"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45 sec</w:t>
            </w:r>
          </w:p>
        </w:tc>
        <w:tc>
          <w:tcPr>
            <w:tcW w:w="1145" w:type="dxa"/>
            <w:tcBorders>
              <w:top w:val="single" w:sz="4" w:space="0" w:color="auto"/>
            </w:tcBorders>
            <w:tcMar>
              <w:top w:w="137" w:type="dxa"/>
              <w:left w:w="137" w:type="dxa"/>
              <w:bottom w:w="137" w:type="dxa"/>
              <w:right w:w="137" w:type="dxa"/>
            </w:tcMar>
            <w:vAlign w:val="bottom"/>
            <w:hideMark/>
          </w:tcPr>
          <w:p w14:paraId="7183FBEC"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0.8</w:t>
            </w:r>
          </w:p>
        </w:tc>
        <w:tc>
          <w:tcPr>
            <w:tcW w:w="900" w:type="dxa"/>
            <w:tcBorders>
              <w:top w:val="single" w:sz="4" w:space="0" w:color="auto"/>
            </w:tcBorders>
            <w:tcMar>
              <w:top w:w="137" w:type="dxa"/>
              <w:left w:w="137" w:type="dxa"/>
              <w:bottom w:w="137" w:type="dxa"/>
              <w:right w:w="137" w:type="dxa"/>
            </w:tcMar>
            <w:vAlign w:val="bottom"/>
            <w:hideMark/>
          </w:tcPr>
          <w:p w14:paraId="6F6487FD"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2.1</w:t>
            </w:r>
          </w:p>
        </w:tc>
        <w:tc>
          <w:tcPr>
            <w:tcW w:w="990" w:type="dxa"/>
            <w:gridSpan w:val="2"/>
            <w:tcBorders>
              <w:top w:val="single" w:sz="4" w:space="0" w:color="auto"/>
            </w:tcBorders>
            <w:tcMar>
              <w:top w:w="137" w:type="dxa"/>
              <w:left w:w="137" w:type="dxa"/>
              <w:bottom w:w="137" w:type="dxa"/>
              <w:right w:w="137" w:type="dxa"/>
            </w:tcMar>
            <w:vAlign w:val="bottom"/>
            <w:hideMark/>
          </w:tcPr>
          <w:p w14:paraId="7EC1ED77"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0.863</w:t>
            </w:r>
          </w:p>
        </w:tc>
        <w:tc>
          <w:tcPr>
            <w:tcW w:w="810" w:type="dxa"/>
            <w:tcBorders>
              <w:top w:val="single" w:sz="4" w:space="0" w:color="auto"/>
            </w:tcBorders>
            <w:tcMar>
              <w:top w:w="137" w:type="dxa"/>
              <w:left w:w="137" w:type="dxa"/>
              <w:bottom w:w="137" w:type="dxa"/>
              <w:right w:w="0" w:type="dxa"/>
            </w:tcMar>
            <w:vAlign w:val="bottom"/>
            <w:hideMark/>
          </w:tcPr>
          <w:p w14:paraId="70BFF878"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0.712</w:t>
            </w:r>
          </w:p>
        </w:tc>
      </w:tr>
      <w:tr w:rsidR="001D0282" w:rsidRPr="00DB5007" w14:paraId="753ACC63" w14:textId="77777777" w:rsidTr="004C0AA7">
        <w:tc>
          <w:tcPr>
            <w:tcW w:w="900" w:type="dxa"/>
            <w:tcMar>
              <w:top w:w="137" w:type="dxa"/>
              <w:left w:w="0" w:type="dxa"/>
              <w:bottom w:w="137" w:type="dxa"/>
              <w:right w:w="137" w:type="dxa"/>
            </w:tcMar>
            <w:vAlign w:val="bottom"/>
            <w:hideMark/>
          </w:tcPr>
          <w:p w14:paraId="583E0252"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Medium</w:t>
            </w:r>
          </w:p>
        </w:tc>
        <w:tc>
          <w:tcPr>
            <w:tcW w:w="1313" w:type="dxa"/>
            <w:tcMar>
              <w:top w:w="137" w:type="dxa"/>
              <w:left w:w="137" w:type="dxa"/>
              <w:bottom w:w="137" w:type="dxa"/>
              <w:right w:w="137" w:type="dxa"/>
            </w:tcMar>
            <w:vAlign w:val="bottom"/>
            <w:hideMark/>
          </w:tcPr>
          <w:p w14:paraId="5DEBE0B3"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100,000</w:t>
            </w:r>
          </w:p>
        </w:tc>
        <w:tc>
          <w:tcPr>
            <w:tcW w:w="1087" w:type="dxa"/>
            <w:tcMar>
              <w:top w:w="137" w:type="dxa"/>
              <w:left w:w="137" w:type="dxa"/>
              <w:bottom w:w="137" w:type="dxa"/>
              <w:right w:w="137" w:type="dxa"/>
            </w:tcMar>
            <w:vAlign w:val="bottom"/>
            <w:hideMark/>
          </w:tcPr>
          <w:p w14:paraId="3D1815DC"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124,893</w:t>
            </w:r>
          </w:p>
        </w:tc>
        <w:tc>
          <w:tcPr>
            <w:tcW w:w="1188" w:type="dxa"/>
            <w:tcMar>
              <w:top w:w="137" w:type="dxa"/>
              <w:left w:w="137" w:type="dxa"/>
              <w:bottom w:w="137" w:type="dxa"/>
              <w:right w:w="137" w:type="dxa"/>
            </w:tcMar>
            <w:vAlign w:val="bottom"/>
            <w:hideMark/>
          </w:tcPr>
          <w:p w14:paraId="600B62CD"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542,187</w:t>
            </w:r>
          </w:p>
        </w:tc>
        <w:tc>
          <w:tcPr>
            <w:tcW w:w="1027" w:type="dxa"/>
            <w:tcMar>
              <w:top w:w="137" w:type="dxa"/>
              <w:left w:w="137" w:type="dxa"/>
              <w:bottom w:w="137" w:type="dxa"/>
              <w:right w:w="137" w:type="dxa"/>
            </w:tcMar>
            <w:vAlign w:val="bottom"/>
            <w:hideMark/>
          </w:tcPr>
          <w:p w14:paraId="2FDA300F"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8.2 min</w:t>
            </w:r>
          </w:p>
        </w:tc>
        <w:tc>
          <w:tcPr>
            <w:tcW w:w="1145" w:type="dxa"/>
            <w:tcMar>
              <w:top w:w="137" w:type="dxa"/>
              <w:left w:w="137" w:type="dxa"/>
              <w:bottom w:w="137" w:type="dxa"/>
              <w:right w:w="137" w:type="dxa"/>
            </w:tcMar>
            <w:vAlign w:val="bottom"/>
            <w:hideMark/>
          </w:tcPr>
          <w:p w14:paraId="60728444"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1.2</w:t>
            </w:r>
          </w:p>
        </w:tc>
        <w:tc>
          <w:tcPr>
            <w:tcW w:w="900" w:type="dxa"/>
            <w:tcMar>
              <w:top w:w="137" w:type="dxa"/>
              <w:left w:w="137" w:type="dxa"/>
              <w:bottom w:w="137" w:type="dxa"/>
              <w:right w:w="137" w:type="dxa"/>
            </w:tcMar>
            <w:vAlign w:val="bottom"/>
            <w:hideMark/>
          </w:tcPr>
          <w:p w14:paraId="24491639"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4.8</w:t>
            </w:r>
          </w:p>
        </w:tc>
        <w:tc>
          <w:tcPr>
            <w:tcW w:w="990" w:type="dxa"/>
            <w:gridSpan w:val="2"/>
            <w:tcMar>
              <w:top w:w="137" w:type="dxa"/>
              <w:left w:w="137" w:type="dxa"/>
              <w:bottom w:w="137" w:type="dxa"/>
              <w:right w:w="137" w:type="dxa"/>
            </w:tcMar>
            <w:vAlign w:val="bottom"/>
            <w:hideMark/>
          </w:tcPr>
          <w:p w14:paraId="22E6434E"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0.872</w:t>
            </w:r>
          </w:p>
        </w:tc>
        <w:tc>
          <w:tcPr>
            <w:tcW w:w="810" w:type="dxa"/>
            <w:tcMar>
              <w:top w:w="137" w:type="dxa"/>
              <w:left w:w="137" w:type="dxa"/>
              <w:bottom w:w="137" w:type="dxa"/>
              <w:right w:w="0" w:type="dxa"/>
            </w:tcMar>
            <w:vAlign w:val="bottom"/>
            <w:hideMark/>
          </w:tcPr>
          <w:p w14:paraId="76B0BC75"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0.729</w:t>
            </w:r>
          </w:p>
        </w:tc>
      </w:tr>
      <w:tr w:rsidR="001D0282" w:rsidRPr="00DB5007" w14:paraId="73BAB04B" w14:textId="77777777" w:rsidTr="004C0AA7">
        <w:tc>
          <w:tcPr>
            <w:tcW w:w="900" w:type="dxa"/>
            <w:tcMar>
              <w:top w:w="137" w:type="dxa"/>
              <w:left w:w="0" w:type="dxa"/>
              <w:bottom w:w="137" w:type="dxa"/>
              <w:right w:w="137" w:type="dxa"/>
            </w:tcMar>
            <w:vAlign w:val="bottom"/>
            <w:hideMark/>
          </w:tcPr>
          <w:p w14:paraId="6BBFE3C7"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Large</w:t>
            </w:r>
          </w:p>
        </w:tc>
        <w:tc>
          <w:tcPr>
            <w:tcW w:w="1313" w:type="dxa"/>
            <w:tcMar>
              <w:top w:w="137" w:type="dxa"/>
              <w:left w:w="137" w:type="dxa"/>
              <w:bottom w:w="137" w:type="dxa"/>
              <w:right w:w="137" w:type="dxa"/>
            </w:tcMar>
            <w:vAlign w:val="bottom"/>
            <w:hideMark/>
          </w:tcPr>
          <w:p w14:paraId="3B924633"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560,000</w:t>
            </w:r>
          </w:p>
        </w:tc>
        <w:tc>
          <w:tcPr>
            <w:tcW w:w="1087" w:type="dxa"/>
            <w:tcMar>
              <w:top w:w="137" w:type="dxa"/>
              <w:left w:w="137" w:type="dxa"/>
              <w:bottom w:w="137" w:type="dxa"/>
              <w:right w:w="137" w:type="dxa"/>
            </w:tcMar>
            <w:vAlign w:val="bottom"/>
            <w:hideMark/>
          </w:tcPr>
          <w:p w14:paraId="759BE492"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645,238</w:t>
            </w:r>
          </w:p>
        </w:tc>
        <w:tc>
          <w:tcPr>
            <w:tcW w:w="1188" w:type="dxa"/>
            <w:tcMar>
              <w:top w:w="137" w:type="dxa"/>
              <w:left w:w="137" w:type="dxa"/>
              <w:bottom w:w="137" w:type="dxa"/>
              <w:right w:w="137" w:type="dxa"/>
            </w:tcMar>
            <w:vAlign w:val="bottom"/>
            <w:hideMark/>
          </w:tcPr>
          <w:p w14:paraId="789CB144"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2,847,394</w:t>
            </w:r>
          </w:p>
        </w:tc>
        <w:tc>
          <w:tcPr>
            <w:tcW w:w="1027" w:type="dxa"/>
            <w:tcMar>
              <w:top w:w="137" w:type="dxa"/>
              <w:left w:w="137" w:type="dxa"/>
              <w:bottom w:w="137" w:type="dxa"/>
              <w:right w:w="137" w:type="dxa"/>
            </w:tcMar>
            <w:vAlign w:val="bottom"/>
            <w:hideMark/>
          </w:tcPr>
          <w:p w14:paraId="2E498433"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47 min</w:t>
            </w:r>
          </w:p>
        </w:tc>
        <w:tc>
          <w:tcPr>
            <w:tcW w:w="1145" w:type="dxa"/>
            <w:tcMar>
              <w:top w:w="137" w:type="dxa"/>
              <w:left w:w="137" w:type="dxa"/>
              <w:bottom w:w="137" w:type="dxa"/>
              <w:right w:w="137" w:type="dxa"/>
            </w:tcMar>
            <w:vAlign w:val="bottom"/>
            <w:hideMark/>
          </w:tcPr>
          <w:p w14:paraId="5561742A"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1.8</w:t>
            </w:r>
          </w:p>
        </w:tc>
        <w:tc>
          <w:tcPr>
            <w:tcW w:w="900" w:type="dxa"/>
            <w:tcMar>
              <w:top w:w="137" w:type="dxa"/>
              <w:left w:w="137" w:type="dxa"/>
              <w:bottom w:w="137" w:type="dxa"/>
              <w:right w:w="137" w:type="dxa"/>
            </w:tcMar>
            <w:vAlign w:val="bottom"/>
            <w:hideMark/>
          </w:tcPr>
          <w:p w14:paraId="16B24EB8"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11.3</w:t>
            </w:r>
          </w:p>
        </w:tc>
        <w:tc>
          <w:tcPr>
            <w:tcW w:w="990" w:type="dxa"/>
            <w:gridSpan w:val="2"/>
            <w:tcMar>
              <w:top w:w="137" w:type="dxa"/>
              <w:left w:w="137" w:type="dxa"/>
              <w:bottom w:w="137" w:type="dxa"/>
              <w:right w:w="137" w:type="dxa"/>
            </w:tcMar>
            <w:vAlign w:val="bottom"/>
            <w:hideMark/>
          </w:tcPr>
          <w:p w14:paraId="5182AC0E"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0.874</w:t>
            </w:r>
          </w:p>
        </w:tc>
        <w:tc>
          <w:tcPr>
            <w:tcW w:w="810" w:type="dxa"/>
            <w:tcMar>
              <w:top w:w="137" w:type="dxa"/>
              <w:left w:w="137" w:type="dxa"/>
              <w:bottom w:w="137" w:type="dxa"/>
              <w:right w:w="0" w:type="dxa"/>
            </w:tcMar>
            <w:vAlign w:val="bottom"/>
            <w:hideMark/>
          </w:tcPr>
          <w:p w14:paraId="1D0F6C4E"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0.734</w:t>
            </w:r>
          </w:p>
        </w:tc>
      </w:tr>
      <w:tr w:rsidR="001D0282" w:rsidRPr="00DB5007" w14:paraId="6E3B9018" w14:textId="77777777" w:rsidTr="004C0AA7">
        <w:tc>
          <w:tcPr>
            <w:tcW w:w="900" w:type="dxa"/>
            <w:tcMar>
              <w:top w:w="137" w:type="dxa"/>
              <w:left w:w="0" w:type="dxa"/>
              <w:bottom w:w="137" w:type="dxa"/>
              <w:right w:w="137" w:type="dxa"/>
            </w:tcMar>
            <w:vAlign w:val="bottom"/>
            <w:hideMark/>
          </w:tcPr>
          <w:p w14:paraId="5C0A23C8"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Very Large</w:t>
            </w:r>
          </w:p>
        </w:tc>
        <w:tc>
          <w:tcPr>
            <w:tcW w:w="1313" w:type="dxa"/>
            <w:tcMar>
              <w:top w:w="137" w:type="dxa"/>
              <w:left w:w="137" w:type="dxa"/>
              <w:bottom w:w="137" w:type="dxa"/>
              <w:right w:w="137" w:type="dxa"/>
            </w:tcMar>
            <w:vAlign w:val="bottom"/>
            <w:hideMark/>
          </w:tcPr>
          <w:p w14:paraId="0C0B9749"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2,000,000</w:t>
            </w:r>
          </w:p>
        </w:tc>
        <w:tc>
          <w:tcPr>
            <w:tcW w:w="1087" w:type="dxa"/>
            <w:tcMar>
              <w:top w:w="137" w:type="dxa"/>
              <w:left w:w="137" w:type="dxa"/>
              <w:bottom w:w="137" w:type="dxa"/>
              <w:right w:w="137" w:type="dxa"/>
            </w:tcMar>
            <w:vAlign w:val="bottom"/>
            <w:hideMark/>
          </w:tcPr>
          <w:p w14:paraId="33B78704"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1,847,293</w:t>
            </w:r>
          </w:p>
        </w:tc>
        <w:tc>
          <w:tcPr>
            <w:tcW w:w="1188" w:type="dxa"/>
            <w:tcMar>
              <w:top w:w="137" w:type="dxa"/>
              <w:left w:w="137" w:type="dxa"/>
              <w:bottom w:w="137" w:type="dxa"/>
              <w:right w:w="137" w:type="dxa"/>
            </w:tcMar>
            <w:vAlign w:val="bottom"/>
            <w:hideMark/>
          </w:tcPr>
          <w:p w14:paraId="22C36079"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8,234,847</w:t>
            </w:r>
          </w:p>
        </w:tc>
        <w:tc>
          <w:tcPr>
            <w:tcW w:w="1027" w:type="dxa"/>
            <w:tcMar>
              <w:top w:w="137" w:type="dxa"/>
              <w:left w:w="137" w:type="dxa"/>
              <w:bottom w:w="137" w:type="dxa"/>
              <w:right w:w="137" w:type="dxa"/>
            </w:tcMar>
            <w:vAlign w:val="bottom"/>
            <w:hideMark/>
          </w:tcPr>
          <w:p w14:paraId="3C58C864"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 xml:space="preserve">3.2 </w:t>
            </w:r>
            <w:proofErr w:type="spellStart"/>
            <w:r w:rsidRPr="00DB5007">
              <w:rPr>
                <w:rFonts w:ascii="Times New Roman" w:hAnsi="Times New Roman" w:cs="Times New Roman"/>
              </w:rPr>
              <w:t>hrs</w:t>
            </w:r>
            <w:proofErr w:type="spellEnd"/>
          </w:p>
        </w:tc>
        <w:tc>
          <w:tcPr>
            <w:tcW w:w="1145" w:type="dxa"/>
            <w:tcMar>
              <w:top w:w="137" w:type="dxa"/>
              <w:left w:w="137" w:type="dxa"/>
              <w:bottom w:w="137" w:type="dxa"/>
              <w:right w:w="137" w:type="dxa"/>
            </w:tcMar>
            <w:vAlign w:val="bottom"/>
            <w:hideMark/>
          </w:tcPr>
          <w:p w14:paraId="350C7447"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2.4</w:t>
            </w:r>
          </w:p>
        </w:tc>
        <w:tc>
          <w:tcPr>
            <w:tcW w:w="900" w:type="dxa"/>
            <w:tcMar>
              <w:top w:w="137" w:type="dxa"/>
              <w:left w:w="137" w:type="dxa"/>
              <w:bottom w:w="137" w:type="dxa"/>
              <w:right w:w="137" w:type="dxa"/>
            </w:tcMar>
            <w:vAlign w:val="bottom"/>
            <w:hideMark/>
          </w:tcPr>
          <w:p w14:paraId="39D59A5D"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28.7</w:t>
            </w:r>
          </w:p>
        </w:tc>
        <w:tc>
          <w:tcPr>
            <w:tcW w:w="990" w:type="dxa"/>
            <w:gridSpan w:val="2"/>
            <w:tcMar>
              <w:top w:w="137" w:type="dxa"/>
              <w:left w:w="137" w:type="dxa"/>
              <w:bottom w:w="137" w:type="dxa"/>
              <w:right w:w="137" w:type="dxa"/>
            </w:tcMar>
            <w:vAlign w:val="bottom"/>
            <w:hideMark/>
          </w:tcPr>
          <w:p w14:paraId="528FC211"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0.876</w:t>
            </w:r>
          </w:p>
        </w:tc>
        <w:tc>
          <w:tcPr>
            <w:tcW w:w="810" w:type="dxa"/>
            <w:tcMar>
              <w:top w:w="137" w:type="dxa"/>
              <w:left w:w="137" w:type="dxa"/>
              <w:bottom w:w="137" w:type="dxa"/>
              <w:right w:w="0" w:type="dxa"/>
            </w:tcMar>
            <w:vAlign w:val="bottom"/>
            <w:hideMark/>
          </w:tcPr>
          <w:p w14:paraId="7014EFAC"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0.740</w:t>
            </w:r>
          </w:p>
        </w:tc>
      </w:tr>
      <w:tr w:rsidR="001D0282" w:rsidRPr="00DB5007" w14:paraId="24134270" w14:textId="77777777" w:rsidTr="004C0AA7">
        <w:tc>
          <w:tcPr>
            <w:tcW w:w="900" w:type="dxa"/>
            <w:tcBorders>
              <w:bottom w:val="single" w:sz="4" w:space="0" w:color="auto"/>
            </w:tcBorders>
            <w:tcMar>
              <w:top w:w="137" w:type="dxa"/>
              <w:left w:w="0" w:type="dxa"/>
              <w:bottom w:w="137" w:type="dxa"/>
              <w:right w:w="137" w:type="dxa"/>
            </w:tcMar>
            <w:vAlign w:val="bottom"/>
            <w:hideMark/>
          </w:tcPr>
          <w:p w14:paraId="7E13D73C"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Extreme</w:t>
            </w:r>
          </w:p>
        </w:tc>
        <w:tc>
          <w:tcPr>
            <w:tcW w:w="1313" w:type="dxa"/>
            <w:tcBorders>
              <w:bottom w:val="single" w:sz="4" w:space="0" w:color="auto"/>
            </w:tcBorders>
            <w:tcMar>
              <w:top w:w="137" w:type="dxa"/>
              <w:left w:w="137" w:type="dxa"/>
              <w:bottom w:w="137" w:type="dxa"/>
              <w:right w:w="137" w:type="dxa"/>
            </w:tcMar>
            <w:vAlign w:val="bottom"/>
            <w:hideMark/>
          </w:tcPr>
          <w:p w14:paraId="5A351600"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5,600,000</w:t>
            </w:r>
          </w:p>
        </w:tc>
        <w:tc>
          <w:tcPr>
            <w:tcW w:w="1087" w:type="dxa"/>
            <w:tcBorders>
              <w:bottom w:val="single" w:sz="4" w:space="0" w:color="auto"/>
            </w:tcBorders>
            <w:tcMar>
              <w:top w:w="137" w:type="dxa"/>
              <w:left w:w="137" w:type="dxa"/>
              <w:bottom w:w="137" w:type="dxa"/>
              <w:right w:w="137" w:type="dxa"/>
            </w:tcMar>
            <w:vAlign w:val="bottom"/>
            <w:hideMark/>
          </w:tcPr>
          <w:p w14:paraId="4199EBEC"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3,427,582</w:t>
            </w:r>
          </w:p>
        </w:tc>
        <w:tc>
          <w:tcPr>
            <w:tcW w:w="1188" w:type="dxa"/>
            <w:tcBorders>
              <w:bottom w:val="single" w:sz="4" w:space="0" w:color="auto"/>
            </w:tcBorders>
            <w:tcMar>
              <w:top w:w="137" w:type="dxa"/>
              <w:left w:w="137" w:type="dxa"/>
              <w:bottom w:w="137" w:type="dxa"/>
              <w:right w:w="137" w:type="dxa"/>
            </w:tcMar>
            <w:vAlign w:val="bottom"/>
            <w:hideMark/>
          </w:tcPr>
          <w:p w14:paraId="48FC821E"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15,847,392</w:t>
            </w:r>
          </w:p>
        </w:tc>
        <w:tc>
          <w:tcPr>
            <w:tcW w:w="1027" w:type="dxa"/>
            <w:tcBorders>
              <w:bottom w:val="single" w:sz="4" w:space="0" w:color="auto"/>
            </w:tcBorders>
            <w:tcMar>
              <w:top w:w="137" w:type="dxa"/>
              <w:left w:w="137" w:type="dxa"/>
              <w:bottom w:w="137" w:type="dxa"/>
              <w:right w:w="137" w:type="dxa"/>
            </w:tcMar>
            <w:vAlign w:val="bottom"/>
            <w:hideMark/>
          </w:tcPr>
          <w:p w14:paraId="1A189A62"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 xml:space="preserve">8.7 </w:t>
            </w:r>
            <w:proofErr w:type="spellStart"/>
            <w:r w:rsidRPr="00DB5007">
              <w:rPr>
                <w:rFonts w:ascii="Times New Roman" w:hAnsi="Times New Roman" w:cs="Times New Roman"/>
              </w:rPr>
              <w:t>hrs</w:t>
            </w:r>
            <w:proofErr w:type="spellEnd"/>
          </w:p>
        </w:tc>
        <w:tc>
          <w:tcPr>
            <w:tcW w:w="1145" w:type="dxa"/>
            <w:tcBorders>
              <w:bottom w:val="single" w:sz="4" w:space="0" w:color="auto"/>
            </w:tcBorders>
            <w:tcMar>
              <w:top w:w="137" w:type="dxa"/>
              <w:left w:w="137" w:type="dxa"/>
              <w:bottom w:w="137" w:type="dxa"/>
              <w:right w:w="137" w:type="dxa"/>
            </w:tcMar>
            <w:vAlign w:val="bottom"/>
            <w:hideMark/>
          </w:tcPr>
          <w:p w14:paraId="3CE76124"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3.1</w:t>
            </w:r>
          </w:p>
        </w:tc>
        <w:tc>
          <w:tcPr>
            <w:tcW w:w="900" w:type="dxa"/>
            <w:tcBorders>
              <w:bottom w:val="single" w:sz="4" w:space="0" w:color="auto"/>
            </w:tcBorders>
            <w:tcMar>
              <w:top w:w="137" w:type="dxa"/>
              <w:left w:w="137" w:type="dxa"/>
              <w:bottom w:w="137" w:type="dxa"/>
              <w:right w:w="137" w:type="dxa"/>
            </w:tcMar>
            <w:vAlign w:val="bottom"/>
            <w:hideMark/>
          </w:tcPr>
          <w:p w14:paraId="13867D1E"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64.2</w:t>
            </w:r>
          </w:p>
        </w:tc>
        <w:tc>
          <w:tcPr>
            <w:tcW w:w="990" w:type="dxa"/>
            <w:gridSpan w:val="2"/>
            <w:tcBorders>
              <w:bottom w:val="single" w:sz="4" w:space="0" w:color="auto"/>
            </w:tcBorders>
            <w:tcMar>
              <w:top w:w="137" w:type="dxa"/>
              <w:left w:w="137" w:type="dxa"/>
              <w:bottom w:w="137" w:type="dxa"/>
              <w:right w:w="137" w:type="dxa"/>
            </w:tcMar>
            <w:vAlign w:val="bottom"/>
            <w:hideMark/>
          </w:tcPr>
          <w:p w14:paraId="297AB5FA"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0.877</w:t>
            </w:r>
          </w:p>
        </w:tc>
        <w:tc>
          <w:tcPr>
            <w:tcW w:w="810" w:type="dxa"/>
            <w:tcBorders>
              <w:bottom w:val="single" w:sz="4" w:space="0" w:color="auto"/>
            </w:tcBorders>
            <w:tcMar>
              <w:top w:w="137" w:type="dxa"/>
              <w:left w:w="137" w:type="dxa"/>
              <w:bottom w:w="137" w:type="dxa"/>
              <w:right w:w="0" w:type="dxa"/>
            </w:tcMar>
            <w:vAlign w:val="bottom"/>
            <w:hideMark/>
          </w:tcPr>
          <w:p w14:paraId="63A3F5A2" w14:textId="77777777" w:rsidR="001D0282" w:rsidRPr="00DB5007" w:rsidRDefault="001D0282" w:rsidP="0066429D">
            <w:pPr>
              <w:spacing w:line="240" w:lineRule="auto"/>
              <w:jc w:val="both"/>
              <w:rPr>
                <w:rFonts w:ascii="Times New Roman" w:hAnsi="Times New Roman" w:cs="Times New Roman"/>
              </w:rPr>
            </w:pPr>
            <w:r w:rsidRPr="00DB5007">
              <w:rPr>
                <w:rFonts w:ascii="Times New Roman" w:hAnsi="Times New Roman" w:cs="Times New Roman"/>
              </w:rPr>
              <w:t>0.746</w:t>
            </w:r>
          </w:p>
        </w:tc>
      </w:tr>
    </w:tbl>
    <w:p w14:paraId="11E87C76" w14:textId="0A16821F" w:rsidR="001D0282" w:rsidRPr="00DB5007" w:rsidRDefault="001D0282" w:rsidP="004C0AA7">
      <w:pPr>
        <w:spacing w:before="240" w:line="360" w:lineRule="auto"/>
        <w:jc w:val="both"/>
        <w:rPr>
          <w:rFonts w:ascii="Times New Roman" w:hAnsi="Times New Roman" w:cs="Times New Roman"/>
        </w:rPr>
      </w:pPr>
      <w:r w:rsidRPr="00DB5007">
        <w:rPr>
          <w:rFonts w:ascii="Times New Roman" w:hAnsi="Times New Roman" w:cs="Times New Roman"/>
        </w:rPr>
        <w:t>Privacy evaluations in Table 6 compare central baseline to federated and differential privacy setups, with Area Under the Curve-Receiver Operating Characteristic dropping from 0.874 to 0.847 under combined federated plus differential privacy at epsilon equals 1, precision from 0.893 to 0.853, recall from 0.821 to 0.782, F1 from 0.857 to 0.818, and training time increasing 400 percent due to aggregation overhead, yet maintaining strong utility.</w:t>
      </w:r>
    </w:p>
    <w:p w14:paraId="23BBD16D" w14:textId="6CF5D639" w:rsidR="004C0AA7" w:rsidRPr="007E51AF" w:rsidRDefault="001D0282" w:rsidP="00DB5007">
      <w:pPr>
        <w:spacing w:line="360" w:lineRule="auto"/>
        <w:jc w:val="both"/>
        <w:rPr>
          <w:rFonts w:ascii="Times New Roman" w:hAnsi="Times New Roman" w:cs="Times New Roman"/>
          <w:b/>
          <w:bCs/>
        </w:rPr>
      </w:pPr>
      <w:r w:rsidRPr="007E51AF">
        <w:rPr>
          <w:rFonts w:ascii="Times New Roman" w:hAnsi="Times New Roman" w:cs="Times New Roman"/>
          <w:b/>
          <w:bCs/>
        </w:rPr>
        <w:t>Table 6</w:t>
      </w:r>
    </w:p>
    <w:p w14:paraId="1EFB7012" w14:textId="39EBBCEE" w:rsidR="001D0282" w:rsidRPr="004C0AA7" w:rsidRDefault="001D0282" w:rsidP="00DB5007">
      <w:pPr>
        <w:spacing w:line="360" w:lineRule="auto"/>
        <w:jc w:val="both"/>
        <w:rPr>
          <w:rFonts w:ascii="Times New Roman" w:hAnsi="Times New Roman" w:cs="Times New Roman"/>
          <w:i/>
          <w:iCs/>
        </w:rPr>
      </w:pPr>
      <w:r w:rsidRPr="004C0AA7">
        <w:rPr>
          <w:rFonts w:ascii="Times New Roman" w:hAnsi="Times New Roman" w:cs="Times New Roman"/>
          <w:i/>
          <w:iCs/>
        </w:rPr>
        <w:t>Privacy Mechanism Performance Impacts</w:t>
      </w:r>
    </w:p>
    <w:tbl>
      <w:tblPr>
        <w:tblW w:w="0" w:type="auto"/>
        <w:tblCellMar>
          <w:top w:w="15" w:type="dxa"/>
          <w:left w:w="15" w:type="dxa"/>
          <w:bottom w:w="15" w:type="dxa"/>
          <w:right w:w="15" w:type="dxa"/>
        </w:tblCellMar>
        <w:tblLook w:val="04A0" w:firstRow="1" w:lastRow="0" w:firstColumn="1" w:lastColumn="0" w:noHBand="0" w:noVBand="1"/>
      </w:tblPr>
      <w:tblGrid>
        <w:gridCol w:w="2161"/>
        <w:gridCol w:w="1169"/>
        <w:gridCol w:w="1217"/>
        <w:gridCol w:w="914"/>
        <w:gridCol w:w="1035"/>
        <w:gridCol w:w="1487"/>
        <w:gridCol w:w="1377"/>
      </w:tblGrid>
      <w:tr w:rsidR="001D0282" w:rsidRPr="00DB5007" w14:paraId="44360F31" w14:textId="77777777" w:rsidTr="004C0AA7">
        <w:trPr>
          <w:tblHeader/>
        </w:trPr>
        <w:tc>
          <w:tcPr>
            <w:tcW w:w="0" w:type="auto"/>
            <w:tcBorders>
              <w:top w:val="single" w:sz="4" w:space="0" w:color="auto"/>
              <w:bottom w:val="single" w:sz="4" w:space="0" w:color="auto"/>
            </w:tcBorders>
            <w:tcMar>
              <w:top w:w="15" w:type="dxa"/>
              <w:left w:w="0" w:type="dxa"/>
              <w:bottom w:w="137" w:type="dxa"/>
              <w:right w:w="137" w:type="dxa"/>
            </w:tcMar>
            <w:vAlign w:val="bottom"/>
            <w:hideMark/>
          </w:tcPr>
          <w:p w14:paraId="2F0714AB" w14:textId="77777777" w:rsidR="001D0282" w:rsidRPr="00DB5007" w:rsidRDefault="001D0282" w:rsidP="004C0AA7">
            <w:pPr>
              <w:spacing w:line="240" w:lineRule="auto"/>
              <w:jc w:val="both"/>
              <w:rPr>
                <w:rFonts w:ascii="Times New Roman" w:hAnsi="Times New Roman" w:cs="Times New Roman"/>
                <w:b/>
                <w:bCs/>
              </w:rPr>
            </w:pPr>
            <w:r w:rsidRPr="00DB5007">
              <w:rPr>
                <w:rFonts w:ascii="Times New Roman" w:hAnsi="Times New Roman" w:cs="Times New Roman"/>
                <w:b/>
                <w:bCs/>
              </w:rPr>
              <w:lastRenderedPageBreak/>
              <w:t>Configuration</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3DB0AB74" w14:textId="77777777" w:rsidR="001D0282" w:rsidRPr="00DB5007" w:rsidRDefault="001D0282" w:rsidP="004C0AA7">
            <w:pPr>
              <w:spacing w:line="240" w:lineRule="auto"/>
              <w:jc w:val="both"/>
              <w:rPr>
                <w:rFonts w:ascii="Times New Roman" w:hAnsi="Times New Roman" w:cs="Times New Roman"/>
                <w:b/>
                <w:bCs/>
              </w:rPr>
            </w:pPr>
            <w:r w:rsidRPr="00DB5007">
              <w:rPr>
                <w:rFonts w:ascii="Times New Roman" w:hAnsi="Times New Roman" w:cs="Times New Roman"/>
                <w:b/>
                <w:bCs/>
              </w:rPr>
              <w:t>AUC-ROC</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3DAE57FC" w14:textId="77777777" w:rsidR="001D0282" w:rsidRPr="00DB5007" w:rsidRDefault="001D0282" w:rsidP="004C0AA7">
            <w:pPr>
              <w:spacing w:line="240" w:lineRule="auto"/>
              <w:jc w:val="both"/>
              <w:rPr>
                <w:rFonts w:ascii="Times New Roman" w:hAnsi="Times New Roman" w:cs="Times New Roman"/>
                <w:b/>
                <w:bCs/>
              </w:rPr>
            </w:pPr>
            <w:r w:rsidRPr="00DB5007">
              <w:rPr>
                <w:rFonts w:ascii="Times New Roman" w:hAnsi="Times New Roman" w:cs="Times New Roman"/>
                <w:b/>
                <w:bCs/>
              </w:rPr>
              <w:t>Precision</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64722607" w14:textId="77777777" w:rsidR="001D0282" w:rsidRPr="00DB5007" w:rsidRDefault="001D0282" w:rsidP="004C0AA7">
            <w:pPr>
              <w:spacing w:line="240" w:lineRule="auto"/>
              <w:jc w:val="both"/>
              <w:rPr>
                <w:rFonts w:ascii="Times New Roman" w:hAnsi="Times New Roman" w:cs="Times New Roman"/>
                <w:b/>
                <w:bCs/>
              </w:rPr>
            </w:pPr>
            <w:r w:rsidRPr="00DB5007">
              <w:rPr>
                <w:rFonts w:ascii="Times New Roman" w:hAnsi="Times New Roman" w:cs="Times New Roman"/>
                <w:b/>
                <w:bCs/>
              </w:rPr>
              <w:t>Recall</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0A29BF53" w14:textId="77777777" w:rsidR="001D0282" w:rsidRPr="00DB5007" w:rsidRDefault="001D0282" w:rsidP="004C0AA7">
            <w:pPr>
              <w:spacing w:line="240" w:lineRule="auto"/>
              <w:jc w:val="both"/>
              <w:rPr>
                <w:rFonts w:ascii="Times New Roman" w:hAnsi="Times New Roman" w:cs="Times New Roman"/>
                <w:b/>
                <w:bCs/>
              </w:rPr>
            </w:pPr>
            <w:r w:rsidRPr="00DB5007">
              <w:rPr>
                <w:rFonts w:ascii="Times New Roman" w:hAnsi="Times New Roman" w:cs="Times New Roman"/>
                <w:b/>
                <w:bCs/>
              </w:rPr>
              <w:t>F1-Score</w:t>
            </w:r>
          </w:p>
        </w:tc>
        <w:tc>
          <w:tcPr>
            <w:tcW w:w="0" w:type="auto"/>
            <w:tcBorders>
              <w:top w:val="single" w:sz="4" w:space="0" w:color="auto"/>
              <w:bottom w:val="single" w:sz="4" w:space="0" w:color="auto"/>
            </w:tcBorders>
            <w:tcMar>
              <w:top w:w="15" w:type="dxa"/>
              <w:left w:w="137" w:type="dxa"/>
              <w:bottom w:w="137" w:type="dxa"/>
              <w:right w:w="137" w:type="dxa"/>
            </w:tcMar>
            <w:vAlign w:val="bottom"/>
            <w:hideMark/>
          </w:tcPr>
          <w:p w14:paraId="7E9D9263" w14:textId="77777777" w:rsidR="001D0282" w:rsidRPr="00DB5007" w:rsidRDefault="001D0282" w:rsidP="004C0AA7">
            <w:pPr>
              <w:spacing w:line="240" w:lineRule="auto"/>
              <w:jc w:val="both"/>
              <w:rPr>
                <w:rFonts w:ascii="Times New Roman" w:hAnsi="Times New Roman" w:cs="Times New Roman"/>
                <w:b/>
                <w:bCs/>
              </w:rPr>
            </w:pPr>
            <w:r w:rsidRPr="00DB5007">
              <w:rPr>
                <w:rFonts w:ascii="Times New Roman" w:hAnsi="Times New Roman" w:cs="Times New Roman"/>
                <w:b/>
                <w:bCs/>
              </w:rPr>
              <w:t>Training Time</w:t>
            </w:r>
          </w:p>
        </w:tc>
        <w:tc>
          <w:tcPr>
            <w:tcW w:w="0" w:type="auto"/>
            <w:tcBorders>
              <w:top w:val="single" w:sz="4" w:space="0" w:color="auto"/>
              <w:bottom w:val="single" w:sz="4" w:space="0" w:color="auto"/>
            </w:tcBorders>
            <w:tcMar>
              <w:top w:w="15" w:type="dxa"/>
              <w:left w:w="137" w:type="dxa"/>
              <w:bottom w:w="137" w:type="dxa"/>
              <w:right w:w="15" w:type="dxa"/>
            </w:tcMar>
            <w:vAlign w:val="bottom"/>
            <w:hideMark/>
          </w:tcPr>
          <w:p w14:paraId="7E05EBDA" w14:textId="77777777" w:rsidR="001D0282" w:rsidRPr="00DB5007" w:rsidRDefault="001D0282" w:rsidP="004C0AA7">
            <w:pPr>
              <w:spacing w:line="240" w:lineRule="auto"/>
              <w:jc w:val="both"/>
              <w:rPr>
                <w:rFonts w:ascii="Times New Roman" w:hAnsi="Times New Roman" w:cs="Times New Roman"/>
                <w:b/>
                <w:bCs/>
              </w:rPr>
            </w:pPr>
            <w:r w:rsidRPr="00DB5007">
              <w:rPr>
                <w:rFonts w:ascii="Times New Roman" w:hAnsi="Times New Roman" w:cs="Times New Roman"/>
                <w:b/>
                <w:bCs/>
              </w:rPr>
              <w:t>Privacy Budget</w:t>
            </w:r>
          </w:p>
        </w:tc>
      </w:tr>
      <w:tr w:rsidR="001D0282" w:rsidRPr="00DB5007" w14:paraId="468C7EA2" w14:textId="77777777" w:rsidTr="004C0AA7">
        <w:tc>
          <w:tcPr>
            <w:tcW w:w="0" w:type="auto"/>
            <w:tcBorders>
              <w:top w:val="single" w:sz="4" w:space="0" w:color="auto"/>
            </w:tcBorders>
            <w:tcMar>
              <w:top w:w="137" w:type="dxa"/>
              <w:left w:w="0" w:type="dxa"/>
              <w:bottom w:w="137" w:type="dxa"/>
              <w:right w:w="137" w:type="dxa"/>
            </w:tcMar>
            <w:vAlign w:val="bottom"/>
            <w:hideMark/>
          </w:tcPr>
          <w:p w14:paraId="68F1B486"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Central (Baseline)</w:t>
            </w:r>
          </w:p>
        </w:tc>
        <w:tc>
          <w:tcPr>
            <w:tcW w:w="0" w:type="auto"/>
            <w:tcBorders>
              <w:top w:val="single" w:sz="4" w:space="0" w:color="auto"/>
            </w:tcBorders>
            <w:tcMar>
              <w:top w:w="137" w:type="dxa"/>
              <w:left w:w="137" w:type="dxa"/>
              <w:bottom w:w="137" w:type="dxa"/>
              <w:right w:w="137" w:type="dxa"/>
            </w:tcMar>
            <w:vAlign w:val="bottom"/>
            <w:hideMark/>
          </w:tcPr>
          <w:p w14:paraId="1BA75DD6"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0.874</w:t>
            </w:r>
          </w:p>
        </w:tc>
        <w:tc>
          <w:tcPr>
            <w:tcW w:w="0" w:type="auto"/>
            <w:tcBorders>
              <w:top w:val="single" w:sz="4" w:space="0" w:color="auto"/>
            </w:tcBorders>
            <w:tcMar>
              <w:top w:w="137" w:type="dxa"/>
              <w:left w:w="137" w:type="dxa"/>
              <w:bottom w:w="137" w:type="dxa"/>
              <w:right w:w="137" w:type="dxa"/>
            </w:tcMar>
            <w:vAlign w:val="bottom"/>
            <w:hideMark/>
          </w:tcPr>
          <w:p w14:paraId="7EC79675"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0.893</w:t>
            </w:r>
          </w:p>
        </w:tc>
        <w:tc>
          <w:tcPr>
            <w:tcW w:w="0" w:type="auto"/>
            <w:tcBorders>
              <w:top w:val="single" w:sz="4" w:space="0" w:color="auto"/>
            </w:tcBorders>
            <w:tcMar>
              <w:top w:w="137" w:type="dxa"/>
              <w:left w:w="137" w:type="dxa"/>
              <w:bottom w:w="137" w:type="dxa"/>
              <w:right w:w="137" w:type="dxa"/>
            </w:tcMar>
            <w:vAlign w:val="bottom"/>
            <w:hideMark/>
          </w:tcPr>
          <w:p w14:paraId="49E3FDCA"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0.821</w:t>
            </w:r>
          </w:p>
        </w:tc>
        <w:tc>
          <w:tcPr>
            <w:tcW w:w="0" w:type="auto"/>
            <w:tcBorders>
              <w:top w:val="single" w:sz="4" w:space="0" w:color="auto"/>
            </w:tcBorders>
            <w:tcMar>
              <w:top w:w="137" w:type="dxa"/>
              <w:left w:w="137" w:type="dxa"/>
              <w:bottom w:w="137" w:type="dxa"/>
              <w:right w:w="137" w:type="dxa"/>
            </w:tcMar>
            <w:vAlign w:val="bottom"/>
            <w:hideMark/>
          </w:tcPr>
          <w:p w14:paraId="4A8C0ED1"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0.857</w:t>
            </w:r>
          </w:p>
        </w:tc>
        <w:tc>
          <w:tcPr>
            <w:tcW w:w="0" w:type="auto"/>
            <w:tcBorders>
              <w:top w:val="single" w:sz="4" w:space="0" w:color="auto"/>
            </w:tcBorders>
            <w:tcMar>
              <w:top w:w="137" w:type="dxa"/>
              <w:left w:w="137" w:type="dxa"/>
              <w:bottom w:w="137" w:type="dxa"/>
              <w:right w:w="137" w:type="dxa"/>
            </w:tcMar>
            <w:vAlign w:val="bottom"/>
            <w:hideMark/>
          </w:tcPr>
          <w:p w14:paraId="7A2138FF"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47 min</w:t>
            </w:r>
          </w:p>
        </w:tc>
        <w:tc>
          <w:tcPr>
            <w:tcW w:w="0" w:type="auto"/>
            <w:tcBorders>
              <w:top w:val="single" w:sz="4" w:space="0" w:color="auto"/>
            </w:tcBorders>
            <w:tcMar>
              <w:top w:w="137" w:type="dxa"/>
              <w:left w:w="137" w:type="dxa"/>
              <w:bottom w:w="137" w:type="dxa"/>
              <w:right w:w="0" w:type="dxa"/>
            </w:tcMar>
            <w:vAlign w:val="bottom"/>
            <w:hideMark/>
          </w:tcPr>
          <w:p w14:paraId="67947D01"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None</w:t>
            </w:r>
          </w:p>
        </w:tc>
      </w:tr>
      <w:tr w:rsidR="001D0282" w:rsidRPr="00DB5007" w14:paraId="5BF9884E" w14:textId="77777777" w:rsidTr="004C0AA7">
        <w:tc>
          <w:tcPr>
            <w:tcW w:w="0" w:type="auto"/>
            <w:tcMar>
              <w:top w:w="137" w:type="dxa"/>
              <w:left w:w="0" w:type="dxa"/>
              <w:bottom w:w="137" w:type="dxa"/>
              <w:right w:w="137" w:type="dxa"/>
            </w:tcMar>
            <w:vAlign w:val="bottom"/>
            <w:hideMark/>
          </w:tcPr>
          <w:p w14:paraId="16E2DC94"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Federated Learning</w:t>
            </w:r>
          </w:p>
        </w:tc>
        <w:tc>
          <w:tcPr>
            <w:tcW w:w="0" w:type="auto"/>
            <w:tcMar>
              <w:top w:w="137" w:type="dxa"/>
              <w:left w:w="137" w:type="dxa"/>
              <w:bottom w:w="137" w:type="dxa"/>
              <w:right w:w="137" w:type="dxa"/>
            </w:tcMar>
            <w:vAlign w:val="bottom"/>
            <w:hideMark/>
          </w:tcPr>
          <w:p w14:paraId="1834D76F"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0.870</w:t>
            </w:r>
          </w:p>
        </w:tc>
        <w:tc>
          <w:tcPr>
            <w:tcW w:w="0" w:type="auto"/>
            <w:tcMar>
              <w:top w:w="137" w:type="dxa"/>
              <w:left w:w="137" w:type="dxa"/>
              <w:bottom w:w="137" w:type="dxa"/>
              <w:right w:w="137" w:type="dxa"/>
            </w:tcMar>
            <w:vAlign w:val="bottom"/>
            <w:hideMark/>
          </w:tcPr>
          <w:p w14:paraId="3E39839B"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0.889</w:t>
            </w:r>
          </w:p>
        </w:tc>
        <w:tc>
          <w:tcPr>
            <w:tcW w:w="0" w:type="auto"/>
            <w:tcMar>
              <w:top w:w="137" w:type="dxa"/>
              <w:left w:w="137" w:type="dxa"/>
              <w:bottom w:w="137" w:type="dxa"/>
              <w:right w:w="137" w:type="dxa"/>
            </w:tcMar>
            <w:vAlign w:val="bottom"/>
            <w:hideMark/>
          </w:tcPr>
          <w:p w14:paraId="3F7AB9AF"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0.817</w:t>
            </w:r>
          </w:p>
        </w:tc>
        <w:tc>
          <w:tcPr>
            <w:tcW w:w="0" w:type="auto"/>
            <w:tcMar>
              <w:top w:w="137" w:type="dxa"/>
              <w:left w:w="137" w:type="dxa"/>
              <w:bottom w:w="137" w:type="dxa"/>
              <w:right w:w="137" w:type="dxa"/>
            </w:tcMar>
            <w:vAlign w:val="bottom"/>
            <w:hideMark/>
          </w:tcPr>
          <w:p w14:paraId="62324963"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0.853</w:t>
            </w:r>
          </w:p>
        </w:tc>
        <w:tc>
          <w:tcPr>
            <w:tcW w:w="0" w:type="auto"/>
            <w:tcMar>
              <w:top w:w="137" w:type="dxa"/>
              <w:left w:w="137" w:type="dxa"/>
              <w:bottom w:w="137" w:type="dxa"/>
              <w:right w:w="137" w:type="dxa"/>
            </w:tcMar>
            <w:vAlign w:val="bottom"/>
            <w:hideMark/>
          </w:tcPr>
          <w:p w14:paraId="3E363A80"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 xml:space="preserve">3.2 </w:t>
            </w:r>
            <w:proofErr w:type="spellStart"/>
            <w:r w:rsidRPr="00DB5007">
              <w:rPr>
                <w:rFonts w:ascii="Times New Roman" w:hAnsi="Times New Roman" w:cs="Times New Roman"/>
              </w:rPr>
              <w:t>hrs</w:t>
            </w:r>
            <w:proofErr w:type="spellEnd"/>
          </w:p>
        </w:tc>
        <w:tc>
          <w:tcPr>
            <w:tcW w:w="0" w:type="auto"/>
            <w:tcMar>
              <w:top w:w="137" w:type="dxa"/>
              <w:left w:w="137" w:type="dxa"/>
              <w:bottom w:w="137" w:type="dxa"/>
              <w:right w:w="0" w:type="dxa"/>
            </w:tcMar>
            <w:vAlign w:val="bottom"/>
            <w:hideMark/>
          </w:tcPr>
          <w:p w14:paraId="416F0AAE"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None</w:t>
            </w:r>
          </w:p>
        </w:tc>
      </w:tr>
      <w:tr w:rsidR="001D0282" w:rsidRPr="00DB5007" w14:paraId="775781EF" w14:textId="77777777" w:rsidTr="004C0AA7">
        <w:tc>
          <w:tcPr>
            <w:tcW w:w="0" w:type="auto"/>
            <w:tcMar>
              <w:top w:w="137" w:type="dxa"/>
              <w:left w:w="0" w:type="dxa"/>
              <w:bottom w:w="137" w:type="dxa"/>
              <w:right w:w="137" w:type="dxa"/>
            </w:tcMar>
            <w:vAlign w:val="bottom"/>
            <w:hideMark/>
          </w:tcPr>
          <w:p w14:paraId="0EEF030A"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Differential Privacy (ε=1)</w:t>
            </w:r>
          </w:p>
        </w:tc>
        <w:tc>
          <w:tcPr>
            <w:tcW w:w="0" w:type="auto"/>
            <w:tcMar>
              <w:top w:w="137" w:type="dxa"/>
              <w:left w:w="137" w:type="dxa"/>
              <w:bottom w:w="137" w:type="dxa"/>
              <w:right w:w="137" w:type="dxa"/>
            </w:tcMar>
            <w:vAlign w:val="bottom"/>
            <w:hideMark/>
          </w:tcPr>
          <w:p w14:paraId="02543CED" w14:textId="4EF9F500" w:rsidR="004C0AA7"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0.852</w:t>
            </w:r>
          </w:p>
        </w:tc>
        <w:tc>
          <w:tcPr>
            <w:tcW w:w="0" w:type="auto"/>
            <w:tcMar>
              <w:top w:w="137" w:type="dxa"/>
              <w:left w:w="137" w:type="dxa"/>
              <w:bottom w:w="137" w:type="dxa"/>
              <w:right w:w="137" w:type="dxa"/>
            </w:tcMar>
            <w:vAlign w:val="bottom"/>
            <w:hideMark/>
          </w:tcPr>
          <w:p w14:paraId="74B1FC9A" w14:textId="7B22F435" w:rsidR="004C0AA7"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0.861</w:t>
            </w:r>
          </w:p>
        </w:tc>
        <w:tc>
          <w:tcPr>
            <w:tcW w:w="0" w:type="auto"/>
            <w:tcMar>
              <w:top w:w="137" w:type="dxa"/>
              <w:left w:w="137" w:type="dxa"/>
              <w:bottom w:w="137" w:type="dxa"/>
              <w:right w:w="137" w:type="dxa"/>
            </w:tcMar>
            <w:vAlign w:val="bottom"/>
            <w:hideMark/>
          </w:tcPr>
          <w:p w14:paraId="6B349C1A"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0.793</w:t>
            </w:r>
          </w:p>
        </w:tc>
        <w:tc>
          <w:tcPr>
            <w:tcW w:w="0" w:type="auto"/>
            <w:tcMar>
              <w:top w:w="137" w:type="dxa"/>
              <w:left w:w="137" w:type="dxa"/>
              <w:bottom w:w="137" w:type="dxa"/>
              <w:right w:w="137" w:type="dxa"/>
            </w:tcMar>
            <w:vAlign w:val="bottom"/>
            <w:hideMark/>
          </w:tcPr>
          <w:p w14:paraId="5C558176"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0.827</w:t>
            </w:r>
          </w:p>
        </w:tc>
        <w:tc>
          <w:tcPr>
            <w:tcW w:w="0" w:type="auto"/>
            <w:tcMar>
              <w:top w:w="137" w:type="dxa"/>
              <w:left w:w="137" w:type="dxa"/>
              <w:bottom w:w="137" w:type="dxa"/>
              <w:right w:w="137" w:type="dxa"/>
            </w:tcMar>
            <w:vAlign w:val="bottom"/>
            <w:hideMark/>
          </w:tcPr>
          <w:p w14:paraId="57547AFC"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51 min</w:t>
            </w:r>
          </w:p>
        </w:tc>
        <w:tc>
          <w:tcPr>
            <w:tcW w:w="0" w:type="auto"/>
            <w:tcMar>
              <w:top w:w="137" w:type="dxa"/>
              <w:left w:w="137" w:type="dxa"/>
              <w:bottom w:w="137" w:type="dxa"/>
              <w:right w:w="0" w:type="dxa"/>
            </w:tcMar>
            <w:vAlign w:val="bottom"/>
            <w:hideMark/>
          </w:tcPr>
          <w:p w14:paraId="5EFEFDB2" w14:textId="7FE53895"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ε=1, δ=10</w:t>
            </w:r>
            <w:r w:rsidR="004C0AA7" w:rsidRPr="004C0AA7">
              <w:rPr>
                <w:rFonts w:ascii="Times New Roman" w:hAnsi="Times New Roman" w:cs="Times New Roman"/>
                <w:vertAlign w:val="superscript"/>
              </w:rPr>
              <w:t>-</w:t>
            </w:r>
            <w:r w:rsidRPr="004C0AA7">
              <w:rPr>
                <w:rFonts w:ascii="Times New Roman" w:hAnsi="Times New Roman" w:cs="Times New Roman"/>
                <w:vertAlign w:val="superscript"/>
              </w:rPr>
              <w:t>5</w:t>
            </w:r>
          </w:p>
        </w:tc>
      </w:tr>
      <w:tr w:rsidR="001D0282" w:rsidRPr="00DB5007" w14:paraId="56A0D1B9" w14:textId="77777777" w:rsidTr="004C0AA7">
        <w:tc>
          <w:tcPr>
            <w:tcW w:w="0" w:type="auto"/>
            <w:tcBorders>
              <w:bottom w:val="single" w:sz="4" w:space="0" w:color="auto"/>
            </w:tcBorders>
            <w:tcMar>
              <w:top w:w="137" w:type="dxa"/>
              <w:left w:w="0" w:type="dxa"/>
              <w:bottom w:w="137" w:type="dxa"/>
              <w:right w:w="137" w:type="dxa"/>
            </w:tcMar>
            <w:vAlign w:val="bottom"/>
            <w:hideMark/>
          </w:tcPr>
          <w:p w14:paraId="732099B8" w14:textId="7E078A3A" w:rsidR="001D0282" w:rsidRPr="00DB5007" w:rsidRDefault="001D0282" w:rsidP="004C0AA7">
            <w:pPr>
              <w:spacing w:line="240" w:lineRule="auto"/>
              <w:jc w:val="both"/>
              <w:rPr>
                <w:rFonts w:ascii="Times New Roman" w:hAnsi="Times New Roman" w:cs="Times New Roman"/>
              </w:rPr>
            </w:pPr>
            <w:proofErr w:type="spellStart"/>
            <w:r w:rsidRPr="00DB5007">
              <w:rPr>
                <w:rFonts w:ascii="Times New Roman" w:hAnsi="Times New Roman" w:cs="Times New Roman"/>
              </w:rPr>
              <w:t>Federated+DP</w:t>
            </w:r>
            <w:proofErr w:type="spellEnd"/>
            <w:r w:rsidRPr="00DB5007">
              <w:rPr>
                <w:rFonts w:ascii="Times New Roman" w:hAnsi="Times New Roman" w:cs="Times New Roman"/>
              </w:rPr>
              <w:t xml:space="preserve"> (ε=1)</w:t>
            </w:r>
          </w:p>
        </w:tc>
        <w:tc>
          <w:tcPr>
            <w:tcW w:w="0" w:type="auto"/>
            <w:tcBorders>
              <w:bottom w:val="single" w:sz="4" w:space="0" w:color="auto"/>
            </w:tcBorders>
            <w:tcMar>
              <w:top w:w="137" w:type="dxa"/>
              <w:left w:w="137" w:type="dxa"/>
              <w:bottom w:w="137" w:type="dxa"/>
              <w:right w:w="137" w:type="dxa"/>
            </w:tcMar>
            <w:vAlign w:val="bottom"/>
            <w:hideMark/>
          </w:tcPr>
          <w:p w14:paraId="44B61743"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0.847</w:t>
            </w:r>
          </w:p>
        </w:tc>
        <w:tc>
          <w:tcPr>
            <w:tcW w:w="0" w:type="auto"/>
            <w:tcBorders>
              <w:bottom w:val="single" w:sz="4" w:space="0" w:color="auto"/>
            </w:tcBorders>
            <w:tcMar>
              <w:top w:w="137" w:type="dxa"/>
              <w:left w:w="137" w:type="dxa"/>
              <w:bottom w:w="137" w:type="dxa"/>
              <w:right w:w="137" w:type="dxa"/>
            </w:tcMar>
            <w:vAlign w:val="bottom"/>
            <w:hideMark/>
          </w:tcPr>
          <w:p w14:paraId="18A74314"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0.853</w:t>
            </w:r>
          </w:p>
        </w:tc>
        <w:tc>
          <w:tcPr>
            <w:tcW w:w="0" w:type="auto"/>
            <w:tcBorders>
              <w:bottom w:val="single" w:sz="4" w:space="0" w:color="auto"/>
            </w:tcBorders>
            <w:tcMar>
              <w:top w:w="137" w:type="dxa"/>
              <w:left w:w="137" w:type="dxa"/>
              <w:bottom w:w="137" w:type="dxa"/>
              <w:right w:w="137" w:type="dxa"/>
            </w:tcMar>
            <w:vAlign w:val="bottom"/>
            <w:hideMark/>
          </w:tcPr>
          <w:p w14:paraId="63C512A8"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0.782</w:t>
            </w:r>
          </w:p>
        </w:tc>
        <w:tc>
          <w:tcPr>
            <w:tcW w:w="0" w:type="auto"/>
            <w:tcBorders>
              <w:bottom w:val="single" w:sz="4" w:space="0" w:color="auto"/>
            </w:tcBorders>
            <w:tcMar>
              <w:top w:w="137" w:type="dxa"/>
              <w:left w:w="137" w:type="dxa"/>
              <w:bottom w:w="137" w:type="dxa"/>
              <w:right w:w="137" w:type="dxa"/>
            </w:tcMar>
            <w:vAlign w:val="bottom"/>
            <w:hideMark/>
          </w:tcPr>
          <w:p w14:paraId="1A69A04F"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0.818</w:t>
            </w:r>
          </w:p>
        </w:tc>
        <w:tc>
          <w:tcPr>
            <w:tcW w:w="0" w:type="auto"/>
            <w:tcBorders>
              <w:bottom w:val="single" w:sz="4" w:space="0" w:color="auto"/>
            </w:tcBorders>
            <w:tcMar>
              <w:top w:w="137" w:type="dxa"/>
              <w:left w:w="137" w:type="dxa"/>
              <w:bottom w:w="137" w:type="dxa"/>
              <w:right w:w="137" w:type="dxa"/>
            </w:tcMar>
            <w:vAlign w:val="bottom"/>
            <w:hideMark/>
          </w:tcPr>
          <w:p w14:paraId="6137B20A" w14:textId="77777777"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 xml:space="preserve">3.5 </w:t>
            </w:r>
            <w:proofErr w:type="spellStart"/>
            <w:r w:rsidRPr="00DB5007">
              <w:rPr>
                <w:rFonts w:ascii="Times New Roman" w:hAnsi="Times New Roman" w:cs="Times New Roman"/>
              </w:rPr>
              <w:t>hrs</w:t>
            </w:r>
            <w:proofErr w:type="spellEnd"/>
          </w:p>
        </w:tc>
        <w:tc>
          <w:tcPr>
            <w:tcW w:w="0" w:type="auto"/>
            <w:tcBorders>
              <w:bottom w:val="single" w:sz="4" w:space="0" w:color="auto"/>
            </w:tcBorders>
            <w:tcMar>
              <w:top w:w="137" w:type="dxa"/>
              <w:left w:w="137" w:type="dxa"/>
              <w:bottom w:w="137" w:type="dxa"/>
              <w:right w:w="0" w:type="dxa"/>
            </w:tcMar>
            <w:vAlign w:val="bottom"/>
            <w:hideMark/>
          </w:tcPr>
          <w:p w14:paraId="30B62471" w14:textId="76D98838" w:rsidR="001D0282" w:rsidRPr="00DB5007" w:rsidRDefault="001D0282" w:rsidP="004C0AA7">
            <w:pPr>
              <w:spacing w:line="240" w:lineRule="auto"/>
              <w:jc w:val="both"/>
              <w:rPr>
                <w:rFonts w:ascii="Times New Roman" w:hAnsi="Times New Roman" w:cs="Times New Roman"/>
              </w:rPr>
            </w:pPr>
            <w:r w:rsidRPr="00DB5007">
              <w:rPr>
                <w:rFonts w:ascii="Times New Roman" w:hAnsi="Times New Roman" w:cs="Times New Roman"/>
              </w:rPr>
              <w:t>ε=1, δ=10</w:t>
            </w:r>
            <w:r w:rsidR="004C0AA7" w:rsidRPr="004C0AA7">
              <w:rPr>
                <w:rFonts w:ascii="Times New Roman" w:hAnsi="Times New Roman" w:cs="Times New Roman"/>
                <w:vertAlign w:val="superscript"/>
              </w:rPr>
              <w:t>-</w:t>
            </w:r>
            <w:r w:rsidRPr="004C0AA7">
              <w:rPr>
                <w:rFonts w:ascii="Times New Roman" w:hAnsi="Times New Roman" w:cs="Times New Roman"/>
                <w:vertAlign w:val="superscript"/>
              </w:rPr>
              <w:t>5</w:t>
            </w:r>
          </w:p>
        </w:tc>
      </w:tr>
    </w:tbl>
    <w:p w14:paraId="488C34C3" w14:textId="1C559F4F" w:rsidR="0066429D" w:rsidRDefault="0066429D" w:rsidP="004C0AA7">
      <w:pPr>
        <w:spacing w:before="240" w:line="360" w:lineRule="auto"/>
        <w:jc w:val="both"/>
        <w:rPr>
          <w:rFonts w:ascii="Times New Roman" w:hAnsi="Times New Roman" w:cs="Times New Roman"/>
          <w:b/>
          <w:bCs/>
          <w:noProof/>
        </w:rPr>
      </w:pPr>
      <w:r w:rsidRPr="0066429D">
        <w:rPr>
          <w:rFonts w:ascii="Times New Roman" w:hAnsi="Times New Roman" w:cs="Times New Roman"/>
          <w:b/>
          <w:bCs/>
          <w:noProof/>
        </w:rPr>
        <w:t>Figure 7</w:t>
      </w:r>
    </w:p>
    <w:p w14:paraId="316682DF" w14:textId="30BA8A32" w:rsidR="0066429D" w:rsidRPr="0066429D" w:rsidRDefault="0066429D" w:rsidP="004C0AA7">
      <w:pPr>
        <w:spacing w:before="240" w:line="360" w:lineRule="auto"/>
        <w:jc w:val="both"/>
        <w:rPr>
          <w:rFonts w:ascii="Times New Roman" w:hAnsi="Times New Roman" w:cs="Times New Roman"/>
          <w:i/>
          <w:iCs/>
          <w:noProof/>
        </w:rPr>
      </w:pPr>
      <w:r w:rsidRPr="0066429D">
        <w:rPr>
          <w:rFonts w:ascii="Times New Roman" w:hAnsi="Times New Roman" w:cs="Times New Roman"/>
          <w:i/>
          <w:iCs/>
          <w:noProof/>
        </w:rPr>
        <w:t>Performance Metrics with Privacy Protections</w:t>
      </w:r>
    </w:p>
    <w:p w14:paraId="6097A9AF" w14:textId="77777777" w:rsidR="0066429D" w:rsidRDefault="00025DB9" w:rsidP="004C0AA7">
      <w:pPr>
        <w:spacing w:before="240" w:line="360" w:lineRule="auto"/>
        <w:jc w:val="both"/>
        <w:rPr>
          <w:rFonts w:ascii="Times New Roman" w:hAnsi="Times New Roman" w:cs="Times New Roman"/>
          <w:b/>
          <w:bCs/>
        </w:rPr>
      </w:pPr>
      <w:r>
        <w:rPr>
          <w:noProof/>
        </w:rPr>
        <w:drawing>
          <wp:inline distT="0" distB="0" distL="0" distR="0" wp14:anchorId="3BC6D534" wp14:editId="755ACF51">
            <wp:extent cx="5621572" cy="3446895"/>
            <wp:effectExtent l="0" t="0" r="0" b="1270"/>
            <wp:docPr id="2071487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87159" name="Picture 2071487159"/>
                    <pic:cNvPicPr/>
                  </pic:nvPicPr>
                  <pic:blipFill rotWithShape="1">
                    <a:blip r:embed="rId13" cstate="print">
                      <a:extLst>
                        <a:ext uri="{28A0092B-C50C-407E-A947-70E740481C1C}">
                          <a14:useLocalDpi xmlns:a14="http://schemas.microsoft.com/office/drawing/2010/main" val="0"/>
                        </a:ext>
                      </a:extLst>
                    </a:blip>
                    <a:srcRect t="8027"/>
                    <a:stretch>
                      <a:fillRect/>
                    </a:stretch>
                  </pic:blipFill>
                  <pic:spPr bwMode="auto">
                    <a:xfrm>
                      <a:off x="0" y="0"/>
                      <a:ext cx="5636090" cy="3455797"/>
                    </a:xfrm>
                    <a:prstGeom prst="rect">
                      <a:avLst/>
                    </a:prstGeom>
                    <a:ln>
                      <a:noFill/>
                    </a:ln>
                    <a:extLst>
                      <a:ext uri="{53640926-AAD7-44D8-BBD7-CCE9431645EC}">
                        <a14:shadowObscured xmlns:a14="http://schemas.microsoft.com/office/drawing/2010/main"/>
                      </a:ext>
                    </a:extLst>
                  </pic:spPr>
                </pic:pic>
              </a:graphicData>
            </a:graphic>
          </wp:inline>
        </w:drawing>
      </w:r>
    </w:p>
    <w:p w14:paraId="3056AE2F" w14:textId="2E71D8D2" w:rsidR="001D0282" w:rsidRPr="00DB5007" w:rsidRDefault="001D0282" w:rsidP="004C0AA7">
      <w:pPr>
        <w:spacing w:before="240" w:line="360" w:lineRule="auto"/>
        <w:jc w:val="both"/>
        <w:rPr>
          <w:rFonts w:ascii="Times New Roman" w:hAnsi="Times New Roman" w:cs="Times New Roman"/>
          <w:b/>
          <w:bCs/>
        </w:rPr>
      </w:pPr>
      <w:r w:rsidRPr="00DB5007">
        <w:rPr>
          <w:rFonts w:ascii="Times New Roman" w:hAnsi="Times New Roman" w:cs="Times New Roman"/>
          <w:b/>
          <w:bCs/>
        </w:rPr>
        <w:t>Discussion</w:t>
      </w:r>
    </w:p>
    <w:p w14:paraId="0864FDD8"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The empirical results demonstrate that the proposed Graph Neural Network framework, enhanced with Explainable Artificial Intelligence, is highly effective in detecting complex fraud patterns </w:t>
      </w:r>
      <w:r w:rsidRPr="00DB5007">
        <w:rPr>
          <w:rFonts w:ascii="Times New Roman" w:hAnsi="Times New Roman" w:cs="Times New Roman"/>
        </w:rPr>
        <w:lastRenderedPageBreak/>
        <w:t>embedded within financial transaction networks. By using heterogeneous Graph Attention Networks, the framework integrates transaction speed, behavioral irregularities, and entity relationships within multi-layer graphs, enabling it to outperform traditional baselines. Superior Area Under the Curve Receiver Operating Characteristic and F1 score values indicate stronger detection of coordinated and collusive schemes that are typically missed by isolated, transaction level approaches. These findings are consistent with Cheng et al. (2024), who highlight the advantage of graph based models over tabular techniques such as Extreme Gradient Boosting in relational fraud detection. The attention mechanism plays a central role by assigning higher importance to suspicious neighbors, thereby exposing circular transaction flows and shell entity structures, in line with observations by Sha et al. (2025) on heterogeneous attention driven fraud models.</w:t>
      </w:r>
    </w:p>
    <w:p w14:paraId="256B06DC"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The framework also shows strong generalizability across benchmark datasets such as Kaggle and Elliptic, maintaining stable performance under varying conditions. Precision recall tradeoffs at practical decision thresholds support risk based alerting and substantially reduce false positives when compared to legacy monitoring systems, supporting the compliance efficiency concerns raised by </w:t>
      </w:r>
      <w:proofErr w:type="spellStart"/>
      <w:r w:rsidRPr="00DB5007">
        <w:rPr>
          <w:rFonts w:ascii="Times New Roman" w:hAnsi="Times New Roman" w:cs="Times New Roman"/>
        </w:rPr>
        <w:t>Ricadela</w:t>
      </w:r>
      <w:proofErr w:type="spellEnd"/>
      <w:r w:rsidRPr="00DB5007">
        <w:rPr>
          <w:rFonts w:ascii="Times New Roman" w:hAnsi="Times New Roman" w:cs="Times New Roman"/>
        </w:rPr>
        <w:t xml:space="preserve"> (2024). This reduction directly improves real time operational workflows by limiting unnecessary manual investigations.</w:t>
      </w:r>
    </w:p>
    <w:p w14:paraId="15F2F307"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Transparency is a key strength of the framework. </w:t>
      </w:r>
      <w:proofErr w:type="spellStart"/>
      <w:r w:rsidRPr="00DB5007">
        <w:rPr>
          <w:rFonts w:ascii="Times New Roman" w:hAnsi="Times New Roman" w:cs="Times New Roman"/>
        </w:rPr>
        <w:t>Explainability</w:t>
      </w:r>
      <w:proofErr w:type="spellEnd"/>
      <w:r w:rsidRPr="00DB5007">
        <w:rPr>
          <w:rFonts w:ascii="Times New Roman" w:hAnsi="Times New Roman" w:cs="Times New Roman"/>
        </w:rPr>
        <w:t xml:space="preserve"> techniques such as </w:t>
      </w:r>
      <w:proofErr w:type="spellStart"/>
      <w:r w:rsidRPr="00DB5007">
        <w:rPr>
          <w:rFonts w:ascii="Times New Roman" w:hAnsi="Times New Roman" w:cs="Times New Roman"/>
        </w:rPr>
        <w:t>SHapley</w:t>
      </w:r>
      <w:proofErr w:type="spellEnd"/>
      <w:r w:rsidRPr="00DB5007">
        <w:rPr>
          <w:rFonts w:ascii="Times New Roman" w:hAnsi="Times New Roman" w:cs="Times New Roman"/>
        </w:rPr>
        <w:t xml:space="preserve"> Additive </w:t>
      </w:r>
      <w:proofErr w:type="spellStart"/>
      <w:r w:rsidRPr="00DB5007">
        <w:rPr>
          <w:rFonts w:ascii="Times New Roman" w:hAnsi="Times New Roman" w:cs="Times New Roman"/>
        </w:rPr>
        <w:t>exPlanations</w:t>
      </w:r>
      <w:proofErr w:type="spellEnd"/>
      <w:r w:rsidRPr="00DB5007">
        <w:rPr>
          <w:rFonts w:ascii="Times New Roman" w:hAnsi="Times New Roman" w:cs="Times New Roman"/>
        </w:rPr>
        <w:t xml:space="preserve"> and Local Interpretable Model agnostic Explanations provide clear breakdowns of how features contribute to fraud predictions. These attributions consistently highlight the importance of transaction velocity and network structure, enabling stakeholders to understand how risk scores are formed. Visual explanations, including waterfall plots and attention heatmaps, make it possible to trace model decisions step by step, supporting regulatory expectations for interpretability as discussed by Molnar (2025). Such </w:t>
      </w:r>
      <w:proofErr w:type="spellStart"/>
      <w:r w:rsidRPr="00DB5007">
        <w:rPr>
          <w:rFonts w:ascii="Times New Roman" w:hAnsi="Times New Roman" w:cs="Times New Roman"/>
        </w:rPr>
        <w:t>explainability</w:t>
      </w:r>
      <w:proofErr w:type="spellEnd"/>
      <w:r w:rsidRPr="00DB5007">
        <w:rPr>
          <w:rFonts w:ascii="Times New Roman" w:hAnsi="Times New Roman" w:cs="Times New Roman"/>
        </w:rPr>
        <w:t xml:space="preserve"> aligns with evidence from Lundberg et al. (2018) and supports institutional trust and adoption, echoing findings by Mohsin and Nasim (2025) on the role of Explainable Artificial Intelligence in fraud governance.</w:t>
      </w:r>
    </w:p>
    <w:p w14:paraId="24620380"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 xml:space="preserve">From an operational perspective, the framework scales efficiently, exhibiting linear growth in time and memory usage. It supports rapid inference across very large graphs and completes training within practical time frames on standard hardware. Privacy preserving techniques such as </w:t>
      </w:r>
      <w:r w:rsidRPr="00DB5007">
        <w:rPr>
          <w:rFonts w:ascii="Times New Roman" w:hAnsi="Times New Roman" w:cs="Times New Roman"/>
        </w:rPr>
        <w:lastRenderedPageBreak/>
        <w:t xml:space="preserve">federated learning maintain high accuracy while respecting data sovereignty, consistent with results reported by </w:t>
      </w:r>
      <w:proofErr w:type="spellStart"/>
      <w:r w:rsidRPr="00DB5007">
        <w:rPr>
          <w:rFonts w:ascii="Times New Roman" w:hAnsi="Times New Roman" w:cs="Times New Roman"/>
        </w:rPr>
        <w:t>Hilou</w:t>
      </w:r>
      <w:proofErr w:type="spellEnd"/>
      <w:r w:rsidRPr="00DB5007">
        <w:rPr>
          <w:rFonts w:ascii="Times New Roman" w:hAnsi="Times New Roman" w:cs="Times New Roman"/>
        </w:rPr>
        <w:t xml:space="preserve"> et al. (2025). Overall, the framework achieves competitive performance improvements over recent Graph Neural Network approaches, including those by Devi et al. (2025), Sha et al. (2025), and Cheng et al. (2024). While accuracy gains are incremental, the added transparency provides critical value for deployment in regulated Anti Money Laundering environments, reinforcing the importance of </w:t>
      </w:r>
      <w:proofErr w:type="spellStart"/>
      <w:r w:rsidRPr="00DB5007">
        <w:rPr>
          <w:rFonts w:ascii="Times New Roman" w:hAnsi="Times New Roman" w:cs="Times New Roman"/>
        </w:rPr>
        <w:t>explainability</w:t>
      </w:r>
      <w:proofErr w:type="spellEnd"/>
      <w:r w:rsidRPr="00DB5007">
        <w:rPr>
          <w:rFonts w:ascii="Times New Roman" w:hAnsi="Times New Roman" w:cs="Times New Roman"/>
        </w:rPr>
        <w:t xml:space="preserve"> alongside predictive strength, as emphasized by Goodfellow et al. (2014).</w:t>
      </w:r>
    </w:p>
    <w:p w14:paraId="5F2D0291"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Limitations</w:t>
      </w:r>
    </w:p>
    <w:p w14:paraId="5CC84FF0"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The research encounters limitations in dataset scope, as benchmarks like Institute of Electrical and Electronics Engineers-Consumer Intelligence Series emphasize card fraud over comprehensive money laundering, potentially underrepresenting sanctions evasion or shell networks, and temporal validations capture short-term drift but not long-term adversarial adaptations, constraining generalizability to evolving threats.</w:t>
      </w:r>
    </w:p>
    <w:p w14:paraId="0BAF8D2C" w14:textId="77777777" w:rsidR="001D0282" w:rsidRPr="00DB5007" w:rsidRDefault="001D0282" w:rsidP="00DB5007">
      <w:pPr>
        <w:spacing w:line="360" w:lineRule="auto"/>
        <w:jc w:val="both"/>
        <w:rPr>
          <w:rFonts w:ascii="Times New Roman" w:hAnsi="Times New Roman" w:cs="Times New Roman"/>
          <w:b/>
          <w:bCs/>
        </w:rPr>
      </w:pPr>
      <w:r w:rsidRPr="00DB5007">
        <w:rPr>
          <w:rFonts w:ascii="Times New Roman" w:hAnsi="Times New Roman" w:cs="Times New Roman"/>
          <w:b/>
          <w:bCs/>
        </w:rPr>
        <w:t>Future Consideration</w:t>
      </w:r>
    </w:p>
    <w:p w14:paraId="68C7826F" w14:textId="77777777" w:rsidR="001D0282" w:rsidRPr="00DB5007" w:rsidRDefault="001D0282" w:rsidP="00DB5007">
      <w:pPr>
        <w:spacing w:line="360" w:lineRule="auto"/>
        <w:jc w:val="both"/>
        <w:rPr>
          <w:rFonts w:ascii="Times New Roman" w:hAnsi="Times New Roman" w:cs="Times New Roman"/>
        </w:rPr>
      </w:pPr>
      <w:r w:rsidRPr="00DB5007">
        <w:rPr>
          <w:rFonts w:ascii="Times New Roman" w:hAnsi="Times New Roman" w:cs="Times New Roman"/>
        </w:rPr>
        <w:t>Future endeavors could incorporate Temporal Graph Neural Networks for dynamic sequences, adversarial robustness certifications against perturbations, real multi-institutional federated testing across heterogeneous formats, and validation on documented Anti-Money Laundering cases like trade-based laundering to extend beyond card domains.</w:t>
      </w:r>
    </w:p>
    <w:p w14:paraId="1E2DA957" w14:textId="77777777" w:rsidR="001D0282" w:rsidRPr="00DB5007" w:rsidRDefault="001D0282" w:rsidP="00DB5007">
      <w:pPr>
        <w:spacing w:line="360" w:lineRule="auto"/>
        <w:jc w:val="both"/>
        <w:rPr>
          <w:rFonts w:ascii="Times New Roman" w:hAnsi="Times New Roman" w:cs="Times New Roman"/>
        </w:rPr>
      </w:pPr>
    </w:p>
    <w:p w14:paraId="7F2A9077" w14:textId="77777777" w:rsidR="00460F93" w:rsidRDefault="00460F93" w:rsidP="008B0B00">
      <w:pPr>
        <w:spacing w:line="360" w:lineRule="auto"/>
        <w:jc w:val="both"/>
        <w:rPr>
          <w:rFonts w:ascii="Times New Roman" w:hAnsi="Times New Roman" w:cs="Times New Roman"/>
          <w:b/>
          <w:bCs/>
        </w:rPr>
      </w:pPr>
      <w:bookmarkStart w:id="1" w:name="_GoBack"/>
      <w:bookmarkEnd w:id="1"/>
    </w:p>
    <w:p w14:paraId="4A9BF96F" w14:textId="70D68A6A" w:rsidR="008B0B00" w:rsidRPr="008B0B00" w:rsidRDefault="008B0B00" w:rsidP="008B0B00">
      <w:pPr>
        <w:spacing w:line="360" w:lineRule="auto"/>
        <w:jc w:val="both"/>
        <w:rPr>
          <w:rFonts w:ascii="Times New Roman" w:hAnsi="Times New Roman" w:cs="Times New Roman"/>
          <w:b/>
          <w:bCs/>
        </w:rPr>
      </w:pPr>
      <w:r w:rsidRPr="008B0B00">
        <w:rPr>
          <w:rFonts w:ascii="Times New Roman" w:hAnsi="Times New Roman" w:cs="Times New Roman"/>
          <w:b/>
          <w:bCs/>
        </w:rPr>
        <w:t>References</w:t>
      </w:r>
    </w:p>
    <w:p w14:paraId="4A79FF66" w14:textId="0B0B467E"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t>Basquill</w:t>
      </w:r>
      <w:proofErr w:type="spellEnd"/>
      <w:r w:rsidRPr="008B0B00">
        <w:rPr>
          <w:rFonts w:ascii="Times New Roman" w:hAnsi="Times New Roman" w:cs="Times New Roman"/>
        </w:rPr>
        <w:t xml:space="preserve">, J. (2022). </w:t>
      </w:r>
      <w:r w:rsidRPr="008B0B00">
        <w:rPr>
          <w:rFonts w:ascii="Times New Roman" w:hAnsi="Times New Roman" w:cs="Times New Roman"/>
          <w:i/>
          <w:iCs/>
        </w:rPr>
        <w:t>Banks turn to network tools and anomaly detection to fight financial crime</w:t>
      </w:r>
      <w:r w:rsidRPr="008B0B00">
        <w:rPr>
          <w:rFonts w:ascii="Times New Roman" w:hAnsi="Times New Roman" w:cs="Times New Roman"/>
        </w:rPr>
        <w:t>. Global Trade Review (GTR). https://www.gtreview.com/news/digital-trade/banks-turn-to-network-tools-and-anomaly-detection-to-fight-financial-crime/</w:t>
      </w:r>
    </w:p>
    <w:p w14:paraId="4547B629"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t>Bounie</w:t>
      </w:r>
      <w:proofErr w:type="spellEnd"/>
      <w:r w:rsidRPr="008B0B00">
        <w:rPr>
          <w:rFonts w:ascii="Times New Roman" w:hAnsi="Times New Roman" w:cs="Times New Roman"/>
        </w:rPr>
        <w:t xml:space="preserve">, D. (2025). </w:t>
      </w:r>
      <w:r w:rsidRPr="008B0B00">
        <w:rPr>
          <w:rFonts w:ascii="Times New Roman" w:hAnsi="Times New Roman" w:cs="Times New Roman"/>
          <w:i/>
          <w:iCs/>
        </w:rPr>
        <w:t>Explainable artificial intelligence for anti-money laundering | ANR</w:t>
      </w:r>
      <w:r w:rsidRPr="008B0B00">
        <w:rPr>
          <w:rFonts w:ascii="Times New Roman" w:hAnsi="Times New Roman" w:cs="Times New Roman"/>
        </w:rPr>
        <w:t xml:space="preserve">. </w:t>
      </w:r>
      <w:proofErr w:type="spellStart"/>
      <w:r w:rsidRPr="008B0B00">
        <w:rPr>
          <w:rFonts w:ascii="Times New Roman" w:hAnsi="Times New Roman" w:cs="Times New Roman"/>
        </w:rPr>
        <w:t>Agence</w:t>
      </w:r>
      <w:proofErr w:type="spellEnd"/>
      <w:r w:rsidRPr="008B0B00">
        <w:rPr>
          <w:rFonts w:ascii="Times New Roman" w:hAnsi="Times New Roman" w:cs="Times New Roman"/>
        </w:rPr>
        <w:t xml:space="preserve"> </w:t>
      </w:r>
      <w:proofErr w:type="spellStart"/>
      <w:r w:rsidRPr="008B0B00">
        <w:rPr>
          <w:rFonts w:ascii="Times New Roman" w:hAnsi="Times New Roman" w:cs="Times New Roman"/>
        </w:rPr>
        <w:t>Nationale</w:t>
      </w:r>
      <w:proofErr w:type="spellEnd"/>
      <w:r w:rsidRPr="008B0B00">
        <w:rPr>
          <w:rFonts w:ascii="Times New Roman" w:hAnsi="Times New Roman" w:cs="Times New Roman"/>
        </w:rPr>
        <w:t xml:space="preserve"> de La Recherche. https://anr.fr/Project-ANR-20-CHIA-0023</w:t>
      </w:r>
    </w:p>
    <w:p w14:paraId="6B240F05"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Brownlee, J. (2020). </w:t>
      </w:r>
      <w:r w:rsidRPr="008B0B00">
        <w:rPr>
          <w:rFonts w:ascii="Times New Roman" w:hAnsi="Times New Roman" w:cs="Times New Roman"/>
          <w:i/>
          <w:iCs/>
        </w:rPr>
        <w:t>How to Fix k-Fold Cross-Validation for Imbalanced Classification</w:t>
      </w:r>
      <w:r w:rsidRPr="008B0B00">
        <w:rPr>
          <w:rFonts w:ascii="Times New Roman" w:hAnsi="Times New Roman" w:cs="Times New Roman"/>
        </w:rPr>
        <w:t>. Machine Learning Mastery. https://machinelearningmastery.com/cross-validation-for-imbalanced-classification/</w:t>
      </w:r>
    </w:p>
    <w:p w14:paraId="616121A2"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lastRenderedPageBreak/>
        <w:t xml:space="preserve">Chen, X.-Q., Ma, C.-Q., Ren, Y.-S., Lei, Y.-T., Huynh, N. Q. A., &amp; Narayan, S. (2023). Explainable artificial intelligence in finance: A bibliometric review. </w:t>
      </w:r>
      <w:r w:rsidRPr="008B0B00">
        <w:rPr>
          <w:rFonts w:ascii="Times New Roman" w:hAnsi="Times New Roman" w:cs="Times New Roman"/>
          <w:i/>
          <w:iCs/>
        </w:rPr>
        <w:t>Finance Research Letters</w:t>
      </w:r>
      <w:r w:rsidRPr="008B0B00">
        <w:rPr>
          <w:rFonts w:ascii="Times New Roman" w:hAnsi="Times New Roman" w:cs="Times New Roman"/>
        </w:rPr>
        <w:t xml:space="preserve">, </w:t>
      </w:r>
      <w:r w:rsidRPr="008B0B00">
        <w:rPr>
          <w:rFonts w:ascii="Times New Roman" w:hAnsi="Times New Roman" w:cs="Times New Roman"/>
          <w:i/>
          <w:iCs/>
        </w:rPr>
        <w:t>56</w:t>
      </w:r>
      <w:r w:rsidRPr="008B0B00">
        <w:rPr>
          <w:rFonts w:ascii="Times New Roman" w:hAnsi="Times New Roman" w:cs="Times New Roman"/>
        </w:rPr>
        <w:t>, 104145. https://doi.org/10.1016/j.frl.2023.104145</w:t>
      </w:r>
    </w:p>
    <w:p w14:paraId="66543691"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Cheng, D., Zou, Y., Xiang, S., &amp; Jiang, C. (2024). Graph Neural Networks for Financial Fraud Detection: A Review. </w:t>
      </w:r>
      <w:proofErr w:type="spellStart"/>
      <w:r w:rsidRPr="008B0B00">
        <w:rPr>
          <w:rFonts w:ascii="Times New Roman" w:hAnsi="Times New Roman" w:cs="Times New Roman"/>
          <w:i/>
          <w:iCs/>
        </w:rPr>
        <w:t>ArXiv</w:t>
      </w:r>
      <w:proofErr w:type="spellEnd"/>
      <w:r w:rsidRPr="008B0B00">
        <w:rPr>
          <w:rFonts w:ascii="Times New Roman" w:hAnsi="Times New Roman" w:cs="Times New Roman"/>
          <w:i/>
          <w:iCs/>
        </w:rPr>
        <w:t xml:space="preserve"> (Cornell University)</w:t>
      </w:r>
      <w:r w:rsidRPr="008B0B00">
        <w:rPr>
          <w:rFonts w:ascii="Times New Roman" w:hAnsi="Times New Roman" w:cs="Times New Roman"/>
        </w:rPr>
        <w:t>. https://doi.org/10.1007/s11704-024-40474-y</w:t>
      </w:r>
    </w:p>
    <w:p w14:paraId="47BE3609"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t>Dahal</w:t>
      </w:r>
      <w:proofErr w:type="spellEnd"/>
      <w:r w:rsidRPr="008B0B00">
        <w:rPr>
          <w:rFonts w:ascii="Times New Roman" w:hAnsi="Times New Roman" w:cs="Times New Roman"/>
        </w:rPr>
        <w:t xml:space="preserve">, L. (2024). </w:t>
      </w:r>
      <w:r w:rsidRPr="008B0B00">
        <w:rPr>
          <w:rFonts w:ascii="Times New Roman" w:hAnsi="Times New Roman" w:cs="Times New Roman"/>
          <w:i/>
          <w:iCs/>
        </w:rPr>
        <w:t>Bitcoin Fraud Detection Using Graph Neural Networks</w:t>
      </w:r>
      <w:r w:rsidRPr="008B0B00">
        <w:rPr>
          <w:rFonts w:ascii="Times New Roman" w:hAnsi="Times New Roman" w:cs="Times New Roman"/>
        </w:rPr>
        <w:t>. Escholarship.org. https://escholarship.org/uc/item/8sf1h2f9</w:t>
      </w:r>
    </w:p>
    <w:p w14:paraId="672BDD8B"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t>Deprez</w:t>
      </w:r>
      <w:proofErr w:type="spellEnd"/>
      <w:r w:rsidRPr="008B0B00">
        <w:rPr>
          <w:rFonts w:ascii="Times New Roman" w:hAnsi="Times New Roman" w:cs="Times New Roman"/>
        </w:rPr>
        <w:t xml:space="preserve">, B., Wei, W., Verbeke, W., </w:t>
      </w:r>
      <w:proofErr w:type="spellStart"/>
      <w:r w:rsidRPr="008B0B00">
        <w:rPr>
          <w:rFonts w:ascii="Times New Roman" w:hAnsi="Times New Roman" w:cs="Times New Roman"/>
        </w:rPr>
        <w:t>Baesens</w:t>
      </w:r>
      <w:proofErr w:type="spellEnd"/>
      <w:r w:rsidRPr="008B0B00">
        <w:rPr>
          <w:rFonts w:ascii="Times New Roman" w:hAnsi="Times New Roman" w:cs="Times New Roman"/>
        </w:rPr>
        <w:t xml:space="preserve">, B., Mets, K., &amp; </w:t>
      </w:r>
      <w:proofErr w:type="spellStart"/>
      <w:r w:rsidRPr="008B0B00">
        <w:rPr>
          <w:rFonts w:ascii="Times New Roman" w:hAnsi="Times New Roman" w:cs="Times New Roman"/>
        </w:rPr>
        <w:t>Verdonck</w:t>
      </w:r>
      <w:proofErr w:type="spellEnd"/>
      <w:r w:rsidRPr="008B0B00">
        <w:rPr>
          <w:rFonts w:ascii="Times New Roman" w:hAnsi="Times New Roman" w:cs="Times New Roman"/>
        </w:rPr>
        <w:t xml:space="preserve">, T. (2025). Advances in Continual Graph Learning for Anti-Money Laundering Systems: A Comprehensive Review. </w:t>
      </w:r>
      <w:proofErr w:type="spellStart"/>
      <w:r w:rsidRPr="008B0B00">
        <w:rPr>
          <w:rFonts w:ascii="Times New Roman" w:hAnsi="Times New Roman" w:cs="Times New Roman"/>
          <w:i/>
          <w:iCs/>
        </w:rPr>
        <w:t>ArXiv</w:t>
      </w:r>
      <w:proofErr w:type="spellEnd"/>
      <w:r w:rsidRPr="008B0B00">
        <w:rPr>
          <w:rFonts w:ascii="Times New Roman" w:hAnsi="Times New Roman" w:cs="Times New Roman"/>
          <w:i/>
          <w:iCs/>
        </w:rPr>
        <w:t xml:space="preserve"> (Cornell University)</w:t>
      </w:r>
      <w:r w:rsidRPr="008B0B00">
        <w:rPr>
          <w:rFonts w:ascii="Times New Roman" w:hAnsi="Times New Roman" w:cs="Times New Roman"/>
        </w:rPr>
        <w:t>. https://doi.org/10.48550/arxiv.2503.24259</w:t>
      </w:r>
    </w:p>
    <w:p w14:paraId="18DF1B61"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Devi, R. R., Raja, J. E., &amp; Chin, Y. B. (2025). Reinforcement learning with graph neural network (RL-GNN) fusion for real-time financial fraud detection: a context-aware community mining approach. </w:t>
      </w:r>
      <w:r w:rsidRPr="008B0B00">
        <w:rPr>
          <w:rFonts w:ascii="Times New Roman" w:hAnsi="Times New Roman" w:cs="Times New Roman"/>
          <w:i/>
          <w:iCs/>
        </w:rPr>
        <w:t>Scientific Reports</w:t>
      </w:r>
      <w:r w:rsidRPr="008B0B00">
        <w:rPr>
          <w:rFonts w:ascii="Times New Roman" w:hAnsi="Times New Roman" w:cs="Times New Roman"/>
        </w:rPr>
        <w:t xml:space="preserve">, </w:t>
      </w:r>
      <w:r w:rsidRPr="008B0B00">
        <w:rPr>
          <w:rFonts w:ascii="Times New Roman" w:hAnsi="Times New Roman" w:cs="Times New Roman"/>
          <w:i/>
          <w:iCs/>
        </w:rPr>
        <w:t>15</w:t>
      </w:r>
      <w:r w:rsidRPr="008B0B00">
        <w:rPr>
          <w:rFonts w:ascii="Times New Roman" w:hAnsi="Times New Roman" w:cs="Times New Roman"/>
        </w:rPr>
        <w:t>(1). https://doi.org/10.1038/s41598-025-25200-3</w:t>
      </w:r>
    </w:p>
    <w:p w14:paraId="422A11B5"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t>Facctum</w:t>
      </w:r>
      <w:proofErr w:type="spellEnd"/>
      <w:r w:rsidRPr="008B0B00">
        <w:rPr>
          <w:rFonts w:ascii="Times New Roman" w:hAnsi="Times New Roman" w:cs="Times New Roman"/>
        </w:rPr>
        <w:t xml:space="preserve">. (2025a). </w:t>
      </w:r>
      <w:r w:rsidRPr="008B0B00">
        <w:rPr>
          <w:rFonts w:ascii="Times New Roman" w:hAnsi="Times New Roman" w:cs="Times New Roman"/>
          <w:i/>
          <w:iCs/>
        </w:rPr>
        <w:t xml:space="preserve">Back What Is Explainable AI (XAI) And Why Is It Important </w:t>
      </w:r>
      <w:proofErr w:type="gramStart"/>
      <w:r w:rsidRPr="008B0B00">
        <w:rPr>
          <w:rFonts w:ascii="Times New Roman" w:hAnsi="Times New Roman" w:cs="Times New Roman"/>
          <w:i/>
          <w:iCs/>
        </w:rPr>
        <w:t>In</w:t>
      </w:r>
      <w:proofErr w:type="gramEnd"/>
      <w:r w:rsidRPr="008B0B00">
        <w:rPr>
          <w:rFonts w:ascii="Times New Roman" w:hAnsi="Times New Roman" w:cs="Times New Roman"/>
          <w:i/>
          <w:iCs/>
        </w:rPr>
        <w:t xml:space="preserve"> Compliance?</w:t>
      </w:r>
      <w:r w:rsidRPr="008B0B00">
        <w:rPr>
          <w:rFonts w:ascii="Times New Roman" w:hAnsi="Times New Roman" w:cs="Times New Roman"/>
        </w:rPr>
        <w:t xml:space="preserve"> Facctum.com. https://www.facctum.com/terms/explainable-ai</w:t>
      </w:r>
    </w:p>
    <w:p w14:paraId="62F632CE"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t>Facctum</w:t>
      </w:r>
      <w:proofErr w:type="spellEnd"/>
      <w:r w:rsidRPr="008B0B00">
        <w:rPr>
          <w:rFonts w:ascii="Times New Roman" w:hAnsi="Times New Roman" w:cs="Times New Roman"/>
        </w:rPr>
        <w:t xml:space="preserve">. (2025b). </w:t>
      </w:r>
      <w:r w:rsidRPr="008B0B00">
        <w:rPr>
          <w:rFonts w:ascii="Times New Roman" w:hAnsi="Times New Roman" w:cs="Times New Roman"/>
          <w:i/>
          <w:iCs/>
        </w:rPr>
        <w:t xml:space="preserve">Back What Is Explainable AI </w:t>
      </w:r>
      <w:proofErr w:type="gramStart"/>
      <w:r w:rsidRPr="008B0B00">
        <w:rPr>
          <w:rFonts w:ascii="Times New Roman" w:hAnsi="Times New Roman" w:cs="Times New Roman"/>
          <w:i/>
          <w:iCs/>
        </w:rPr>
        <w:t>In</w:t>
      </w:r>
      <w:proofErr w:type="gramEnd"/>
      <w:r w:rsidRPr="008B0B00">
        <w:rPr>
          <w:rFonts w:ascii="Times New Roman" w:hAnsi="Times New Roman" w:cs="Times New Roman"/>
          <w:i/>
          <w:iCs/>
        </w:rPr>
        <w:t xml:space="preserve"> Compliance And Why Does It Matter?</w:t>
      </w:r>
      <w:r w:rsidRPr="008B0B00">
        <w:rPr>
          <w:rFonts w:ascii="Times New Roman" w:hAnsi="Times New Roman" w:cs="Times New Roman"/>
        </w:rPr>
        <w:t xml:space="preserve"> Facctum.com. https://www.facctum.com/terms/explainable-ai-in-compliance</w:t>
      </w:r>
    </w:p>
    <w:p w14:paraId="1A07F1D0"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Fan, J., Shar, L. K., Zhang, R., Liu, Z., &amp; Lam, K.-Y. (2025, March 13). </w:t>
      </w:r>
      <w:r w:rsidRPr="008B0B00">
        <w:rPr>
          <w:rFonts w:ascii="Times New Roman" w:hAnsi="Times New Roman" w:cs="Times New Roman"/>
          <w:i/>
          <w:iCs/>
        </w:rPr>
        <w:t>Deep Learning Approaches for Anti-Money Laundering on Mobile Transactions: Review, Framework, and Directions</w:t>
      </w:r>
      <w:r w:rsidRPr="008B0B00">
        <w:rPr>
          <w:rFonts w:ascii="Times New Roman" w:hAnsi="Times New Roman" w:cs="Times New Roman"/>
        </w:rPr>
        <w:t>. https://doi.org/10.48550/arXiv.2503.10058</w:t>
      </w:r>
    </w:p>
    <w:p w14:paraId="3DD47E65"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Gao, X., Zhang, W., Shao, Y., Hung, Cui, B., &amp; Yin, H. (2022). Efficient Graph Neural Network Inference </w:t>
      </w:r>
      <w:proofErr w:type="gramStart"/>
      <w:r w:rsidRPr="008B0B00">
        <w:rPr>
          <w:rFonts w:ascii="Times New Roman" w:hAnsi="Times New Roman" w:cs="Times New Roman"/>
        </w:rPr>
        <w:t>at Large</w:t>
      </w:r>
      <w:proofErr w:type="gramEnd"/>
      <w:r w:rsidRPr="008B0B00">
        <w:rPr>
          <w:rFonts w:ascii="Times New Roman" w:hAnsi="Times New Roman" w:cs="Times New Roman"/>
        </w:rPr>
        <w:t xml:space="preserve"> Scale. </w:t>
      </w:r>
      <w:proofErr w:type="spellStart"/>
      <w:r w:rsidRPr="008B0B00">
        <w:rPr>
          <w:rFonts w:ascii="Times New Roman" w:hAnsi="Times New Roman" w:cs="Times New Roman"/>
          <w:i/>
          <w:iCs/>
        </w:rPr>
        <w:t>ArXiv</w:t>
      </w:r>
      <w:proofErr w:type="spellEnd"/>
      <w:r w:rsidRPr="008B0B00">
        <w:rPr>
          <w:rFonts w:ascii="Times New Roman" w:hAnsi="Times New Roman" w:cs="Times New Roman"/>
          <w:i/>
          <w:iCs/>
        </w:rPr>
        <w:t xml:space="preserve"> (Cornell University)</w:t>
      </w:r>
      <w:r w:rsidRPr="008B0B00">
        <w:rPr>
          <w:rFonts w:ascii="Times New Roman" w:hAnsi="Times New Roman" w:cs="Times New Roman"/>
        </w:rPr>
        <w:t>. https://doi.org/10.48550/arxiv.2211.00495</w:t>
      </w:r>
    </w:p>
    <w:p w14:paraId="1C01CD9F"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Goodfellow, I. J., </w:t>
      </w:r>
      <w:proofErr w:type="spellStart"/>
      <w:r w:rsidRPr="008B0B00">
        <w:rPr>
          <w:rFonts w:ascii="Times New Roman" w:hAnsi="Times New Roman" w:cs="Times New Roman"/>
        </w:rPr>
        <w:t>Shlens</w:t>
      </w:r>
      <w:proofErr w:type="spellEnd"/>
      <w:r w:rsidRPr="008B0B00">
        <w:rPr>
          <w:rFonts w:ascii="Times New Roman" w:hAnsi="Times New Roman" w:cs="Times New Roman"/>
        </w:rPr>
        <w:t xml:space="preserve">, J., &amp; </w:t>
      </w:r>
      <w:proofErr w:type="spellStart"/>
      <w:r w:rsidRPr="008B0B00">
        <w:rPr>
          <w:rFonts w:ascii="Times New Roman" w:hAnsi="Times New Roman" w:cs="Times New Roman"/>
        </w:rPr>
        <w:t>Szegedy</w:t>
      </w:r>
      <w:proofErr w:type="spellEnd"/>
      <w:r w:rsidRPr="008B0B00">
        <w:rPr>
          <w:rFonts w:ascii="Times New Roman" w:hAnsi="Times New Roman" w:cs="Times New Roman"/>
        </w:rPr>
        <w:t xml:space="preserve">, C. (2014). </w:t>
      </w:r>
      <w:r w:rsidRPr="008B0B00">
        <w:rPr>
          <w:rFonts w:ascii="Times New Roman" w:hAnsi="Times New Roman" w:cs="Times New Roman"/>
          <w:i/>
          <w:iCs/>
        </w:rPr>
        <w:t>Explaining and Harnessing Adversarial Examples</w:t>
      </w:r>
      <w:r w:rsidRPr="008B0B00">
        <w:rPr>
          <w:rFonts w:ascii="Times New Roman" w:hAnsi="Times New Roman" w:cs="Times New Roman"/>
        </w:rPr>
        <w:t xml:space="preserve">. </w:t>
      </w:r>
      <w:proofErr w:type="spellStart"/>
      <w:r w:rsidRPr="008B0B00">
        <w:rPr>
          <w:rFonts w:ascii="Times New Roman" w:hAnsi="Times New Roman" w:cs="Times New Roman"/>
        </w:rPr>
        <w:t>CoRR.</w:t>
      </w:r>
      <w:proofErr w:type="spellEnd"/>
      <w:r w:rsidRPr="008B0B00">
        <w:rPr>
          <w:rFonts w:ascii="Times New Roman" w:hAnsi="Times New Roman" w:cs="Times New Roman"/>
        </w:rPr>
        <w:t xml:space="preserve"> https://www.semanticscholar.org/paper/Explaining-and-Harnessing-Adversarial-Examples-Goodfellow-Shlens/bee044c8e8903fb67523c1f8c105ab4718600cdb</w:t>
      </w:r>
    </w:p>
    <w:p w14:paraId="0C3A19F1"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Grover, P., Li, Z., Liu, J., </w:t>
      </w:r>
      <w:proofErr w:type="spellStart"/>
      <w:r w:rsidRPr="008B0B00">
        <w:rPr>
          <w:rFonts w:ascii="Times New Roman" w:hAnsi="Times New Roman" w:cs="Times New Roman"/>
        </w:rPr>
        <w:t>Zablocki</w:t>
      </w:r>
      <w:proofErr w:type="spellEnd"/>
      <w:r w:rsidRPr="008B0B00">
        <w:rPr>
          <w:rFonts w:ascii="Times New Roman" w:hAnsi="Times New Roman" w:cs="Times New Roman"/>
        </w:rPr>
        <w:t xml:space="preserve">, J., Zhou, H., Xu, J., &amp; Cheng, A. (2022). </w:t>
      </w:r>
      <w:r w:rsidRPr="008B0B00">
        <w:rPr>
          <w:rFonts w:ascii="Times New Roman" w:hAnsi="Times New Roman" w:cs="Times New Roman"/>
          <w:i/>
          <w:iCs/>
        </w:rPr>
        <w:t>Fraud Dataset Benchmark and Applications</w:t>
      </w:r>
      <w:r w:rsidRPr="008B0B00">
        <w:rPr>
          <w:rFonts w:ascii="Times New Roman" w:hAnsi="Times New Roman" w:cs="Times New Roman"/>
        </w:rPr>
        <w:t>. Semantic Scholar. https://api.semanticscholar.org/CorpusID:251929079</w:t>
      </w:r>
    </w:p>
    <w:p w14:paraId="2C01E97A"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Grover, P., Li, Z., Xu, J., </w:t>
      </w:r>
      <w:proofErr w:type="spellStart"/>
      <w:proofErr w:type="gramStart"/>
      <w:r w:rsidRPr="008B0B00">
        <w:rPr>
          <w:rFonts w:ascii="Times New Roman" w:hAnsi="Times New Roman" w:cs="Times New Roman"/>
        </w:rPr>
        <w:t>Tittelfitz</w:t>
      </w:r>
      <w:proofErr w:type="spellEnd"/>
      <w:r w:rsidRPr="008B0B00">
        <w:rPr>
          <w:rFonts w:ascii="Times New Roman" w:hAnsi="Times New Roman" w:cs="Times New Roman"/>
        </w:rPr>
        <w:t xml:space="preserve"> ,</w:t>
      </w:r>
      <w:proofErr w:type="gramEnd"/>
      <w:r w:rsidRPr="008B0B00">
        <w:rPr>
          <w:rFonts w:ascii="Times New Roman" w:hAnsi="Times New Roman" w:cs="Times New Roman"/>
        </w:rPr>
        <w:t xml:space="preserve"> J., Cheng, A., </w:t>
      </w:r>
      <w:proofErr w:type="spellStart"/>
      <w:r w:rsidRPr="008B0B00">
        <w:rPr>
          <w:rFonts w:ascii="Times New Roman" w:hAnsi="Times New Roman" w:cs="Times New Roman"/>
        </w:rPr>
        <w:t>Zablocki</w:t>
      </w:r>
      <w:proofErr w:type="spellEnd"/>
      <w:r w:rsidRPr="008B0B00">
        <w:rPr>
          <w:rFonts w:ascii="Times New Roman" w:hAnsi="Times New Roman" w:cs="Times New Roman"/>
        </w:rPr>
        <w:t xml:space="preserve">, J., Liu, J., &amp; Zhou, H. (2018). </w:t>
      </w:r>
      <w:r w:rsidRPr="008B0B00">
        <w:rPr>
          <w:rFonts w:ascii="Times New Roman" w:hAnsi="Times New Roman" w:cs="Times New Roman"/>
          <w:i/>
          <w:iCs/>
        </w:rPr>
        <w:t>FDB: Fraud Dataset Benchmark</w:t>
      </w:r>
      <w:r w:rsidRPr="008B0B00">
        <w:rPr>
          <w:rFonts w:ascii="Times New Roman" w:hAnsi="Times New Roman" w:cs="Times New Roman"/>
        </w:rPr>
        <w:t>. Amazon Science. https://www.amazon.science/code-and-datasets/fdb-fraud-dataset-benchmark</w:t>
      </w:r>
    </w:p>
    <w:p w14:paraId="6066A644"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lastRenderedPageBreak/>
        <w:t>Hilou</w:t>
      </w:r>
      <w:proofErr w:type="spellEnd"/>
      <w:r w:rsidRPr="008B0B00">
        <w:rPr>
          <w:rFonts w:ascii="Times New Roman" w:hAnsi="Times New Roman" w:cs="Times New Roman"/>
        </w:rPr>
        <w:t xml:space="preserve">, H. W., Ahmed, M. A., </w:t>
      </w:r>
      <w:proofErr w:type="spellStart"/>
      <w:r w:rsidRPr="008B0B00">
        <w:rPr>
          <w:rFonts w:ascii="Times New Roman" w:hAnsi="Times New Roman" w:cs="Times New Roman"/>
        </w:rPr>
        <w:t>Dheeb</w:t>
      </w:r>
      <w:proofErr w:type="spellEnd"/>
      <w:r w:rsidRPr="008B0B00">
        <w:rPr>
          <w:rFonts w:ascii="Times New Roman" w:hAnsi="Times New Roman" w:cs="Times New Roman"/>
        </w:rPr>
        <w:t xml:space="preserve">, S. A., Radhi, A. A., Khadim, Z. M., Majeed, M. N., &amp; </w:t>
      </w:r>
      <w:proofErr w:type="spellStart"/>
      <w:r w:rsidRPr="008B0B00">
        <w:rPr>
          <w:rFonts w:ascii="Times New Roman" w:hAnsi="Times New Roman" w:cs="Times New Roman"/>
        </w:rPr>
        <w:t>Jadaan</w:t>
      </w:r>
      <w:proofErr w:type="spellEnd"/>
      <w:r w:rsidRPr="008B0B00">
        <w:rPr>
          <w:rFonts w:ascii="Times New Roman" w:hAnsi="Times New Roman" w:cs="Times New Roman"/>
        </w:rPr>
        <w:t xml:space="preserve">, A. I. (2025). Federated Learning for Credit Card Fraud Detection: A Privacy-Preserving Approach with Smote Optimization. </w:t>
      </w:r>
      <w:r w:rsidRPr="008B0B00">
        <w:rPr>
          <w:rFonts w:ascii="Times New Roman" w:hAnsi="Times New Roman" w:cs="Times New Roman"/>
          <w:i/>
          <w:iCs/>
        </w:rPr>
        <w:t>Journal of Al-</w:t>
      </w:r>
      <w:proofErr w:type="spellStart"/>
      <w:r w:rsidRPr="008B0B00">
        <w:rPr>
          <w:rFonts w:ascii="Times New Roman" w:hAnsi="Times New Roman" w:cs="Times New Roman"/>
          <w:i/>
          <w:iCs/>
        </w:rPr>
        <w:t>Qadisiyah</w:t>
      </w:r>
      <w:proofErr w:type="spellEnd"/>
      <w:r w:rsidRPr="008B0B00">
        <w:rPr>
          <w:rFonts w:ascii="Times New Roman" w:hAnsi="Times New Roman" w:cs="Times New Roman"/>
          <w:i/>
          <w:iCs/>
        </w:rPr>
        <w:t xml:space="preserve"> for Computer Science and Mathematics</w:t>
      </w:r>
      <w:r w:rsidRPr="008B0B00">
        <w:rPr>
          <w:rFonts w:ascii="Times New Roman" w:hAnsi="Times New Roman" w:cs="Times New Roman"/>
        </w:rPr>
        <w:t xml:space="preserve">, </w:t>
      </w:r>
      <w:r w:rsidRPr="008B0B00">
        <w:rPr>
          <w:rFonts w:ascii="Times New Roman" w:hAnsi="Times New Roman" w:cs="Times New Roman"/>
          <w:i/>
          <w:iCs/>
        </w:rPr>
        <w:t>17</w:t>
      </w:r>
      <w:r w:rsidRPr="008B0B00">
        <w:rPr>
          <w:rFonts w:ascii="Times New Roman" w:hAnsi="Times New Roman" w:cs="Times New Roman"/>
        </w:rPr>
        <w:t>(3). https://doi.org/10.29304/jqcsm.2025.17.32423</w:t>
      </w:r>
    </w:p>
    <w:p w14:paraId="5D055A57"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Hoang, V. T., </w:t>
      </w:r>
      <w:proofErr w:type="spellStart"/>
      <w:r w:rsidRPr="008B0B00">
        <w:rPr>
          <w:rFonts w:ascii="Times New Roman" w:hAnsi="Times New Roman" w:cs="Times New Roman"/>
        </w:rPr>
        <w:t>Dinh</w:t>
      </w:r>
      <w:proofErr w:type="spellEnd"/>
      <w:r w:rsidRPr="008B0B00">
        <w:rPr>
          <w:rFonts w:ascii="Times New Roman" w:hAnsi="Times New Roman" w:cs="Times New Roman"/>
        </w:rPr>
        <w:t xml:space="preserve">, N., Le, V.-T., </w:t>
      </w:r>
      <w:proofErr w:type="spellStart"/>
      <w:r w:rsidRPr="008B0B00">
        <w:rPr>
          <w:rFonts w:ascii="Times New Roman" w:hAnsi="Times New Roman" w:cs="Times New Roman"/>
        </w:rPr>
        <w:t>Kiet</w:t>
      </w:r>
      <w:proofErr w:type="spellEnd"/>
      <w:r w:rsidRPr="008B0B00">
        <w:rPr>
          <w:rFonts w:ascii="Times New Roman" w:hAnsi="Times New Roman" w:cs="Times New Roman"/>
        </w:rPr>
        <w:t xml:space="preserve"> Tran-</w:t>
      </w:r>
      <w:proofErr w:type="spellStart"/>
      <w:r w:rsidRPr="008B0B00">
        <w:rPr>
          <w:rFonts w:ascii="Times New Roman" w:hAnsi="Times New Roman" w:cs="Times New Roman"/>
        </w:rPr>
        <w:t>Trung</w:t>
      </w:r>
      <w:proofErr w:type="spellEnd"/>
      <w:r w:rsidRPr="008B0B00">
        <w:rPr>
          <w:rFonts w:ascii="Times New Roman" w:hAnsi="Times New Roman" w:cs="Times New Roman"/>
        </w:rPr>
        <w:t xml:space="preserve">, Van, B. N., &amp; </w:t>
      </w:r>
      <w:proofErr w:type="spellStart"/>
      <w:r w:rsidRPr="008B0B00">
        <w:rPr>
          <w:rFonts w:ascii="Times New Roman" w:hAnsi="Times New Roman" w:cs="Times New Roman"/>
        </w:rPr>
        <w:t>Kittikhun</w:t>
      </w:r>
      <w:proofErr w:type="spellEnd"/>
      <w:r w:rsidRPr="008B0B00">
        <w:rPr>
          <w:rFonts w:ascii="Times New Roman" w:hAnsi="Times New Roman" w:cs="Times New Roman"/>
        </w:rPr>
        <w:t xml:space="preserve"> </w:t>
      </w:r>
      <w:proofErr w:type="spellStart"/>
      <w:r w:rsidRPr="008B0B00">
        <w:rPr>
          <w:rFonts w:ascii="Times New Roman" w:hAnsi="Times New Roman" w:cs="Times New Roman"/>
        </w:rPr>
        <w:t>Meethongjan</w:t>
      </w:r>
      <w:proofErr w:type="spellEnd"/>
      <w:r w:rsidRPr="008B0B00">
        <w:rPr>
          <w:rFonts w:ascii="Times New Roman" w:hAnsi="Times New Roman" w:cs="Times New Roman"/>
        </w:rPr>
        <w:t xml:space="preserve">. (2025). Detecting Anomalies in FinTech: A Graph Neural Network and Feature Selection Perspective. </w:t>
      </w:r>
      <w:r w:rsidRPr="008B0B00">
        <w:rPr>
          <w:rFonts w:ascii="Times New Roman" w:hAnsi="Times New Roman" w:cs="Times New Roman"/>
          <w:i/>
          <w:iCs/>
        </w:rPr>
        <w:t>Computers, Materials &amp; Continua/Computers, Materials &amp; Continua (Print)</w:t>
      </w:r>
      <w:r w:rsidRPr="008B0B00">
        <w:rPr>
          <w:rFonts w:ascii="Times New Roman" w:hAnsi="Times New Roman" w:cs="Times New Roman"/>
        </w:rPr>
        <w:t xml:space="preserve">, </w:t>
      </w:r>
      <w:r w:rsidRPr="008B0B00">
        <w:rPr>
          <w:rFonts w:ascii="Times New Roman" w:hAnsi="Times New Roman" w:cs="Times New Roman"/>
          <w:i/>
          <w:iCs/>
        </w:rPr>
        <w:t>86</w:t>
      </w:r>
      <w:r w:rsidRPr="008B0B00">
        <w:rPr>
          <w:rFonts w:ascii="Times New Roman" w:hAnsi="Times New Roman" w:cs="Times New Roman"/>
        </w:rPr>
        <w:t>(1), 1–40. https://doi.org/10.32604/cmc.2025.068733</w:t>
      </w:r>
    </w:p>
    <w:p w14:paraId="31679B11"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Huang, Q., Wang, M., Gai, Y., </w:t>
      </w:r>
      <w:proofErr w:type="gramStart"/>
      <w:r w:rsidRPr="008B0B00">
        <w:rPr>
          <w:rFonts w:ascii="Times New Roman" w:hAnsi="Times New Roman" w:cs="Times New Roman"/>
        </w:rPr>
        <w:t>Gan ,</w:t>
      </w:r>
      <w:proofErr w:type="gramEnd"/>
      <w:r w:rsidRPr="008B0B00">
        <w:rPr>
          <w:rFonts w:ascii="Times New Roman" w:hAnsi="Times New Roman" w:cs="Times New Roman"/>
        </w:rPr>
        <w:t xml:space="preserve"> Q., &amp; Zhang, Z. (2018). </w:t>
      </w:r>
      <w:r w:rsidRPr="008B0B00">
        <w:rPr>
          <w:rFonts w:ascii="Times New Roman" w:hAnsi="Times New Roman" w:cs="Times New Roman"/>
          <w:i/>
          <w:iCs/>
        </w:rPr>
        <w:t>Graph Convolutional Network — DGL 2.5 documentation</w:t>
      </w:r>
      <w:r w:rsidRPr="008B0B00">
        <w:rPr>
          <w:rFonts w:ascii="Times New Roman" w:hAnsi="Times New Roman" w:cs="Times New Roman"/>
        </w:rPr>
        <w:t>. Www.dgl.ai. https://www.dgl.ai/dgl_docs/tutorials/models/1_gnn/1_gcn.html</w:t>
      </w:r>
    </w:p>
    <w:p w14:paraId="6EB49E62"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Huang, R. (2025). </w:t>
      </w:r>
      <w:proofErr w:type="spellStart"/>
      <w:r w:rsidRPr="008B0B00">
        <w:rPr>
          <w:rFonts w:ascii="Times New Roman" w:hAnsi="Times New Roman" w:cs="Times New Roman"/>
        </w:rPr>
        <w:t>FinGuard</w:t>
      </w:r>
      <w:proofErr w:type="spellEnd"/>
      <w:r w:rsidRPr="008B0B00">
        <w:rPr>
          <w:rFonts w:ascii="Times New Roman" w:hAnsi="Times New Roman" w:cs="Times New Roman"/>
        </w:rPr>
        <w:t xml:space="preserve">-GNN: Dynamic Graph Neural Network Framework for Financial Fraud Detection. </w:t>
      </w:r>
      <w:r w:rsidRPr="008B0B00">
        <w:rPr>
          <w:rFonts w:ascii="Times New Roman" w:hAnsi="Times New Roman" w:cs="Times New Roman"/>
          <w:i/>
          <w:iCs/>
        </w:rPr>
        <w:t>Frontiers in Business, Economics and Management</w:t>
      </w:r>
      <w:r w:rsidRPr="008B0B00">
        <w:rPr>
          <w:rFonts w:ascii="Times New Roman" w:hAnsi="Times New Roman" w:cs="Times New Roman"/>
        </w:rPr>
        <w:t xml:space="preserve">, </w:t>
      </w:r>
      <w:r w:rsidRPr="008B0B00">
        <w:rPr>
          <w:rFonts w:ascii="Times New Roman" w:hAnsi="Times New Roman" w:cs="Times New Roman"/>
          <w:i/>
          <w:iCs/>
        </w:rPr>
        <w:t>19</w:t>
      </w:r>
      <w:r w:rsidRPr="008B0B00">
        <w:rPr>
          <w:rFonts w:ascii="Times New Roman" w:hAnsi="Times New Roman" w:cs="Times New Roman"/>
        </w:rPr>
        <w:t>(3), 121–125. https://doi.org/10.54097/wh6hg844</w:t>
      </w:r>
    </w:p>
    <w:p w14:paraId="222D132F"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t>Kute</w:t>
      </w:r>
      <w:proofErr w:type="spellEnd"/>
      <w:r w:rsidRPr="008B0B00">
        <w:rPr>
          <w:rFonts w:ascii="Times New Roman" w:hAnsi="Times New Roman" w:cs="Times New Roman"/>
        </w:rPr>
        <w:t xml:space="preserve">, D. V., Pradhan, B., Shukla, N., &amp; </w:t>
      </w:r>
      <w:proofErr w:type="spellStart"/>
      <w:r w:rsidRPr="008B0B00">
        <w:rPr>
          <w:rFonts w:ascii="Times New Roman" w:hAnsi="Times New Roman" w:cs="Times New Roman"/>
        </w:rPr>
        <w:t>Alamri</w:t>
      </w:r>
      <w:proofErr w:type="spellEnd"/>
      <w:r w:rsidRPr="008B0B00">
        <w:rPr>
          <w:rFonts w:ascii="Times New Roman" w:hAnsi="Times New Roman" w:cs="Times New Roman"/>
        </w:rPr>
        <w:t xml:space="preserve">, A. (2021). Deep Learning and Explainable Artificial Intelligence Techniques Applied for Detecting Money Laundering–A Critical Review. </w:t>
      </w:r>
      <w:r w:rsidRPr="008B0B00">
        <w:rPr>
          <w:rFonts w:ascii="Times New Roman" w:hAnsi="Times New Roman" w:cs="Times New Roman"/>
          <w:i/>
          <w:iCs/>
        </w:rPr>
        <w:t>IEEE Access</w:t>
      </w:r>
      <w:r w:rsidRPr="008B0B00">
        <w:rPr>
          <w:rFonts w:ascii="Times New Roman" w:hAnsi="Times New Roman" w:cs="Times New Roman"/>
        </w:rPr>
        <w:t xml:space="preserve">, </w:t>
      </w:r>
      <w:r w:rsidRPr="008B0B00">
        <w:rPr>
          <w:rFonts w:ascii="Times New Roman" w:hAnsi="Times New Roman" w:cs="Times New Roman"/>
          <w:i/>
          <w:iCs/>
        </w:rPr>
        <w:t>9</w:t>
      </w:r>
      <w:r w:rsidRPr="008B0B00">
        <w:rPr>
          <w:rFonts w:ascii="Times New Roman" w:hAnsi="Times New Roman" w:cs="Times New Roman"/>
        </w:rPr>
        <w:t>(2), 82300–82317. https://doi.org/10.1109/access.2021.3086230</w:t>
      </w:r>
    </w:p>
    <w:p w14:paraId="3645B609"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Lawal, O., &amp; </w:t>
      </w:r>
      <w:proofErr w:type="spellStart"/>
      <w:r w:rsidRPr="008B0B00">
        <w:rPr>
          <w:rFonts w:ascii="Times New Roman" w:hAnsi="Times New Roman" w:cs="Times New Roman"/>
        </w:rPr>
        <w:t>Obunadike</w:t>
      </w:r>
      <w:proofErr w:type="spellEnd"/>
      <w:r w:rsidRPr="008B0B00">
        <w:rPr>
          <w:rFonts w:ascii="Times New Roman" w:hAnsi="Times New Roman" w:cs="Times New Roman"/>
        </w:rPr>
        <w:t xml:space="preserve">, C. (2025). AN EXPLAINABLE GRAPH NEURAL NETWORK FRAMEWORK FOR ANTI–MONEY LAUNDERING IN CRYPTOCURRENCY TRANSACTIONS USING THE ELLIPTIC DATASET. </w:t>
      </w:r>
      <w:r w:rsidRPr="008B0B00">
        <w:rPr>
          <w:rFonts w:ascii="Times New Roman" w:hAnsi="Times New Roman" w:cs="Times New Roman"/>
          <w:i/>
          <w:iCs/>
        </w:rPr>
        <w:t>International Journal of Network Security &amp; Its Applications</w:t>
      </w:r>
      <w:r w:rsidRPr="008B0B00">
        <w:rPr>
          <w:rFonts w:ascii="Times New Roman" w:hAnsi="Times New Roman" w:cs="Times New Roman"/>
        </w:rPr>
        <w:t xml:space="preserve">, </w:t>
      </w:r>
      <w:r w:rsidRPr="008B0B00">
        <w:rPr>
          <w:rFonts w:ascii="Times New Roman" w:hAnsi="Times New Roman" w:cs="Times New Roman"/>
          <w:i/>
          <w:iCs/>
        </w:rPr>
        <w:t>17</w:t>
      </w:r>
      <w:r w:rsidRPr="008B0B00">
        <w:rPr>
          <w:rFonts w:ascii="Times New Roman" w:hAnsi="Times New Roman" w:cs="Times New Roman"/>
        </w:rPr>
        <w:t>(6), 27–39. https://doi.org/10.5121/ijnsa.2025.17602</w:t>
      </w:r>
    </w:p>
    <w:p w14:paraId="2B654772"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Li, Z., Yang, X., &amp; Jiang, C. (2025). Multi-view Graph based Hierarchical Representation Learning for Money Laundering Group Detection. </w:t>
      </w:r>
      <w:r w:rsidRPr="008B0B00">
        <w:rPr>
          <w:rFonts w:ascii="Times New Roman" w:hAnsi="Times New Roman" w:cs="Times New Roman"/>
          <w:i/>
          <w:iCs/>
        </w:rPr>
        <w:t>IEEE Transactions on Information Forensics and Security</w:t>
      </w:r>
      <w:r w:rsidRPr="008B0B00">
        <w:rPr>
          <w:rFonts w:ascii="Times New Roman" w:hAnsi="Times New Roman" w:cs="Times New Roman"/>
        </w:rPr>
        <w:t>, 1–1. https://doi.org/10.1109/tifs.2025.3529321</w:t>
      </w:r>
    </w:p>
    <w:p w14:paraId="6772A186"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Liu, J. (2025). </w:t>
      </w:r>
      <w:r w:rsidRPr="008B0B00">
        <w:rPr>
          <w:rFonts w:ascii="Times New Roman" w:hAnsi="Times New Roman" w:cs="Times New Roman"/>
          <w:i/>
          <w:iCs/>
        </w:rPr>
        <w:t>Feature Engineering for AML: From Raw Data to Risk Signals</w:t>
      </w:r>
      <w:r w:rsidRPr="008B0B00">
        <w:rPr>
          <w:rFonts w:ascii="Times New Roman" w:hAnsi="Times New Roman" w:cs="Times New Roman"/>
        </w:rPr>
        <w:t>. Nerous.ai. https://nerous.ai/en/resources/blog/feature-engineering-aml/</w:t>
      </w:r>
    </w:p>
    <w:p w14:paraId="33AB8BF7"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Lou, C., Wang, Y., Li, J., Qian, Y., &amp; Li, X. (2024). Graph neural network for fraud detection via context encoding and adaptive aggregation. </w:t>
      </w:r>
      <w:r w:rsidRPr="008B0B00">
        <w:rPr>
          <w:rFonts w:ascii="Times New Roman" w:hAnsi="Times New Roman" w:cs="Times New Roman"/>
          <w:i/>
          <w:iCs/>
        </w:rPr>
        <w:t>Expert Systems with Applications</w:t>
      </w:r>
      <w:r w:rsidRPr="008B0B00">
        <w:rPr>
          <w:rFonts w:ascii="Times New Roman" w:hAnsi="Times New Roman" w:cs="Times New Roman"/>
        </w:rPr>
        <w:t>, 125473–125473. https://doi.org/10.1016/j.eswa.2024.125473</w:t>
      </w:r>
    </w:p>
    <w:p w14:paraId="572546FD"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Lundberg, S. M., </w:t>
      </w:r>
      <w:proofErr w:type="spellStart"/>
      <w:r w:rsidRPr="008B0B00">
        <w:rPr>
          <w:rFonts w:ascii="Times New Roman" w:hAnsi="Times New Roman" w:cs="Times New Roman"/>
        </w:rPr>
        <w:t>Erion</w:t>
      </w:r>
      <w:proofErr w:type="spellEnd"/>
      <w:r w:rsidRPr="008B0B00">
        <w:rPr>
          <w:rFonts w:ascii="Times New Roman" w:hAnsi="Times New Roman" w:cs="Times New Roman"/>
        </w:rPr>
        <w:t xml:space="preserve">, G. G., &amp; Lee, S.-I. (2018). Consistent Individualized Feature Attribution for Tree Ensembles. </w:t>
      </w:r>
      <w:proofErr w:type="spellStart"/>
      <w:r w:rsidRPr="008B0B00">
        <w:rPr>
          <w:rFonts w:ascii="Times New Roman" w:hAnsi="Times New Roman" w:cs="Times New Roman"/>
          <w:i/>
          <w:iCs/>
        </w:rPr>
        <w:t>ArXiv</w:t>
      </w:r>
      <w:proofErr w:type="spellEnd"/>
      <w:r w:rsidRPr="008B0B00">
        <w:rPr>
          <w:rFonts w:ascii="Times New Roman" w:hAnsi="Times New Roman" w:cs="Times New Roman"/>
          <w:i/>
          <w:iCs/>
        </w:rPr>
        <w:t xml:space="preserve"> (Cornell University)</w:t>
      </w:r>
      <w:r w:rsidRPr="008B0B00">
        <w:rPr>
          <w:rFonts w:ascii="Times New Roman" w:hAnsi="Times New Roman" w:cs="Times New Roman"/>
        </w:rPr>
        <w:t>. https://doi.org/10.48550/arxiv.1802.03888</w:t>
      </w:r>
    </w:p>
    <w:p w14:paraId="4C2143F5"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McMahan, H. B., Moore, E., Ramage, D., Hampson, S., &amp; </w:t>
      </w:r>
      <w:proofErr w:type="spellStart"/>
      <w:r w:rsidRPr="008B0B00">
        <w:rPr>
          <w:rFonts w:ascii="Times New Roman" w:hAnsi="Times New Roman" w:cs="Times New Roman"/>
        </w:rPr>
        <w:t>Arcas</w:t>
      </w:r>
      <w:proofErr w:type="spellEnd"/>
      <w:r w:rsidRPr="008B0B00">
        <w:rPr>
          <w:rFonts w:ascii="Times New Roman" w:hAnsi="Times New Roman" w:cs="Times New Roman"/>
        </w:rPr>
        <w:t xml:space="preserve">, B. A. Y. (2016). </w:t>
      </w:r>
      <w:r w:rsidRPr="008B0B00">
        <w:rPr>
          <w:rFonts w:ascii="Times New Roman" w:hAnsi="Times New Roman" w:cs="Times New Roman"/>
          <w:i/>
          <w:iCs/>
        </w:rPr>
        <w:t>Communication-Efficient Learning of Deep Networks from Decentralized Data</w:t>
      </w:r>
      <w:r w:rsidRPr="008B0B00">
        <w:rPr>
          <w:rFonts w:ascii="Times New Roman" w:hAnsi="Times New Roman" w:cs="Times New Roman"/>
        </w:rPr>
        <w:t xml:space="preserve">. International Conference </w:t>
      </w:r>
      <w:r w:rsidRPr="008B0B00">
        <w:rPr>
          <w:rFonts w:ascii="Times New Roman" w:hAnsi="Times New Roman" w:cs="Times New Roman"/>
        </w:rPr>
        <w:lastRenderedPageBreak/>
        <w:t>on Artificial Intelligence and Statistics. https://api.semanticscholar.org/CorpusID:14955348</w:t>
      </w:r>
    </w:p>
    <w:p w14:paraId="3338E4FF"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Mohsin, M. T., &amp; Nasim, N. B. (2025). Explaining the unexplainable: A systematic review of explainable AI in finance. </w:t>
      </w:r>
      <w:r w:rsidRPr="008B0B00">
        <w:rPr>
          <w:rFonts w:ascii="Times New Roman" w:hAnsi="Times New Roman" w:cs="Times New Roman"/>
          <w:i/>
          <w:iCs/>
        </w:rPr>
        <w:t>International Journal of Science and Research Archive</w:t>
      </w:r>
      <w:r w:rsidRPr="008B0B00">
        <w:rPr>
          <w:rFonts w:ascii="Times New Roman" w:hAnsi="Times New Roman" w:cs="Times New Roman"/>
        </w:rPr>
        <w:t xml:space="preserve">, </w:t>
      </w:r>
      <w:r w:rsidRPr="008B0B00">
        <w:rPr>
          <w:rFonts w:ascii="Times New Roman" w:hAnsi="Times New Roman" w:cs="Times New Roman"/>
          <w:i/>
          <w:iCs/>
        </w:rPr>
        <w:t>16</w:t>
      </w:r>
      <w:r w:rsidRPr="008B0B00">
        <w:rPr>
          <w:rFonts w:ascii="Times New Roman" w:hAnsi="Times New Roman" w:cs="Times New Roman"/>
        </w:rPr>
        <w:t>(3), 476–497. https://doi.org/10.30574/ijsra.2025.16.3.2581</w:t>
      </w:r>
    </w:p>
    <w:p w14:paraId="28B5E00F"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Molnar, C. (2025). Interpretable Machine Learning. In </w:t>
      </w:r>
      <w:r w:rsidRPr="008B0B00">
        <w:rPr>
          <w:rFonts w:ascii="Times New Roman" w:hAnsi="Times New Roman" w:cs="Times New Roman"/>
          <w:i/>
          <w:iCs/>
        </w:rPr>
        <w:t>christophm.github.io</w:t>
      </w:r>
      <w:r w:rsidRPr="008B0B00">
        <w:rPr>
          <w:rFonts w:ascii="Times New Roman" w:hAnsi="Times New Roman" w:cs="Times New Roman"/>
        </w:rPr>
        <w:t>. https://christophm.github.io/interpretable-ml-book</w:t>
      </w:r>
    </w:p>
    <w:p w14:paraId="6461559F"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t>Motie</w:t>
      </w:r>
      <w:proofErr w:type="spellEnd"/>
      <w:r w:rsidRPr="008B0B00">
        <w:rPr>
          <w:rFonts w:ascii="Times New Roman" w:hAnsi="Times New Roman" w:cs="Times New Roman"/>
        </w:rPr>
        <w:t xml:space="preserve">, S., &amp; </w:t>
      </w:r>
      <w:proofErr w:type="spellStart"/>
      <w:r w:rsidRPr="008B0B00">
        <w:rPr>
          <w:rFonts w:ascii="Times New Roman" w:hAnsi="Times New Roman" w:cs="Times New Roman"/>
        </w:rPr>
        <w:t>Raahemi</w:t>
      </w:r>
      <w:proofErr w:type="spellEnd"/>
      <w:r w:rsidRPr="008B0B00">
        <w:rPr>
          <w:rFonts w:ascii="Times New Roman" w:hAnsi="Times New Roman" w:cs="Times New Roman"/>
        </w:rPr>
        <w:t xml:space="preserve">, B. (2023). Financial fraud detection using graph neural networks: A systematic review. </w:t>
      </w:r>
      <w:r w:rsidRPr="008B0B00">
        <w:rPr>
          <w:rFonts w:ascii="Times New Roman" w:hAnsi="Times New Roman" w:cs="Times New Roman"/>
          <w:i/>
          <w:iCs/>
        </w:rPr>
        <w:t>Expert Systems with Applications</w:t>
      </w:r>
      <w:r w:rsidRPr="008B0B00">
        <w:rPr>
          <w:rFonts w:ascii="Times New Roman" w:hAnsi="Times New Roman" w:cs="Times New Roman"/>
        </w:rPr>
        <w:t xml:space="preserve">, </w:t>
      </w:r>
      <w:r w:rsidRPr="008B0B00">
        <w:rPr>
          <w:rFonts w:ascii="Times New Roman" w:hAnsi="Times New Roman" w:cs="Times New Roman"/>
          <w:i/>
          <w:iCs/>
        </w:rPr>
        <w:t>240</w:t>
      </w:r>
      <w:r w:rsidRPr="008B0B00">
        <w:rPr>
          <w:rFonts w:ascii="Times New Roman" w:hAnsi="Times New Roman" w:cs="Times New Roman"/>
        </w:rPr>
        <w:t>, 122156. https://doi.org/10.1016/j.eswa.2023.122156</w:t>
      </w:r>
    </w:p>
    <w:p w14:paraId="051E9B1E"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Poon, C.-H., Kwok, J., Chow, C., &amp; Choi, J.-H. (2025). </w:t>
      </w:r>
      <w:proofErr w:type="spellStart"/>
      <w:r w:rsidRPr="008B0B00">
        <w:rPr>
          <w:rFonts w:ascii="Times New Roman" w:hAnsi="Times New Roman" w:cs="Times New Roman"/>
        </w:rPr>
        <w:t>LineMVGNN</w:t>
      </w:r>
      <w:proofErr w:type="spellEnd"/>
      <w:r w:rsidRPr="008B0B00">
        <w:rPr>
          <w:rFonts w:ascii="Times New Roman" w:hAnsi="Times New Roman" w:cs="Times New Roman"/>
        </w:rPr>
        <w:t xml:space="preserve">: Anti-Money Laundering with Line-Graph-Assisted Multi-View Graph Neural Networks. </w:t>
      </w:r>
      <w:r w:rsidRPr="008B0B00">
        <w:rPr>
          <w:rFonts w:ascii="Times New Roman" w:hAnsi="Times New Roman" w:cs="Times New Roman"/>
          <w:i/>
          <w:iCs/>
        </w:rPr>
        <w:t>AI</w:t>
      </w:r>
      <w:r w:rsidRPr="008B0B00">
        <w:rPr>
          <w:rFonts w:ascii="Times New Roman" w:hAnsi="Times New Roman" w:cs="Times New Roman"/>
        </w:rPr>
        <w:t xml:space="preserve">, </w:t>
      </w:r>
      <w:r w:rsidRPr="008B0B00">
        <w:rPr>
          <w:rFonts w:ascii="Times New Roman" w:hAnsi="Times New Roman" w:cs="Times New Roman"/>
          <w:i/>
          <w:iCs/>
        </w:rPr>
        <w:t>6</w:t>
      </w:r>
      <w:r w:rsidRPr="008B0B00">
        <w:rPr>
          <w:rFonts w:ascii="Times New Roman" w:hAnsi="Times New Roman" w:cs="Times New Roman"/>
        </w:rPr>
        <w:t>(4), 69–69. https://doi.org/10.3390/ai6040069</w:t>
      </w:r>
    </w:p>
    <w:p w14:paraId="02318606"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t>Pousette</w:t>
      </w:r>
      <w:proofErr w:type="spellEnd"/>
      <w:r w:rsidRPr="008B0B00">
        <w:rPr>
          <w:rFonts w:ascii="Times New Roman" w:hAnsi="Times New Roman" w:cs="Times New Roman"/>
        </w:rPr>
        <w:t xml:space="preserve">, T., &amp; </w:t>
      </w:r>
      <w:proofErr w:type="spellStart"/>
      <w:r w:rsidRPr="008B0B00">
        <w:rPr>
          <w:rFonts w:ascii="Times New Roman" w:hAnsi="Times New Roman" w:cs="Times New Roman"/>
        </w:rPr>
        <w:t>Rosendal</w:t>
      </w:r>
      <w:proofErr w:type="spellEnd"/>
      <w:r w:rsidRPr="008B0B00">
        <w:rPr>
          <w:rFonts w:ascii="Times New Roman" w:hAnsi="Times New Roman" w:cs="Times New Roman"/>
        </w:rPr>
        <w:t xml:space="preserve">, A. (2024). </w:t>
      </w:r>
      <w:r w:rsidRPr="008B0B00">
        <w:rPr>
          <w:rFonts w:ascii="Times New Roman" w:hAnsi="Times New Roman" w:cs="Times New Roman"/>
          <w:i/>
          <w:iCs/>
        </w:rPr>
        <w:t>Explainable Anti-Money Laundering: Application of Explainable AI on Graph Neural Networks in Anti-Money Laundering</w:t>
      </w:r>
      <w:r w:rsidRPr="008B0B00">
        <w:rPr>
          <w:rFonts w:ascii="Times New Roman" w:hAnsi="Times New Roman" w:cs="Times New Roman"/>
        </w:rPr>
        <w:t>. https://odr.chalmers.se/server/api/core/bitstreams/e8e8359e-3154-46f6-830f-0133bcd38d99/content</w:t>
      </w:r>
    </w:p>
    <w:p w14:paraId="40EF4987"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Qian, J., &amp; Tong, G. (2025). </w:t>
      </w:r>
      <w:proofErr w:type="spellStart"/>
      <w:r w:rsidRPr="008B0B00">
        <w:rPr>
          <w:rFonts w:ascii="Times New Roman" w:hAnsi="Times New Roman" w:cs="Times New Roman"/>
        </w:rPr>
        <w:t>Metapath</w:t>
      </w:r>
      <w:proofErr w:type="spellEnd"/>
      <w:r w:rsidRPr="008B0B00">
        <w:rPr>
          <w:rFonts w:ascii="Times New Roman" w:hAnsi="Times New Roman" w:cs="Times New Roman"/>
        </w:rPr>
        <w:t xml:space="preserve">-guided graph neural networks for financial fraud detection. </w:t>
      </w:r>
      <w:r w:rsidRPr="008B0B00">
        <w:rPr>
          <w:rFonts w:ascii="Times New Roman" w:hAnsi="Times New Roman" w:cs="Times New Roman"/>
          <w:i/>
          <w:iCs/>
        </w:rPr>
        <w:t>Computers &amp; Electrical Engineering</w:t>
      </w:r>
      <w:r w:rsidRPr="008B0B00">
        <w:rPr>
          <w:rFonts w:ascii="Times New Roman" w:hAnsi="Times New Roman" w:cs="Times New Roman"/>
        </w:rPr>
        <w:t xml:space="preserve">, </w:t>
      </w:r>
      <w:r w:rsidRPr="008B0B00">
        <w:rPr>
          <w:rFonts w:ascii="Times New Roman" w:hAnsi="Times New Roman" w:cs="Times New Roman"/>
          <w:i/>
          <w:iCs/>
        </w:rPr>
        <w:t>126</w:t>
      </w:r>
      <w:r w:rsidRPr="008B0B00">
        <w:rPr>
          <w:rFonts w:ascii="Times New Roman" w:hAnsi="Times New Roman" w:cs="Times New Roman"/>
        </w:rPr>
        <w:t>, 110428–110428. https://doi.org/10.1016/j.compeleceng.2025.110428</w:t>
      </w:r>
    </w:p>
    <w:p w14:paraId="36E4A679"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t>Ricadela</w:t>
      </w:r>
      <w:proofErr w:type="spellEnd"/>
      <w:r w:rsidRPr="008B0B00">
        <w:rPr>
          <w:rFonts w:ascii="Times New Roman" w:hAnsi="Times New Roman" w:cs="Times New Roman"/>
        </w:rPr>
        <w:t xml:space="preserve">, A. (2024). </w:t>
      </w:r>
      <w:r w:rsidRPr="008B0B00">
        <w:rPr>
          <w:rFonts w:ascii="Times New Roman" w:hAnsi="Times New Roman" w:cs="Times New Roman"/>
          <w:i/>
          <w:iCs/>
        </w:rPr>
        <w:t>Anti–Money Laundering AI Explained</w:t>
      </w:r>
      <w:r w:rsidRPr="008B0B00">
        <w:rPr>
          <w:rFonts w:ascii="Times New Roman" w:hAnsi="Times New Roman" w:cs="Times New Roman"/>
        </w:rPr>
        <w:t>. Oracle.com; Oracle. https://www.oracle.com/africa/financial-services/aml-ai/#what</w:t>
      </w:r>
    </w:p>
    <w:p w14:paraId="7CD3460C"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SAS. (2025). </w:t>
      </w:r>
      <w:r w:rsidRPr="008B0B00">
        <w:rPr>
          <w:rFonts w:ascii="Times New Roman" w:hAnsi="Times New Roman" w:cs="Times New Roman"/>
          <w:i/>
          <w:iCs/>
        </w:rPr>
        <w:t>Explainable Artificial Intelligence for Anti-Money Laundering</w:t>
      </w:r>
      <w:r w:rsidRPr="008B0B00">
        <w:rPr>
          <w:rFonts w:ascii="Times New Roman" w:hAnsi="Times New Roman" w:cs="Times New Roman"/>
        </w:rPr>
        <w:t>. Sas.com. https://www.sas.com/en/whitepapers/explainable-artificial-intelligence-for-anti-money-laundering.html</w:t>
      </w:r>
    </w:p>
    <w:p w14:paraId="50332F3F"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Sha, Q., Tang, T., Du, X., Liu, J., Wang, Y., &amp; Sheng, Y. (2025). Detecting Credit Card Fraud via Heterogeneous Graph Neural Networks with Graph Attention. </w:t>
      </w:r>
      <w:proofErr w:type="spellStart"/>
      <w:r w:rsidRPr="008B0B00">
        <w:rPr>
          <w:rFonts w:ascii="Times New Roman" w:hAnsi="Times New Roman" w:cs="Times New Roman"/>
          <w:i/>
          <w:iCs/>
        </w:rPr>
        <w:t>ArXiv</w:t>
      </w:r>
      <w:proofErr w:type="spellEnd"/>
      <w:r w:rsidRPr="008B0B00">
        <w:rPr>
          <w:rFonts w:ascii="Times New Roman" w:hAnsi="Times New Roman" w:cs="Times New Roman"/>
          <w:i/>
          <w:iCs/>
        </w:rPr>
        <w:t xml:space="preserve"> (Cornell University)</w:t>
      </w:r>
      <w:r w:rsidRPr="008B0B00">
        <w:rPr>
          <w:rFonts w:ascii="Times New Roman" w:hAnsi="Times New Roman" w:cs="Times New Roman"/>
        </w:rPr>
        <w:t>. https://doi.org/10.48550/arxiv.2504.08183</w:t>
      </w:r>
    </w:p>
    <w:p w14:paraId="56A86B83"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t>Stojanović</w:t>
      </w:r>
      <w:proofErr w:type="spellEnd"/>
      <w:r w:rsidRPr="008B0B00">
        <w:rPr>
          <w:rFonts w:ascii="Times New Roman" w:hAnsi="Times New Roman" w:cs="Times New Roman"/>
        </w:rPr>
        <w:t xml:space="preserve">, B., </w:t>
      </w:r>
      <w:proofErr w:type="spellStart"/>
      <w:r w:rsidRPr="008B0B00">
        <w:rPr>
          <w:rFonts w:ascii="Times New Roman" w:hAnsi="Times New Roman" w:cs="Times New Roman"/>
        </w:rPr>
        <w:t>Božić</w:t>
      </w:r>
      <w:proofErr w:type="spellEnd"/>
      <w:r w:rsidRPr="008B0B00">
        <w:rPr>
          <w:rFonts w:ascii="Times New Roman" w:hAnsi="Times New Roman" w:cs="Times New Roman"/>
        </w:rPr>
        <w:t xml:space="preserve">, J., Hofer-Schmitz, K., </w:t>
      </w:r>
      <w:proofErr w:type="spellStart"/>
      <w:r w:rsidRPr="008B0B00">
        <w:rPr>
          <w:rFonts w:ascii="Times New Roman" w:hAnsi="Times New Roman" w:cs="Times New Roman"/>
        </w:rPr>
        <w:t>Nahrgang</w:t>
      </w:r>
      <w:proofErr w:type="spellEnd"/>
      <w:r w:rsidRPr="008B0B00">
        <w:rPr>
          <w:rFonts w:ascii="Times New Roman" w:hAnsi="Times New Roman" w:cs="Times New Roman"/>
        </w:rPr>
        <w:t xml:space="preserve">, K., Weber, A., </w:t>
      </w:r>
      <w:proofErr w:type="spellStart"/>
      <w:r w:rsidRPr="008B0B00">
        <w:rPr>
          <w:rFonts w:ascii="Times New Roman" w:hAnsi="Times New Roman" w:cs="Times New Roman"/>
        </w:rPr>
        <w:t>Badii</w:t>
      </w:r>
      <w:proofErr w:type="spellEnd"/>
      <w:r w:rsidRPr="008B0B00">
        <w:rPr>
          <w:rFonts w:ascii="Times New Roman" w:hAnsi="Times New Roman" w:cs="Times New Roman"/>
        </w:rPr>
        <w:t xml:space="preserve">, A., Sundaram, M., Jordan, E., &amp; </w:t>
      </w:r>
      <w:proofErr w:type="spellStart"/>
      <w:r w:rsidRPr="008B0B00">
        <w:rPr>
          <w:rFonts w:ascii="Times New Roman" w:hAnsi="Times New Roman" w:cs="Times New Roman"/>
        </w:rPr>
        <w:t>Runevic</w:t>
      </w:r>
      <w:proofErr w:type="spellEnd"/>
      <w:r w:rsidRPr="008B0B00">
        <w:rPr>
          <w:rFonts w:ascii="Times New Roman" w:hAnsi="Times New Roman" w:cs="Times New Roman"/>
        </w:rPr>
        <w:t xml:space="preserve">, J. (2021). Follow the Trail: Machine Learning for Fraud Detection in Fintech Applications. </w:t>
      </w:r>
      <w:r w:rsidRPr="008B0B00">
        <w:rPr>
          <w:rFonts w:ascii="Times New Roman" w:hAnsi="Times New Roman" w:cs="Times New Roman"/>
          <w:i/>
          <w:iCs/>
        </w:rPr>
        <w:t>Sensors</w:t>
      </w:r>
      <w:r w:rsidRPr="008B0B00">
        <w:rPr>
          <w:rFonts w:ascii="Times New Roman" w:hAnsi="Times New Roman" w:cs="Times New Roman"/>
        </w:rPr>
        <w:t xml:space="preserve">, </w:t>
      </w:r>
      <w:r w:rsidRPr="008B0B00">
        <w:rPr>
          <w:rFonts w:ascii="Times New Roman" w:hAnsi="Times New Roman" w:cs="Times New Roman"/>
          <w:i/>
          <w:iCs/>
        </w:rPr>
        <w:t>21</w:t>
      </w:r>
      <w:r w:rsidRPr="008B0B00">
        <w:rPr>
          <w:rFonts w:ascii="Times New Roman" w:hAnsi="Times New Roman" w:cs="Times New Roman"/>
        </w:rPr>
        <w:t>(5), 1594. https://doi.org/10.3390/s21051594</w:t>
      </w:r>
    </w:p>
    <w:p w14:paraId="16316273"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t>Szeghalmy</w:t>
      </w:r>
      <w:proofErr w:type="spellEnd"/>
      <w:r w:rsidRPr="008B0B00">
        <w:rPr>
          <w:rFonts w:ascii="Times New Roman" w:hAnsi="Times New Roman" w:cs="Times New Roman"/>
        </w:rPr>
        <w:t xml:space="preserve">, S., &amp; Fazekas, A. (2023). A Comparative Study of the Use of Stratified Cross-Validation and Distribution-Balanced Stratified Cross-Validation in Imbalanced Learning. </w:t>
      </w:r>
      <w:r w:rsidRPr="008B0B00">
        <w:rPr>
          <w:rFonts w:ascii="Times New Roman" w:hAnsi="Times New Roman" w:cs="Times New Roman"/>
          <w:i/>
          <w:iCs/>
        </w:rPr>
        <w:t>Sensors</w:t>
      </w:r>
      <w:r w:rsidRPr="008B0B00">
        <w:rPr>
          <w:rFonts w:ascii="Times New Roman" w:hAnsi="Times New Roman" w:cs="Times New Roman"/>
        </w:rPr>
        <w:t xml:space="preserve">, </w:t>
      </w:r>
      <w:r w:rsidRPr="008B0B00">
        <w:rPr>
          <w:rFonts w:ascii="Times New Roman" w:hAnsi="Times New Roman" w:cs="Times New Roman"/>
          <w:i/>
          <w:iCs/>
        </w:rPr>
        <w:t>23</w:t>
      </w:r>
      <w:r w:rsidRPr="008B0B00">
        <w:rPr>
          <w:rFonts w:ascii="Times New Roman" w:hAnsi="Times New Roman" w:cs="Times New Roman"/>
        </w:rPr>
        <w:t>(4), 2333. https://doi.org/10.3390/s23042333</w:t>
      </w:r>
    </w:p>
    <w:p w14:paraId="7F9A91CB"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lastRenderedPageBreak/>
        <w:t>Tookitaki</w:t>
      </w:r>
      <w:proofErr w:type="spellEnd"/>
      <w:r w:rsidRPr="008B0B00">
        <w:rPr>
          <w:rFonts w:ascii="Times New Roman" w:hAnsi="Times New Roman" w:cs="Times New Roman"/>
        </w:rPr>
        <w:t xml:space="preserve">. (2024). </w:t>
      </w:r>
      <w:r w:rsidRPr="008B0B00">
        <w:rPr>
          <w:rFonts w:ascii="Times New Roman" w:hAnsi="Times New Roman" w:cs="Times New Roman"/>
          <w:i/>
          <w:iCs/>
        </w:rPr>
        <w:t>AML Case Study with Answers: Learning from Real-World Scenarios</w:t>
      </w:r>
      <w:r w:rsidRPr="008B0B00">
        <w:rPr>
          <w:rFonts w:ascii="Times New Roman" w:hAnsi="Times New Roman" w:cs="Times New Roman"/>
        </w:rPr>
        <w:t>. Tookitaki.com. https://www.tookitaki.com/compliance-hub/aml-case-study-with-answers-learning-from-real-world-scenarios</w:t>
      </w:r>
    </w:p>
    <w:p w14:paraId="67D8058A"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t>Vallarino</w:t>
      </w:r>
      <w:proofErr w:type="spellEnd"/>
      <w:r w:rsidRPr="008B0B00">
        <w:rPr>
          <w:rFonts w:ascii="Times New Roman" w:hAnsi="Times New Roman" w:cs="Times New Roman"/>
        </w:rPr>
        <w:t xml:space="preserve">, D. (2025). </w:t>
      </w:r>
      <w:r w:rsidRPr="008B0B00">
        <w:rPr>
          <w:rFonts w:ascii="Times New Roman" w:hAnsi="Times New Roman" w:cs="Times New Roman"/>
          <w:i/>
          <w:iCs/>
        </w:rPr>
        <w:t>AI-Powered Fraud Detection in Financial Services: GNN, Compliance Challenges, and Risk Mitigation</w:t>
      </w:r>
      <w:r w:rsidRPr="008B0B00">
        <w:rPr>
          <w:rFonts w:ascii="Times New Roman" w:hAnsi="Times New Roman" w:cs="Times New Roman"/>
        </w:rPr>
        <w:t>. https://doi.org/10.2139/ssrn.5170054</w:t>
      </w:r>
    </w:p>
    <w:p w14:paraId="65597571" w14:textId="77777777" w:rsidR="008B0B00" w:rsidRPr="008B0B00" w:rsidRDefault="008B0B00" w:rsidP="004D76FC">
      <w:pPr>
        <w:spacing w:line="276" w:lineRule="auto"/>
        <w:ind w:left="720" w:hanging="720"/>
        <w:jc w:val="both"/>
        <w:rPr>
          <w:rFonts w:ascii="Times New Roman" w:hAnsi="Times New Roman" w:cs="Times New Roman"/>
        </w:rPr>
      </w:pPr>
      <w:proofErr w:type="spellStart"/>
      <w:r w:rsidRPr="008B0B00">
        <w:rPr>
          <w:rFonts w:ascii="Times New Roman" w:hAnsi="Times New Roman" w:cs="Times New Roman"/>
        </w:rPr>
        <w:t>Verlaan</w:t>
      </w:r>
      <w:proofErr w:type="spellEnd"/>
      <w:r w:rsidRPr="008B0B00">
        <w:rPr>
          <w:rFonts w:ascii="Times New Roman" w:hAnsi="Times New Roman" w:cs="Times New Roman"/>
        </w:rPr>
        <w:t xml:space="preserve">, S., </w:t>
      </w:r>
      <w:proofErr w:type="spellStart"/>
      <w:r w:rsidRPr="008B0B00">
        <w:rPr>
          <w:rFonts w:ascii="Times New Roman" w:hAnsi="Times New Roman" w:cs="Times New Roman"/>
        </w:rPr>
        <w:t>Ioana</w:t>
      </w:r>
      <w:proofErr w:type="spellEnd"/>
      <w:r w:rsidRPr="008B0B00">
        <w:rPr>
          <w:rFonts w:ascii="Times New Roman" w:hAnsi="Times New Roman" w:cs="Times New Roman"/>
        </w:rPr>
        <w:t xml:space="preserve"> </w:t>
      </w:r>
      <w:proofErr w:type="spellStart"/>
      <w:r w:rsidRPr="008B0B00">
        <w:rPr>
          <w:rFonts w:ascii="Times New Roman" w:hAnsi="Times New Roman" w:cs="Times New Roman"/>
        </w:rPr>
        <w:t>Hulpuș</w:t>
      </w:r>
      <w:proofErr w:type="spellEnd"/>
      <w:r w:rsidRPr="008B0B00">
        <w:rPr>
          <w:rFonts w:ascii="Times New Roman" w:hAnsi="Times New Roman" w:cs="Times New Roman"/>
        </w:rPr>
        <w:t xml:space="preserve">, &amp; Jan, E. (2025). </w:t>
      </w:r>
      <w:r w:rsidRPr="008B0B00">
        <w:rPr>
          <w:rFonts w:ascii="Times New Roman" w:hAnsi="Times New Roman" w:cs="Times New Roman"/>
          <w:i/>
          <w:iCs/>
        </w:rPr>
        <w:t>LAS-GNN: A Graph Neural Network for Temporal Money Laundering Motif Detection</w:t>
      </w:r>
      <w:r w:rsidRPr="008B0B00">
        <w:rPr>
          <w:rFonts w:ascii="Times New Roman" w:hAnsi="Times New Roman" w:cs="Times New Roman"/>
        </w:rPr>
        <w:t>. 256–264. https://doi.org/10.1145/3768292.3770410</w:t>
      </w:r>
    </w:p>
    <w:p w14:paraId="33FB68FC" w14:textId="77777777" w:rsidR="008B0B00" w:rsidRPr="008B0B00" w:rsidRDefault="008B0B00" w:rsidP="004D76FC">
      <w:pPr>
        <w:spacing w:line="276" w:lineRule="auto"/>
        <w:ind w:left="720" w:hanging="720"/>
        <w:jc w:val="both"/>
        <w:rPr>
          <w:rFonts w:ascii="Times New Roman" w:hAnsi="Times New Roman" w:cs="Times New Roman"/>
        </w:rPr>
      </w:pPr>
      <w:r w:rsidRPr="008B0B00">
        <w:rPr>
          <w:rFonts w:ascii="Times New Roman" w:hAnsi="Times New Roman" w:cs="Times New Roman"/>
        </w:rPr>
        <w:t xml:space="preserve">Wilson, C.-A. (2025). </w:t>
      </w:r>
      <w:r w:rsidRPr="008B0B00">
        <w:rPr>
          <w:rFonts w:ascii="Times New Roman" w:hAnsi="Times New Roman" w:cs="Times New Roman"/>
          <w:i/>
          <w:iCs/>
        </w:rPr>
        <w:t>Explainable AI in Finance: Addressing the Needs of Diverse Stakeholders</w:t>
      </w:r>
      <w:r w:rsidRPr="008B0B00">
        <w:rPr>
          <w:rFonts w:ascii="Times New Roman" w:hAnsi="Times New Roman" w:cs="Times New Roman"/>
        </w:rPr>
        <w:t>. https://doi.org/10.56227/25.1.25</w:t>
      </w:r>
    </w:p>
    <w:p w14:paraId="521EB8AF" w14:textId="77777777" w:rsidR="008B0B00" w:rsidRPr="00DB5007" w:rsidRDefault="008B0B00" w:rsidP="00DB5007">
      <w:pPr>
        <w:spacing w:line="360" w:lineRule="auto"/>
        <w:jc w:val="both"/>
        <w:rPr>
          <w:rFonts w:ascii="Times New Roman" w:hAnsi="Times New Roman" w:cs="Times New Roman"/>
        </w:rPr>
      </w:pPr>
    </w:p>
    <w:sectPr w:rsidR="008B0B00" w:rsidRPr="00DB500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6E41C" w14:textId="77777777" w:rsidR="00333E06" w:rsidRDefault="00333E06" w:rsidP="00A041F7">
      <w:pPr>
        <w:spacing w:after="0" w:line="240" w:lineRule="auto"/>
      </w:pPr>
      <w:r>
        <w:separator/>
      </w:r>
    </w:p>
  </w:endnote>
  <w:endnote w:type="continuationSeparator" w:id="0">
    <w:p w14:paraId="4DA3B991" w14:textId="77777777" w:rsidR="00333E06" w:rsidRDefault="00333E06" w:rsidP="00A04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0AB4D" w14:textId="77777777" w:rsidR="00A041F7" w:rsidRDefault="00A041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DFC56" w14:textId="77777777" w:rsidR="00A041F7" w:rsidRDefault="00A041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8B424" w14:textId="77777777" w:rsidR="00A041F7" w:rsidRDefault="00A04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6AEE6" w14:textId="77777777" w:rsidR="00333E06" w:rsidRDefault="00333E06" w:rsidP="00A041F7">
      <w:pPr>
        <w:spacing w:after="0" w:line="240" w:lineRule="auto"/>
      </w:pPr>
      <w:r>
        <w:separator/>
      </w:r>
    </w:p>
  </w:footnote>
  <w:footnote w:type="continuationSeparator" w:id="0">
    <w:p w14:paraId="1097C236" w14:textId="77777777" w:rsidR="00333E06" w:rsidRDefault="00333E06" w:rsidP="00A041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D1AA0" w14:textId="08B306E5" w:rsidR="00A041F7" w:rsidRDefault="00333E06">
    <w:pPr>
      <w:pStyle w:val="Header"/>
    </w:pPr>
    <w:r>
      <w:rPr>
        <w:noProof/>
      </w:rPr>
      <w:pict w14:anchorId="04429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509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37EB7" w14:textId="0A1F8136" w:rsidR="00A041F7" w:rsidRDefault="00333E06">
    <w:pPr>
      <w:pStyle w:val="Header"/>
    </w:pPr>
    <w:r>
      <w:rPr>
        <w:noProof/>
      </w:rPr>
      <w:pict w14:anchorId="1F7943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509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F9004" w14:textId="14E036E0" w:rsidR="00A041F7" w:rsidRDefault="00333E06">
    <w:pPr>
      <w:pStyle w:val="Header"/>
    </w:pPr>
    <w:r>
      <w:rPr>
        <w:noProof/>
      </w:rPr>
      <w:pict w14:anchorId="7E54C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509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80ADE"/>
    <w:multiLevelType w:val="multilevel"/>
    <w:tmpl w:val="8ABE37DA"/>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864EB4"/>
    <w:multiLevelType w:val="multilevel"/>
    <w:tmpl w:val="A3F4626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282"/>
    <w:rsid w:val="00012C98"/>
    <w:rsid w:val="00025DB9"/>
    <w:rsid w:val="000400B1"/>
    <w:rsid w:val="000461D7"/>
    <w:rsid w:val="000C1942"/>
    <w:rsid w:val="00122060"/>
    <w:rsid w:val="001D0282"/>
    <w:rsid w:val="00333E06"/>
    <w:rsid w:val="003A5F37"/>
    <w:rsid w:val="003C27FA"/>
    <w:rsid w:val="00460F93"/>
    <w:rsid w:val="004C0AA7"/>
    <w:rsid w:val="004D76FC"/>
    <w:rsid w:val="005F2705"/>
    <w:rsid w:val="0066429D"/>
    <w:rsid w:val="00716DC8"/>
    <w:rsid w:val="0075513F"/>
    <w:rsid w:val="007D1DF5"/>
    <w:rsid w:val="007E51AF"/>
    <w:rsid w:val="008209CB"/>
    <w:rsid w:val="00883AF2"/>
    <w:rsid w:val="008B0B00"/>
    <w:rsid w:val="008C2306"/>
    <w:rsid w:val="00930F96"/>
    <w:rsid w:val="00A0151C"/>
    <w:rsid w:val="00A041F7"/>
    <w:rsid w:val="00AB32EE"/>
    <w:rsid w:val="00AE3975"/>
    <w:rsid w:val="00AF5F9B"/>
    <w:rsid w:val="00B672C0"/>
    <w:rsid w:val="00B92CD9"/>
    <w:rsid w:val="00CF13F5"/>
    <w:rsid w:val="00DB5007"/>
    <w:rsid w:val="00F01BEA"/>
    <w:rsid w:val="00FB5A2B"/>
    <w:rsid w:val="00FF5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A561B2"/>
  <w15:chartTrackingRefBased/>
  <w15:docId w15:val="{65A22911-33B2-4675-A1E9-4A1879BC4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0282"/>
  </w:style>
  <w:style w:type="paragraph" w:styleId="Heading1">
    <w:name w:val="heading 1"/>
    <w:basedOn w:val="Normal"/>
    <w:next w:val="Normal"/>
    <w:link w:val="Heading1Char"/>
    <w:uiPriority w:val="9"/>
    <w:qFormat/>
    <w:rsid w:val="001D02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02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02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02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02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02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02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02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02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2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02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02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02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02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02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02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02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0282"/>
    <w:rPr>
      <w:rFonts w:eastAsiaTheme="majorEastAsia" w:cstheme="majorBidi"/>
      <w:color w:val="272727" w:themeColor="text1" w:themeTint="D8"/>
    </w:rPr>
  </w:style>
  <w:style w:type="paragraph" w:styleId="Title">
    <w:name w:val="Title"/>
    <w:basedOn w:val="Normal"/>
    <w:next w:val="Normal"/>
    <w:link w:val="TitleChar"/>
    <w:uiPriority w:val="10"/>
    <w:qFormat/>
    <w:rsid w:val="001D02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2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02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02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0282"/>
    <w:pPr>
      <w:spacing w:before="160"/>
      <w:jc w:val="center"/>
    </w:pPr>
    <w:rPr>
      <w:i/>
      <w:iCs/>
      <w:color w:val="404040" w:themeColor="text1" w:themeTint="BF"/>
    </w:rPr>
  </w:style>
  <w:style w:type="character" w:customStyle="1" w:styleId="QuoteChar">
    <w:name w:val="Quote Char"/>
    <w:basedOn w:val="DefaultParagraphFont"/>
    <w:link w:val="Quote"/>
    <w:uiPriority w:val="29"/>
    <w:rsid w:val="001D0282"/>
    <w:rPr>
      <w:i/>
      <w:iCs/>
      <w:color w:val="404040" w:themeColor="text1" w:themeTint="BF"/>
    </w:rPr>
  </w:style>
  <w:style w:type="paragraph" w:styleId="ListParagraph">
    <w:name w:val="List Paragraph"/>
    <w:basedOn w:val="Normal"/>
    <w:uiPriority w:val="34"/>
    <w:qFormat/>
    <w:rsid w:val="001D0282"/>
    <w:pPr>
      <w:ind w:left="720"/>
      <w:contextualSpacing/>
    </w:pPr>
  </w:style>
  <w:style w:type="character" w:styleId="IntenseEmphasis">
    <w:name w:val="Intense Emphasis"/>
    <w:basedOn w:val="DefaultParagraphFont"/>
    <w:uiPriority w:val="21"/>
    <w:qFormat/>
    <w:rsid w:val="001D0282"/>
    <w:rPr>
      <w:i/>
      <w:iCs/>
      <w:color w:val="0F4761" w:themeColor="accent1" w:themeShade="BF"/>
    </w:rPr>
  </w:style>
  <w:style w:type="paragraph" w:styleId="IntenseQuote">
    <w:name w:val="Intense Quote"/>
    <w:basedOn w:val="Normal"/>
    <w:next w:val="Normal"/>
    <w:link w:val="IntenseQuoteChar"/>
    <w:uiPriority w:val="30"/>
    <w:qFormat/>
    <w:rsid w:val="001D02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0282"/>
    <w:rPr>
      <w:i/>
      <w:iCs/>
      <w:color w:val="0F4761" w:themeColor="accent1" w:themeShade="BF"/>
    </w:rPr>
  </w:style>
  <w:style w:type="character" w:styleId="IntenseReference">
    <w:name w:val="Intense Reference"/>
    <w:basedOn w:val="DefaultParagraphFont"/>
    <w:uiPriority w:val="32"/>
    <w:qFormat/>
    <w:rsid w:val="001D0282"/>
    <w:rPr>
      <w:b/>
      <w:bCs/>
      <w:smallCaps/>
      <w:color w:val="0F4761" w:themeColor="accent1" w:themeShade="BF"/>
      <w:spacing w:val="5"/>
    </w:rPr>
  </w:style>
  <w:style w:type="paragraph" w:styleId="NoSpacing">
    <w:name w:val="No Spacing"/>
    <w:uiPriority w:val="1"/>
    <w:qFormat/>
    <w:rsid w:val="00122060"/>
    <w:pPr>
      <w:spacing w:after="0" w:line="240" w:lineRule="auto"/>
    </w:pPr>
    <w:rPr>
      <w:sz w:val="22"/>
      <w:szCs w:val="22"/>
    </w:rPr>
  </w:style>
  <w:style w:type="character" w:styleId="Hyperlink">
    <w:name w:val="Hyperlink"/>
    <w:basedOn w:val="DefaultParagraphFont"/>
    <w:uiPriority w:val="99"/>
    <w:unhideWhenUsed/>
    <w:rsid w:val="00A0151C"/>
    <w:rPr>
      <w:color w:val="467886" w:themeColor="hyperlink"/>
      <w:u w:val="single"/>
    </w:rPr>
  </w:style>
  <w:style w:type="character" w:styleId="UnresolvedMention">
    <w:name w:val="Unresolved Mention"/>
    <w:basedOn w:val="DefaultParagraphFont"/>
    <w:uiPriority w:val="99"/>
    <w:semiHidden/>
    <w:unhideWhenUsed/>
    <w:rsid w:val="00A0151C"/>
    <w:rPr>
      <w:color w:val="605E5C"/>
      <w:shd w:val="clear" w:color="auto" w:fill="E1DFDD"/>
    </w:rPr>
  </w:style>
  <w:style w:type="paragraph" w:styleId="Header">
    <w:name w:val="header"/>
    <w:basedOn w:val="Normal"/>
    <w:link w:val="HeaderChar"/>
    <w:uiPriority w:val="99"/>
    <w:unhideWhenUsed/>
    <w:rsid w:val="00A04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1F7"/>
  </w:style>
  <w:style w:type="paragraph" w:styleId="Footer">
    <w:name w:val="footer"/>
    <w:basedOn w:val="Normal"/>
    <w:link w:val="FooterChar"/>
    <w:uiPriority w:val="99"/>
    <w:unhideWhenUsed/>
    <w:rsid w:val="00A04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97</TotalTime>
  <Pages>31</Pages>
  <Words>7730</Words>
  <Characters>44061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Otolorin</dc:creator>
  <cp:keywords/>
  <dc:description/>
  <cp:lastModifiedBy>SDI PC 1170</cp:lastModifiedBy>
  <cp:revision>35</cp:revision>
  <dcterms:created xsi:type="dcterms:W3CDTF">2025-12-19T03:07:00Z</dcterms:created>
  <dcterms:modified xsi:type="dcterms:W3CDTF">2026-01-16T10:38:00Z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90750975-4980-46f9-8b9f-b4e1db45170f</vt:lpwstr>
  </property>
</Properties>
</file>