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90607" w14:textId="19A82CD4" w:rsidR="00D17A65" w:rsidRPr="00C7542A" w:rsidRDefault="00D17A65" w:rsidP="00D17A65">
      <w:pPr>
        <w:jc w:val="center"/>
        <w:rPr>
          <w:rFonts w:ascii="Times New Roman" w:hAnsi="Times New Roman" w:cs="Times New Roman"/>
          <w:b/>
          <w:bCs/>
          <w:sz w:val="26"/>
          <w:szCs w:val="26"/>
        </w:rPr>
      </w:pPr>
      <w:r w:rsidRPr="00C7542A">
        <w:rPr>
          <w:rFonts w:ascii="Times New Roman" w:hAnsi="Times New Roman" w:cs="Times New Roman"/>
          <w:b/>
          <w:bCs/>
          <w:sz w:val="26"/>
          <w:szCs w:val="26"/>
        </w:rPr>
        <w:t>A review of gender‑responsive extension approaches in enhancing women’s participation in food tech</w:t>
      </w:r>
    </w:p>
    <w:p w14:paraId="5B8EE5B5" w14:textId="77777777" w:rsidR="003E4012" w:rsidRDefault="003E4012" w:rsidP="00FD049D">
      <w:pPr>
        <w:spacing w:after="0"/>
        <w:jc w:val="both"/>
        <w:rPr>
          <w:rFonts w:ascii="Times New Roman" w:hAnsi="Times New Roman" w:cs="Times New Roman"/>
          <w:b/>
          <w:sz w:val="24"/>
          <w:szCs w:val="24"/>
        </w:rPr>
      </w:pPr>
    </w:p>
    <w:p w14:paraId="7D11A1CF" w14:textId="1167F0D5" w:rsidR="00FD049D" w:rsidRPr="00D17A65" w:rsidRDefault="00FD049D" w:rsidP="00FD049D">
      <w:pPr>
        <w:spacing w:after="0"/>
        <w:jc w:val="both"/>
        <w:rPr>
          <w:rFonts w:ascii="Times New Roman" w:hAnsi="Times New Roman" w:cs="Times New Roman"/>
          <w:b/>
          <w:sz w:val="24"/>
          <w:szCs w:val="24"/>
        </w:rPr>
      </w:pPr>
      <w:bookmarkStart w:id="0" w:name="_GoBack"/>
      <w:bookmarkEnd w:id="0"/>
      <w:r w:rsidRPr="00D17A65">
        <w:rPr>
          <w:rFonts w:ascii="Times New Roman" w:hAnsi="Times New Roman" w:cs="Times New Roman"/>
          <w:b/>
          <w:sz w:val="24"/>
          <w:szCs w:val="24"/>
        </w:rPr>
        <w:t>Abstract</w:t>
      </w:r>
    </w:p>
    <w:p w14:paraId="28797E82" w14:textId="77777777" w:rsidR="00FD049D" w:rsidRPr="00D17A65" w:rsidRDefault="00FD049D" w:rsidP="00FD049D">
      <w:pPr>
        <w:spacing w:after="0"/>
        <w:jc w:val="both"/>
        <w:rPr>
          <w:rFonts w:ascii="Times New Roman" w:hAnsi="Times New Roman" w:cs="Times New Roman"/>
          <w:sz w:val="24"/>
          <w:szCs w:val="24"/>
        </w:rPr>
      </w:pPr>
    </w:p>
    <w:p w14:paraId="57F701E3"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play a vital yet often overlooked role in food technology, which includes food processing, value addition, quality control, and entrepreneurship. Despite their contributions, numerous socio-cultural, institutional, and structural barriers limit their participation in technology adoption and innovation. Gender-responsive extension approaches provide a way to tackle these barriers by tailoring advisory services, training, ICT tools, and institutional support to meet the specific needs of women. This review compiles current literature on participatory extension models, gender-sensitive capacity building, ICT-enabled advisory systems, institutional mainstreaming, and policy-related initiatives that enhance women’s involvement in food technology. A conceptual framework illustrates the path from gender-based barriers to greater participation and broader social and economic impacts. Tables summarizing extension methods, gendered barriers, and their corresponding solutions offer an analytical overview of the evidence. The review concludes that integrating gender-responsive strategies into food technology extension systems not only improves women’s technical skills, business capabilities, and decision-making power but also fosters inclusive food systems, better livelihoods, and sustainable development outcomes. Future research should focus on intersectional strategies, scalable digital tools, and systematic monitoring to further boost women’s empowerment in food technology.</w:t>
      </w:r>
    </w:p>
    <w:p w14:paraId="3A10584D" w14:textId="77777777" w:rsidR="00FD049D" w:rsidRPr="00D17A65" w:rsidRDefault="00FD049D" w:rsidP="00FD049D">
      <w:pPr>
        <w:spacing w:after="0"/>
        <w:jc w:val="both"/>
        <w:rPr>
          <w:rFonts w:ascii="Times New Roman" w:hAnsi="Times New Roman" w:cs="Times New Roman"/>
          <w:sz w:val="24"/>
          <w:szCs w:val="24"/>
        </w:rPr>
      </w:pPr>
    </w:p>
    <w:p w14:paraId="20185EF6" w14:textId="77777777" w:rsidR="005822A1"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b/>
          <w:sz w:val="24"/>
          <w:szCs w:val="24"/>
        </w:rPr>
        <w:t>Keywords:</w:t>
      </w:r>
      <w:r w:rsidRPr="00D17A65">
        <w:rPr>
          <w:rFonts w:ascii="Times New Roman" w:hAnsi="Times New Roman" w:cs="Times New Roman"/>
          <w:sz w:val="24"/>
          <w:szCs w:val="24"/>
        </w:rPr>
        <w:t xml:space="preserve"> Gender-responsive extension, women empowerment, food technology, participatory approaches, ICT-enabled advisory, capacity building, inclusive food systems</w:t>
      </w:r>
    </w:p>
    <w:p w14:paraId="61FFC6C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1. Introduction</w:t>
      </w:r>
    </w:p>
    <w:p w14:paraId="2C7A9298" w14:textId="77777777" w:rsidR="00C21218" w:rsidRPr="00D17A65" w:rsidRDefault="00C21218" w:rsidP="00C21218">
      <w:pPr>
        <w:spacing w:after="0"/>
        <w:jc w:val="both"/>
        <w:rPr>
          <w:rFonts w:ascii="Times New Roman" w:hAnsi="Times New Roman" w:cs="Times New Roman"/>
          <w:sz w:val="24"/>
          <w:szCs w:val="24"/>
        </w:rPr>
      </w:pPr>
    </w:p>
    <w:p w14:paraId="7556AF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Global food systems are rapidly changing due to population growth, urbanization, climate change, shifting consumer preferences, and advancements in science and technology. There is a growing focus on food processing, safety, nutrition, value addition, and innovative food technologies. These changes aim to ensure food security, cut down post-harvest losses, and improve livelihoods in agri-food value chains. In this evolving scenario, food technology has become essential in connecting primary production with markets, nutrition, and sustainable development</w:t>
      </w:r>
      <w:r w:rsidR="002D151B" w:rsidRPr="00D17A65">
        <w:rPr>
          <w:rFonts w:ascii="Times New Roman" w:hAnsi="Times New Roman" w:cs="Times New Roman"/>
          <w:sz w:val="24"/>
          <w:szCs w:val="24"/>
        </w:rPr>
        <w:t xml:space="preserve"> (</w:t>
      </w:r>
      <w:r w:rsidR="002D151B" w:rsidRPr="00D17A65">
        <w:rPr>
          <w:rFonts w:ascii="Times New Roman" w:hAnsi="Times New Roman" w:cs="Times New Roman"/>
          <w:color w:val="222222"/>
          <w:sz w:val="24"/>
          <w:szCs w:val="24"/>
          <w:shd w:val="clear" w:color="auto" w:fill="FFFFFF"/>
        </w:rPr>
        <w:t>Priya,</w:t>
      </w:r>
      <w:r w:rsidR="002D151B" w:rsidRPr="00D17A65">
        <w:rPr>
          <w:rFonts w:ascii="Times New Roman" w:hAnsi="Times New Roman" w:cs="Times New Roman"/>
          <w:sz w:val="24"/>
          <w:szCs w:val="24"/>
        </w:rPr>
        <w:t xml:space="preserve"> et al., 2025). </w:t>
      </w:r>
    </w:p>
    <w:p w14:paraId="198B4903" w14:textId="77777777" w:rsidR="002D151B" w:rsidRPr="00D17A65" w:rsidRDefault="002D151B" w:rsidP="00C21218">
      <w:pPr>
        <w:spacing w:after="0"/>
        <w:jc w:val="both"/>
        <w:rPr>
          <w:rFonts w:ascii="Times New Roman" w:hAnsi="Times New Roman" w:cs="Times New Roman"/>
          <w:color w:val="222222"/>
          <w:sz w:val="24"/>
          <w:szCs w:val="24"/>
          <w:shd w:val="clear" w:color="auto" w:fill="FFFFFF"/>
        </w:rPr>
      </w:pPr>
    </w:p>
    <w:p w14:paraId="0F7CAEB7"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Women are crucial to food systems globally, especially in food provisioning, traditional processing, preservation, storage, and local food economies</w:t>
      </w:r>
      <w:r w:rsidR="002B264D" w:rsidRPr="00D17A65">
        <w:rPr>
          <w:rFonts w:ascii="Times New Roman" w:hAnsi="Times New Roman" w:cs="Times New Roman"/>
          <w:sz w:val="24"/>
          <w:szCs w:val="24"/>
        </w:rPr>
        <w:t xml:space="preserve"> (</w:t>
      </w:r>
      <w:proofErr w:type="spellStart"/>
      <w:r w:rsidR="002B264D" w:rsidRPr="00D17A65">
        <w:rPr>
          <w:rFonts w:ascii="Times New Roman" w:hAnsi="Times New Roman" w:cs="Times New Roman"/>
          <w:color w:val="222222"/>
          <w:sz w:val="24"/>
          <w:szCs w:val="24"/>
          <w:shd w:val="clear" w:color="auto" w:fill="FFFFFF"/>
        </w:rPr>
        <w:t>Jarial</w:t>
      </w:r>
      <w:proofErr w:type="spellEnd"/>
      <w:r w:rsidR="002B264D" w:rsidRPr="00D17A65">
        <w:rPr>
          <w:rFonts w:ascii="Times New Roman" w:hAnsi="Times New Roman" w:cs="Times New Roman"/>
          <w:color w:val="222222"/>
          <w:sz w:val="24"/>
          <w:szCs w:val="24"/>
          <w:shd w:val="clear" w:color="auto" w:fill="FFFFFF"/>
        </w:rPr>
        <w:t xml:space="preserve">, and </w:t>
      </w:r>
      <w:proofErr w:type="spellStart"/>
      <w:r w:rsidR="002B264D" w:rsidRPr="00D17A65">
        <w:rPr>
          <w:rFonts w:ascii="Times New Roman" w:hAnsi="Times New Roman" w:cs="Times New Roman"/>
          <w:color w:val="222222"/>
          <w:sz w:val="24"/>
          <w:szCs w:val="24"/>
          <w:shd w:val="clear" w:color="auto" w:fill="FFFFFF"/>
        </w:rPr>
        <w:t>Sachan</w:t>
      </w:r>
      <w:proofErr w:type="spellEnd"/>
      <w:r w:rsidR="002B264D"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In many developing countries, women lead informal food processing efforts and play a significant role in household nutrition and income</w:t>
      </w:r>
      <w:r w:rsidR="003B40C9" w:rsidRPr="00D17A65">
        <w:rPr>
          <w:rFonts w:ascii="Times New Roman" w:hAnsi="Times New Roman" w:cs="Times New Roman"/>
          <w:sz w:val="24"/>
          <w:szCs w:val="24"/>
        </w:rPr>
        <w:t xml:space="preserve"> (</w:t>
      </w:r>
      <w:proofErr w:type="spellStart"/>
      <w:r w:rsidR="003B40C9" w:rsidRPr="00D17A65">
        <w:rPr>
          <w:rFonts w:ascii="Times New Roman" w:hAnsi="Times New Roman" w:cs="Times New Roman"/>
          <w:color w:val="222222"/>
          <w:sz w:val="24"/>
          <w:szCs w:val="24"/>
          <w:shd w:val="clear" w:color="auto" w:fill="FFFFFF"/>
        </w:rPr>
        <w:t>Asanwana</w:t>
      </w:r>
      <w:proofErr w:type="spellEnd"/>
      <w:r w:rsidR="003B40C9" w:rsidRPr="00D17A65">
        <w:rPr>
          <w:rFonts w:ascii="Times New Roman" w:hAnsi="Times New Roman" w:cs="Times New Roman"/>
          <w:color w:val="222222"/>
          <w:sz w:val="24"/>
          <w:szCs w:val="24"/>
          <w:shd w:val="clear" w:color="auto" w:fill="FFFFFF"/>
        </w:rPr>
        <w:t>, et al., 2025)</w:t>
      </w:r>
      <w:r w:rsidRPr="00D17A65">
        <w:rPr>
          <w:rFonts w:ascii="Times New Roman" w:hAnsi="Times New Roman" w:cs="Times New Roman"/>
          <w:sz w:val="24"/>
          <w:szCs w:val="24"/>
        </w:rPr>
        <w:t>. Despite their knowledge and contributions, women are often under-represented in formal food technology fields, including food science businesses, research and development, agribusiness startups, extension services, and technology adoption networks. Barriers such as limited education and training access, mobility restrictions, unequal resource and credit access, social norms, time constraints, and weak institutional support hinder women’s participation in food technology sectors</w:t>
      </w:r>
      <w:r w:rsidR="00B97C19" w:rsidRPr="00D17A65">
        <w:rPr>
          <w:rFonts w:ascii="Times New Roman" w:hAnsi="Times New Roman" w:cs="Times New Roman"/>
          <w:sz w:val="24"/>
          <w:szCs w:val="24"/>
        </w:rPr>
        <w:t xml:space="preserve"> (</w:t>
      </w:r>
      <w:r w:rsidR="00B97C19" w:rsidRPr="00D17A65">
        <w:rPr>
          <w:rFonts w:ascii="Times New Roman" w:hAnsi="Times New Roman" w:cs="Times New Roman"/>
          <w:color w:val="222222"/>
          <w:sz w:val="24"/>
          <w:szCs w:val="24"/>
          <w:shd w:val="clear" w:color="auto" w:fill="FFFFFF"/>
        </w:rPr>
        <w:t>Ragasa,</w:t>
      </w:r>
      <w:r w:rsidR="00B97C19" w:rsidRPr="00D17A65">
        <w:rPr>
          <w:rFonts w:ascii="Times New Roman" w:hAnsi="Times New Roman" w:cs="Times New Roman"/>
          <w:sz w:val="24"/>
          <w:szCs w:val="24"/>
        </w:rPr>
        <w:t xml:space="preserve"> 2014). </w:t>
      </w:r>
    </w:p>
    <w:p w14:paraId="3D4765EB" w14:textId="77777777" w:rsidR="00FA0C21" w:rsidRPr="00D17A65" w:rsidRDefault="00FA0C21" w:rsidP="00C21218">
      <w:pPr>
        <w:spacing w:after="0"/>
        <w:jc w:val="both"/>
        <w:rPr>
          <w:rFonts w:ascii="Times New Roman" w:hAnsi="Times New Roman" w:cs="Times New Roman"/>
          <w:sz w:val="24"/>
          <w:szCs w:val="24"/>
        </w:rPr>
      </w:pPr>
    </w:p>
    <w:p w14:paraId="771DAE20" w14:textId="77777777" w:rsidR="00FA0C21" w:rsidRPr="00D17A65" w:rsidRDefault="00FA0C21"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rPr>
        <w:drawing>
          <wp:inline distT="0" distB="0" distL="0" distR="0" wp14:anchorId="663555B9" wp14:editId="27268DF9">
            <wp:extent cx="6162675" cy="5438775"/>
            <wp:effectExtent l="0" t="0" r="9525" b="9525"/>
            <wp:docPr id="1" name="Picture 1" descr="C:\Users\Admin\Desktop\eb9de831-fd7f-43cc-9004-d3d36caa2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b9de831-fd7f-43cc-9004-d3d36caa256f.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2259"/>
                    <a:stretch/>
                  </pic:blipFill>
                  <pic:spPr bwMode="auto">
                    <a:xfrm>
                      <a:off x="0" y="0"/>
                      <a:ext cx="6162675"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5C160AAE" w14:textId="2C2C1B56" w:rsidR="00BA6A63" w:rsidRDefault="00BA6A63" w:rsidP="00C21218">
      <w:pPr>
        <w:spacing w:after="0"/>
        <w:jc w:val="both"/>
        <w:rPr>
          <w:rFonts w:ascii="Times New Roman" w:hAnsi="Times New Roman" w:cs="Times New Roman"/>
          <w:sz w:val="24"/>
          <w:szCs w:val="24"/>
        </w:rPr>
      </w:pPr>
      <w:r>
        <w:rPr>
          <w:rFonts w:ascii="Times New Roman" w:hAnsi="Times New Roman" w:cs="Times New Roman"/>
          <w:sz w:val="24"/>
          <w:szCs w:val="24"/>
        </w:rPr>
        <w:t>Fig 1-</w:t>
      </w:r>
      <w:r w:rsidR="00AD4326">
        <w:rPr>
          <w:rFonts w:ascii="Times New Roman" w:hAnsi="Times New Roman" w:cs="Times New Roman"/>
          <w:sz w:val="24"/>
          <w:szCs w:val="24"/>
        </w:rPr>
        <w:t xml:space="preserve">  </w:t>
      </w:r>
      <w:r w:rsidR="005129F9">
        <w:rPr>
          <w:rFonts w:ascii="Times New Roman" w:hAnsi="Times New Roman" w:cs="Times New Roman"/>
          <w:sz w:val="24"/>
          <w:szCs w:val="24"/>
        </w:rPr>
        <w:t xml:space="preserve"> </w:t>
      </w:r>
      <w:r w:rsidR="005129F9" w:rsidRPr="005129F9">
        <w:rPr>
          <w:rFonts w:ascii="Times New Roman" w:hAnsi="Times New Roman" w:cs="Times New Roman"/>
          <w:sz w:val="24"/>
          <w:szCs w:val="24"/>
        </w:rPr>
        <w:t>Gender-</w:t>
      </w:r>
      <w:r w:rsidR="005129F9">
        <w:rPr>
          <w:rFonts w:ascii="Times New Roman" w:hAnsi="Times New Roman" w:cs="Times New Roman"/>
          <w:sz w:val="24"/>
          <w:szCs w:val="24"/>
        </w:rPr>
        <w:t>R</w:t>
      </w:r>
      <w:r w:rsidR="005129F9" w:rsidRPr="005129F9">
        <w:rPr>
          <w:rFonts w:ascii="Times New Roman" w:hAnsi="Times New Roman" w:cs="Times New Roman"/>
          <w:sz w:val="24"/>
          <w:szCs w:val="24"/>
        </w:rPr>
        <w:t xml:space="preserve">esponsive </w:t>
      </w:r>
      <w:r w:rsidR="005129F9">
        <w:rPr>
          <w:rFonts w:ascii="Times New Roman" w:hAnsi="Times New Roman" w:cs="Times New Roman"/>
          <w:sz w:val="24"/>
          <w:szCs w:val="24"/>
        </w:rPr>
        <w:t>E</w:t>
      </w:r>
      <w:r w:rsidR="005129F9" w:rsidRPr="005129F9">
        <w:rPr>
          <w:rFonts w:ascii="Times New Roman" w:hAnsi="Times New Roman" w:cs="Times New Roman"/>
          <w:sz w:val="24"/>
          <w:szCs w:val="24"/>
        </w:rPr>
        <w:t xml:space="preserve">xtension </w:t>
      </w:r>
      <w:r w:rsidR="005129F9">
        <w:rPr>
          <w:rFonts w:ascii="Times New Roman" w:hAnsi="Times New Roman" w:cs="Times New Roman"/>
          <w:sz w:val="24"/>
          <w:szCs w:val="24"/>
        </w:rPr>
        <w:t>A</w:t>
      </w:r>
      <w:r w:rsidR="005129F9" w:rsidRPr="005129F9">
        <w:rPr>
          <w:rFonts w:ascii="Times New Roman" w:hAnsi="Times New Roman" w:cs="Times New Roman"/>
          <w:sz w:val="24"/>
          <w:szCs w:val="24"/>
        </w:rPr>
        <w:t xml:space="preserve">pproaches </w:t>
      </w:r>
      <w:r w:rsidR="0054085D">
        <w:rPr>
          <w:rFonts w:ascii="Times New Roman" w:hAnsi="Times New Roman" w:cs="Times New Roman"/>
          <w:sz w:val="24"/>
          <w:szCs w:val="24"/>
        </w:rPr>
        <w:t>in Food Technology Sectors</w:t>
      </w:r>
    </w:p>
    <w:p w14:paraId="48AE05F3" w14:textId="73429333"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this context, agricultural and food extension systems serve as key links between innovations and end users. However, traditional extension methods have frequently ignored gender differences, assuming that all beneficiaries are the same and neglecting the unique needs, priorities, and challenges of women and men</w:t>
      </w:r>
      <w:r w:rsidR="001C3D8E" w:rsidRPr="00D17A65">
        <w:rPr>
          <w:rFonts w:ascii="Times New Roman" w:hAnsi="Times New Roman" w:cs="Times New Roman"/>
          <w:sz w:val="24"/>
          <w:szCs w:val="24"/>
        </w:rPr>
        <w:t xml:space="preserve"> (</w:t>
      </w:r>
      <w:r w:rsidR="001C3D8E" w:rsidRPr="00D17A65">
        <w:rPr>
          <w:rFonts w:ascii="Times New Roman" w:hAnsi="Times New Roman" w:cs="Times New Roman"/>
          <w:color w:val="222222"/>
          <w:sz w:val="24"/>
          <w:szCs w:val="24"/>
          <w:shd w:val="clear" w:color="auto" w:fill="FFFFFF"/>
        </w:rPr>
        <w:t>Quaye, et al., 2019)</w:t>
      </w:r>
      <w:r w:rsidRPr="00D17A65">
        <w:rPr>
          <w:rFonts w:ascii="Times New Roman" w:hAnsi="Times New Roman" w:cs="Times New Roman"/>
          <w:sz w:val="24"/>
          <w:szCs w:val="24"/>
        </w:rPr>
        <w:t>. This has led to unequal access to information, technologies, and services, further widening gender gaps in food systems. Acknowledging these issues, the idea of gender-responsive extension has gained noticeable attention in development discussions and practices.</w:t>
      </w:r>
    </w:p>
    <w:p w14:paraId="57270CB9" w14:textId="77777777" w:rsidR="001C3D8E" w:rsidRPr="00D17A65" w:rsidRDefault="001C3D8E" w:rsidP="00C21218">
      <w:pPr>
        <w:spacing w:after="0"/>
        <w:jc w:val="both"/>
        <w:rPr>
          <w:rFonts w:ascii="Times New Roman" w:hAnsi="Times New Roman" w:cs="Times New Roman"/>
          <w:sz w:val="24"/>
          <w:szCs w:val="24"/>
        </w:rPr>
      </w:pPr>
    </w:p>
    <w:p w14:paraId="1020000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involves advisory and support systems that intentionally recognize and address differences in roles, responsibilities, resource access, decision-making power, and opportunities based on gender</w:t>
      </w:r>
      <w:r w:rsidR="00EC57B3" w:rsidRPr="00D17A65">
        <w:rPr>
          <w:rFonts w:ascii="Times New Roman" w:hAnsi="Times New Roman" w:cs="Times New Roman"/>
          <w:sz w:val="24"/>
          <w:szCs w:val="24"/>
        </w:rPr>
        <w:t xml:space="preserve"> (</w:t>
      </w:r>
      <w:r w:rsidR="00EC57B3" w:rsidRPr="00D17A65">
        <w:rPr>
          <w:rFonts w:ascii="Times New Roman" w:hAnsi="Times New Roman" w:cs="Times New Roman"/>
          <w:color w:val="222222"/>
          <w:sz w:val="24"/>
          <w:szCs w:val="24"/>
          <w:shd w:val="clear" w:color="auto" w:fill="FFFFFF"/>
        </w:rPr>
        <w:t>Gebreselassie, et al., 2013)</w:t>
      </w:r>
      <w:r w:rsidRPr="00D17A65">
        <w:rPr>
          <w:rFonts w:ascii="Times New Roman" w:hAnsi="Times New Roman" w:cs="Times New Roman"/>
          <w:sz w:val="24"/>
          <w:szCs w:val="24"/>
        </w:rPr>
        <w:t xml:space="preserve">. These approaches aim not only to support women as beneficiaries but also to improve power dynamics by ensuring equal </w:t>
      </w:r>
      <w:r w:rsidRPr="00D17A65">
        <w:rPr>
          <w:rFonts w:ascii="Times New Roman" w:hAnsi="Times New Roman" w:cs="Times New Roman"/>
          <w:sz w:val="24"/>
          <w:szCs w:val="24"/>
        </w:rPr>
        <w:lastRenderedPageBreak/>
        <w:t>participation, voice, and benefits from technological advancements, markets, and institutional services. In food technology, gender-responsive extension is vital for boosting women’s involvement in food processing technologies, quality control, food safety standards, entrepreneurship, and value-added businesses</w:t>
      </w:r>
      <w:r w:rsidR="00D960D3" w:rsidRPr="00D17A65">
        <w:rPr>
          <w:rFonts w:ascii="Times New Roman" w:hAnsi="Times New Roman" w:cs="Times New Roman"/>
          <w:sz w:val="24"/>
          <w:szCs w:val="24"/>
        </w:rPr>
        <w:t xml:space="preserve"> (</w:t>
      </w:r>
      <w:r w:rsidR="00D960D3" w:rsidRPr="00D17A65">
        <w:rPr>
          <w:rFonts w:ascii="Times New Roman" w:hAnsi="Times New Roman" w:cs="Times New Roman"/>
          <w:color w:val="222222"/>
          <w:sz w:val="24"/>
          <w:szCs w:val="24"/>
          <w:shd w:val="clear" w:color="auto" w:fill="FFFFFF"/>
        </w:rPr>
        <w:t>Lemma, et al., 2020)</w:t>
      </w:r>
      <w:r w:rsidRPr="00D17A65">
        <w:rPr>
          <w:rFonts w:ascii="Times New Roman" w:hAnsi="Times New Roman" w:cs="Times New Roman"/>
          <w:sz w:val="24"/>
          <w:szCs w:val="24"/>
        </w:rPr>
        <w:t>.</w:t>
      </w:r>
    </w:p>
    <w:p w14:paraId="36AEF3AD" w14:textId="77777777" w:rsidR="00EC57B3" w:rsidRPr="00D17A65" w:rsidRDefault="00EC57B3" w:rsidP="00C21218">
      <w:pPr>
        <w:spacing w:after="0"/>
        <w:jc w:val="both"/>
        <w:rPr>
          <w:rFonts w:ascii="Times New Roman" w:hAnsi="Times New Roman" w:cs="Times New Roman"/>
          <w:sz w:val="24"/>
          <w:szCs w:val="24"/>
        </w:rPr>
      </w:pPr>
    </w:p>
    <w:p w14:paraId="70C6FE79"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recent years, various extension strategies have emerged to promote gender equity in food technology. These include participatory and community-based approaches, women-focused capacity-building programs, the use of information and communication technologies, inclusive innovation platforms, institutional reforms, and supportive policy changes</w:t>
      </w:r>
      <w:r w:rsidR="00A53CA8" w:rsidRPr="00D17A65">
        <w:rPr>
          <w:rFonts w:ascii="Times New Roman" w:hAnsi="Times New Roman" w:cs="Times New Roman"/>
          <w:sz w:val="24"/>
          <w:szCs w:val="24"/>
        </w:rPr>
        <w:t xml:space="preserve"> (</w:t>
      </w:r>
      <w:proofErr w:type="gramStart"/>
      <w:r w:rsidR="00A53CA8" w:rsidRPr="00D17A65">
        <w:rPr>
          <w:rFonts w:ascii="Times New Roman" w:hAnsi="Times New Roman" w:cs="Times New Roman"/>
          <w:color w:val="222222"/>
          <w:sz w:val="24"/>
          <w:szCs w:val="24"/>
          <w:shd w:val="clear" w:color="auto" w:fill="FFFFFF"/>
        </w:rPr>
        <w:t>ADEWUSI,</w:t>
      </w:r>
      <w:r w:rsidRPr="00D17A65">
        <w:rPr>
          <w:rFonts w:ascii="Times New Roman" w:hAnsi="Times New Roman" w:cs="Times New Roman"/>
          <w:sz w:val="24"/>
          <w:szCs w:val="24"/>
        </w:rPr>
        <w:t>.</w:t>
      </w:r>
      <w:proofErr w:type="gramEnd"/>
      <w:r w:rsidR="00A53CA8" w:rsidRPr="00D17A65">
        <w:rPr>
          <w:rFonts w:ascii="Times New Roman" w:hAnsi="Times New Roman" w:cs="Times New Roman"/>
          <w:sz w:val="24"/>
          <w:szCs w:val="24"/>
        </w:rPr>
        <w:t xml:space="preserve"> 2020).</w:t>
      </w:r>
      <w:r w:rsidRPr="00D17A65">
        <w:rPr>
          <w:rFonts w:ascii="Times New Roman" w:hAnsi="Times New Roman" w:cs="Times New Roman"/>
          <w:sz w:val="24"/>
          <w:szCs w:val="24"/>
        </w:rPr>
        <w:t xml:space="preserve"> Digital extension tools, women-led producer organizations, self-help groups, incubation centers, and public-private partnerships have shown potential in bridging information gaps and enabling women to access skills, technologies, and markets. However, the effectiveness of these strategies can vary across different social and cultural contexts, and comprehensive evidence remains scarce</w:t>
      </w:r>
      <w:r w:rsidR="00531C9D" w:rsidRPr="00D17A65">
        <w:rPr>
          <w:rFonts w:ascii="Times New Roman" w:hAnsi="Times New Roman" w:cs="Times New Roman"/>
          <w:sz w:val="24"/>
          <w:szCs w:val="24"/>
        </w:rPr>
        <w:t xml:space="preserve"> (</w:t>
      </w:r>
      <w:r w:rsidR="00531C9D" w:rsidRPr="00D17A65">
        <w:rPr>
          <w:rFonts w:ascii="Times New Roman" w:hAnsi="Times New Roman" w:cs="Times New Roman"/>
          <w:color w:val="222222"/>
          <w:sz w:val="24"/>
          <w:szCs w:val="24"/>
          <w:shd w:val="clear" w:color="auto" w:fill="FFFFFF"/>
        </w:rPr>
        <w:t>Blackmore, et al., 2022)</w:t>
      </w:r>
      <w:r w:rsidRPr="00D17A65">
        <w:rPr>
          <w:rFonts w:ascii="Times New Roman" w:hAnsi="Times New Roman" w:cs="Times New Roman"/>
          <w:sz w:val="24"/>
          <w:szCs w:val="24"/>
        </w:rPr>
        <w:t>.</w:t>
      </w:r>
    </w:p>
    <w:p w14:paraId="1D1D64DD" w14:textId="77777777" w:rsidR="00FE4D24" w:rsidRPr="00D17A65" w:rsidRDefault="001F1037"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rPr>
        <w:drawing>
          <wp:anchor distT="0" distB="0" distL="114300" distR="114300" simplePos="0" relativeHeight="251658240" behindDoc="1" locked="0" layoutInCell="1" allowOverlap="1" wp14:anchorId="0D21554A" wp14:editId="52D1A477">
            <wp:simplePos x="0" y="0"/>
            <wp:positionH relativeFrom="column">
              <wp:posOffset>923925</wp:posOffset>
            </wp:positionH>
            <wp:positionV relativeFrom="paragraph">
              <wp:posOffset>55880</wp:posOffset>
            </wp:positionV>
            <wp:extent cx="3933825" cy="3095625"/>
            <wp:effectExtent l="0" t="0" r="9525" b="9525"/>
            <wp:wrapTight wrapText="bothSides">
              <wp:wrapPolygon edited="0">
                <wp:start x="0" y="0"/>
                <wp:lineTo x="0" y="21534"/>
                <wp:lineTo x="21548" y="21534"/>
                <wp:lineTo x="21548" y="0"/>
                <wp:lineTo x="0" y="0"/>
              </wp:wrapPolygon>
            </wp:wrapTight>
            <wp:docPr id="2" name="Picture 2" descr="C:\Users\Admin\Desktop\4b255486-52b9-4468-b1a4-961d418c2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b255486-52b9-4468-b1a4-961d418c2c1f.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814" t="55663" b="9615"/>
                    <a:stretch/>
                  </pic:blipFill>
                  <pic:spPr bwMode="auto">
                    <a:xfrm>
                      <a:off x="0" y="0"/>
                      <a:ext cx="393382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B34456" w14:textId="77777777" w:rsidR="00A53CA8" w:rsidRPr="00D17A65" w:rsidRDefault="00A53CA8" w:rsidP="00C21218">
      <w:pPr>
        <w:spacing w:after="0"/>
        <w:jc w:val="both"/>
        <w:rPr>
          <w:rFonts w:ascii="Times New Roman" w:hAnsi="Times New Roman" w:cs="Times New Roman"/>
          <w:color w:val="222222"/>
          <w:sz w:val="24"/>
          <w:szCs w:val="24"/>
          <w:shd w:val="clear" w:color="auto" w:fill="FFFFFF"/>
        </w:rPr>
      </w:pPr>
    </w:p>
    <w:p w14:paraId="775146BE"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413ED6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B86233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3401B65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BC2A4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DADB78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C65E3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D18C7B"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1072F0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A3683F"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6E310C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0077E9A"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A90D1C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CBC3F6"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4298EF4"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295E17A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9BD78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4C08CAA" w14:textId="1DFAE8C0" w:rsidR="009F3C56" w:rsidRPr="00D17A65" w:rsidRDefault="00BA6A63" w:rsidP="00C21218">
      <w:pPr>
        <w:spacing w:after="0"/>
        <w:jc w:val="both"/>
        <w:rPr>
          <w:rFonts w:ascii="Times New Roman" w:hAnsi="Times New Roman" w:cs="Times New Roman"/>
          <w:color w:val="222222"/>
          <w:sz w:val="24"/>
          <w:szCs w:val="24"/>
          <w:shd w:val="clear" w:color="auto" w:fill="FFFFFF"/>
        </w:rPr>
      </w:pPr>
      <w:r w:rsidRPr="00BA6A63">
        <w:rPr>
          <w:rFonts w:ascii="Times New Roman" w:hAnsi="Times New Roman" w:cs="Times New Roman"/>
          <w:color w:val="222222"/>
          <w:sz w:val="24"/>
          <w:szCs w:val="24"/>
          <w:shd w:val="clear" w:color="auto" w:fill="FFFFFF"/>
        </w:rPr>
        <w:t>Fig</w:t>
      </w:r>
      <w:r>
        <w:rPr>
          <w:rFonts w:ascii="Times New Roman" w:hAnsi="Times New Roman" w:cs="Times New Roman"/>
          <w:color w:val="222222"/>
          <w:sz w:val="24"/>
          <w:szCs w:val="24"/>
          <w:shd w:val="clear" w:color="auto" w:fill="FFFFFF"/>
        </w:rPr>
        <w:t xml:space="preserve"> 2-</w:t>
      </w:r>
      <w:r w:rsidR="0083394E">
        <w:rPr>
          <w:rFonts w:ascii="Times New Roman" w:hAnsi="Times New Roman" w:cs="Times New Roman"/>
          <w:color w:val="222222"/>
          <w:sz w:val="24"/>
          <w:szCs w:val="24"/>
          <w:shd w:val="clear" w:color="auto" w:fill="FFFFFF"/>
        </w:rPr>
        <w:t xml:space="preserve"> </w:t>
      </w:r>
      <w:r w:rsidR="0083394E">
        <w:rPr>
          <w:rFonts w:ascii="Times New Roman" w:hAnsi="Times New Roman" w:cs="Times New Roman"/>
          <w:sz w:val="24"/>
          <w:szCs w:val="24"/>
        </w:rPr>
        <w:t>W</w:t>
      </w:r>
      <w:r w:rsidR="0083394E" w:rsidRPr="00D17A65">
        <w:rPr>
          <w:rFonts w:ascii="Times New Roman" w:hAnsi="Times New Roman" w:cs="Times New Roman"/>
          <w:sz w:val="24"/>
          <w:szCs w:val="24"/>
        </w:rPr>
        <w:t xml:space="preserve">omen’s </w:t>
      </w:r>
      <w:r w:rsidR="0083394E">
        <w:rPr>
          <w:rFonts w:ascii="Times New Roman" w:hAnsi="Times New Roman" w:cs="Times New Roman"/>
          <w:sz w:val="24"/>
          <w:szCs w:val="24"/>
        </w:rPr>
        <w:t>P</w:t>
      </w:r>
      <w:r w:rsidR="0083394E" w:rsidRPr="00D17A65">
        <w:rPr>
          <w:rFonts w:ascii="Times New Roman" w:hAnsi="Times New Roman" w:cs="Times New Roman"/>
          <w:sz w:val="24"/>
          <w:szCs w:val="24"/>
        </w:rPr>
        <w:t xml:space="preserve">articipation in </w:t>
      </w:r>
      <w:r w:rsidR="0083394E">
        <w:rPr>
          <w:rFonts w:ascii="Times New Roman" w:hAnsi="Times New Roman" w:cs="Times New Roman"/>
          <w:sz w:val="24"/>
          <w:szCs w:val="24"/>
        </w:rPr>
        <w:t>F</w:t>
      </w:r>
      <w:r w:rsidR="0083394E" w:rsidRPr="00D17A65">
        <w:rPr>
          <w:rFonts w:ascii="Times New Roman" w:hAnsi="Times New Roman" w:cs="Times New Roman"/>
          <w:sz w:val="24"/>
          <w:szCs w:val="24"/>
        </w:rPr>
        <w:t xml:space="preserve">ood </w:t>
      </w:r>
      <w:r w:rsidR="0083394E">
        <w:rPr>
          <w:rFonts w:ascii="Times New Roman" w:hAnsi="Times New Roman" w:cs="Times New Roman"/>
          <w:sz w:val="24"/>
          <w:szCs w:val="24"/>
        </w:rPr>
        <w:t>T</w:t>
      </w:r>
      <w:r w:rsidR="0083394E" w:rsidRPr="00D17A65">
        <w:rPr>
          <w:rFonts w:ascii="Times New Roman" w:hAnsi="Times New Roman" w:cs="Times New Roman"/>
          <w:sz w:val="24"/>
          <w:szCs w:val="24"/>
        </w:rPr>
        <w:t xml:space="preserve">echnology </w:t>
      </w:r>
    </w:p>
    <w:p w14:paraId="39E124A8" w14:textId="77777777" w:rsidR="00531C9D" w:rsidRPr="00D17A65" w:rsidRDefault="00531C9D" w:rsidP="00C21218">
      <w:pPr>
        <w:spacing w:after="0"/>
        <w:jc w:val="both"/>
        <w:rPr>
          <w:rFonts w:ascii="Times New Roman" w:hAnsi="Times New Roman" w:cs="Times New Roman"/>
          <w:sz w:val="24"/>
          <w:szCs w:val="24"/>
        </w:rPr>
      </w:pPr>
    </w:p>
    <w:p w14:paraId="0D482524" w14:textId="77777777" w:rsidR="00746CC3" w:rsidRPr="00D17A65" w:rsidRDefault="00C21218" w:rsidP="009F3C56">
      <w:pPr>
        <w:spacing w:after="0"/>
        <w:jc w:val="both"/>
        <w:rPr>
          <w:rStyle w:val="Strong"/>
          <w:rFonts w:ascii="Times New Roman" w:hAnsi="Times New Roman" w:cs="Times New Roman"/>
          <w:b w:val="0"/>
          <w:bCs w:val="0"/>
          <w:sz w:val="24"/>
          <w:szCs w:val="24"/>
        </w:rPr>
      </w:pPr>
      <w:r w:rsidRPr="00D17A65">
        <w:rPr>
          <w:rFonts w:ascii="Times New Roman" w:hAnsi="Times New Roman" w:cs="Times New Roman"/>
          <w:sz w:val="24"/>
          <w:szCs w:val="24"/>
        </w:rPr>
        <w:t>Given this backdrop, this review critically examines gender-responsive extension strategies that have effectively increased women’s participation and empowerment in food technology. The review gathers empirical evidence and conceptual insights from institutional, technological, participatory, and policy perspectives, highlighting best practices, ongoing gaps, and new opportunities. By doing so, it aims to help design more inclusive extension systems that support gender-equitable innovation, sustainable livelihoods, and resilient food systems</w:t>
      </w:r>
      <w:r w:rsidR="00C90F57" w:rsidRPr="00D17A65">
        <w:rPr>
          <w:rFonts w:ascii="Times New Roman" w:hAnsi="Times New Roman" w:cs="Times New Roman"/>
          <w:sz w:val="24"/>
          <w:szCs w:val="24"/>
        </w:rPr>
        <w:t xml:space="preserve"> (</w:t>
      </w:r>
      <w:r w:rsidR="00C90F57" w:rsidRPr="00D17A65">
        <w:rPr>
          <w:rFonts w:ascii="Times New Roman" w:hAnsi="Times New Roman" w:cs="Times New Roman"/>
          <w:color w:val="222222"/>
          <w:sz w:val="24"/>
          <w:szCs w:val="24"/>
          <w:shd w:val="clear" w:color="auto" w:fill="FFFFFF"/>
        </w:rPr>
        <w:t xml:space="preserve">Sindhu, S., &amp; </w:t>
      </w:r>
      <w:proofErr w:type="spellStart"/>
      <w:r w:rsidR="00C90F57" w:rsidRPr="00D17A65">
        <w:rPr>
          <w:rFonts w:ascii="Times New Roman" w:hAnsi="Times New Roman" w:cs="Times New Roman"/>
          <w:color w:val="222222"/>
          <w:sz w:val="24"/>
          <w:szCs w:val="24"/>
          <w:shd w:val="clear" w:color="auto" w:fill="FFFFFF"/>
        </w:rPr>
        <w:t>Poornimadarshini</w:t>
      </w:r>
      <w:proofErr w:type="spellEnd"/>
      <w:r w:rsidR="00C90F57" w:rsidRPr="00D17A65">
        <w:rPr>
          <w:rFonts w:ascii="Times New Roman" w:hAnsi="Times New Roman" w:cs="Times New Roman"/>
          <w:color w:val="222222"/>
          <w:sz w:val="24"/>
          <w:szCs w:val="24"/>
          <w:shd w:val="clear" w:color="auto" w:fill="FFFFFF"/>
        </w:rPr>
        <w:t xml:space="preserve"> 2025)</w:t>
      </w:r>
      <w:r w:rsidRPr="00D17A65">
        <w:rPr>
          <w:rFonts w:ascii="Times New Roman" w:hAnsi="Times New Roman" w:cs="Times New Roman"/>
          <w:sz w:val="24"/>
          <w:szCs w:val="24"/>
        </w:rPr>
        <w:t>.</w:t>
      </w:r>
    </w:p>
    <w:p w14:paraId="6A57F3F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Gender-Based Constraints</w:t>
      </w:r>
    </w:p>
    <w:p w14:paraId="4B37E5BC"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lastRenderedPageBreak/>
        <w:t>(</w:t>
      </w:r>
      <w:r w:rsidRPr="00D17A65">
        <w:rPr>
          <w:rStyle w:val="hljs-type"/>
          <w:rFonts w:ascii="Times New Roman" w:hAnsi="Times New Roman" w:cs="Times New Roman"/>
          <w:sz w:val="24"/>
          <w:szCs w:val="24"/>
        </w:rPr>
        <w:t>Time</w:t>
      </w:r>
      <w:r w:rsidRPr="00D17A65">
        <w:rPr>
          <w:rStyle w:val="HTMLCode"/>
          <w:rFonts w:ascii="Times New Roman" w:hAnsi="Times New Roman" w:cs="Times New Roman"/>
          <w:sz w:val="24"/>
          <w:szCs w:val="24"/>
        </w:rPr>
        <w:t xml:space="preserve"> burden, mobility limits,</w:t>
      </w:r>
    </w:p>
    <w:p w14:paraId="3A75394F"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low literacy, limited </w:t>
      </w:r>
      <w:r w:rsidRPr="00D17A65">
        <w:rPr>
          <w:rStyle w:val="hljs-keyword"/>
          <w:rFonts w:ascii="Times New Roman" w:hAnsi="Times New Roman" w:cs="Times New Roman"/>
          <w:sz w:val="24"/>
          <w:szCs w:val="24"/>
        </w:rPr>
        <w:t>access</w:t>
      </w:r>
    </w:p>
    <w:p w14:paraId="3E2467A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keyword"/>
          <w:rFonts w:ascii="Times New Roman" w:hAnsi="Times New Roman" w:cs="Times New Roman"/>
          <w:sz w:val="24"/>
          <w:szCs w:val="24"/>
        </w:rPr>
        <w:t>to</w:t>
      </w:r>
      <w:r w:rsidRPr="00D17A65">
        <w:rPr>
          <w:rStyle w:val="HTMLCode"/>
          <w:rFonts w:ascii="Times New Roman" w:hAnsi="Times New Roman" w:cs="Times New Roman"/>
          <w:sz w:val="24"/>
          <w:szCs w:val="24"/>
        </w:rPr>
        <w:t xml:space="preserve"> resources &amp; networks)</w:t>
      </w:r>
    </w:p>
    <w:p w14:paraId="15A8AD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0308BD2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014DCCF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Gender-Responsive </w:t>
      </w:r>
      <w:r w:rsidRPr="00D17A65">
        <w:rPr>
          <w:rStyle w:val="hljs-keyword"/>
          <w:rFonts w:ascii="Times New Roman" w:hAnsi="Times New Roman" w:cs="Times New Roman"/>
          <w:sz w:val="24"/>
          <w:szCs w:val="24"/>
        </w:rPr>
        <w:t>Extension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System</w:t>
      </w:r>
    </w:p>
    <w:p w14:paraId="20BD48B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189AB625"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Participatory approaches (PLA, FFS)</w:t>
      </w:r>
    </w:p>
    <w:p w14:paraId="024A55D7"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Gender-sensitive training &amp; capacity building</w:t>
      </w:r>
    </w:p>
    <w:p w14:paraId="78CBD14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ICT-enabled advisory services</w:t>
      </w:r>
    </w:p>
    <w:p w14:paraId="3E27E9B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Institutional gender mainstreaming</w:t>
      </w:r>
    </w:p>
    <w:p w14:paraId="1C3E2012"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Policy</w:t>
      </w:r>
      <w:r w:rsidRPr="00D17A65">
        <w:rPr>
          <w:rStyle w:val="HTMLCode"/>
          <w:rFonts w:ascii="Times New Roman" w:hAnsi="Times New Roman" w:cs="Times New Roman"/>
          <w:sz w:val="24"/>
          <w:szCs w:val="24"/>
        </w:rPr>
        <w:t>, financial &amp; market linkages</w:t>
      </w:r>
    </w:p>
    <w:p w14:paraId="16611F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6FF0D4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21AD72F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Capacity &amp; Empowerment Outcomes</w:t>
      </w:r>
    </w:p>
    <w:p w14:paraId="161FAE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873060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Technical skills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processing</w:t>
      </w:r>
    </w:p>
    <w:p w14:paraId="4FBC0F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Knowledge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safety &amp; quality</w:t>
      </w:r>
    </w:p>
    <w:p w14:paraId="7CBE52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Entrepreneurial &amp; digital skills</w:t>
      </w:r>
    </w:p>
    <w:p w14:paraId="2C82E4A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Confidence &amp; decision-making power</w:t>
      </w:r>
    </w:p>
    <w:p w14:paraId="348B3A7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C4F49A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68C9D57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Enhanced Women’s Participation</w:t>
      </w:r>
    </w:p>
    <w:p w14:paraId="220E7CB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0D2329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Adoption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technologies</w:t>
      </w:r>
    </w:p>
    <w:p w14:paraId="3AEBD61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Leadership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enterprises</w:t>
      </w:r>
    </w:p>
    <w:p w14:paraId="04805D1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Engagement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value</w:t>
      </w:r>
      <w:r w:rsidRPr="00D17A65">
        <w:rPr>
          <w:rStyle w:val="HTMLCode"/>
          <w:rFonts w:ascii="Times New Roman" w:hAnsi="Times New Roman" w:cs="Times New Roman"/>
          <w:sz w:val="24"/>
          <w:szCs w:val="24"/>
        </w:rPr>
        <w:t xml:space="preserve"> chains</w:t>
      </w:r>
    </w:p>
    <w:p w14:paraId="4B80DC9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Innovation &amp; product development</w:t>
      </w:r>
    </w:p>
    <w:p w14:paraId="299AF8B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3943CA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78B061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Broader Impacts</w:t>
      </w:r>
    </w:p>
    <w:p w14:paraId="218B63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7B71C25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Income generation</w:t>
      </w:r>
    </w:p>
    <w:p w14:paraId="563915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Food &amp; nutrition </w:t>
      </w:r>
      <w:r w:rsidRPr="00D17A65">
        <w:rPr>
          <w:rStyle w:val="hljs-keyword"/>
          <w:rFonts w:ascii="Times New Roman" w:hAnsi="Times New Roman" w:cs="Times New Roman"/>
          <w:sz w:val="24"/>
          <w:szCs w:val="24"/>
        </w:rPr>
        <w:t>security</w:t>
      </w:r>
    </w:p>
    <w:p w14:paraId="66ECCD0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Inclusive food systems</w:t>
      </w:r>
    </w:p>
    <w:p w14:paraId="2582ACA3" w14:textId="77777777" w:rsidR="00B16567"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Achievement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SDGs (gender equality, zero hunger)</w:t>
      </w:r>
    </w:p>
    <w:p w14:paraId="52F3EFFA" w14:textId="77777777" w:rsidR="00BA6A63" w:rsidRDefault="00BA6A63" w:rsidP="00746CC3">
      <w:pPr>
        <w:pStyle w:val="HTMLPreformatted"/>
        <w:jc w:val="center"/>
        <w:rPr>
          <w:rStyle w:val="HTMLCode"/>
          <w:rFonts w:ascii="Times New Roman" w:hAnsi="Times New Roman" w:cs="Times New Roman"/>
          <w:sz w:val="24"/>
          <w:szCs w:val="24"/>
        </w:rPr>
      </w:pPr>
    </w:p>
    <w:p w14:paraId="6EA98241" w14:textId="6A1FDD8C" w:rsidR="00844840" w:rsidRPr="00844840" w:rsidRDefault="00BA6A63" w:rsidP="00844840">
      <w:pPr>
        <w:pStyle w:val="HTMLPreformatted"/>
        <w:rPr>
          <w:rFonts w:ascii="Times New Roman" w:hAnsi="Times New Roman" w:cs="Times New Roman"/>
          <w:sz w:val="24"/>
          <w:szCs w:val="24"/>
        </w:rPr>
      </w:pPr>
      <w:r w:rsidRPr="00844840">
        <w:rPr>
          <w:rStyle w:val="HTMLCode"/>
          <w:rFonts w:ascii="Times New Roman" w:hAnsi="Times New Roman" w:cs="Times New Roman"/>
          <w:b/>
          <w:bCs/>
          <w:sz w:val="24"/>
          <w:szCs w:val="24"/>
        </w:rPr>
        <w:t>Chart 1-</w:t>
      </w:r>
      <w:r w:rsidR="00844840">
        <w:rPr>
          <w:rStyle w:val="HTMLCode"/>
          <w:rFonts w:ascii="Times New Roman" w:hAnsi="Times New Roman" w:cs="Times New Roman"/>
          <w:sz w:val="24"/>
          <w:szCs w:val="24"/>
        </w:rPr>
        <w:t xml:space="preserve"> </w:t>
      </w:r>
      <w:r w:rsidR="00844840" w:rsidRPr="00844840">
        <w:rPr>
          <w:rFonts w:ascii="Times New Roman" w:hAnsi="Times New Roman" w:cs="Times New Roman"/>
          <w:b/>
          <w:sz w:val="24"/>
          <w:szCs w:val="24"/>
        </w:rPr>
        <w:t xml:space="preserve">Conceptual Framework of Gender-Responsive Extension for Enhancing Women’s </w:t>
      </w:r>
      <w:r w:rsidR="00844840">
        <w:rPr>
          <w:rFonts w:ascii="Times New Roman" w:hAnsi="Times New Roman" w:cs="Times New Roman"/>
          <w:b/>
          <w:sz w:val="24"/>
          <w:szCs w:val="24"/>
        </w:rPr>
        <w:t xml:space="preserve">   </w:t>
      </w:r>
      <w:r w:rsidR="00844840" w:rsidRPr="00844840">
        <w:rPr>
          <w:rFonts w:ascii="Times New Roman" w:hAnsi="Times New Roman" w:cs="Times New Roman"/>
          <w:b/>
          <w:sz w:val="24"/>
          <w:szCs w:val="24"/>
        </w:rPr>
        <w:t>Participation in Food Technology</w:t>
      </w:r>
    </w:p>
    <w:p w14:paraId="7DFEFF4C" w14:textId="77F6E707" w:rsidR="00BA6A63" w:rsidRPr="00D17A65" w:rsidRDefault="00BA6A63" w:rsidP="00746CC3">
      <w:pPr>
        <w:pStyle w:val="HTMLPreformatted"/>
        <w:jc w:val="center"/>
        <w:rPr>
          <w:rFonts w:ascii="Times New Roman" w:hAnsi="Times New Roman" w:cs="Times New Roman"/>
          <w:sz w:val="24"/>
          <w:szCs w:val="24"/>
        </w:rPr>
      </w:pPr>
    </w:p>
    <w:p w14:paraId="21259EF1" w14:textId="77777777" w:rsidR="00B16567" w:rsidRPr="00D17A65" w:rsidRDefault="00B16567" w:rsidP="00C21218">
      <w:pPr>
        <w:spacing w:after="0"/>
        <w:jc w:val="both"/>
        <w:rPr>
          <w:rFonts w:ascii="Times New Roman" w:hAnsi="Times New Roman" w:cs="Times New Roman"/>
          <w:sz w:val="24"/>
          <w:szCs w:val="24"/>
        </w:rPr>
      </w:pPr>
    </w:p>
    <w:p w14:paraId="3B4F4018" w14:textId="77777777" w:rsidR="00C5098A" w:rsidRPr="00D17A65" w:rsidRDefault="00C5098A" w:rsidP="00C5098A">
      <w:pPr>
        <w:pStyle w:val="Heading2"/>
        <w:rPr>
          <w:rFonts w:ascii="Times New Roman" w:hAnsi="Times New Roman" w:cs="Times New Roman"/>
          <w:color w:val="auto"/>
          <w:sz w:val="24"/>
          <w:szCs w:val="24"/>
        </w:rPr>
      </w:pPr>
      <w:r w:rsidRPr="00D17A65">
        <w:rPr>
          <w:rStyle w:val="Strong"/>
          <w:rFonts w:ascii="Times New Roman" w:hAnsi="Times New Roman" w:cs="Times New Roman"/>
          <w:bCs w:val="0"/>
          <w:color w:val="auto"/>
          <w:sz w:val="24"/>
          <w:szCs w:val="24"/>
        </w:rPr>
        <w:t>Table 1. Gender-Responsive Extension Approaches and Their Role in Food Technology</w:t>
      </w:r>
    </w:p>
    <w:tbl>
      <w:tblPr>
        <w:tblStyle w:val="TableGrid"/>
        <w:tblW w:w="0" w:type="auto"/>
        <w:tblLook w:val="04A0" w:firstRow="1" w:lastRow="0" w:firstColumn="1" w:lastColumn="0" w:noHBand="0" w:noVBand="1"/>
      </w:tblPr>
      <w:tblGrid>
        <w:gridCol w:w="1969"/>
        <w:gridCol w:w="2632"/>
        <w:gridCol w:w="2520"/>
        <w:gridCol w:w="2229"/>
      </w:tblGrid>
      <w:tr w:rsidR="00C5098A" w:rsidRPr="00D17A65" w14:paraId="5832AA2A" w14:textId="77777777" w:rsidTr="00C5098A">
        <w:tc>
          <w:tcPr>
            <w:tcW w:w="0" w:type="auto"/>
            <w:hideMark/>
          </w:tcPr>
          <w:p w14:paraId="6A5AA99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Extension Approach</w:t>
            </w:r>
          </w:p>
        </w:tc>
        <w:tc>
          <w:tcPr>
            <w:tcW w:w="0" w:type="auto"/>
            <w:hideMark/>
          </w:tcPr>
          <w:p w14:paraId="3327F924"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Features</w:t>
            </w:r>
          </w:p>
        </w:tc>
        <w:tc>
          <w:tcPr>
            <w:tcW w:w="0" w:type="auto"/>
            <w:hideMark/>
          </w:tcPr>
          <w:p w14:paraId="1F8DAF46"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Contribution to Women in Food Technology</w:t>
            </w:r>
          </w:p>
        </w:tc>
        <w:tc>
          <w:tcPr>
            <w:tcW w:w="0" w:type="auto"/>
            <w:hideMark/>
          </w:tcPr>
          <w:p w14:paraId="1989D81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Expected Outcomes</w:t>
            </w:r>
          </w:p>
        </w:tc>
      </w:tr>
      <w:tr w:rsidR="00C5098A" w:rsidRPr="00D17A65" w14:paraId="15C99374" w14:textId="77777777" w:rsidTr="00C5098A">
        <w:tc>
          <w:tcPr>
            <w:tcW w:w="0" w:type="auto"/>
            <w:hideMark/>
          </w:tcPr>
          <w:p w14:paraId="2AB6EA9F"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lastRenderedPageBreak/>
              <w:t>Participatory Extension (PLA, FFS)</w:t>
            </w:r>
          </w:p>
        </w:tc>
        <w:tc>
          <w:tcPr>
            <w:tcW w:w="0" w:type="auto"/>
            <w:hideMark/>
          </w:tcPr>
          <w:p w14:paraId="465395AD"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Women-centered problem identification, group learning, local facilitation</w:t>
            </w:r>
          </w:p>
        </w:tc>
        <w:tc>
          <w:tcPr>
            <w:tcW w:w="0" w:type="auto"/>
            <w:hideMark/>
          </w:tcPr>
          <w:p w14:paraId="0FA1E55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Encourages women’s involvement in processing decisions and technology testing</w:t>
            </w:r>
          </w:p>
        </w:tc>
        <w:tc>
          <w:tcPr>
            <w:tcW w:w="0" w:type="auto"/>
            <w:hideMark/>
          </w:tcPr>
          <w:p w14:paraId="50E9009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Higher technology adoption and ownership</w:t>
            </w:r>
          </w:p>
        </w:tc>
      </w:tr>
      <w:tr w:rsidR="00C5098A" w:rsidRPr="00D17A65" w14:paraId="09D18E3B" w14:textId="77777777" w:rsidTr="00C5098A">
        <w:tc>
          <w:tcPr>
            <w:tcW w:w="0" w:type="auto"/>
            <w:hideMark/>
          </w:tcPr>
          <w:p w14:paraId="712A8B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Gender-Sensitive Capacity Building</w:t>
            </w:r>
          </w:p>
        </w:tc>
        <w:tc>
          <w:tcPr>
            <w:tcW w:w="0" w:type="auto"/>
            <w:hideMark/>
          </w:tcPr>
          <w:p w14:paraId="084030F3"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Tailored schedules, practical demos, literacy-appropriate materials</w:t>
            </w:r>
          </w:p>
        </w:tc>
        <w:tc>
          <w:tcPr>
            <w:tcW w:w="0" w:type="auto"/>
            <w:hideMark/>
          </w:tcPr>
          <w:p w14:paraId="21A298D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Enhances skills in processing, hygiene, packaging, and quality control</w:t>
            </w:r>
          </w:p>
        </w:tc>
        <w:tc>
          <w:tcPr>
            <w:tcW w:w="0" w:type="auto"/>
            <w:hideMark/>
          </w:tcPr>
          <w:p w14:paraId="75CE63A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Improved technical competence and confidence</w:t>
            </w:r>
          </w:p>
        </w:tc>
      </w:tr>
      <w:tr w:rsidR="00C5098A" w:rsidRPr="00D17A65" w14:paraId="7B354437" w14:textId="77777777" w:rsidTr="00C5098A">
        <w:tc>
          <w:tcPr>
            <w:tcW w:w="0" w:type="auto"/>
            <w:hideMark/>
          </w:tcPr>
          <w:p w14:paraId="474A267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ICT-Based Extension Services</w:t>
            </w:r>
          </w:p>
        </w:tc>
        <w:tc>
          <w:tcPr>
            <w:tcW w:w="0" w:type="auto"/>
            <w:hideMark/>
          </w:tcPr>
          <w:p w14:paraId="02B212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Voice messages, local-language apps, low-cost digital tools</w:t>
            </w:r>
          </w:p>
        </w:tc>
        <w:tc>
          <w:tcPr>
            <w:tcW w:w="0" w:type="auto"/>
            <w:hideMark/>
          </w:tcPr>
          <w:p w14:paraId="048604B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Improves access to food tech info despite mobility &amp; literacy barriers</w:t>
            </w:r>
          </w:p>
        </w:tc>
        <w:tc>
          <w:tcPr>
            <w:tcW w:w="0" w:type="auto"/>
            <w:hideMark/>
          </w:tcPr>
          <w:p w14:paraId="24701729"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Timely knowledge access and technology uptake</w:t>
            </w:r>
          </w:p>
        </w:tc>
      </w:tr>
      <w:tr w:rsidR="00C5098A" w:rsidRPr="00D17A65" w14:paraId="24369090" w14:textId="77777777" w:rsidTr="00C5098A">
        <w:tc>
          <w:tcPr>
            <w:tcW w:w="0" w:type="auto"/>
            <w:hideMark/>
          </w:tcPr>
          <w:p w14:paraId="4586FC1C"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Institutional Gender Mainstreaming</w:t>
            </w:r>
          </w:p>
        </w:tc>
        <w:tc>
          <w:tcPr>
            <w:tcW w:w="0" w:type="auto"/>
            <w:hideMark/>
          </w:tcPr>
          <w:p w14:paraId="6682A5A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Female extension agents, gender budgeting, inclusive policies</w:t>
            </w:r>
          </w:p>
        </w:tc>
        <w:tc>
          <w:tcPr>
            <w:tcW w:w="0" w:type="auto"/>
            <w:hideMark/>
          </w:tcPr>
          <w:p w14:paraId="3D19A53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Creates supportive ecosystem for women technologists &amp; entrepreneurs</w:t>
            </w:r>
          </w:p>
        </w:tc>
        <w:tc>
          <w:tcPr>
            <w:tcW w:w="0" w:type="auto"/>
            <w:hideMark/>
          </w:tcPr>
          <w:p w14:paraId="1BE4665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Sustainable participation and leadership</w:t>
            </w:r>
          </w:p>
        </w:tc>
      </w:tr>
      <w:tr w:rsidR="00C5098A" w:rsidRPr="00D17A65" w14:paraId="1E854585" w14:textId="77777777" w:rsidTr="00C5098A">
        <w:tc>
          <w:tcPr>
            <w:tcW w:w="0" w:type="auto"/>
            <w:hideMark/>
          </w:tcPr>
          <w:p w14:paraId="5C54BB4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Market-Oriented Extension</w:t>
            </w:r>
          </w:p>
        </w:tc>
        <w:tc>
          <w:tcPr>
            <w:tcW w:w="0" w:type="auto"/>
            <w:hideMark/>
          </w:tcPr>
          <w:p w14:paraId="39A274C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Linkages with markets, certification, branding support</w:t>
            </w:r>
          </w:p>
        </w:tc>
        <w:tc>
          <w:tcPr>
            <w:tcW w:w="0" w:type="auto"/>
            <w:hideMark/>
          </w:tcPr>
          <w:p w14:paraId="2865ECA7"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Facilitates women-led food enterprises &amp; value addition</w:t>
            </w:r>
          </w:p>
        </w:tc>
        <w:tc>
          <w:tcPr>
            <w:tcW w:w="0" w:type="auto"/>
            <w:hideMark/>
          </w:tcPr>
          <w:p w14:paraId="693482A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Increased income and market competitiveness</w:t>
            </w:r>
          </w:p>
        </w:tc>
      </w:tr>
      <w:tr w:rsidR="00C5098A" w:rsidRPr="00D17A65" w14:paraId="27F9658C" w14:textId="77777777" w:rsidTr="00C5098A">
        <w:tc>
          <w:tcPr>
            <w:tcW w:w="0" w:type="auto"/>
            <w:hideMark/>
          </w:tcPr>
          <w:p w14:paraId="79C8B4A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Policy &amp; Financial Integration</w:t>
            </w:r>
          </w:p>
        </w:tc>
        <w:tc>
          <w:tcPr>
            <w:tcW w:w="0" w:type="auto"/>
            <w:hideMark/>
          </w:tcPr>
          <w:p w14:paraId="23C7C43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Credit access, subsidies, entrepreneurship schemes</w:t>
            </w:r>
          </w:p>
        </w:tc>
        <w:tc>
          <w:tcPr>
            <w:tcW w:w="0" w:type="auto"/>
            <w:hideMark/>
          </w:tcPr>
          <w:p w14:paraId="41BE249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Reduces financial constraints for adopting food technologies</w:t>
            </w:r>
          </w:p>
        </w:tc>
        <w:tc>
          <w:tcPr>
            <w:tcW w:w="0" w:type="auto"/>
            <w:hideMark/>
          </w:tcPr>
          <w:p w14:paraId="368F068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Expansion of women-owned food tech ventures</w:t>
            </w:r>
          </w:p>
        </w:tc>
      </w:tr>
    </w:tbl>
    <w:p w14:paraId="25B967CE" w14:textId="77777777" w:rsidR="00C21218" w:rsidRPr="00D17A65" w:rsidRDefault="00C21218" w:rsidP="00C21218">
      <w:pPr>
        <w:spacing w:after="0"/>
        <w:jc w:val="both"/>
        <w:rPr>
          <w:rFonts w:ascii="Times New Roman" w:hAnsi="Times New Roman" w:cs="Times New Roman"/>
          <w:sz w:val="24"/>
          <w:szCs w:val="24"/>
        </w:rPr>
      </w:pPr>
    </w:p>
    <w:p w14:paraId="54D0094D" w14:textId="77777777" w:rsidR="00C5098A" w:rsidRPr="00D17A65" w:rsidRDefault="00C5098A" w:rsidP="00C21218">
      <w:pPr>
        <w:spacing w:after="0"/>
        <w:jc w:val="both"/>
        <w:rPr>
          <w:rFonts w:ascii="Times New Roman" w:hAnsi="Times New Roman" w:cs="Times New Roman"/>
          <w:sz w:val="24"/>
          <w:szCs w:val="24"/>
        </w:rPr>
      </w:pPr>
    </w:p>
    <w:p w14:paraId="4C01A30B"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 Rationale for Gender-Responsive Extension in Food Technology</w:t>
      </w:r>
    </w:p>
    <w:p w14:paraId="75D8AF31" w14:textId="77777777" w:rsidR="00C21218" w:rsidRPr="00D17A65" w:rsidRDefault="00C21218" w:rsidP="00C21218">
      <w:pPr>
        <w:spacing w:after="0"/>
        <w:jc w:val="both"/>
        <w:rPr>
          <w:rFonts w:ascii="Times New Roman" w:hAnsi="Times New Roman" w:cs="Times New Roman"/>
          <w:sz w:val="24"/>
          <w:szCs w:val="24"/>
        </w:rPr>
      </w:pPr>
    </w:p>
    <w:p w14:paraId="14C5CE9C"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Incorporating gender-responsive approaches within food technology extension systems is not only essential for social equity but also crucial for enhancing the efficiency, inclusiveness, and sustainability of agri-food systems</w:t>
      </w:r>
      <w:r w:rsidR="00CB132A" w:rsidRPr="00D17A65">
        <w:rPr>
          <w:rFonts w:ascii="Times New Roman" w:hAnsi="Times New Roman" w:cs="Times New Roman"/>
          <w:sz w:val="24"/>
          <w:szCs w:val="24"/>
        </w:rPr>
        <w:t xml:space="preserve"> (</w:t>
      </w:r>
      <w:proofErr w:type="spellStart"/>
      <w:r w:rsidR="00CB132A" w:rsidRPr="00D17A65">
        <w:rPr>
          <w:rFonts w:ascii="Times New Roman" w:hAnsi="Times New Roman" w:cs="Times New Roman"/>
          <w:color w:val="222222"/>
          <w:sz w:val="24"/>
          <w:szCs w:val="24"/>
          <w:shd w:val="clear" w:color="auto" w:fill="FFFFFF"/>
        </w:rPr>
        <w:t>Asanwana</w:t>
      </w:r>
      <w:proofErr w:type="spellEnd"/>
      <w:r w:rsidR="00CB132A" w:rsidRPr="00D17A65">
        <w:rPr>
          <w:rFonts w:ascii="Times New Roman" w:hAnsi="Times New Roman" w:cs="Times New Roman"/>
          <w:color w:val="222222"/>
          <w:sz w:val="24"/>
          <w:szCs w:val="24"/>
          <w:shd w:val="clear" w:color="auto" w:fill="FFFFFF"/>
        </w:rPr>
        <w:t xml:space="preserve">, and </w:t>
      </w:r>
      <w:proofErr w:type="spellStart"/>
      <w:r w:rsidR="00CB132A" w:rsidRPr="00D17A65">
        <w:rPr>
          <w:rFonts w:ascii="Times New Roman" w:hAnsi="Times New Roman" w:cs="Times New Roman"/>
          <w:color w:val="222222"/>
          <w:sz w:val="24"/>
          <w:szCs w:val="24"/>
          <w:shd w:val="clear" w:color="auto" w:fill="FFFFFF"/>
        </w:rPr>
        <w:t>Uloh</w:t>
      </w:r>
      <w:proofErr w:type="spellEnd"/>
      <w:r w:rsidR="00CB132A" w:rsidRPr="00D17A65">
        <w:rPr>
          <w:rFonts w:ascii="Times New Roman" w:hAnsi="Times New Roman" w:cs="Times New Roman"/>
          <w:color w:val="222222"/>
          <w:sz w:val="24"/>
          <w:szCs w:val="24"/>
          <w:shd w:val="clear" w:color="auto" w:fill="FFFFFF"/>
        </w:rPr>
        <w:t>, 2025).</w:t>
      </w:r>
      <w:r w:rsidRPr="00D17A65">
        <w:rPr>
          <w:rFonts w:ascii="Times New Roman" w:hAnsi="Times New Roman" w:cs="Times New Roman"/>
          <w:sz w:val="24"/>
          <w:szCs w:val="24"/>
        </w:rPr>
        <w:t xml:space="preserve"> Women’s active involvement in food technology significantly impacts food safety, nutrition, innovation, and economic growth. Recognizing and strengthening this involvement through responsive extension methods is therefore important</w:t>
      </w:r>
      <w:r w:rsidR="001C7622" w:rsidRPr="00D17A65">
        <w:rPr>
          <w:rFonts w:ascii="Times New Roman" w:hAnsi="Times New Roman" w:cs="Times New Roman"/>
          <w:sz w:val="24"/>
          <w:szCs w:val="24"/>
        </w:rPr>
        <w:t xml:space="preserve"> (</w:t>
      </w:r>
      <w:r w:rsidR="001C7622" w:rsidRPr="00D17A65">
        <w:rPr>
          <w:rFonts w:ascii="Times New Roman" w:hAnsi="Times New Roman" w:cs="Times New Roman"/>
          <w:color w:val="222222"/>
          <w:sz w:val="24"/>
          <w:szCs w:val="24"/>
          <w:shd w:val="clear" w:color="auto" w:fill="FFFFFF"/>
        </w:rPr>
        <w:t>Sudheer,</w:t>
      </w:r>
      <w:r w:rsidR="001C7622" w:rsidRPr="00D17A65">
        <w:rPr>
          <w:rFonts w:ascii="Times New Roman" w:hAnsi="Times New Roman" w:cs="Times New Roman"/>
          <w:sz w:val="24"/>
          <w:szCs w:val="24"/>
        </w:rPr>
        <w:t xml:space="preserve"> et al., 2022). </w:t>
      </w:r>
    </w:p>
    <w:p w14:paraId="0393E80E" w14:textId="77777777" w:rsidR="00C21218" w:rsidRPr="00D17A65" w:rsidRDefault="00C21218" w:rsidP="00C21218">
      <w:pPr>
        <w:spacing w:after="0"/>
        <w:jc w:val="both"/>
        <w:rPr>
          <w:rFonts w:ascii="Times New Roman" w:hAnsi="Times New Roman" w:cs="Times New Roman"/>
          <w:sz w:val="24"/>
          <w:szCs w:val="24"/>
        </w:rPr>
      </w:pPr>
    </w:p>
    <w:p w14:paraId="5C3A091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2.1 Enhancing Food Safety and Nutrition Outcomes</w:t>
      </w:r>
    </w:p>
    <w:p w14:paraId="397BDDC6" w14:textId="77777777" w:rsidR="00C21218" w:rsidRPr="00D17A65" w:rsidRDefault="00C21218" w:rsidP="00C21218">
      <w:pPr>
        <w:spacing w:after="0"/>
        <w:jc w:val="both"/>
        <w:rPr>
          <w:rFonts w:ascii="Times New Roman" w:hAnsi="Times New Roman" w:cs="Times New Roman"/>
          <w:sz w:val="24"/>
          <w:szCs w:val="24"/>
        </w:rPr>
      </w:pPr>
    </w:p>
    <w:p w14:paraId="5FF7B8AA"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many societies, women are the primary managers of household food preparation, preservation, and dietary diversity. Their choices directly influence food quality, safety, and nutrition at the family and community levels</w:t>
      </w:r>
      <w:r w:rsidR="007E1E4F" w:rsidRPr="00D17A65">
        <w:rPr>
          <w:rFonts w:ascii="Times New Roman" w:hAnsi="Times New Roman" w:cs="Times New Roman"/>
          <w:sz w:val="24"/>
          <w:szCs w:val="24"/>
        </w:rPr>
        <w:t xml:space="preserve"> (</w:t>
      </w:r>
      <w:proofErr w:type="spellStart"/>
      <w:r w:rsidR="007E1E4F" w:rsidRPr="00D17A65">
        <w:rPr>
          <w:rFonts w:ascii="Times New Roman" w:hAnsi="Times New Roman" w:cs="Times New Roman"/>
          <w:color w:val="222222"/>
          <w:sz w:val="24"/>
          <w:szCs w:val="24"/>
          <w:shd w:val="clear" w:color="auto" w:fill="FFFFFF"/>
        </w:rPr>
        <w:t>Losasso</w:t>
      </w:r>
      <w:proofErr w:type="spellEnd"/>
      <w:r w:rsidR="007E1E4F" w:rsidRPr="00D17A65">
        <w:rPr>
          <w:rFonts w:ascii="Times New Roman" w:hAnsi="Times New Roman" w:cs="Times New Roman"/>
          <w:color w:val="222222"/>
          <w:sz w:val="24"/>
          <w:szCs w:val="24"/>
          <w:shd w:val="clear" w:color="auto" w:fill="FFFFFF"/>
        </w:rPr>
        <w:t>, et al., 2012)</w:t>
      </w:r>
      <w:r w:rsidRPr="00D17A65">
        <w:rPr>
          <w:rFonts w:ascii="Times New Roman" w:hAnsi="Times New Roman" w:cs="Times New Roman"/>
          <w:sz w:val="24"/>
          <w:szCs w:val="24"/>
        </w:rPr>
        <w:t>. Gender-responsive extension allows women to access scientific knowledge about hygienic processing, value addition, fortification, packaging, and storage technologies</w:t>
      </w:r>
      <w:r w:rsidR="00A05889" w:rsidRPr="00D17A65">
        <w:rPr>
          <w:rFonts w:ascii="Times New Roman" w:hAnsi="Times New Roman" w:cs="Times New Roman"/>
          <w:sz w:val="24"/>
          <w:szCs w:val="24"/>
        </w:rPr>
        <w:t xml:space="preserve"> (</w:t>
      </w:r>
      <w:r w:rsidR="00A05889" w:rsidRPr="00D17A65">
        <w:rPr>
          <w:rFonts w:ascii="Times New Roman" w:hAnsi="Times New Roman" w:cs="Times New Roman"/>
          <w:color w:val="222222"/>
          <w:sz w:val="24"/>
          <w:szCs w:val="24"/>
          <w:shd w:val="clear" w:color="auto" w:fill="FFFFFF"/>
        </w:rPr>
        <w:t>Nordhagen,</w:t>
      </w:r>
      <w:r w:rsidR="00A05889" w:rsidRPr="00D17A65">
        <w:rPr>
          <w:rFonts w:ascii="Times New Roman" w:hAnsi="Times New Roman" w:cs="Times New Roman"/>
          <w:sz w:val="24"/>
          <w:szCs w:val="24"/>
        </w:rPr>
        <w:t xml:space="preserve"> et al., 2022).</w:t>
      </w:r>
      <w:r w:rsidRPr="00D17A65">
        <w:rPr>
          <w:rFonts w:ascii="Times New Roman" w:hAnsi="Times New Roman" w:cs="Times New Roman"/>
          <w:sz w:val="24"/>
          <w:szCs w:val="24"/>
        </w:rPr>
        <w:t xml:space="preserve"> When women are educated about food safety standards and nutrition-sensitive technologies, they are more likely to adopt them, leading to improved public health and reduced food-borne risks. Thus, empowering women through tailored food technology extension directly contributes to nutrition security and food safety</w:t>
      </w:r>
      <w:r w:rsidR="00651DC0" w:rsidRPr="00D17A65">
        <w:rPr>
          <w:rFonts w:ascii="Times New Roman" w:hAnsi="Times New Roman" w:cs="Times New Roman"/>
          <w:sz w:val="24"/>
          <w:szCs w:val="24"/>
        </w:rPr>
        <w:t xml:space="preserve"> (</w:t>
      </w:r>
      <w:r w:rsidR="00651DC0" w:rsidRPr="00D17A65">
        <w:rPr>
          <w:rFonts w:ascii="Times New Roman" w:hAnsi="Times New Roman" w:cs="Times New Roman"/>
          <w:color w:val="222222"/>
          <w:sz w:val="24"/>
          <w:szCs w:val="24"/>
          <w:shd w:val="clear" w:color="auto" w:fill="FFFFFF"/>
        </w:rPr>
        <w:t>Khan,</w:t>
      </w:r>
      <w:r w:rsidR="00651DC0" w:rsidRPr="00D17A65">
        <w:rPr>
          <w:rFonts w:ascii="Times New Roman" w:hAnsi="Times New Roman" w:cs="Times New Roman"/>
          <w:sz w:val="24"/>
          <w:szCs w:val="24"/>
        </w:rPr>
        <w:t xml:space="preserve"> et al., 2023).</w:t>
      </w:r>
    </w:p>
    <w:p w14:paraId="3D743364" w14:textId="77777777" w:rsidR="00C21218" w:rsidRPr="00D17A65" w:rsidRDefault="00C21218" w:rsidP="00C21218">
      <w:pPr>
        <w:spacing w:after="0"/>
        <w:jc w:val="both"/>
        <w:rPr>
          <w:rFonts w:ascii="Times New Roman" w:hAnsi="Times New Roman" w:cs="Times New Roman"/>
          <w:sz w:val="24"/>
          <w:szCs w:val="24"/>
        </w:rPr>
      </w:pPr>
    </w:p>
    <w:p w14:paraId="2DE450C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2.2 Promoting Inclusive and Context-Specific Innovation</w:t>
      </w:r>
    </w:p>
    <w:p w14:paraId="2AFCC1A2" w14:textId="77777777" w:rsidR="00C21218" w:rsidRPr="00D17A65" w:rsidRDefault="00C21218" w:rsidP="00C21218">
      <w:pPr>
        <w:spacing w:after="0"/>
        <w:jc w:val="both"/>
        <w:rPr>
          <w:rFonts w:ascii="Times New Roman" w:hAnsi="Times New Roman" w:cs="Times New Roman"/>
          <w:sz w:val="24"/>
          <w:szCs w:val="24"/>
        </w:rPr>
      </w:pPr>
    </w:p>
    <w:p w14:paraId="3D9D32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Innovation in food technology is more successful when it aligns with the needs and realities of diverse user groups</w:t>
      </w:r>
      <w:r w:rsidR="006070CC" w:rsidRPr="00D17A65">
        <w:rPr>
          <w:rFonts w:ascii="Times New Roman" w:hAnsi="Times New Roman" w:cs="Times New Roman"/>
          <w:sz w:val="24"/>
          <w:szCs w:val="24"/>
        </w:rPr>
        <w:t xml:space="preserve"> (</w:t>
      </w:r>
      <w:r w:rsidR="006070CC" w:rsidRPr="00D17A65">
        <w:rPr>
          <w:rFonts w:ascii="Times New Roman" w:hAnsi="Times New Roman" w:cs="Times New Roman"/>
          <w:color w:val="222222"/>
          <w:sz w:val="24"/>
          <w:szCs w:val="24"/>
          <w:shd w:val="clear" w:color="auto" w:fill="FFFFFF"/>
        </w:rPr>
        <w:t>Hoffecker, 2021).</w:t>
      </w:r>
      <w:r w:rsidRPr="00D17A65">
        <w:rPr>
          <w:rFonts w:ascii="Times New Roman" w:hAnsi="Times New Roman" w:cs="Times New Roman"/>
          <w:sz w:val="24"/>
          <w:szCs w:val="24"/>
        </w:rPr>
        <w:t xml:space="preserve"> Women possess significant indigenous knowledge about traditional foods, processing methods, and consumer preferences</w:t>
      </w:r>
      <w:r w:rsidR="00FC7AEF" w:rsidRPr="00D17A65">
        <w:rPr>
          <w:rFonts w:ascii="Times New Roman" w:hAnsi="Times New Roman" w:cs="Times New Roman"/>
          <w:sz w:val="24"/>
          <w:szCs w:val="24"/>
        </w:rPr>
        <w:t xml:space="preserve"> (</w:t>
      </w:r>
      <w:r w:rsidR="00FC7AEF" w:rsidRPr="00D17A65">
        <w:rPr>
          <w:rFonts w:ascii="Times New Roman" w:hAnsi="Times New Roman" w:cs="Times New Roman"/>
          <w:color w:val="222222"/>
          <w:sz w:val="24"/>
          <w:szCs w:val="24"/>
          <w:shd w:val="clear" w:color="auto" w:fill="FFFFFF"/>
        </w:rPr>
        <w:t>Ibnouf,</w:t>
      </w:r>
      <w:r w:rsidR="00FC7AEF" w:rsidRPr="00D17A65">
        <w:rPr>
          <w:rFonts w:ascii="Times New Roman" w:hAnsi="Times New Roman" w:cs="Times New Roman"/>
          <w:sz w:val="24"/>
          <w:szCs w:val="24"/>
        </w:rPr>
        <w:t xml:space="preserve"> 2012).</w:t>
      </w:r>
      <w:r w:rsidRPr="00D17A65">
        <w:rPr>
          <w:rFonts w:ascii="Times New Roman" w:hAnsi="Times New Roman" w:cs="Times New Roman"/>
          <w:sz w:val="24"/>
          <w:szCs w:val="24"/>
        </w:rPr>
        <w:t xml:space="preserve"> Gender-responsive extension platforms that encourage women’s involvement in technology design, testing, and feedback promote inclusive innovation. Innovations driven by diverse perspectives lead to food technologies that are more adaptable, culturally relevant, user-friendly, and sustainable. Excluding women from the innovation process often results in the development of technologies that are poorly adopted or not suitable for local contexts</w:t>
      </w:r>
      <w:r w:rsidR="00017892" w:rsidRPr="00D17A65">
        <w:rPr>
          <w:rFonts w:ascii="Times New Roman" w:hAnsi="Times New Roman" w:cs="Times New Roman"/>
          <w:sz w:val="24"/>
          <w:szCs w:val="24"/>
        </w:rPr>
        <w:t xml:space="preserve"> (</w:t>
      </w:r>
      <w:r w:rsidR="00017892" w:rsidRPr="00D17A65">
        <w:rPr>
          <w:rFonts w:ascii="Times New Roman" w:hAnsi="Times New Roman" w:cs="Times New Roman"/>
          <w:color w:val="222222"/>
          <w:sz w:val="24"/>
          <w:szCs w:val="24"/>
          <w:shd w:val="clear" w:color="auto" w:fill="FFFFFF"/>
        </w:rPr>
        <w:t>Liedtke, et al., 2012)</w:t>
      </w:r>
      <w:r w:rsidRPr="00D17A65">
        <w:rPr>
          <w:rFonts w:ascii="Times New Roman" w:hAnsi="Times New Roman" w:cs="Times New Roman"/>
          <w:sz w:val="24"/>
          <w:szCs w:val="24"/>
        </w:rPr>
        <w:t>.</w:t>
      </w:r>
    </w:p>
    <w:p w14:paraId="52ADF3F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2.3 Economic Empowerment and Livelihood Diversification</w:t>
      </w:r>
    </w:p>
    <w:p w14:paraId="7675DBEA" w14:textId="77777777" w:rsidR="00C21218" w:rsidRPr="00D17A65" w:rsidRDefault="00C21218" w:rsidP="00C21218">
      <w:pPr>
        <w:spacing w:after="0"/>
        <w:jc w:val="both"/>
        <w:rPr>
          <w:rFonts w:ascii="Times New Roman" w:hAnsi="Times New Roman" w:cs="Times New Roman"/>
          <w:sz w:val="24"/>
          <w:szCs w:val="24"/>
        </w:rPr>
      </w:pPr>
    </w:p>
    <w:p w14:paraId="2282AA4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Food technology provides valuable opportunities for women’s economic empowerment through skill development, entrepreneurship, and involvement in value-added enterprises such as processing, packaging, branding, and marketing</w:t>
      </w:r>
      <w:r w:rsidR="00017892" w:rsidRPr="00D17A65">
        <w:rPr>
          <w:rFonts w:ascii="Times New Roman" w:hAnsi="Times New Roman" w:cs="Times New Roman"/>
          <w:sz w:val="24"/>
          <w:szCs w:val="24"/>
        </w:rPr>
        <w:t xml:space="preserve"> (</w:t>
      </w:r>
      <w:r w:rsidR="00017892" w:rsidRPr="00D17A65">
        <w:rPr>
          <w:rFonts w:ascii="Times New Roman" w:hAnsi="Times New Roman" w:cs="Times New Roman"/>
          <w:color w:val="222222"/>
          <w:sz w:val="24"/>
          <w:szCs w:val="24"/>
          <w:shd w:val="clear" w:color="auto" w:fill="FFFFFF"/>
        </w:rPr>
        <w:t>Sudan, 2007)</w:t>
      </w:r>
      <w:r w:rsidRPr="00D17A65">
        <w:rPr>
          <w:rFonts w:ascii="Times New Roman" w:hAnsi="Times New Roman" w:cs="Times New Roman"/>
          <w:sz w:val="24"/>
          <w:szCs w:val="24"/>
        </w:rPr>
        <w:t>. Gender-responsive extension is vital for building technical skills, management capabilities, and market connections for women-led food businesses. Access to training, incubation support, quality certification, and digital marketing platforms enhances women’s ability to transition from informal activities to formal and profitable enterprises</w:t>
      </w:r>
      <w:r w:rsidR="00EE3DBC" w:rsidRPr="00D17A65">
        <w:rPr>
          <w:rFonts w:ascii="Times New Roman" w:hAnsi="Times New Roman" w:cs="Times New Roman"/>
          <w:sz w:val="24"/>
          <w:szCs w:val="24"/>
        </w:rPr>
        <w:t xml:space="preserve"> (</w:t>
      </w:r>
      <w:r w:rsidR="00EE3DBC" w:rsidRPr="00D17A65">
        <w:rPr>
          <w:rFonts w:ascii="Times New Roman" w:hAnsi="Times New Roman" w:cs="Times New Roman"/>
          <w:color w:val="222222"/>
          <w:sz w:val="24"/>
          <w:szCs w:val="24"/>
          <w:shd w:val="clear" w:color="auto" w:fill="FFFFFF"/>
        </w:rPr>
        <w:t>Priya,</w:t>
      </w:r>
      <w:r w:rsidR="00EE3DBC" w:rsidRPr="00D17A65">
        <w:rPr>
          <w:rFonts w:ascii="Times New Roman" w:hAnsi="Times New Roman" w:cs="Times New Roman"/>
          <w:sz w:val="24"/>
          <w:szCs w:val="24"/>
        </w:rPr>
        <w:t xml:space="preserve"> et al., 2025).</w:t>
      </w:r>
      <w:r w:rsidRPr="00D17A65">
        <w:rPr>
          <w:rFonts w:ascii="Times New Roman" w:hAnsi="Times New Roman" w:cs="Times New Roman"/>
          <w:sz w:val="24"/>
          <w:szCs w:val="24"/>
        </w:rPr>
        <w:t xml:space="preserve"> This progression supports income generation, job creation, and financial independence.</w:t>
      </w:r>
    </w:p>
    <w:p w14:paraId="09CA380A" w14:textId="77777777" w:rsidR="009F3C56" w:rsidRPr="00D17A65" w:rsidRDefault="009F3C56" w:rsidP="00C21218">
      <w:pPr>
        <w:spacing w:after="0"/>
        <w:jc w:val="both"/>
        <w:rPr>
          <w:rFonts w:ascii="Times New Roman" w:hAnsi="Times New Roman" w:cs="Times New Roman"/>
          <w:sz w:val="24"/>
          <w:szCs w:val="24"/>
        </w:rPr>
      </w:pPr>
    </w:p>
    <w:p w14:paraId="2DD4827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2.4 Ensuring Equity and Sustainability in Technology Dissemination</w:t>
      </w:r>
    </w:p>
    <w:p w14:paraId="4C9EF1B7" w14:textId="77777777" w:rsidR="00C21218" w:rsidRPr="00D17A65" w:rsidRDefault="00C21218" w:rsidP="00C21218">
      <w:pPr>
        <w:spacing w:after="0"/>
        <w:jc w:val="both"/>
        <w:rPr>
          <w:rFonts w:ascii="Times New Roman" w:hAnsi="Times New Roman" w:cs="Times New Roman"/>
          <w:sz w:val="24"/>
          <w:szCs w:val="24"/>
        </w:rPr>
      </w:pPr>
    </w:p>
    <w:p w14:paraId="08ABE07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Fair access to extension services is critical for sustainable technology dissemination</w:t>
      </w:r>
      <w:r w:rsidR="001A3F11" w:rsidRPr="00D17A65">
        <w:rPr>
          <w:rFonts w:ascii="Times New Roman" w:hAnsi="Times New Roman" w:cs="Times New Roman"/>
          <w:sz w:val="24"/>
          <w:szCs w:val="24"/>
        </w:rPr>
        <w:t xml:space="preserve"> (</w:t>
      </w:r>
      <w:proofErr w:type="spellStart"/>
      <w:proofErr w:type="gramStart"/>
      <w:r w:rsidR="001A3F11" w:rsidRPr="00D17A65">
        <w:rPr>
          <w:rFonts w:ascii="Times New Roman" w:hAnsi="Times New Roman" w:cs="Times New Roman"/>
          <w:color w:val="222222"/>
          <w:sz w:val="24"/>
          <w:szCs w:val="24"/>
          <w:shd w:val="clear" w:color="auto" w:fill="FFFFFF"/>
        </w:rPr>
        <w:t>Tetarwal</w:t>
      </w:r>
      <w:proofErr w:type="spellEnd"/>
      <w:r w:rsidR="001A3F1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roofErr w:type="gramEnd"/>
      <w:r w:rsidR="001A3F11" w:rsidRPr="00D17A65">
        <w:rPr>
          <w:rFonts w:ascii="Times New Roman" w:hAnsi="Times New Roman" w:cs="Times New Roman"/>
          <w:sz w:val="24"/>
          <w:szCs w:val="24"/>
        </w:rPr>
        <w:t xml:space="preserve"> 2024)</w:t>
      </w:r>
      <w:r w:rsidR="0065352E"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Gender-insensitive extension methods often assume male farmers or entrepreneurs as the primary technology users, inadvertently sidelining women. Gender-responsive extension counters this bias by adjusting communication methods, training schedules, locations, and delivery mechanisms to meet women’s needs and constraints</w:t>
      </w:r>
      <w:r w:rsidR="00E24714" w:rsidRPr="00D17A65">
        <w:rPr>
          <w:rFonts w:ascii="Times New Roman" w:hAnsi="Times New Roman" w:cs="Times New Roman"/>
          <w:sz w:val="24"/>
          <w:szCs w:val="24"/>
        </w:rPr>
        <w:t xml:space="preserve"> (</w:t>
      </w:r>
      <w:r w:rsidR="00E24714" w:rsidRPr="00D17A65">
        <w:rPr>
          <w:rFonts w:ascii="Times New Roman" w:hAnsi="Times New Roman" w:cs="Times New Roman"/>
          <w:color w:val="222222"/>
          <w:sz w:val="24"/>
          <w:szCs w:val="24"/>
          <w:shd w:val="clear" w:color="auto" w:fill="FFFFFF"/>
        </w:rPr>
        <w:t>Quaye,</w:t>
      </w:r>
      <w:r w:rsidR="00E24714"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By ensuring women benefit equally from technological interventions, extension systems can improve adoption rates, long-term sustainability, and social acceptance of food technologies</w:t>
      </w:r>
      <w:r w:rsidR="006B0F5D" w:rsidRPr="00D17A65">
        <w:rPr>
          <w:rFonts w:ascii="Times New Roman" w:hAnsi="Times New Roman" w:cs="Times New Roman"/>
          <w:sz w:val="24"/>
          <w:szCs w:val="24"/>
        </w:rPr>
        <w:t xml:space="preserve"> (</w:t>
      </w:r>
      <w:r w:rsidR="006B0F5D" w:rsidRPr="00D17A65">
        <w:rPr>
          <w:rFonts w:ascii="Times New Roman" w:hAnsi="Times New Roman" w:cs="Times New Roman"/>
          <w:color w:val="222222"/>
          <w:sz w:val="24"/>
          <w:szCs w:val="24"/>
          <w:shd w:val="clear" w:color="auto" w:fill="FFFFFF"/>
        </w:rPr>
        <w:t>Women,</w:t>
      </w:r>
      <w:r w:rsidR="006B0F5D" w:rsidRPr="00D17A65">
        <w:rPr>
          <w:rFonts w:ascii="Times New Roman" w:hAnsi="Times New Roman" w:cs="Times New Roman"/>
          <w:sz w:val="24"/>
          <w:szCs w:val="24"/>
        </w:rPr>
        <w:t xml:space="preserve"> 2024). </w:t>
      </w:r>
    </w:p>
    <w:p w14:paraId="44CDCBD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2.5 Addressing Gender-Specific Constraints and Structural Barriers</w:t>
      </w:r>
    </w:p>
    <w:p w14:paraId="26116520" w14:textId="77777777" w:rsidR="00C21218" w:rsidRPr="00D17A65" w:rsidRDefault="00C21218" w:rsidP="00C21218">
      <w:pPr>
        <w:spacing w:after="0"/>
        <w:jc w:val="both"/>
        <w:rPr>
          <w:rFonts w:ascii="Times New Roman" w:hAnsi="Times New Roman" w:cs="Times New Roman"/>
          <w:sz w:val="24"/>
          <w:szCs w:val="24"/>
        </w:rPr>
      </w:pPr>
    </w:p>
    <w:p w14:paraId="04613FB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their vital contributions to food systems, women face notable constraints that limit their involvement in food technology, including limited access to education and training, restricted credit and equipment availability, weak formal market connections, mobility constraints, and exclusion from professional networks</w:t>
      </w:r>
      <w:r w:rsidR="006E58A9" w:rsidRPr="00D17A65">
        <w:rPr>
          <w:rFonts w:ascii="Times New Roman" w:hAnsi="Times New Roman" w:cs="Times New Roman"/>
          <w:sz w:val="24"/>
          <w:szCs w:val="24"/>
        </w:rPr>
        <w:t xml:space="preserve"> (</w:t>
      </w:r>
      <w:proofErr w:type="spellStart"/>
      <w:r w:rsidR="006E58A9" w:rsidRPr="00D17A65">
        <w:rPr>
          <w:rFonts w:ascii="Times New Roman" w:hAnsi="Times New Roman" w:cs="Times New Roman"/>
          <w:color w:val="222222"/>
          <w:sz w:val="24"/>
          <w:szCs w:val="24"/>
          <w:shd w:val="clear" w:color="auto" w:fill="FFFFFF"/>
        </w:rPr>
        <w:t>Sinell</w:t>
      </w:r>
      <w:proofErr w:type="spellEnd"/>
      <w:r w:rsidR="006E58A9"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 Gender-insensitive extension systems often reinforce these barriers by failing to acknowledge women as key stakeholders. Gender-responsive extension specifically tackles these limitations through targeted capacity building, financial inclusion, institutional support, and policy advocacy, creating a supportive environment for women’s participation and leadership in food technology</w:t>
      </w:r>
      <w:r w:rsidR="00DC7A21" w:rsidRPr="00D17A65">
        <w:rPr>
          <w:rFonts w:ascii="Times New Roman" w:hAnsi="Times New Roman" w:cs="Times New Roman"/>
          <w:sz w:val="24"/>
          <w:szCs w:val="24"/>
        </w:rPr>
        <w:t xml:space="preserve"> (</w:t>
      </w:r>
      <w:r w:rsidR="00DC7A21" w:rsidRPr="00D17A65">
        <w:rPr>
          <w:rFonts w:ascii="Times New Roman" w:hAnsi="Times New Roman" w:cs="Times New Roman"/>
          <w:color w:val="222222"/>
          <w:sz w:val="24"/>
          <w:szCs w:val="24"/>
          <w:shd w:val="clear" w:color="auto" w:fill="FFFFFF"/>
        </w:rPr>
        <w:t>Gul,</w:t>
      </w:r>
      <w:r w:rsidR="00B06B04" w:rsidRPr="00D17A65">
        <w:rPr>
          <w:rFonts w:ascii="Times New Roman" w:hAnsi="Times New Roman" w:cs="Times New Roman"/>
          <w:color w:val="222222"/>
          <w:sz w:val="24"/>
          <w:szCs w:val="24"/>
          <w:shd w:val="clear" w:color="auto" w:fill="FFFFFF"/>
        </w:rPr>
        <w:t xml:space="preserve"> et al.</w:t>
      </w:r>
      <w:proofErr w:type="gramStart"/>
      <w:r w:rsidR="00B06B04" w:rsidRPr="00D17A65">
        <w:rPr>
          <w:rFonts w:ascii="Times New Roman" w:hAnsi="Times New Roman" w:cs="Times New Roman"/>
          <w:color w:val="222222"/>
          <w:sz w:val="24"/>
          <w:szCs w:val="24"/>
          <w:shd w:val="clear" w:color="auto" w:fill="FFFFFF"/>
        </w:rPr>
        <w:t>,</w:t>
      </w:r>
      <w:r w:rsidR="00DC7A21" w:rsidRPr="00D17A65">
        <w:rPr>
          <w:rFonts w:ascii="Times New Roman" w:hAnsi="Times New Roman" w:cs="Times New Roman"/>
          <w:color w:val="222222"/>
          <w:sz w:val="24"/>
          <w:szCs w:val="24"/>
          <w:shd w:val="clear" w:color="auto" w:fill="FFFFFF"/>
        </w:rPr>
        <w:t xml:space="preserve">  2025</w:t>
      </w:r>
      <w:proofErr w:type="gramEnd"/>
      <w:r w:rsidR="00DC7A2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
    <w:p w14:paraId="21D50C38" w14:textId="77777777" w:rsidR="00C21218" w:rsidRPr="00D17A65" w:rsidRDefault="00C21218" w:rsidP="00C21218">
      <w:pPr>
        <w:spacing w:after="0"/>
        <w:jc w:val="both"/>
        <w:rPr>
          <w:rFonts w:ascii="Times New Roman" w:hAnsi="Times New Roman" w:cs="Times New Roman"/>
          <w:sz w:val="24"/>
          <w:szCs w:val="24"/>
        </w:rPr>
      </w:pPr>
    </w:p>
    <w:p w14:paraId="05428C8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2.6 Strategic Importance for Transformative Food Systems</w:t>
      </w:r>
    </w:p>
    <w:p w14:paraId="6516A648" w14:textId="77777777" w:rsidR="00C21218" w:rsidRPr="00D17A65" w:rsidRDefault="00C21218" w:rsidP="00C21218">
      <w:pPr>
        <w:spacing w:after="0"/>
        <w:jc w:val="both"/>
        <w:rPr>
          <w:rFonts w:ascii="Times New Roman" w:hAnsi="Times New Roman" w:cs="Times New Roman"/>
          <w:sz w:val="24"/>
          <w:szCs w:val="24"/>
        </w:rPr>
      </w:pPr>
    </w:p>
    <w:p w14:paraId="30F606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Ultimately, gender-responsive extension is crucial for transforming food systems into more resilient, inclusive, and innovation-driven frameworks. By incorporating gender considerations into extension planning, implementation, and evaluation, food technology efforts can move beyond superficial participation towards true empowerment. This transformation aligns with broader development objectives focused on gender equality, decent work, innovation, and sustainable food systems</w:t>
      </w:r>
      <w:r w:rsidR="00B06B04" w:rsidRPr="00D17A65">
        <w:rPr>
          <w:rFonts w:ascii="Times New Roman" w:hAnsi="Times New Roman" w:cs="Times New Roman"/>
          <w:sz w:val="24"/>
          <w:szCs w:val="24"/>
        </w:rPr>
        <w:t xml:space="preserve"> (</w:t>
      </w:r>
      <w:r w:rsidR="00B06B04" w:rsidRPr="00D17A65">
        <w:rPr>
          <w:rFonts w:ascii="Times New Roman" w:hAnsi="Times New Roman" w:cs="Times New Roman"/>
          <w:color w:val="222222"/>
          <w:sz w:val="24"/>
          <w:szCs w:val="24"/>
          <w:shd w:val="clear" w:color="auto" w:fill="FFFFFF"/>
        </w:rPr>
        <w:t>Brouwer,</w:t>
      </w:r>
      <w:r w:rsidR="00B06B04" w:rsidRPr="00D17A65">
        <w:rPr>
          <w:rFonts w:ascii="Times New Roman" w:hAnsi="Times New Roman" w:cs="Times New Roman"/>
          <w:sz w:val="24"/>
          <w:szCs w:val="24"/>
        </w:rPr>
        <w:t xml:space="preserve"> et al., 2020).</w:t>
      </w:r>
    </w:p>
    <w:p w14:paraId="696AF19D" w14:textId="77777777" w:rsidR="000F2620" w:rsidRPr="00D17A65" w:rsidRDefault="000F2620" w:rsidP="000F2620">
      <w:pPr>
        <w:pStyle w:val="Heading2"/>
        <w:rPr>
          <w:rStyle w:val="Strong"/>
          <w:rFonts w:ascii="Times New Roman" w:hAnsi="Times New Roman" w:cs="Times New Roman"/>
          <w:bCs w:val="0"/>
          <w:color w:val="auto"/>
          <w:sz w:val="24"/>
          <w:szCs w:val="24"/>
        </w:rPr>
      </w:pPr>
      <w:r w:rsidRPr="00D17A65">
        <w:rPr>
          <w:rStyle w:val="Strong"/>
          <w:rFonts w:ascii="Times New Roman" w:hAnsi="Times New Roman" w:cs="Times New Roman"/>
          <w:bCs w:val="0"/>
          <w:color w:val="auto"/>
          <w:sz w:val="24"/>
          <w:szCs w:val="24"/>
        </w:rPr>
        <w:t>Table 2. Gender Constraints and Extension-Based Solutions in Food Technology</w:t>
      </w:r>
    </w:p>
    <w:p w14:paraId="46C3FAE9" w14:textId="77777777" w:rsidR="000F2620" w:rsidRPr="00D17A65" w:rsidRDefault="000F2620" w:rsidP="000F262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714"/>
        <w:gridCol w:w="5636"/>
      </w:tblGrid>
      <w:tr w:rsidR="000F2620" w:rsidRPr="00D17A65" w14:paraId="17566442" w14:textId="77777777" w:rsidTr="000F2620">
        <w:tc>
          <w:tcPr>
            <w:tcW w:w="0" w:type="auto"/>
            <w:hideMark/>
          </w:tcPr>
          <w:p w14:paraId="677DA58B"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Major Constraints Faced by Women</w:t>
            </w:r>
          </w:p>
        </w:tc>
        <w:tc>
          <w:tcPr>
            <w:tcW w:w="0" w:type="auto"/>
            <w:hideMark/>
          </w:tcPr>
          <w:p w14:paraId="5A44AAB9"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Extension Solutions</w:t>
            </w:r>
          </w:p>
        </w:tc>
      </w:tr>
      <w:tr w:rsidR="000F2620" w:rsidRPr="00D17A65" w14:paraId="03B5DE00" w14:textId="77777777" w:rsidTr="000F2620">
        <w:tc>
          <w:tcPr>
            <w:tcW w:w="0" w:type="auto"/>
            <w:hideMark/>
          </w:tcPr>
          <w:p w14:paraId="685104C7"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access to training</w:t>
            </w:r>
          </w:p>
        </w:tc>
        <w:tc>
          <w:tcPr>
            <w:tcW w:w="0" w:type="auto"/>
            <w:hideMark/>
          </w:tcPr>
          <w:p w14:paraId="0731271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Localized, women-only or mixed training programs</w:t>
            </w:r>
          </w:p>
        </w:tc>
      </w:tr>
      <w:tr w:rsidR="000F2620" w:rsidRPr="00D17A65" w14:paraId="710B75D8" w14:textId="77777777" w:rsidTr="000F2620">
        <w:tc>
          <w:tcPr>
            <w:tcW w:w="0" w:type="auto"/>
            <w:hideMark/>
          </w:tcPr>
          <w:p w14:paraId="731259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Time poverty due to household roles</w:t>
            </w:r>
          </w:p>
        </w:tc>
        <w:tc>
          <w:tcPr>
            <w:tcW w:w="0" w:type="auto"/>
            <w:hideMark/>
          </w:tcPr>
          <w:p w14:paraId="21FC8F20"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Flexible schedules, modular learning</w:t>
            </w:r>
          </w:p>
        </w:tc>
      </w:tr>
      <w:tr w:rsidR="000F2620" w:rsidRPr="00D17A65" w14:paraId="64E0703F" w14:textId="77777777" w:rsidTr="000F2620">
        <w:tc>
          <w:tcPr>
            <w:tcW w:w="0" w:type="auto"/>
            <w:hideMark/>
          </w:tcPr>
          <w:p w14:paraId="5FB4DAA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Low exposure to food technology</w:t>
            </w:r>
          </w:p>
        </w:tc>
        <w:tc>
          <w:tcPr>
            <w:tcW w:w="0" w:type="auto"/>
            <w:hideMark/>
          </w:tcPr>
          <w:p w14:paraId="383503D2"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Demonstrations, pilot processing units, exposure visits</w:t>
            </w:r>
          </w:p>
        </w:tc>
      </w:tr>
      <w:tr w:rsidR="000F2620" w:rsidRPr="00D17A65" w14:paraId="0C35D483" w14:textId="77777777" w:rsidTr="000F2620">
        <w:tc>
          <w:tcPr>
            <w:tcW w:w="0" w:type="auto"/>
            <w:hideMark/>
          </w:tcPr>
          <w:p w14:paraId="113EFC61"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digital access</w:t>
            </w:r>
          </w:p>
        </w:tc>
        <w:tc>
          <w:tcPr>
            <w:tcW w:w="0" w:type="auto"/>
            <w:hideMark/>
          </w:tcPr>
          <w:p w14:paraId="3864C0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Voice-based advisories, community ICT hubs</w:t>
            </w:r>
          </w:p>
        </w:tc>
      </w:tr>
      <w:tr w:rsidR="000F2620" w:rsidRPr="00D17A65" w14:paraId="72006B24" w14:textId="77777777" w:rsidTr="000F2620">
        <w:tc>
          <w:tcPr>
            <w:tcW w:w="0" w:type="auto"/>
            <w:hideMark/>
          </w:tcPr>
          <w:p w14:paraId="082655B3"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Lack of finance &amp; market access</w:t>
            </w:r>
          </w:p>
        </w:tc>
        <w:tc>
          <w:tcPr>
            <w:tcW w:w="0" w:type="auto"/>
            <w:hideMark/>
          </w:tcPr>
          <w:p w14:paraId="41B258A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Extension-linked SHGs, cooperatives, and enterprise support</w:t>
            </w:r>
          </w:p>
        </w:tc>
      </w:tr>
    </w:tbl>
    <w:p w14:paraId="151B27D0" w14:textId="77777777" w:rsidR="00C21218" w:rsidRPr="00D17A65" w:rsidRDefault="00C21218" w:rsidP="00C21218">
      <w:pPr>
        <w:spacing w:after="0"/>
        <w:jc w:val="both"/>
        <w:rPr>
          <w:rFonts w:ascii="Times New Roman" w:hAnsi="Times New Roman" w:cs="Times New Roman"/>
          <w:sz w:val="24"/>
          <w:szCs w:val="24"/>
        </w:rPr>
      </w:pPr>
    </w:p>
    <w:p w14:paraId="4DD3010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 Key Gender-Responsive Extension Approaches</w:t>
      </w:r>
    </w:p>
    <w:p w14:paraId="32DC02D3" w14:textId="77777777" w:rsidR="00C21218" w:rsidRPr="00D17A65" w:rsidRDefault="00C21218" w:rsidP="00C21218">
      <w:pPr>
        <w:spacing w:after="0"/>
        <w:jc w:val="both"/>
        <w:rPr>
          <w:rFonts w:ascii="Times New Roman" w:hAnsi="Times New Roman" w:cs="Times New Roman"/>
          <w:sz w:val="24"/>
          <w:szCs w:val="24"/>
        </w:rPr>
      </w:pPr>
    </w:p>
    <w:p w14:paraId="3D652DD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 Participatory and Inclusive Extension Models</w:t>
      </w:r>
    </w:p>
    <w:p w14:paraId="6D9CA576" w14:textId="77777777" w:rsidR="00C21218" w:rsidRPr="00D17A65" w:rsidRDefault="00C21218" w:rsidP="00C21218">
      <w:pPr>
        <w:spacing w:after="0"/>
        <w:jc w:val="both"/>
        <w:rPr>
          <w:rFonts w:ascii="Times New Roman" w:hAnsi="Times New Roman" w:cs="Times New Roman"/>
          <w:sz w:val="24"/>
          <w:szCs w:val="24"/>
        </w:rPr>
      </w:pPr>
    </w:p>
    <w:p w14:paraId="2D849295"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are fundamental to gender-responsive food technology extension. They actively involve women as knowledge holders, decision-makers, and co-creators rather than as passive recipients of technology</w:t>
      </w:r>
      <w:r w:rsidR="00547338" w:rsidRPr="00D17A65">
        <w:rPr>
          <w:rFonts w:ascii="Times New Roman" w:hAnsi="Times New Roman" w:cs="Times New Roman"/>
          <w:sz w:val="24"/>
          <w:szCs w:val="24"/>
        </w:rPr>
        <w:t xml:space="preserve"> (</w:t>
      </w:r>
      <w:r w:rsidR="00547338" w:rsidRPr="00D17A65">
        <w:rPr>
          <w:rFonts w:ascii="Times New Roman" w:hAnsi="Times New Roman" w:cs="Times New Roman"/>
          <w:color w:val="222222"/>
          <w:sz w:val="24"/>
          <w:szCs w:val="24"/>
          <w:shd w:val="clear" w:color="auto" w:fill="FFFFFF"/>
        </w:rPr>
        <w:t>Lamontagne-Godwin et al., 2019)</w:t>
      </w:r>
      <w:r w:rsidRPr="00D17A65">
        <w:rPr>
          <w:rFonts w:ascii="Times New Roman" w:hAnsi="Times New Roman" w:cs="Times New Roman"/>
          <w:sz w:val="24"/>
          <w:szCs w:val="24"/>
        </w:rPr>
        <w:t>. These approaches recognize that women’s experiences in food preparation, processing, and marketing offer valuable insights that can greatly improve the relevance and effectiveness of food technologies</w:t>
      </w:r>
      <w:r w:rsidR="002C61C0" w:rsidRPr="00D17A65">
        <w:rPr>
          <w:rFonts w:ascii="Times New Roman" w:hAnsi="Times New Roman" w:cs="Times New Roman"/>
          <w:sz w:val="24"/>
          <w:szCs w:val="24"/>
        </w:rPr>
        <w:t xml:space="preserve"> (</w:t>
      </w:r>
      <w:proofErr w:type="spellStart"/>
      <w:r w:rsidR="002C61C0" w:rsidRPr="00D17A65">
        <w:rPr>
          <w:rFonts w:ascii="Times New Roman" w:hAnsi="Times New Roman" w:cs="Times New Roman"/>
          <w:color w:val="222222"/>
          <w:sz w:val="24"/>
          <w:szCs w:val="24"/>
          <w:shd w:val="clear" w:color="auto" w:fill="FFFFFF"/>
        </w:rPr>
        <w:t>Asanwana</w:t>
      </w:r>
      <w:proofErr w:type="spellEnd"/>
      <w:r w:rsidR="002C61C0" w:rsidRPr="00D17A65">
        <w:rPr>
          <w:rFonts w:ascii="Times New Roman" w:hAnsi="Times New Roman" w:cs="Times New Roman"/>
          <w:color w:val="222222"/>
          <w:sz w:val="24"/>
          <w:szCs w:val="24"/>
          <w:shd w:val="clear" w:color="auto" w:fill="FFFFFF"/>
        </w:rPr>
        <w:t xml:space="preserve">, and </w:t>
      </w:r>
      <w:proofErr w:type="spellStart"/>
      <w:r w:rsidR="002C61C0" w:rsidRPr="00D17A65">
        <w:rPr>
          <w:rFonts w:ascii="Times New Roman" w:hAnsi="Times New Roman" w:cs="Times New Roman"/>
          <w:color w:val="222222"/>
          <w:sz w:val="24"/>
          <w:szCs w:val="24"/>
          <w:shd w:val="clear" w:color="auto" w:fill="FFFFFF"/>
        </w:rPr>
        <w:t>Uloh</w:t>
      </w:r>
      <w:proofErr w:type="spellEnd"/>
      <w:r w:rsidR="002E465F" w:rsidRPr="00D17A65">
        <w:rPr>
          <w:rFonts w:ascii="Times New Roman" w:hAnsi="Times New Roman" w:cs="Times New Roman"/>
          <w:color w:val="222222"/>
          <w:sz w:val="24"/>
          <w:szCs w:val="24"/>
          <w:shd w:val="clear" w:color="auto" w:fill="FFFFFF"/>
        </w:rPr>
        <w:t xml:space="preserve">, </w:t>
      </w:r>
      <w:r w:rsidR="002C61C0" w:rsidRPr="00D17A65">
        <w:rPr>
          <w:rFonts w:ascii="Times New Roman" w:hAnsi="Times New Roman" w:cs="Times New Roman"/>
          <w:color w:val="222222"/>
          <w:sz w:val="24"/>
          <w:szCs w:val="24"/>
          <w:shd w:val="clear" w:color="auto" w:fill="FFFFFF"/>
        </w:rPr>
        <w:t>2025)</w:t>
      </w:r>
      <w:r w:rsidRPr="00D17A65">
        <w:rPr>
          <w:rFonts w:ascii="Times New Roman" w:hAnsi="Times New Roman" w:cs="Times New Roman"/>
          <w:sz w:val="24"/>
          <w:szCs w:val="24"/>
        </w:rPr>
        <w:t>.</w:t>
      </w:r>
    </w:p>
    <w:p w14:paraId="51F83B90" w14:textId="77777777" w:rsidR="00547338" w:rsidRPr="00D17A65" w:rsidRDefault="00547338" w:rsidP="00C21218">
      <w:pPr>
        <w:spacing w:after="0"/>
        <w:jc w:val="both"/>
        <w:rPr>
          <w:rFonts w:ascii="Times New Roman" w:hAnsi="Times New Roman" w:cs="Times New Roman"/>
          <w:b/>
          <w:sz w:val="24"/>
          <w:szCs w:val="24"/>
        </w:rPr>
      </w:pPr>
    </w:p>
    <w:p w14:paraId="3B11F08F"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3.1.1 Participatory Learning and Action (PLA)</w:t>
      </w:r>
    </w:p>
    <w:p w14:paraId="3A467158" w14:textId="77777777" w:rsidR="00C21218" w:rsidRPr="00D17A65" w:rsidRDefault="00C21218" w:rsidP="00C21218">
      <w:pPr>
        <w:spacing w:after="0"/>
        <w:jc w:val="both"/>
        <w:rPr>
          <w:rFonts w:ascii="Times New Roman" w:hAnsi="Times New Roman" w:cs="Times New Roman"/>
          <w:sz w:val="24"/>
          <w:szCs w:val="24"/>
        </w:rPr>
      </w:pPr>
    </w:p>
    <w:p w14:paraId="3B771D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Learning and Action (PLA) approaches engage women directly in identifying needs, prioritizing interventions, testing technologies, and providing feedback. Using tools like participatory mapping, seasonal calendars, problem ranking, and focus group discussions, PLA allows extension systems to address gender-specific constraints regarding labor, ergonomics, time use, and quality standards in food processing</w:t>
      </w:r>
      <w:r w:rsidR="00CC5D01" w:rsidRPr="00D17A65">
        <w:rPr>
          <w:rFonts w:ascii="Times New Roman" w:hAnsi="Times New Roman" w:cs="Times New Roman"/>
          <w:sz w:val="24"/>
          <w:szCs w:val="24"/>
        </w:rPr>
        <w:t xml:space="preserve"> (</w:t>
      </w:r>
      <w:r w:rsidR="00CC5D01" w:rsidRPr="00D17A65">
        <w:rPr>
          <w:rFonts w:ascii="Times New Roman" w:hAnsi="Times New Roman" w:cs="Times New Roman"/>
          <w:color w:val="222222"/>
          <w:sz w:val="24"/>
          <w:szCs w:val="24"/>
          <w:shd w:val="clear" w:color="auto" w:fill="FFFFFF"/>
        </w:rPr>
        <w:t>de Brún,</w:t>
      </w:r>
      <w:r w:rsidR="00CC5D01" w:rsidRPr="00D17A65">
        <w:rPr>
          <w:rFonts w:ascii="Times New Roman" w:hAnsi="Times New Roman" w:cs="Times New Roman"/>
          <w:sz w:val="24"/>
          <w:szCs w:val="24"/>
        </w:rPr>
        <w:t xml:space="preserve"> et al., 2017). </w:t>
      </w:r>
      <w:r w:rsidRPr="00D17A65">
        <w:rPr>
          <w:rFonts w:ascii="Times New Roman" w:hAnsi="Times New Roman" w:cs="Times New Roman"/>
          <w:sz w:val="24"/>
          <w:szCs w:val="24"/>
        </w:rPr>
        <w:t xml:space="preserve"> In food technology, PLA has successfully adapted milling, drying, packaging, and storage technologies to fit women’s work patterns, reducing their workload and boosting efficiency. By incorporating women’s views in technology development, PLA improves the relevance, usability, and acceptance of food processing innovations</w:t>
      </w:r>
      <w:r w:rsidR="00514284" w:rsidRPr="00D17A65">
        <w:rPr>
          <w:rFonts w:ascii="Times New Roman" w:hAnsi="Times New Roman" w:cs="Times New Roman"/>
          <w:sz w:val="24"/>
          <w:szCs w:val="24"/>
        </w:rPr>
        <w:t xml:space="preserve"> (</w:t>
      </w:r>
      <w:r w:rsidR="00514284" w:rsidRPr="00D17A65">
        <w:rPr>
          <w:rFonts w:ascii="Times New Roman" w:hAnsi="Times New Roman" w:cs="Times New Roman"/>
          <w:color w:val="222222"/>
          <w:sz w:val="24"/>
          <w:szCs w:val="24"/>
          <w:shd w:val="clear" w:color="auto" w:fill="FFFFFF"/>
        </w:rPr>
        <w:t>Ibnouf, et al., 2015)</w:t>
      </w:r>
      <w:r w:rsidRPr="00D17A65">
        <w:rPr>
          <w:rFonts w:ascii="Times New Roman" w:hAnsi="Times New Roman" w:cs="Times New Roman"/>
          <w:sz w:val="24"/>
          <w:szCs w:val="24"/>
        </w:rPr>
        <w:t>.</w:t>
      </w:r>
    </w:p>
    <w:p w14:paraId="63A729E0" w14:textId="77777777" w:rsidR="00C21218" w:rsidRPr="00D17A65" w:rsidRDefault="00C21218" w:rsidP="00C21218">
      <w:pPr>
        <w:spacing w:after="0"/>
        <w:jc w:val="both"/>
        <w:rPr>
          <w:rFonts w:ascii="Times New Roman" w:hAnsi="Times New Roman" w:cs="Times New Roman"/>
          <w:sz w:val="24"/>
          <w:szCs w:val="24"/>
        </w:rPr>
      </w:pPr>
    </w:p>
    <w:p w14:paraId="1EFE711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3.1.2 Farmer/Producer Field Schools (FFS/PFS)</w:t>
      </w:r>
    </w:p>
    <w:p w14:paraId="224606E1" w14:textId="77777777" w:rsidR="00C21218" w:rsidRPr="00D17A65" w:rsidRDefault="00C21218" w:rsidP="00C21218">
      <w:pPr>
        <w:spacing w:after="0"/>
        <w:jc w:val="both"/>
        <w:rPr>
          <w:rFonts w:ascii="Times New Roman" w:hAnsi="Times New Roman" w:cs="Times New Roman"/>
          <w:sz w:val="24"/>
          <w:szCs w:val="24"/>
        </w:rPr>
      </w:pPr>
    </w:p>
    <w:p w14:paraId="7382B90E"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Farmer Field Schools (FFS) and Producer Field Schools (PFS), when designed with gender in mind, create effective platforms for experiential learning in food processing, safety, and quality management</w:t>
      </w:r>
      <w:r w:rsidR="00791E30" w:rsidRPr="00D17A65">
        <w:rPr>
          <w:rFonts w:ascii="Times New Roman" w:hAnsi="Times New Roman" w:cs="Times New Roman"/>
          <w:sz w:val="24"/>
          <w:szCs w:val="24"/>
        </w:rPr>
        <w:t xml:space="preserve"> (</w:t>
      </w:r>
      <w:proofErr w:type="spellStart"/>
      <w:r w:rsidR="00791E30" w:rsidRPr="00D17A65">
        <w:rPr>
          <w:rFonts w:ascii="Times New Roman" w:hAnsi="Times New Roman" w:cs="Times New Roman"/>
          <w:color w:val="222222"/>
          <w:sz w:val="24"/>
          <w:szCs w:val="24"/>
          <w:shd w:val="clear" w:color="auto" w:fill="FFFFFF"/>
        </w:rPr>
        <w:t>Hoeggel</w:t>
      </w:r>
      <w:proofErr w:type="spellEnd"/>
      <w:r w:rsidR="00791E30" w:rsidRPr="00D17A65">
        <w:rPr>
          <w:rFonts w:ascii="Times New Roman" w:hAnsi="Times New Roman" w:cs="Times New Roman"/>
          <w:color w:val="222222"/>
          <w:sz w:val="24"/>
          <w:szCs w:val="24"/>
          <w:shd w:val="clear" w:color="auto" w:fill="FFFFFF"/>
        </w:rPr>
        <w:t>,</w:t>
      </w:r>
      <w:r w:rsidR="000A27F6" w:rsidRPr="00D17A65">
        <w:rPr>
          <w:rFonts w:ascii="Times New Roman" w:hAnsi="Times New Roman" w:cs="Times New Roman"/>
          <w:color w:val="222222"/>
          <w:sz w:val="24"/>
          <w:szCs w:val="24"/>
          <w:shd w:val="clear" w:color="auto" w:fill="FFFFFF"/>
        </w:rPr>
        <w:t xml:space="preserve"> </w:t>
      </w:r>
      <w:r w:rsidR="00791E30" w:rsidRPr="00D17A65">
        <w:rPr>
          <w:rFonts w:ascii="Times New Roman" w:hAnsi="Times New Roman" w:cs="Times New Roman"/>
          <w:color w:val="222222"/>
          <w:sz w:val="24"/>
          <w:szCs w:val="24"/>
          <w:shd w:val="clear" w:color="auto" w:fill="FFFFFF"/>
        </w:rPr>
        <w:t xml:space="preserve">and </w:t>
      </w:r>
      <w:proofErr w:type="spellStart"/>
      <w:r w:rsidR="00791E30" w:rsidRPr="00D17A65">
        <w:rPr>
          <w:rFonts w:ascii="Times New Roman" w:hAnsi="Times New Roman" w:cs="Times New Roman"/>
          <w:color w:val="222222"/>
          <w:sz w:val="24"/>
          <w:szCs w:val="24"/>
          <w:shd w:val="clear" w:color="auto" w:fill="FFFFFF"/>
        </w:rPr>
        <w:t>Mbeyale</w:t>
      </w:r>
      <w:proofErr w:type="spellEnd"/>
      <w:r w:rsidR="00791E30" w:rsidRPr="00D17A65">
        <w:rPr>
          <w:rFonts w:ascii="Times New Roman" w:hAnsi="Times New Roman" w:cs="Times New Roman"/>
          <w:color w:val="222222"/>
          <w:sz w:val="24"/>
          <w:szCs w:val="24"/>
          <w:shd w:val="clear" w:color="auto" w:fill="FFFFFF"/>
        </w:rPr>
        <w:t xml:space="preserve"> 2014)</w:t>
      </w:r>
      <w:r w:rsidRPr="00D17A65">
        <w:rPr>
          <w:rFonts w:ascii="Times New Roman" w:hAnsi="Times New Roman" w:cs="Times New Roman"/>
          <w:sz w:val="24"/>
          <w:szCs w:val="24"/>
        </w:rPr>
        <w:t>. Gender-segregated FFS/PFS provide safe spaces for women to build confidence, ask questions, and acquire technical skills without societal pressures. Alternatively, mixed-gender models with trained facilitators can encourage shared learning and challenge gender stereotypes within families and communities. In food technology settings, FFS/PFS have been used to strengthen women's skills in hygienic processing, following standard operating procedures, packaging, labeling, and complying with food safety regulations</w:t>
      </w:r>
      <w:r w:rsidR="000A27F6" w:rsidRPr="00D17A65">
        <w:rPr>
          <w:rFonts w:ascii="Times New Roman" w:hAnsi="Times New Roman" w:cs="Times New Roman"/>
          <w:sz w:val="24"/>
          <w:szCs w:val="24"/>
        </w:rPr>
        <w:t xml:space="preserve"> (</w:t>
      </w:r>
      <w:r w:rsidR="000A27F6" w:rsidRPr="00D17A65">
        <w:rPr>
          <w:rFonts w:ascii="Times New Roman" w:hAnsi="Times New Roman" w:cs="Times New Roman"/>
          <w:color w:val="222222"/>
          <w:sz w:val="24"/>
          <w:szCs w:val="24"/>
          <w:shd w:val="clear" w:color="auto" w:fill="FFFFFF"/>
        </w:rPr>
        <w:t>Barndt,</w:t>
      </w:r>
      <w:r w:rsidR="000A27F6" w:rsidRPr="00D17A65">
        <w:rPr>
          <w:rFonts w:ascii="Times New Roman" w:hAnsi="Times New Roman" w:cs="Times New Roman"/>
          <w:sz w:val="24"/>
          <w:szCs w:val="24"/>
        </w:rPr>
        <w:t xml:space="preserve"> 2004).</w:t>
      </w:r>
    </w:p>
    <w:p w14:paraId="79024DB0" w14:textId="77777777" w:rsidR="000A27F6" w:rsidRPr="00D17A65" w:rsidRDefault="000A27F6" w:rsidP="00C21218">
      <w:pPr>
        <w:spacing w:after="0"/>
        <w:jc w:val="both"/>
        <w:rPr>
          <w:rFonts w:ascii="Times New Roman" w:hAnsi="Times New Roman" w:cs="Times New Roman"/>
          <w:sz w:val="24"/>
          <w:szCs w:val="24"/>
        </w:rPr>
      </w:pPr>
    </w:p>
    <w:p w14:paraId="686B3FA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3.1.3 Inclusive Facilitation and Institutional Design</w:t>
      </w:r>
    </w:p>
    <w:p w14:paraId="757637CB" w14:textId="77777777" w:rsidR="00C21218" w:rsidRPr="00D17A65" w:rsidRDefault="00C21218" w:rsidP="00C21218">
      <w:pPr>
        <w:spacing w:after="0"/>
        <w:jc w:val="both"/>
        <w:rPr>
          <w:rFonts w:ascii="Times New Roman" w:hAnsi="Times New Roman" w:cs="Times New Roman"/>
          <w:sz w:val="24"/>
          <w:szCs w:val="24"/>
        </w:rPr>
      </w:pPr>
    </w:p>
    <w:p w14:paraId="53475B2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The success of participatory models largely hinges on facilitation strategies and institutional sensitivity. Using female facilitators, flexible training schedules, local venues, and native languages boosts women's participation</w:t>
      </w:r>
      <w:r w:rsidR="000A27F6" w:rsidRPr="00D17A65">
        <w:rPr>
          <w:rFonts w:ascii="Times New Roman" w:hAnsi="Times New Roman" w:cs="Times New Roman"/>
          <w:sz w:val="24"/>
          <w:szCs w:val="24"/>
        </w:rPr>
        <w:t xml:space="preserve"> (</w:t>
      </w:r>
      <w:r w:rsidR="000A27F6" w:rsidRPr="00D17A65">
        <w:rPr>
          <w:rFonts w:ascii="Times New Roman" w:hAnsi="Times New Roman" w:cs="Times New Roman"/>
          <w:color w:val="222222"/>
          <w:sz w:val="24"/>
          <w:szCs w:val="24"/>
          <w:shd w:val="clear" w:color="auto" w:fill="FFFFFF"/>
        </w:rPr>
        <w:t>Jones, et al., 2012)</w:t>
      </w:r>
      <w:r w:rsidRPr="00D17A65">
        <w:rPr>
          <w:rFonts w:ascii="Times New Roman" w:hAnsi="Times New Roman" w:cs="Times New Roman"/>
          <w:sz w:val="24"/>
          <w:szCs w:val="24"/>
        </w:rPr>
        <w:t>. Involving women’s self-help groups, producer collectives, and cooperatives establishes participatory learning and creates peer support systems for technology adoption and business development. This inclusive design ensures participatory platforms go beyond consultation to empower women genuinely</w:t>
      </w:r>
      <w:r w:rsidR="00AA6398" w:rsidRPr="00D17A65">
        <w:rPr>
          <w:rFonts w:ascii="Times New Roman" w:hAnsi="Times New Roman" w:cs="Times New Roman"/>
          <w:sz w:val="24"/>
          <w:szCs w:val="24"/>
        </w:rPr>
        <w:t xml:space="preserve"> (</w:t>
      </w:r>
      <w:r w:rsidR="00AA6398" w:rsidRPr="00D17A65">
        <w:rPr>
          <w:rFonts w:ascii="Times New Roman" w:hAnsi="Times New Roman" w:cs="Times New Roman"/>
          <w:color w:val="222222"/>
          <w:sz w:val="24"/>
          <w:szCs w:val="24"/>
          <w:shd w:val="clear" w:color="auto" w:fill="FFFFFF"/>
        </w:rPr>
        <w:t>Arora, and Chawla 2023)</w:t>
      </w:r>
      <w:r w:rsidRPr="00D17A65">
        <w:rPr>
          <w:rFonts w:ascii="Times New Roman" w:hAnsi="Times New Roman" w:cs="Times New Roman"/>
          <w:sz w:val="24"/>
          <w:szCs w:val="24"/>
        </w:rPr>
        <w:t>.</w:t>
      </w:r>
    </w:p>
    <w:p w14:paraId="7381FE6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3.1.4 Outcomes and Impact</w:t>
      </w:r>
    </w:p>
    <w:p w14:paraId="5D099793" w14:textId="77777777" w:rsidR="00C21218" w:rsidRPr="00D17A65" w:rsidRDefault="00C21218" w:rsidP="00C21218">
      <w:pPr>
        <w:spacing w:after="0"/>
        <w:jc w:val="both"/>
        <w:rPr>
          <w:rFonts w:ascii="Times New Roman" w:hAnsi="Times New Roman" w:cs="Times New Roman"/>
          <w:sz w:val="24"/>
          <w:szCs w:val="24"/>
        </w:rPr>
      </w:pPr>
    </w:p>
    <w:p w14:paraId="5408BA71" w14:textId="77777777" w:rsidR="00EB0D49"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significantly reduce knowledge gaps by democratizing access to information and decision-making processes. They enhance women’s technical abilities, self-confidence, and negotiation power within food value chains</w:t>
      </w:r>
      <w:r w:rsidR="00747D9A" w:rsidRPr="00D17A65">
        <w:rPr>
          <w:rFonts w:ascii="Times New Roman" w:hAnsi="Times New Roman" w:cs="Times New Roman"/>
          <w:sz w:val="24"/>
          <w:szCs w:val="24"/>
        </w:rPr>
        <w:t xml:space="preserve"> (</w:t>
      </w:r>
      <w:r w:rsidR="00747D9A" w:rsidRPr="00D17A65">
        <w:rPr>
          <w:rFonts w:ascii="Times New Roman" w:hAnsi="Times New Roman" w:cs="Times New Roman"/>
          <w:color w:val="222222"/>
          <w:sz w:val="24"/>
          <w:szCs w:val="24"/>
          <w:shd w:val="clear" w:color="auto" w:fill="FFFFFF"/>
        </w:rPr>
        <w:t>Prajapati,</w:t>
      </w:r>
      <w:r w:rsidR="00747D9A" w:rsidRPr="00D17A65">
        <w:rPr>
          <w:rFonts w:ascii="Times New Roman" w:hAnsi="Times New Roman" w:cs="Times New Roman"/>
          <w:sz w:val="24"/>
          <w:szCs w:val="24"/>
        </w:rPr>
        <w:t xml:space="preserve"> et al., 2023)</w:t>
      </w:r>
      <w:r w:rsidRPr="00D17A65">
        <w:rPr>
          <w:rFonts w:ascii="Times New Roman" w:hAnsi="Times New Roman" w:cs="Times New Roman"/>
          <w:sz w:val="24"/>
          <w:szCs w:val="24"/>
        </w:rPr>
        <w:t xml:space="preserve"> More importantly, these approaches empower women to adopt, adapt, and co-create food technology solutions that are socially acceptable, economically viable, and environmentally sustainable. Evidence shows that technologies developed through participatory methods tend to have higher adoption rates, sustainable use, and greater impacts on food safety, quality, and income generation</w:t>
      </w:r>
      <w:r w:rsidR="00443F4F" w:rsidRPr="00D17A65">
        <w:rPr>
          <w:rFonts w:ascii="Times New Roman" w:hAnsi="Times New Roman" w:cs="Times New Roman"/>
          <w:sz w:val="24"/>
          <w:szCs w:val="24"/>
        </w:rPr>
        <w:t xml:space="preserve"> (</w:t>
      </w:r>
      <w:r w:rsidR="00443F4F" w:rsidRPr="00D17A65">
        <w:rPr>
          <w:rFonts w:ascii="Times New Roman" w:hAnsi="Times New Roman" w:cs="Times New Roman"/>
          <w:color w:val="222222"/>
          <w:sz w:val="24"/>
          <w:szCs w:val="24"/>
          <w:shd w:val="clear" w:color="auto" w:fill="FFFFFF"/>
        </w:rPr>
        <w:t>Bell, and Reed,</w:t>
      </w:r>
      <w:r w:rsidR="00443F4F" w:rsidRPr="00D17A65">
        <w:rPr>
          <w:rFonts w:ascii="Times New Roman" w:hAnsi="Times New Roman" w:cs="Times New Roman"/>
          <w:sz w:val="24"/>
          <w:szCs w:val="24"/>
        </w:rPr>
        <w:t xml:space="preserve"> 2022)</w:t>
      </w:r>
      <w:r w:rsidR="00EB0D49" w:rsidRPr="00D17A65">
        <w:rPr>
          <w:rFonts w:ascii="Times New Roman" w:hAnsi="Times New Roman" w:cs="Times New Roman"/>
          <w:sz w:val="24"/>
          <w:szCs w:val="24"/>
        </w:rPr>
        <w:t>.</w:t>
      </w:r>
    </w:p>
    <w:p w14:paraId="6DE56B4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 Gender-Sensitive Training and Capacity Building</w:t>
      </w:r>
    </w:p>
    <w:p w14:paraId="1552322E" w14:textId="77777777" w:rsidR="00C21218" w:rsidRPr="00D17A65" w:rsidRDefault="00C21218" w:rsidP="00C21218">
      <w:pPr>
        <w:spacing w:after="0"/>
        <w:jc w:val="both"/>
        <w:rPr>
          <w:rFonts w:ascii="Times New Roman" w:hAnsi="Times New Roman" w:cs="Times New Roman"/>
          <w:sz w:val="24"/>
          <w:szCs w:val="24"/>
        </w:rPr>
      </w:pPr>
    </w:p>
    <w:p w14:paraId="0D5BD406" w14:textId="77777777" w:rsidR="00BB4FDA"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Gender-sensitive training and capacity-building initiatives are key to enabling women’s effective participation in food technology value chains</w:t>
      </w:r>
      <w:r w:rsidR="00E80E48" w:rsidRPr="00D17A65">
        <w:rPr>
          <w:rFonts w:ascii="Times New Roman" w:hAnsi="Times New Roman" w:cs="Times New Roman"/>
          <w:sz w:val="24"/>
          <w:szCs w:val="24"/>
        </w:rPr>
        <w:t xml:space="preserve"> (</w:t>
      </w:r>
      <w:r w:rsidR="00E80E48" w:rsidRPr="00D17A65">
        <w:rPr>
          <w:rFonts w:ascii="Times New Roman" w:hAnsi="Times New Roman" w:cs="Times New Roman"/>
          <w:color w:val="222222"/>
          <w:sz w:val="24"/>
          <w:szCs w:val="24"/>
          <w:shd w:val="clear" w:color="auto" w:fill="FFFFFF"/>
        </w:rPr>
        <w:t>Percy,</w:t>
      </w:r>
      <w:r w:rsidR="00E80E48" w:rsidRPr="00D17A65">
        <w:rPr>
          <w:rFonts w:ascii="Times New Roman" w:hAnsi="Times New Roman" w:cs="Times New Roman"/>
          <w:sz w:val="24"/>
          <w:szCs w:val="24"/>
        </w:rPr>
        <w:t xml:space="preserve"> 2000).</w:t>
      </w:r>
      <w:r w:rsidRPr="00D17A65">
        <w:rPr>
          <w:rFonts w:ascii="Times New Roman" w:hAnsi="Times New Roman" w:cs="Times New Roman"/>
          <w:sz w:val="24"/>
          <w:szCs w:val="24"/>
        </w:rPr>
        <w:t xml:space="preserve"> Traditional training programs often neglect women due to mismatches between training design and women’s literacy levels, cultural contexts, and time availability</w:t>
      </w:r>
      <w:r w:rsidR="008D7506" w:rsidRPr="00D17A65">
        <w:rPr>
          <w:rFonts w:ascii="Times New Roman" w:hAnsi="Times New Roman" w:cs="Times New Roman"/>
          <w:sz w:val="24"/>
          <w:szCs w:val="24"/>
        </w:rPr>
        <w:t xml:space="preserve"> (</w:t>
      </w:r>
      <w:proofErr w:type="spellStart"/>
      <w:r w:rsidR="008D7506" w:rsidRPr="00D17A65">
        <w:rPr>
          <w:rFonts w:ascii="Times New Roman" w:hAnsi="Times New Roman" w:cs="Times New Roman"/>
          <w:color w:val="222222"/>
          <w:sz w:val="24"/>
          <w:szCs w:val="24"/>
          <w:shd w:val="clear" w:color="auto" w:fill="FFFFFF"/>
        </w:rPr>
        <w:t>Mulema</w:t>
      </w:r>
      <w:proofErr w:type="spellEnd"/>
      <w:r w:rsidR="008D7506" w:rsidRPr="00D17A65">
        <w:rPr>
          <w:rFonts w:ascii="Times New Roman" w:hAnsi="Times New Roman" w:cs="Times New Roman"/>
          <w:color w:val="222222"/>
          <w:sz w:val="24"/>
          <w:szCs w:val="24"/>
          <w:shd w:val="clear" w:color="auto" w:fill="FFFFFF"/>
        </w:rPr>
        <w:t>, et al., 2021)</w:t>
      </w:r>
      <w:r w:rsidRPr="00D17A65">
        <w:rPr>
          <w:rFonts w:ascii="Times New Roman" w:hAnsi="Times New Roman" w:cs="Times New Roman"/>
          <w:sz w:val="24"/>
          <w:szCs w:val="24"/>
        </w:rPr>
        <w:t>. Gender-responsive extension addresses these gaps by customizing training content, methods, and delivery to fit women’s specific needs and limitations</w:t>
      </w:r>
      <w:r w:rsidR="004F269E" w:rsidRPr="00D17A65">
        <w:rPr>
          <w:rFonts w:ascii="Times New Roman" w:hAnsi="Times New Roman" w:cs="Times New Roman"/>
          <w:sz w:val="24"/>
          <w:szCs w:val="24"/>
        </w:rPr>
        <w:t xml:space="preserve"> (</w:t>
      </w:r>
      <w:proofErr w:type="spellStart"/>
      <w:r w:rsidR="004F269E" w:rsidRPr="00D17A65">
        <w:rPr>
          <w:rFonts w:ascii="Times New Roman" w:hAnsi="Times New Roman" w:cs="Times New Roman"/>
          <w:color w:val="222222"/>
          <w:sz w:val="24"/>
          <w:szCs w:val="24"/>
          <w:shd w:val="clear" w:color="auto" w:fill="FFFFFF"/>
        </w:rPr>
        <w:t>Lumadi</w:t>
      </w:r>
      <w:proofErr w:type="spellEnd"/>
      <w:r w:rsidR="004F269E" w:rsidRPr="00D17A65">
        <w:rPr>
          <w:rFonts w:ascii="Times New Roman" w:hAnsi="Times New Roman" w:cs="Times New Roman"/>
          <w:color w:val="222222"/>
          <w:sz w:val="24"/>
          <w:szCs w:val="24"/>
          <w:shd w:val="clear" w:color="auto" w:fill="FFFFFF"/>
        </w:rPr>
        <w:t>,</w:t>
      </w:r>
      <w:r w:rsidR="004F269E" w:rsidRPr="00D17A65">
        <w:rPr>
          <w:rFonts w:ascii="Times New Roman" w:hAnsi="Times New Roman" w:cs="Times New Roman"/>
          <w:sz w:val="24"/>
          <w:szCs w:val="24"/>
        </w:rPr>
        <w:t xml:space="preserve"> and </w:t>
      </w:r>
      <w:proofErr w:type="spellStart"/>
      <w:r w:rsidR="004F269E" w:rsidRPr="00D17A65">
        <w:rPr>
          <w:rFonts w:ascii="Times New Roman" w:hAnsi="Times New Roman" w:cs="Times New Roman"/>
          <w:sz w:val="24"/>
          <w:szCs w:val="24"/>
        </w:rPr>
        <w:t>Shongwe</w:t>
      </w:r>
      <w:proofErr w:type="spellEnd"/>
      <w:r w:rsidR="004F269E" w:rsidRPr="00D17A65">
        <w:rPr>
          <w:rFonts w:ascii="Times New Roman" w:hAnsi="Times New Roman" w:cs="Times New Roman"/>
          <w:sz w:val="24"/>
          <w:szCs w:val="24"/>
        </w:rPr>
        <w:t xml:space="preserve">, 2010). </w:t>
      </w:r>
    </w:p>
    <w:p w14:paraId="16E19E55" w14:textId="739AC55B" w:rsidR="00BB4FDA" w:rsidRPr="00D17A65" w:rsidRDefault="00BB4FDA" w:rsidP="00BB4FDA">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proofErr w:type="gramStart"/>
      <w:r w:rsidR="00DE162B">
        <w:rPr>
          <w:rFonts w:ascii="Times New Roman" w:eastAsia="Times New Roman" w:hAnsi="Times New Roman" w:cs="Times New Roman"/>
          <w:b/>
          <w:bCs/>
          <w:sz w:val="24"/>
          <w:szCs w:val="24"/>
        </w:rPr>
        <w:t>3</w:t>
      </w:r>
      <w:r w:rsidRPr="00D17A65">
        <w:rPr>
          <w:rFonts w:ascii="Times New Roman" w:eastAsia="Times New Roman" w:hAnsi="Times New Roman" w:cs="Times New Roman"/>
          <w:b/>
          <w:bCs/>
          <w:sz w:val="24"/>
          <w:szCs w:val="24"/>
        </w:rPr>
        <w:t>:Comparative</w:t>
      </w:r>
      <w:proofErr w:type="gramEnd"/>
      <w:r w:rsidRPr="00D17A65">
        <w:rPr>
          <w:rFonts w:ascii="Times New Roman" w:eastAsia="Times New Roman" w:hAnsi="Times New Roman" w:cs="Times New Roman"/>
          <w:b/>
          <w:bCs/>
          <w:sz w:val="24"/>
          <w:szCs w:val="24"/>
        </w:rPr>
        <w:t xml:space="preserve"> Analysis of Gender-Sensitive Training Approaches and Outcomes in Food Technology</w:t>
      </w:r>
    </w:p>
    <w:tbl>
      <w:tblPr>
        <w:tblStyle w:val="TableGrid"/>
        <w:tblW w:w="0" w:type="auto"/>
        <w:tblLook w:val="04A0" w:firstRow="1" w:lastRow="0" w:firstColumn="1" w:lastColumn="0" w:noHBand="0" w:noVBand="1"/>
      </w:tblPr>
      <w:tblGrid>
        <w:gridCol w:w="2090"/>
        <w:gridCol w:w="2056"/>
        <w:gridCol w:w="1646"/>
        <w:gridCol w:w="1605"/>
        <w:gridCol w:w="1953"/>
      </w:tblGrid>
      <w:tr w:rsidR="00BB4FDA" w:rsidRPr="00D17A65" w14:paraId="53F6AF0B" w14:textId="77777777" w:rsidTr="00BB4FDA">
        <w:tc>
          <w:tcPr>
            <w:tcW w:w="0" w:type="auto"/>
            <w:hideMark/>
          </w:tcPr>
          <w:p w14:paraId="6883E689"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lastRenderedPageBreak/>
              <w:t>Training Approach</w:t>
            </w:r>
          </w:p>
        </w:tc>
        <w:tc>
          <w:tcPr>
            <w:tcW w:w="0" w:type="auto"/>
            <w:hideMark/>
          </w:tcPr>
          <w:p w14:paraId="273016CC"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Features</w:t>
            </w:r>
          </w:p>
        </w:tc>
        <w:tc>
          <w:tcPr>
            <w:tcW w:w="0" w:type="auto"/>
            <w:hideMark/>
          </w:tcPr>
          <w:p w14:paraId="7AE761B4"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199C2F2D"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Food Technology Focus Areas</w:t>
            </w:r>
          </w:p>
        </w:tc>
        <w:tc>
          <w:tcPr>
            <w:tcW w:w="0" w:type="auto"/>
            <w:hideMark/>
          </w:tcPr>
          <w:p w14:paraId="17CAA3B2"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BB4FDA" w:rsidRPr="00D17A65" w14:paraId="4E4A3BD9" w14:textId="77777777" w:rsidTr="00BB4FDA">
        <w:tc>
          <w:tcPr>
            <w:tcW w:w="0" w:type="auto"/>
            <w:hideMark/>
          </w:tcPr>
          <w:p w14:paraId="39A6087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Modular, community-based training</w:t>
            </w:r>
          </w:p>
        </w:tc>
        <w:tc>
          <w:tcPr>
            <w:tcW w:w="0" w:type="auto"/>
            <w:hideMark/>
          </w:tcPr>
          <w:p w14:paraId="31A0BF4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sessions near homes; flexible timings; local venues</w:t>
            </w:r>
          </w:p>
        </w:tc>
        <w:tc>
          <w:tcPr>
            <w:tcW w:w="0" w:type="auto"/>
            <w:hideMark/>
          </w:tcPr>
          <w:p w14:paraId="7ED63FF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mobility constraints</w:t>
            </w:r>
          </w:p>
        </w:tc>
        <w:tc>
          <w:tcPr>
            <w:tcW w:w="0" w:type="auto"/>
            <w:hideMark/>
          </w:tcPr>
          <w:p w14:paraId="7C618DC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Basic processing, hygiene, preservation</w:t>
            </w:r>
          </w:p>
        </w:tc>
        <w:tc>
          <w:tcPr>
            <w:tcW w:w="0" w:type="auto"/>
            <w:hideMark/>
          </w:tcPr>
          <w:p w14:paraId="4589B0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rates; improved skill retention</w:t>
            </w:r>
          </w:p>
        </w:tc>
      </w:tr>
      <w:tr w:rsidR="00BB4FDA" w:rsidRPr="00D17A65" w14:paraId="2543D280" w14:textId="77777777" w:rsidTr="00BB4FDA">
        <w:tc>
          <w:tcPr>
            <w:tcW w:w="0" w:type="auto"/>
            <w:hideMark/>
          </w:tcPr>
          <w:p w14:paraId="10E6DD7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and hands-on learning methods</w:t>
            </w:r>
          </w:p>
        </w:tc>
        <w:tc>
          <w:tcPr>
            <w:tcW w:w="0" w:type="auto"/>
            <w:hideMark/>
          </w:tcPr>
          <w:p w14:paraId="03CB95D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Demonstrations, pictorial aids, learning-by-doing</w:t>
            </w:r>
          </w:p>
        </w:tc>
        <w:tc>
          <w:tcPr>
            <w:tcW w:w="0" w:type="auto"/>
            <w:hideMark/>
          </w:tcPr>
          <w:p w14:paraId="34414BD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levels</w:t>
            </w:r>
          </w:p>
        </w:tc>
        <w:tc>
          <w:tcPr>
            <w:tcW w:w="0" w:type="auto"/>
            <w:hideMark/>
          </w:tcPr>
          <w:p w14:paraId="4807BAB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machinery handling</w:t>
            </w:r>
          </w:p>
        </w:tc>
        <w:tc>
          <w:tcPr>
            <w:tcW w:w="0" w:type="auto"/>
            <w:hideMark/>
          </w:tcPr>
          <w:p w14:paraId="6B93EEF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and safe technology use</w:t>
            </w:r>
          </w:p>
        </w:tc>
      </w:tr>
      <w:tr w:rsidR="00BB4FDA" w:rsidRPr="00D17A65" w14:paraId="01DC9A24" w14:textId="77777777" w:rsidTr="00BB4FDA">
        <w:tc>
          <w:tcPr>
            <w:tcW w:w="0" w:type="auto"/>
            <w:hideMark/>
          </w:tcPr>
          <w:p w14:paraId="35EF3E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Gender-segregated training groups</w:t>
            </w:r>
          </w:p>
        </w:tc>
        <w:tc>
          <w:tcPr>
            <w:tcW w:w="0" w:type="auto"/>
            <w:hideMark/>
          </w:tcPr>
          <w:p w14:paraId="3645872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Safe learning spaces; peer support</w:t>
            </w:r>
          </w:p>
        </w:tc>
        <w:tc>
          <w:tcPr>
            <w:tcW w:w="0" w:type="auto"/>
            <w:hideMark/>
          </w:tcPr>
          <w:p w14:paraId="245F0ED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norms, confidence gaps</w:t>
            </w:r>
          </w:p>
        </w:tc>
        <w:tc>
          <w:tcPr>
            <w:tcW w:w="0" w:type="auto"/>
            <w:hideMark/>
          </w:tcPr>
          <w:p w14:paraId="6DC8BA2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Food safety, quality control</w:t>
            </w:r>
          </w:p>
        </w:tc>
        <w:tc>
          <w:tcPr>
            <w:tcW w:w="0" w:type="auto"/>
            <w:hideMark/>
          </w:tcPr>
          <w:p w14:paraId="489B1E0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active participation</w:t>
            </w:r>
          </w:p>
        </w:tc>
      </w:tr>
      <w:tr w:rsidR="00BB4FDA" w:rsidRPr="00D17A65" w14:paraId="6E990278" w14:textId="77777777" w:rsidTr="00BB4FDA">
        <w:tc>
          <w:tcPr>
            <w:tcW w:w="0" w:type="auto"/>
            <w:hideMark/>
          </w:tcPr>
          <w:p w14:paraId="0711FA2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Gender-mixed training with inclusive facilitation</w:t>
            </w:r>
          </w:p>
        </w:tc>
        <w:tc>
          <w:tcPr>
            <w:tcW w:w="0" w:type="auto"/>
            <w:hideMark/>
          </w:tcPr>
          <w:p w14:paraId="57B6379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Joint learning with gender-sensitive facilitation</w:t>
            </w:r>
          </w:p>
        </w:tc>
        <w:tc>
          <w:tcPr>
            <w:tcW w:w="0" w:type="auto"/>
            <w:hideMark/>
          </w:tcPr>
          <w:p w14:paraId="047F2D4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Household-level decision barriers</w:t>
            </w:r>
          </w:p>
        </w:tc>
        <w:tc>
          <w:tcPr>
            <w:tcW w:w="0" w:type="auto"/>
            <w:hideMark/>
          </w:tcPr>
          <w:p w14:paraId="1DF9E04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Packaging, quality standards, compliance</w:t>
            </w:r>
          </w:p>
        </w:tc>
        <w:tc>
          <w:tcPr>
            <w:tcW w:w="0" w:type="auto"/>
            <w:hideMark/>
          </w:tcPr>
          <w:p w14:paraId="161CEC1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decision-making; household-level adoption</w:t>
            </w:r>
          </w:p>
        </w:tc>
      </w:tr>
      <w:tr w:rsidR="00BB4FDA" w:rsidRPr="00D17A65" w14:paraId="614BC12E" w14:textId="77777777" w:rsidTr="00BB4FDA">
        <w:tc>
          <w:tcPr>
            <w:tcW w:w="0" w:type="auto"/>
            <w:hideMark/>
          </w:tcPr>
          <w:p w14:paraId="7F009B9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Technical food safety and quality training</w:t>
            </w:r>
          </w:p>
        </w:tc>
        <w:tc>
          <w:tcPr>
            <w:tcW w:w="0" w:type="auto"/>
            <w:hideMark/>
          </w:tcPr>
          <w:p w14:paraId="555D121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hygiene, SOPs, certification awareness</w:t>
            </w:r>
          </w:p>
        </w:tc>
        <w:tc>
          <w:tcPr>
            <w:tcW w:w="0" w:type="auto"/>
            <w:hideMark/>
          </w:tcPr>
          <w:p w14:paraId="6E8D004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formal markets</w:t>
            </w:r>
          </w:p>
        </w:tc>
        <w:tc>
          <w:tcPr>
            <w:tcW w:w="0" w:type="auto"/>
            <w:hideMark/>
          </w:tcPr>
          <w:p w14:paraId="324FCB6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Quality assurance, food safety</w:t>
            </w:r>
          </w:p>
        </w:tc>
        <w:tc>
          <w:tcPr>
            <w:tcW w:w="0" w:type="auto"/>
            <w:hideMark/>
          </w:tcPr>
          <w:p w14:paraId="3A3A153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product quality; market acceptance</w:t>
            </w:r>
          </w:p>
        </w:tc>
      </w:tr>
      <w:tr w:rsidR="00BB4FDA" w:rsidRPr="00D17A65" w14:paraId="60B0F645" w14:textId="77777777" w:rsidTr="00BB4FDA">
        <w:tc>
          <w:tcPr>
            <w:tcW w:w="0" w:type="auto"/>
            <w:hideMark/>
          </w:tcPr>
          <w:p w14:paraId="323EED6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Integrated technical + entrepreneurship training</w:t>
            </w:r>
          </w:p>
        </w:tc>
        <w:tc>
          <w:tcPr>
            <w:tcW w:w="0" w:type="auto"/>
            <w:hideMark/>
          </w:tcPr>
          <w:p w14:paraId="3325A31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skills + business management</w:t>
            </w:r>
          </w:p>
        </w:tc>
        <w:tc>
          <w:tcPr>
            <w:tcW w:w="0" w:type="auto"/>
            <w:hideMark/>
          </w:tcPr>
          <w:p w14:paraId="45EF798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sustainability constraints</w:t>
            </w:r>
          </w:p>
        </w:tc>
        <w:tc>
          <w:tcPr>
            <w:tcW w:w="0" w:type="auto"/>
            <w:hideMark/>
          </w:tcPr>
          <w:p w14:paraId="0F173D9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branding, pricing</w:t>
            </w:r>
          </w:p>
        </w:tc>
        <w:tc>
          <w:tcPr>
            <w:tcW w:w="0" w:type="auto"/>
            <w:hideMark/>
          </w:tcPr>
          <w:p w14:paraId="09A381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adoption rates; increased profitability</w:t>
            </w:r>
          </w:p>
        </w:tc>
      </w:tr>
      <w:tr w:rsidR="00BB4FDA" w:rsidRPr="00D17A65" w14:paraId="353567F1" w14:textId="77777777" w:rsidTr="00BB4FDA">
        <w:tc>
          <w:tcPr>
            <w:tcW w:w="0" w:type="auto"/>
            <w:hideMark/>
          </w:tcPr>
          <w:p w14:paraId="7FE4ADC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Group-based training via SHGs/FPOs</w:t>
            </w:r>
          </w:p>
        </w:tc>
        <w:tc>
          <w:tcPr>
            <w:tcW w:w="0" w:type="auto"/>
            <w:hideMark/>
          </w:tcPr>
          <w:p w14:paraId="02EB76AD"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peer mentoring</w:t>
            </w:r>
          </w:p>
        </w:tc>
        <w:tc>
          <w:tcPr>
            <w:tcW w:w="0" w:type="auto"/>
            <w:hideMark/>
          </w:tcPr>
          <w:p w14:paraId="1E34742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institutional networks</w:t>
            </w:r>
          </w:p>
        </w:tc>
        <w:tc>
          <w:tcPr>
            <w:tcW w:w="0" w:type="auto"/>
            <w:hideMark/>
          </w:tcPr>
          <w:p w14:paraId="5D58196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aggregation, marketing</w:t>
            </w:r>
          </w:p>
        </w:tc>
        <w:tc>
          <w:tcPr>
            <w:tcW w:w="0" w:type="auto"/>
            <w:hideMark/>
          </w:tcPr>
          <w:p w14:paraId="17D3D8E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enterprises and bargaining power</w:t>
            </w:r>
          </w:p>
        </w:tc>
      </w:tr>
      <w:tr w:rsidR="00BB4FDA" w:rsidRPr="00D17A65" w14:paraId="369A0A17" w14:textId="77777777" w:rsidTr="00BB4FDA">
        <w:tc>
          <w:tcPr>
            <w:tcW w:w="0" w:type="auto"/>
            <w:hideMark/>
          </w:tcPr>
          <w:p w14:paraId="5CE167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Technology-specific capacity building (e.g., solar drying)</w:t>
            </w:r>
          </w:p>
        </w:tc>
        <w:tc>
          <w:tcPr>
            <w:tcW w:w="0" w:type="auto"/>
            <w:hideMark/>
          </w:tcPr>
          <w:p w14:paraId="4E547ED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Focused skill training on specific tools</w:t>
            </w:r>
          </w:p>
        </w:tc>
        <w:tc>
          <w:tcPr>
            <w:tcW w:w="0" w:type="auto"/>
            <w:hideMark/>
          </w:tcPr>
          <w:p w14:paraId="1A91FFA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Post-harvest losses, limited shelf life</w:t>
            </w:r>
          </w:p>
        </w:tc>
        <w:tc>
          <w:tcPr>
            <w:tcW w:w="0" w:type="auto"/>
            <w:hideMark/>
          </w:tcPr>
          <w:p w14:paraId="6E0885F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Drying, storage, packaging</w:t>
            </w:r>
          </w:p>
        </w:tc>
        <w:tc>
          <w:tcPr>
            <w:tcW w:w="0" w:type="auto"/>
            <w:hideMark/>
          </w:tcPr>
          <w:p w14:paraId="5807998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losses; enhanced shelf life and marketability</w:t>
            </w:r>
          </w:p>
        </w:tc>
      </w:tr>
      <w:tr w:rsidR="00BB4FDA" w:rsidRPr="00D17A65" w14:paraId="095A05A4" w14:textId="77777777" w:rsidTr="00BB4FDA">
        <w:tc>
          <w:tcPr>
            <w:tcW w:w="0" w:type="auto"/>
            <w:hideMark/>
          </w:tcPr>
          <w:p w14:paraId="4E81EEB8"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Continuous mentoring and follow-up support</w:t>
            </w:r>
          </w:p>
        </w:tc>
        <w:tc>
          <w:tcPr>
            <w:tcW w:w="0" w:type="auto"/>
            <w:hideMark/>
          </w:tcPr>
          <w:p w14:paraId="69AFE4E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Post-training guidance and troubleshooting</w:t>
            </w:r>
          </w:p>
        </w:tc>
        <w:tc>
          <w:tcPr>
            <w:tcW w:w="0" w:type="auto"/>
            <w:hideMark/>
          </w:tcPr>
          <w:p w14:paraId="1BEE615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confidence erosion</w:t>
            </w:r>
          </w:p>
        </w:tc>
        <w:tc>
          <w:tcPr>
            <w:tcW w:w="0" w:type="auto"/>
            <w:hideMark/>
          </w:tcPr>
          <w:p w14:paraId="231A2400"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scaling, quality compliance</w:t>
            </w:r>
          </w:p>
        </w:tc>
        <w:tc>
          <w:tcPr>
            <w:tcW w:w="0" w:type="auto"/>
            <w:hideMark/>
          </w:tcPr>
          <w:p w14:paraId="3CE3C71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adoption and enterprise growth</w:t>
            </w:r>
          </w:p>
        </w:tc>
      </w:tr>
    </w:tbl>
    <w:p w14:paraId="5D972C35" w14:textId="77777777" w:rsidR="00BB4FDA" w:rsidRPr="00D17A65" w:rsidRDefault="00BB4FDA" w:rsidP="00C21218">
      <w:pPr>
        <w:spacing w:after="0"/>
        <w:jc w:val="both"/>
        <w:rPr>
          <w:rFonts w:ascii="Times New Roman" w:hAnsi="Times New Roman" w:cs="Times New Roman"/>
          <w:sz w:val="24"/>
          <w:szCs w:val="24"/>
        </w:rPr>
      </w:pPr>
    </w:p>
    <w:p w14:paraId="0B87DFF9" w14:textId="77777777" w:rsidR="00C21218" w:rsidRPr="00D17A65" w:rsidRDefault="00C21218" w:rsidP="00C21218">
      <w:pPr>
        <w:spacing w:after="0"/>
        <w:jc w:val="both"/>
        <w:rPr>
          <w:rFonts w:ascii="Times New Roman" w:hAnsi="Times New Roman" w:cs="Times New Roman"/>
          <w:sz w:val="24"/>
          <w:szCs w:val="24"/>
        </w:rPr>
      </w:pPr>
    </w:p>
    <w:p w14:paraId="76A80A7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3.2.1 Tailored Training Design and Delivery</w:t>
      </w:r>
    </w:p>
    <w:p w14:paraId="27A5EA6B" w14:textId="77777777" w:rsidR="00C21218" w:rsidRPr="00D17A65" w:rsidRDefault="00C21218" w:rsidP="00C21218">
      <w:pPr>
        <w:spacing w:after="0"/>
        <w:jc w:val="both"/>
        <w:rPr>
          <w:rFonts w:ascii="Times New Roman" w:hAnsi="Times New Roman" w:cs="Times New Roman"/>
          <w:sz w:val="24"/>
          <w:szCs w:val="24"/>
        </w:rPr>
      </w:pPr>
    </w:p>
    <w:p w14:paraId="231EE277" w14:textId="77777777" w:rsidR="00C21218" w:rsidRPr="00D17A65" w:rsidRDefault="00C21218" w:rsidP="00C21218">
      <w:pPr>
        <w:spacing w:after="0"/>
        <w:jc w:val="both"/>
        <w:rPr>
          <w:rFonts w:ascii="Times New Roman" w:hAnsi="Times New Roman" w:cs="Times New Roman"/>
          <w:color w:val="222222"/>
          <w:sz w:val="24"/>
          <w:szCs w:val="24"/>
          <w:shd w:val="clear" w:color="auto" w:fill="FFFFFF"/>
        </w:rPr>
      </w:pPr>
      <w:r w:rsidRPr="00D17A65">
        <w:rPr>
          <w:rFonts w:ascii="Times New Roman" w:hAnsi="Times New Roman" w:cs="Times New Roman"/>
          <w:sz w:val="24"/>
          <w:szCs w:val="24"/>
        </w:rPr>
        <w:t>Effective gender-sensitive training modules are crafted with thought to women’s literacy levels, cultural norms, and household responsibilities</w:t>
      </w:r>
      <w:r w:rsidR="00FD6DF2" w:rsidRPr="00D17A65">
        <w:rPr>
          <w:rFonts w:ascii="Times New Roman" w:hAnsi="Times New Roman" w:cs="Times New Roman"/>
          <w:sz w:val="24"/>
          <w:szCs w:val="24"/>
        </w:rPr>
        <w:t xml:space="preserve"> (</w:t>
      </w:r>
      <w:proofErr w:type="spellStart"/>
      <w:r w:rsidR="00FD6DF2" w:rsidRPr="00D17A65">
        <w:rPr>
          <w:rFonts w:ascii="Times New Roman" w:hAnsi="Times New Roman" w:cs="Times New Roman"/>
          <w:color w:val="222222"/>
          <w:sz w:val="24"/>
          <w:szCs w:val="24"/>
          <w:shd w:val="clear" w:color="auto" w:fill="FFFFFF"/>
        </w:rPr>
        <w:t>Oganetse</w:t>
      </w:r>
      <w:proofErr w:type="spellEnd"/>
      <w:r w:rsidR="00FD6DF2" w:rsidRPr="00D17A65">
        <w:rPr>
          <w:rFonts w:ascii="Times New Roman" w:hAnsi="Times New Roman" w:cs="Times New Roman"/>
          <w:color w:val="222222"/>
          <w:sz w:val="24"/>
          <w:szCs w:val="24"/>
          <w:shd w:val="clear" w:color="auto" w:fill="FFFFFF"/>
        </w:rPr>
        <w:t>, and Phiri 2025)</w:t>
      </w:r>
      <w:r w:rsidRPr="00D17A65">
        <w:rPr>
          <w:rFonts w:ascii="Times New Roman" w:hAnsi="Times New Roman" w:cs="Times New Roman"/>
          <w:sz w:val="24"/>
          <w:szCs w:val="24"/>
        </w:rPr>
        <w:t xml:space="preserve">. Training sessions are often organized in shorter, modular formats and conducted closer to women’s homes or </w:t>
      </w:r>
      <w:r w:rsidRPr="00D17A65">
        <w:rPr>
          <w:rFonts w:ascii="Times New Roman" w:hAnsi="Times New Roman" w:cs="Times New Roman"/>
          <w:sz w:val="24"/>
          <w:szCs w:val="24"/>
        </w:rPr>
        <w:lastRenderedPageBreak/>
        <w:t>workplaces to minimize mobility and time issues. Emphasizing local languages, visual aids, demonstrations, and hands-on practice over dense text makes technical content more accessible and practical. This adaptive delivery boosts participation, understanding, and retention of food technology knowledge among women</w:t>
      </w:r>
      <w:r w:rsidR="00090A03" w:rsidRPr="00D17A65">
        <w:rPr>
          <w:rFonts w:ascii="Times New Roman" w:hAnsi="Times New Roman" w:cs="Times New Roman"/>
          <w:sz w:val="24"/>
          <w:szCs w:val="24"/>
        </w:rPr>
        <w:t xml:space="preserve"> (</w:t>
      </w:r>
      <w:proofErr w:type="spellStart"/>
      <w:r w:rsidR="00090A03" w:rsidRPr="00D17A65">
        <w:rPr>
          <w:rFonts w:ascii="Times New Roman" w:hAnsi="Times New Roman" w:cs="Times New Roman"/>
          <w:color w:val="222222"/>
          <w:sz w:val="24"/>
          <w:szCs w:val="24"/>
          <w:shd w:val="clear" w:color="auto" w:fill="FFFFFF"/>
        </w:rPr>
        <w:t>Chisunum</w:t>
      </w:r>
      <w:proofErr w:type="spellEnd"/>
      <w:r w:rsidR="00090A03" w:rsidRPr="00D17A65">
        <w:rPr>
          <w:rFonts w:ascii="Times New Roman" w:hAnsi="Times New Roman" w:cs="Times New Roman"/>
          <w:color w:val="222222"/>
          <w:sz w:val="24"/>
          <w:szCs w:val="24"/>
          <w:shd w:val="clear" w:color="auto" w:fill="FFFFFF"/>
        </w:rPr>
        <w:t>,</w:t>
      </w:r>
      <w:r w:rsidR="00090A03" w:rsidRPr="00D17A65">
        <w:rPr>
          <w:rFonts w:ascii="Times New Roman" w:hAnsi="Times New Roman" w:cs="Times New Roman"/>
          <w:sz w:val="24"/>
          <w:szCs w:val="24"/>
        </w:rPr>
        <w:t xml:space="preserve"> and </w:t>
      </w:r>
      <w:proofErr w:type="spellStart"/>
      <w:r w:rsidR="00090A03" w:rsidRPr="00D17A65">
        <w:rPr>
          <w:rFonts w:ascii="Times New Roman" w:hAnsi="Times New Roman" w:cs="Times New Roman"/>
          <w:color w:val="222222"/>
          <w:sz w:val="24"/>
          <w:szCs w:val="24"/>
          <w:shd w:val="clear" w:color="auto" w:fill="FFFFFF"/>
        </w:rPr>
        <w:t>Nwadiokwu</w:t>
      </w:r>
      <w:proofErr w:type="spellEnd"/>
      <w:r w:rsidR="00090A03" w:rsidRPr="00D17A65">
        <w:rPr>
          <w:rFonts w:ascii="Times New Roman" w:hAnsi="Times New Roman" w:cs="Times New Roman"/>
          <w:color w:val="222222"/>
          <w:sz w:val="24"/>
          <w:szCs w:val="24"/>
          <w:shd w:val="clear" w:color="auto" w:fill="FFFFFF"/>
        </w:rPr>
        <w:t>, 2024)</w:t>
      </w:r>
      <w:r w:rsidR="00EB0D49" w:rsidRPr="00D17A65">
        <w:rPr>
          <w:rFonts w:ascii="Times New Roman" w:hAnsi="Times New Roman" w:cs="Times New Roman"/>
          <w:color w:val="222222"/>
          <w:sz w:val="24"/>
          <w:szCs w:val="24"/>
          <w:shd w:val="clear" w:color="auto" w:fill="FFFFFF"/>
        </w:rPr>
        <w:t>.</w:t>
      </w:r>
    </w:p>
    <w:p w14:paraId="72E2AFAB" w14:textId="77777777" w:rsidR="00EB0D49" w:rsidRPr="00D17A65" w:rsidRDefault="00EB0D49" w:rsidP="00C21218">
      <w:pPr>
        <w:spacing w:after="0"/>
        <w:jc w:val="both"/>
        <w:rPr>
          <w:rFonts w:ascii="Times New Roman" w:hAnsi="Times New Roman" w:cs="Times New Roman"/>
          <w:color w:val="222222"/>
          <w:sz w:val="24"/>
          <w:szCs w:val="24"/>
          <w:shd w:val="clear" w:color="auto" w:fill="FFFFFF"/>
        </w:rPr>
      </w:pPr>
    </w:p>
    <w:p w14:paraId="7D7A150D" w14:textId="77777777" w:rsidR="00C21218" w:rsidRPr="00D17A65" w:rsidRDefault="00C21218" w:rsidP="00C21218">
      <w:pPr>
        <w:spacing w:after="0"/>
        <w:jc w:val="both"/>
        <w:rPr>
          <w:rFonts w:ascii="Times New Roman" w:hAnsi="Times New Roman" w:cs="Times New Roman"/>
          <w:sz w:val="24"/>
          <w:szCs w:val="24"/>
        </w:rPr>
      </w:pPr>
    </w:p>
    <w:p w14:paraId="4F867D25"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3.2.2 Technical Skill Development in Food Technology</w:t>
      </w:r>
    </w:p>
    <w:p w14:paraId="757BE428" w14:textId="77777777" w:rsidR="00C21218" w:rsidRPr="00D17A65" w:rsidRDefault="00C21218" w:rsidP="00C21218">
      <w:pPr>
        <w:spacing w:after="0"/>
        <w:jc w:val="both"/>
        <w:rPr>
          <w:rFonts w:ascii="Times New Roman" w:hAnsi="Times New Roman" w:cs="Times New Roman"/>
          <w:sz w:val="24"/>
          <w:szCs w:val="24"/>
        </w:rPr>
      </w:pPr>
    </w:p>
    <w:p w14:paraId="2CECCC1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capacity-building programs focus on giving women advanced technical skills for higher-value roles in food technology. Key areas include food quality standards, hygiene and sanitation, Hazard Analysis and Critical Control Points (HACCP), value addition techniques, packaging and labeling, safe operation and maintenance of processing machinery, and basic quality certification procedures. By enhancing these skills, extension systems help women shift from subsistence-level processing to standardized and market-oriented food businesses</w:t>
      </w:r>
      <w:r w:rsidR="00631665" w:rsidRPr="00D17A65">
        <w:rPr>
          <w:rFonts w:ascii="Times New Roman" w:hAnsi="Times New Roman" w:cs="Times New Roman"/>
          <w:sz w:val="24"/>
          <w:szCs w:val="24"/>
        </w:rPr>
        <w:t xml:space="preserve"> (</w:t>
      </w:r>
      <w:proofErr w:type="spellStart"/>
      <w:r w:rsidR="00631665" w:rsidRPr="00D17A65">
        <w:rPr>
          <w:rFonts w:ascii="Times New Roman" w:hAnsi="Times New Roman" w:cs="Times New Roman"/>
          <w:color w:val="222222"/>
          <w:sz w:val="24"/>
          <w:szCs w:val="24"/>
          <w:shd w:val="clear" w:color="auto" w:fill="FFFFFF"/>
        </w:rPr>
        <w:t>Premi</w:t>
      </w:r>
      <w:proofErr w:type="spellEnd"/>
      <w:r w:rsidR="00631665" w:rsidRPr="00D17A65">
        <w:rPr>
          <w:rFonts w:ascii="Times New Roman" w:hAnsi="Times New Roman" w:cs="Times New Roman"/>
          <w:color w:val="222222"/>
          <w:sz w:val="24"/>
          <w:szCs w:val="24"/>
          <w:shd w:val="clear" w:color="auto" w:fill="FFFFFF"/>
        </w:rPr>
        <w:t xml:space="preserve"> Devi, and </w:t>
      </w:r>
      <w:proofErr w:type="spellStart"/>
      <w:r w:rsidR="00631665" w:rsidRPr="00D17A65">
        <w:rPr>
          <w:rFonts w:ascii="Times New Roman" w:hAnsi="Times New Roman" w:cs="Times New Roman"/>
          <w:color w:val="222222"/>
          <w:sz w:val="24"/>
          <w:szCs w:val="24"/>
          <w:shd w:val="clear" w:color="auto" w:fill="FFFFFF"/>
        </w:rPr>
        <w:t>Somokanta</w:t>
      </w:r>
      <w:proofErr w:type="spellEnd"/>
      <w:r w:rsidR="00631665" w:rsidRPr="00D17A65">
        <w:rPr>
          <w:rFonts w:ascii="Times New Roman" w:hAnsi="Times New Roman" w:cs="Times New Roman"/>
          <w:color w:val="222222"/>
          <w:sz w:val="24"/>
          <w:szCs w:val="24"/>
          <w:shd w:val="clear" w:color="auto" w:fill="FFFFFF"/>
        </w:rPr>
        <w:t xml:space="preserve"> 2016)</w:t>
      </w:r>
      <w:r w:rsidRPr="00D17A65">
        <w:rPr>
          <w:rFonts w:ascii="Times New Roman" w:hAnsi="Times New Roman" w:cs="Times New Roman"/>
          <w:sz w:val="24"/>
          <w:szCs w:val="24"/>
        </w:rPr>
        <w:t>.</w:t>
      </w:r>
    </w:p>
    <w:p w14:paraId="135D73A2" w14:textId="77777777" w:rsidR="00C21218" w:rsidRPr="00D17A65" w:rsidRDefault="00C21218" w:rsidP="00C21218">
      <w:pPr>
        <w:spacing w:after="0"/>
        <w:jc w:val="both"/>
        <w:rPr>
          <w:rFonts w:ascii="Times New Roman" w:hAnsi="Times New Roman" w:cs="Times New Roman"/>
          <w:sz w:val="24"/>
          <w:szCs w:val="24"/>
        </w:rPr>
      </w:pPr>
    </w:p>
    <w:p w14:paraId="0329BDF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3.2.3 Entrepreneurship and Enterprise Management Skills</w:t>
      </w:r>
    </w:p>
    <w:p w14:paraId="73692B01" w14:textId="77777777" w:rsidR="00C21218" w:rsidRPr="00D17A65" w:rsidRDefault="00C21218" w:rsidP="00C21218">
      <w:pPr>
        <w:spacing w:after="0"/>
        <w:jc w:val="both"/>
        <w:rPr>
          <w:rFonts w:ascii="Times New Roman" w:hAnsi="Times New Roman" w:cs="Times New Roman"/>
          <w:sz w:val="24"/>
          <w:szCs w:val="24"/>
        </w:rPr>
      </w:pPr>
    </w:p>
    <w:p w14:paraId="24A3BEC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Technical skills alone often don’t guarantee sustainable participation in food technology. Gender-sensitive training therefore combines technical training with entrepreneurship development, covering microenterprise management, cost-benefit analysis, record keeping, branding, pricing strategies, and market negotiation skills</w:t>
      </w:r>
      <w:r w:rsidR="001C6934" w:rsidRPr="00D17A65">
        <w:rPr>
          <w:rFonts w:ascii="Times New Roman" w:hAnsi="Times New Roman" w:cs="Times New Roman"/>
          <w:sz w:val="24"/>
          <w:szCs w:val="24"/>
        </w:rPr>
        <w:t xml:space="preserve"> (</w:t>
      </w:r>
      <w:r w:rsidR="001C6934" w:rsidRPr="00D17A65">
        <w:rPr>
          <w:rFonts w:ascii="Times New Roman" w:hAnsi="Times New Roman" w:cs="Times New Roman"/>
          <w:color w:val="222222"/>
          <w:sz w:val="24"/>
          <w:szCs w:val="24"/>
          <w:shd w:val="clear" w:color="auto" w:fill="FFFFFF"/>
        </w:rPr>
        <w:t>Chinen, et al., 2017)</w:t>
      </w:r>
      <w:r w:rsidRPr="00D17A65">
        <w:rPr>
          <w:rFonts w:ascii="Times New Roman" w:hAnsi="Times New Roman" w:cs="Times New Roman"/>
          <w:sz w:val="24"/>
          <w:szCs w:val="24"/>
        </w:rPr>
        <w:t>. Financial literacy and knowledge of credit, insurance, and government support schemes further empower women to start and grow food-based businesses. Evidence shows that integrating business training with technical food processing skills leads to higher technology adoption rates and better economic performance among women entrepreneurs</w:t>
      </w:r>
      <w:r w:rsidR="00CD596B" w:rsidRPr="00D17A65">
        <w:rPr>
          <w:rFonts w:ascii="Times New Roman" w:hAnsi="Times New Roman" w:cs="Times New Roman"/>
          <w:sz w:val="24"/>
          <w:szCs w:val="24"/>
        </w:rPr>
        <w:t xml:space="preserve"> (</w:t>
      </w:r>
      <w:proofErr w:type="spellStart"/>
      <w:r w:rsidR="00CD596B" w:rsidRPr="00D17A65">
        <w:rPr>
          <w:rFonts w:ascii="Times New Roman" w:hAnsi="Times New Roman" w:cs="Times New Roman"/>
          <w:color w:val="222222"/>
          <w:sz w:val="24"/>
          <w:szCs w:val="24"/>
          <w:shd w:val="clear" w:color="auto" w:fill="FFFFFF"/>
        </w:rPr>
        <w:t>Almahry</w:t>
      </w:r>
      <w:proofErr w:type="spellEnd"/>
      <w:r w:rsidR="00CD596B"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w:t>
      </w:r>
    </w:p>
    <w:p w14:paraId="38D9A032"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3.2.4 Evidence of Effectiveness and Impact</w:t>
      </w:r>
    </w:p>
    <w:p w14:paraId="0FE36CD8" w14:textId="77777777" w:rsidR="00C21218" w:rsidRPr="00D17A65" w:rsidRDefault="00C21218" w:rsidP="00C21218">
      <w:pPr>
        <w:spacing w:after="0"/>
        <w:jc w:val="both"/>
        <w:rPr>
          <w:rFonts w:ascii="Times New Roman" w:hAnsi="Times New Roman" w:cs="Times New Roman"/>
          <w:sz w:val="24"/>
          <w:szCs w:val="24"/>
        </w:rPr>
      </w:pPr>
    </w:p>
    <w:p w14:paraId="22D3434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Many extension initiatives highlight the success of gender-sensitive training in food technology. For example, women’s self-help groups trained in solar drying methods have successfully enhanced the shelf life, quality, and marketability of fruits and vegetables, reducing post-harvest losses and increasing income</w:t>
      </w:r>
      <w:r w:rsidR="00F867BF" w:rsidRPr="00D17A65">
        <w:rPr>
          <w:rFonts w:ascii="Times New Roman" w:hAnsi="Times New Roman" w:cs="Times New Roman"/>
          <w:sz w:val="24"/>
          <w:szCs w:val="24"/>
        </w:rPr>
        <w:t xml:space="preserve"> (</w:t>
      </w:r>
      <w:proofErr w:type="spellStart"/>
      <w:r w:rsidR="00F867BF" w:rsidRPr="00D17A65">
        <w:rPr>
          <w:rFonts w:ascii="Times New Roman" w:hAnsi="Times New Roman" w:cs="Times New Roman"/>
          <w:color w:val="222222"/>
          <w:sz w:val="24"/>
          <w:szCs w:val="24"/>
          <w:shd w:val="clear" w:color="auto" w:fill="FFFFFF"/>
        </w:rPr>
        <w:t>Khagram</w:t>
      </w:r>
      <w:proofErr w:type="spellEnd"/>
      <w:r w:rsidR="00F867BF" w:rsidRPr="00D17A65">
        <w:rPr>
          <w:rFonts w:ascii="Times New Roman" w:hAnsi="Times New Roman" w:cs="Times New Roman"/>
          <w:color w:val="222222"/>
          <w:sz w:val="24"/>
          <w:szCs w:val="24"/>
          <w:shd w:val="clear" w:color="auto" w:fill="FFFFFF"/>
        </w:rPr>
        <w:t>, et al., 2009)</w:t>
      </w:r>
      <w:r w:rsidRPr="00D17A65">
        <w:rPr>
          <w:rFonts w:ascii="Times New Roman" w:hAnsi="Times New Roman" w:cs="Times New Roman"/>
          <w:sz w:val="24"/>
          <w:szCs w:val="24"/>
        </w:rPr>
        <w:t>. Likewise, female food entrepreneurs who received integrated training in processing technologies and business management showed higher rates of technology uptake, business sustainability, and profitability compared to those receiving only technical training</w:t>
      </w:r>
      <w:r w:rsidR="00F867BF" w:rsidRPr="00D17A65">
        <w:rPr>
          <w:rFonts w:ascii="Times New Roman" w:hAnsi="Times New Roman" w:cs="Times New Roman"/>
          <w:sz w:val="24"/>
          <w:szCs w:val="24"/>
        </w:rPr>
        <w:t xml:space="preserve"> (</w:t>
      </w:r>
      <w:r w:rsidR="00F867BF" w:rsidRPr="00D17A65">
        <w:rPr>
          <w:rFonts w:ascii="Times New Roman" w:hAnsi="Times New Roman" w:cs="Times New Roman"/>
          <w:color w:val="222222"/>
          <w:sz w:val="24"/>
          <w:szCs w:val="24"/>
          <w:shd w:val="clear" w:color="auto" w:fill="FFFFFF"/>
        </w:rPr>
        <w:t>Orser,</w:t>
      </w:r>
      <w:r w:rsidR="00F867BF"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These results underscore the value of holistic capacity-building approaches that address both technical and managerial aspects.</w:t>
      </w:r>
    </w:p>
    <w:p w14:paraId="1DC9E0F4" w14:textId="77777777" w:rsidR="00EB0D49" w:rsidRPr="00D17A65" w:rsidRDefault="00EB0D49" w:rsidP="00C21218">
      <w:pPr>
        <w:spacing w:after="0"/>
        <w:jc w:val="both"/>
        <w:rPr>
          <w:rFonts w:ascii="Times New Roman" w:hAnsi="Times New Roman" w:cs="Times New Roman"/>
          <w:sz w:val="24"/>
          <w:szCs w:val="24"/>
        </w:rPr>
      </w:pPr>
    </w:p>
    <w:p w14:paraId="64C7AD68"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3.2.5 Contribution to Empowerment and Systemic Change</w:t>
      </w:r>
    </w:p>
    <w:p w14:paraId="5B545488" w14:textId="77777777" w:rsidR="00C21218" w:rsidRPr="00D17A65" w:rsidRDefault="00C21218" w:rsidP="00C21218">
      <w:pPr>
        <w:spacing w:after="0"/>
        <w:jc w:val="both"/>
        <w:rPr>
          <w:rFonts w:ascii="Times New Roman" w:hAnsi="Times New Roman" w:cs="Times New Roman"/>
          <w:sz w:val="24"/>
          <w:szCs w:val="24"/>
        </w:rPr>
      </w:pPr>
    </w:p>
    <w:p w14:paraId="4D3BD8DF" w14:textId="77777777" w:rsidR="001B51A4"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immediate skill enhancement, gender-sensitive training and capacity building lead to long-term empowerment outcomes by boosting women’s confidence, decision-making ability, and visibility in food value chains</w:t>
      </w:r>
      <w:r w:rsidR="009A1DE2" w:rsidRPr="00D17A65">
        <w:rPr>
          <w:rFonts w:ascii="Times New Roman" w:hAnsi="Times New Roman" w:cs="Times New Roman"/>
          <w:sz w:val="24"/>
          <w:szCs w:val="24"/>
        </w:rPr>
        <w:t xml:space="preserve"> (</w:t>
      </w:r>
      <w:proofErr w:type="spellStart"/>
      <w:r w:rsidR="009A1DE2" w:rsidRPr="00D17A65">
        <w:rPr>
          <w:rFonts w:ascii="Times New Roman" w:hAnsi="Times New Roman" w:cs="Times New Roman"/>
          <w:color w:val="222222"/>
          <w:sz w:val="24"/>
          <w:szCs w:val="24"/>
          <w:shd w:val="clear" w:color="auto" w:fill="FFFFFF"/>
        </w:rPr>
        <w:t>Dushkova</w:t>
      </w:r>
      <w:proofErr w:type="spellEnd"/>
      <w:r w:rsidR="009A1DE2" w:rsidRPr="00D17A65">
        <w:rPr>
          <w:rFonts w:ascii="Times New Roman" w:hAnsi="Times New Roman" w:cs="Times New Roman"/>
          <w:color w:val="222222"/>
          <w:sz w:val="24"/>
          <w:szCs w:val="24"/>
          <w:shd w:val="clear" w:color="auto" w:fill="FFFFFF"/>
        </w:rPr>
        <w:t xml:space="preserve">, and </w:t>
      </w:r>
      <w:proofErr w:type="spellStart"/>
      <w:r w:rsidR="009A1DE2" w:rsidRPr="00D17A65">
        <w:rPr>
          <w:rFonts w:ascii="Times New Roman" w:hAnsi="Times New Roman" w:cs="Times New Roman"/>
          <w:color w:val="222222"/>
          <w:sz w:val="24"/>
          <w:szCs w:val="24"/>
          <w:shd w:val="clear" w:color="auto" w:fill="FFFFFF"/>
        </w:rPr>
        <w:t>Ivlieva</w:t>
      </w:r>
      <w:proofErr w:type="spellEnd"/>
      <w:r w:rsidR="009A1DE2" w:rsidRPr="00D17A65">
        <w:rPr>
          <w:rFonts w:ascii="Times New Roman" w:hAnsi="Times New Roman" w:cs="Times New Roman"/>
          <w:color w:val="222222"/>
          <w:sz w:val="24"/>
          <w:szCs w:val="24"/>
          <w:shd w:val="clear" w:color="auto" w:fill="FFFFFF"/>
        </w:rPr>
        <w:t xml:space="preserve"> 2024)</w:t>
      </w:r>
      <w:r w:rsidRPr="00D17A65">
        <w:rPr>
          <w:rFonts w:ascii="Times New Roman" w:hAnsi="Times New Roman" w:cs="Times New Roman"/>
          <w:sz w:val="24"/>
          <w:szCs w:val="24"/>
        </w:rPr>
        <w:t xml:space="preserve">. When women gain recognized technical expertise and entrepreneurial skills, they are more likely to access formal markets, </w:t>
      </w:r>
      <w:r w:rsidRPr="00D17A65">
        <w:rPr>
          <w:rFonts w:ascii="Times New Roman" w:hAnsi="Times New Roman" w:cs="Times New Roman"/>
          <w:sz w:val="24"/>
          <w:szCs w:val="24"/>
        </w:rPr>
        <w:lastRenderedPageBreak/>
        <w:t>engage with institutions, and take on leadership roles. Thus, capacity-building interventions act as catalysts for changing gender relations and promoting inclusive and sustainable food technology systems</w:t>
      </w:r>
      <w:r w:rsidR="004E3413" w:rsidRPr="00D17A65">
        <w:rPr>
          <w:rFonts w:ascii="Times New Roman" w:hAnsi="Times New Roman" w:cs="Times New Roman"/>
          <w:sz w:val="24"/>
          <w:szCs w:val="24"/>
        </w:rPr>
        <w:t xml:space="preserve"> (</w:t>
      </w:r>
      <w:r w:rsidR="004E3413" w:rsidRPr="00D17A65">
        <w:rPr>
          <w:rFonts w:ascii="Times New Roman" w:hAnsi="Times New Roman" w:cs="Times New Roman"/>
          <w:color w:val="222222"/>
          <w:sz w:val="24"/>
          <w:szCs w:val="24"/>
          <w:shd w:val="clear" w:color="auto" w:fill="FFFFFF"/>
        </w:rPr>
        <w:t>Terjesen,</w:t>
      </w:r>
      <w:r w:rsidR="004E3413" w:rsidRPr="00D17A65">
        <w:rPr>
          <w:rFonts w:ascii="Times New Roman" w:hAnsi="Times New Roman" w:cs="Times New Roman"/>
          <w:sz w:val="24"/>
          <w:szCs w:val="24"/>
        </w:rPr>
        <w:t xml:space="preserve"> et al., 2005).</w:t>
      </w:r>
    </w:p>
    <w:p w14:paraId="0BFBB955" w14:textId="77777777" w:rsidR="009A1DE2" w:rsidRPr="00D17A65" w:rsidRDefault="009A1DE2" w:rsidP="00C21218">
      <w:pPr>
        <w:spacing w:after="0"/>
        <w:jc w:val="both"/>
        <w:rPr>
          <w:rFonts w:ascii="Times New Roman" w:hAnsi="Times New Roman" w:cs="Times New Roman"/>
          <w:sz w:val="24"/>
          <w:szCs w:val="24"/>
        </w:rPr>
      </w:pPr>
    </w:p>
    <w:p w14:paraId="5301AEF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 Gender-Responsive ICT and Digital Extension</w:t>
      </w:r>
    </w:p>
    <w:p w14:paraId="02A1552E" w14:textId="77777777" w:rsidR="00FD049D" w:rsidRPr="00D17A65" w:rsidRDefault="00FD049D" w:rsidP="00FD049D">
      <w:pPr>
        <w:spacing w:after="0"/>
        <w:jc w:val="both"/>
        <w:rPr>
          <w:rFonts w:ascii="Times New Roman" w:hAnsi="Times New Roman" w:cs="Times New Roman"/>
          <w:sz w:val="24"/>
          <w:szCs w:val="24"/>
        </w:rPr>
      </w:pPr>
    </w:p>
    <w:p w14:paraId="024D825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Information and communication technologies (ICTs) have become powerful tools for spreading food technology knowledge beyond traditional face-to-face methods</w:t>
      </w:r>
      <w:r w:rsidR="00C40430" w:rsidRPr="00D17A65">
        <w:rPr>
          <w:rFonts w:ascii="Times New Roman" w:hAnsi="Times New Roman" w:cs="Times New Roman"/>
          <w:sz w:val="24"/>
          <w:szCs w:val="24"/>
        </w:rPr>
        <w:t xml:space="preserve"> (</w:t>
      </w:r>
      <w:proofErr w:type="spellStart"/>
      <w:r w:rsidR="00C40430" w:rsidRPr="00D17A65">
        <w:rPr>
          <w:rFonts w:ascii="Times New Roman" w:hAnsi="Times New Roman" w:cs="Times New Roman"/>
          <w:color w:val="222222"/>
          <w:sz w:val="24"/>
          <w:szCs w:val="24"/>
          <w:shd w:val="clear" w:color="auto" w:fill="FFFFFF"/>
        </w:rPr>
        <w:t>Jarial</w:t>
      </w:r>
      <w:proofErr w:type="spellEnd"/>
      <w:r w:rsidR="00C40430" w:rsidRPr="00D17A65">
        <w:rPr>
          <w:rFonts w:ascii="Times New Roman" w:hAnsi="Times New Roman" w:cs="Times New Roman"/>
          <w:color w:val="222222"/>
          <w:sz w:val="24"/>
          <w:szCs w:val="24"/>
          <w:shd w:val="clear" w:color="auto" w:fill="FFFFFF"/>
        </w:rPr>
        <w:t xml:space="preserve">, and </w:t>
      </w:r>
      <w:proofErr w:type="spellStart"/>
      <w:r w:rsidR="00C40430" w:rsidRPr="00D17A65">
        <w:rPr>
          <w:rFonts w:ascii="Times New Roman" w:hAnsi="Times New Roman" w:cs="Times New Roman"/>
          <w:color w:val="222222"/>
          <w:sz w:val="24"/>
          <w:szCs w:val="24"/>
          <w:shd w:val="clear" w:color="auto" w:fill="FFFFFF"/>
        </w:rPr>
        <w:t>Sachan</w:t>
      </w:r>
      <w:proofErr w:type="spellEnd"/>
      <w:r w:rsidR="00C40430"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For women involved in food processing and small food businesses, digital extension tools present a valuable chance to break down spatial, social, and institutional barriers. However, how well ICT-based extension works heavily relies on its ability to respond to women's access habits, digital skills, and cultural backgrounds</w:t>
      </w:r>
      <w:r w:rsidR="004A4689" w:rsidRPr="00D17A65">
        <w:rPr>
          <w:rFonts w:ascii="Times New Roman" w:hAnsi="Times New Roman" w:cs="Times New Roman"/>
          <w:sz w:val="24"/>
          <w:szCs w:val="24"/>
        </w:rPr>
        <w:t xml:space="preserve"> (</w:t>
      </w:r>
      <w:r w:rsidR="004A4689" w:rsidRPr="00D17A65">
        <w:rPr>
          <w:rFonts w:ascii="Times New Roman" w:hAnsi="Times New Roman" w:cs="Times New Roman"/>
          <w:color w:val="222222"/>
          <w:sz w:val="24"/>
          <w:szCs w:val="24"/>
          <w:shd w:val="clear" w:color="auto" w:fill="FFFFFF"/>
        </w:rPr>
        <w:t>Ravula, et al., 2024)</w:t>
      </w:r>
      <w:r w:rsidRPr="00D17A65">
        <w:rPr>
          <w:rFonts w:ascii="Times New Roman" w:hAnsi="Times New Roman" w:cs="Times New Roman"/>
          <w:sz w:val="24"/>
          <w:szCs w:val="24"/>
        </w:rPr>
        <w:t>.</w:t>
      </w:r>
    </w:p>
    <w:p w14:paraId="728DA85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3.3.1 Addressing Gendered Digital Constraints</w:t>
      </w:r>
    </w:p>
    <w:p w14:paraId="3F7FB139" w14:textId="77777777" w:rsidR="00FD049D" w:rsidRPr="00D17A65" w:rsidRDefault="00FD049D" w:rsidP="00FD049D">
      <w:pPr>
        <w:spacing w:after="0"/>
        <w:jc w:val="both"/>
        <w:rPr>
          <w:rFonts w:ascii="Times New Roman" w:hAnsi="Times New Roman" w:cs="Times New Roman"/>
          <w:sz w:val="24"/>
          <w:szCs w:val="24"/>
        </w:rPr>
      </w:pPr>
    </w:p>
    <w:p w14:paraId="20BE9CB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often encounter barriers to digital access that are specific to their gender. These include limited ownership of smartphones, lower digital skills, inconsistent internet connectivity, and limited control over devices</w:t>
      </w:r>
      <w:r w:rsidR="00EA246A" w:rsidRPr="00D17A65">
        <w:rPr>
          <w:rFonts w:ascii="Times New Roman" w:hAnsi="Times New Roman" w:cs="Times New Roman"/>
          <w:sz w:val="24"/>
          <w:szCs w:val="24"/>
        </w:rPr>
        <w:t xml:space="preserve"> (</w:t>
      </w:r>
      <w:r w:rsidR="00EA246A" w:rsidRPr="00D17A65">
        <w:rPr>
          <w:rFonts w:ascii="Times New Roman" w:hAnsi="Times New Roman" w:cs="Times New Roman"/>
          <w:color w:val="222222"/>
          <w:sz w:val="24"/>
          <w:szCs w:val="24"/>
          <w:shd w:val="clear" w:color="auto" w:fill="FFFFFF"/>
        </w:rPr>
        <w:t>Correa,</w:t>
      </w:r>
      <w:r w:rsidR="00EA246A" w:rsidRPr="00D17A65">
        <w:rPr>
          <w:rFonts w:ascii="Times New Roman" w:hAnsi="Times New Roman" w:cs="Times New Roman"/>
          <w:sz w:val="24"/>
          <w:szCs w:val="24"/>
        </w:rPr>
        <w:t xml:space="preserve"> et al., 2020)</w:t>
      </w:r>
      <w:r w:rsidR="004364B1"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Gender-responsive digital extension acknowledges these challenges and focuses on low-cost, low-skill, and low-bandwidth solutions. It’s crucial to design ICT tools that work with basic mobile phones and in local languages to ensure inclusion and ongoing use among women food processors and entrepreneurs.</w:t>
      </w:r>
    </w:p>
    <w:p w14:paraId="4B8EFD7C" w14:textId="77777777" w:rsidR="00202047" w:rsidRPr="00D17A65" w:rsidRDefault="00202047" w:rsidP="00FD049D">
      <w:pPr>
        <w:spacing w:after="0"/>
        <w:jc w:val="both"/>
        <w:rPr>
          <w:rFonts w:ascii="Times New Roman" w:hAnsi="Times New Roman" w:cs="Times New Roman"/>
          <w:sz w:val="24"/>
          <w:szCs w:val="24"/>
        </w:rPr>
      </w:pPr>
    </w:p>
    <w:p w14:paraId="479F523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3.3.2 Effective ICT Strategies for Women in Food Technology</w:t>
      </w:r>
    </w:p>
    <w:p w14:paraId="4620FAF7" w14:textId="77777777" w:rsidR="00FD049D" w:rsidRPr="00D17A65" w:rsidRDefault="00FD049D" w:rsidP="00FD049D">
      <w:pPr>
        <w:spacing w:after="0"/>
        <w:jc w:val="both"/>
        <w:rPr>
          <w:rFonts w:ascii="Times New Roman" w:hAnsi="Times New Roman" w:cs="Times New Roman"/>
          <w:sz w:val="24"/>
          <w:szCs w:val="24"/>
        </w:rPr>
      </w:pPr>
    </w:p>
    <w:p w14:paraId="7A48B56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Various ICT strategies have been effective in reaching women in food technology:</w:t>
      </w:r>
    </w:p>
    <w:p w14:paraId="52647B9F" w14:textId="77777777" w:rsidR="00FD049D" w:rsidRPr="00D17A65" w:rsidRDefault="00FD049D" w:rsidP="00FD049D">
      <w:pPr>
        <w:spacing w:after="0"/>
        <w:jc w:val="both"/>
        <w:rPr>
          <w:rFonts w:ascii="Times New Roman" w:hAnsi="Times New Roman" w:cs="Times New Roman"/>
          <w:sz w:val="24"/>
          <w:szCs w:val="24"/>
        </w:rPr>
      </w:pPr>
    </w:p>
    <w:p w14:paraId="73E773F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Voice-based advisories in local languages allow women with low literacy to get technical guidance on processing steps, hygien</w:t>
      </w:r>
      <w:r w:rsidR="00CD195E" w:rsidRPr="00D17A65">
        <w:rPr>
          <w:rFonts w:ascii="Times New Roman" w:hAnsi="Times New Roman" w:cs="Times New Roman"/>
          <w:sz w:val="24"/>
          <w:szCs w:val="24"/>
        </w:rPr>
        <w:t>e practices, and equipment use</w:t>
      </w:r>
      <w:r w:rsidR="00DF10D6" w:rsidRPr="00D17A65">
        <w:rPr>
          <w:rFonts w:ascii="Times New Roman" w:hAnsi="Times New Roman" w:cs="Times New Roman"/>
          <w:sz w:val="24"/>
          <w:szCs w:val="24"/>
        </w:rPr>
        <w:t xml:space="preserve"> (</w:t>
      </w:r>
      <w:r w:rsidR="00DF10D6" w:rsidRPr="00D17A65">
        <w:rPr>
          <w:rFonts w:ascii="Times New Roman" w:hAnsi="Times New Roman" w:cs="Times New Roman"/>
          <w:color w:val="222222"/>
          <w:sz w:val="24"/>
          <w:szCs w:val="24"/>
          <w:shd w:val="clear" w:color="auto" w:fill="FFFFFF"/>
        </w:rPr>
        <w:t>Tinker, 1979)</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Mobile apps with low data needs give information on value-adding techniques, food safety standards, and market prices without requ</w:t>
      </w:r>
      <w:r w:rsidR="00CD195E" w:rsidRPr="00D17A65">
        <w:rPr>
          <w:rFonts w:ascii="Times New Roman" w:hAnsi="Times New Roman" w:cs="Times New Roman"/>
          <w:sz w:val="24"/>
          <w:szCs w:val="24"/>
        </w:rPr>
        <w:t>iring constant internet access</w:t>
      </w:r>
      <w:r w:rsidR="00CE2743" w:rsidRPr="00D17A65">
        <w:rPr>
          <w:rFonts w:ascii="Times New Roman" w:hAnsi="Times New Roman" w:cs="Times New Roman"/>
          <w:sz w:val="24"/>
          <w:szCs w:val="24"/>
        </w:rPr>
        <w:t xml:space="preserve"> (</w:t>
      </w:r>
      <w:r w:rsidR="00CE2743" w:rsidRPr="00D17A65">
        <w:rPr>
          <w:rFonts w:ascii="Times New Roman" w:hAnsi="Times New Roman" w:cs="Times New Roman"/>
          <w:color w:val="222222"/>
          <w:sz w:val="24"/>
          <w:szCs w:val="24"/>
          <w:shd w:val="clear" w:color="auto" w:fill="FFFFFF"/>
        </w:rPr>
        <w:t>Chen,</w:t>
      </w:r>
      <w:r w:rsidR="00CE2743" w:rsidRPr="00D17A65">
        <w:rPr>
          <w:rFonts w:ascii="Times New Roman" w:hAnsi="Times New Roman" w:cs="Times New Roman"/>
          <w:sz w:val="24"/>
          <w:szCs w:val="24"/>
        </w:rPr>
        <w:t xml:space="preserve"> 2021).</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SMS and Interactive Voice Response (IVR) alerts provide women with timely reminders about processing schedules, quality checks, drying times, storage con</w:t>
      </w:r>
      <w:r w:rsidR="00CD195E" w:rsidRPr="00D17A65">
        <w:rPr>
          <w:rFonts w:ascii="Times New Roman" w:hAnsi="Times New Roman" w:cs="Times New Roman"/>
          <w:sz w:val="24"/>
          <w:szCs w:val="24"/>
        </w:rPr>
        <w:t xml:space="preserve">ditions, and safety compliance. </w:t>
      </w:r>
      <w:r w:rsidRPr="00D17A65">
        <w:rPr>
          <w:rFonts w:ascii="Times New Roman" w:hAnsi="Times New Roman" w:cs="Times New Roman"/>
          <w:sz w:val="24"/>
          <w:szCs w:val="24"/>
        </w:rPr>
        <w:t>WhatsApp and similar messaging groups support peer learning, collective problem-solving, and quick troubleshooting. They also strengthen social networks among women processors and entrepreneurs</w:t>
      </w:r>
      <w:r w:rsidR="005E7871" w:rsidRPr="00D17A65">
        <w:rPr>
          <w:rFonts w:ascii="Times New Roman" w:hAnsi="Times New Roman" w:cs="Times New Roman"/>
          <w:sz w:val="24"/>
          <w:szCs w:val="24"/>
        </w:rPr>
        <w:t xml:space="preserve"> (</w:t>
      </w:r>
      <w:proofErr w:type="spellStart"/>
      <w:r w:rsidR="005E7871" w:rsidRPr="00D17A65">
        <w:rPr>
          <w:rFonts w:ascii="Times New Roman" w:hAnsi="Times New Roman" w:cs="Times New Roman"/>
          <w:color w:val="222222"/>
          <w:sz w:val="24"/>
          <w:szCs w:val="24"/>
          <w:shd w:val="clear" w:color="auto" w:fill="FFFFFF"/>
        </w:rPr>
        <w:t>Chianumba</w:t>
      </w:r>
      <w:proofErr w:type="spellEnd"/>
      <w:r w:rsidR="005E7871" w:rsidRPr="00D17A65">
        <w:rPr>
          <w:rFonts w:ascii="Times New Roman" w:hAnsi="Times New Roman" w:cs="Times New Roman"/>
          <w:color w:val="222222"/>
          <w:sz w:val="24"/>
          <w:szCs w:val="24"/>
          <w:shd w:val="clear" w:color="auto" w:fill="FFFFFF"/>
        </w:rPr>
        <w:t>,</w:t>
      </w:r>
      <w:r w:rsidR="005E7871" w:rsidRPr="00D17A65">
        <w:rPr>
          <w:rFonts w:ascii="Times New Roman" w:hAnsi="Times New Roman" w:cs="Times New Roman"/>
          <w:sz w:val="24"/>
          <w:szCs w:val="24"/>
        </w:rPr>
        <w:t xml:space="preserve"> et al., 2024).</w:t>
      </w:r>
    </w:p>
    <w:p w14:paraId="1159294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These tools act not only as ways to deliver information but also as interactive platforms that encourage hands-on learning and confidence building.</w:t>
      </w:r>
    </w:p>
    <w:p w14:paraId="249101D4" w14:textId="77777777" w:rsidR="00FD049D" w:rsidRPr="00D17A65" w:rsidRDefault="00FD049D" w:rsidP="00FD049D">
      <w:pPr>
        <w:spacing w:after="0"/>
        <w:jc w:val="both"/>
        <w:rPr>
          <w:rFonts w:ascii="Times New Roman" w:hAnsi="Times New Roman" w:cs="Times New Roman"/>
          <w:sz w:val="24"/>
          <w:szCs w:val="24"/>
        </w:rPr>
      </w:pPr>
    </w:p>
    <w:p w14:paraId="69FFD99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3.3.3 Integration with Conventional Extension Systems</w:t>
      </w:r>
    </w:p>
    <w:p w14:paraId="174C2D56" w14:textId="77777777" w:rsidR="00FD049D" w:rsidRPr="00D17A65" w:rsidRDefault="00FD049D" w:rsidP="00FD049D">
      <w:pPr>
        <w:spacing w:after="0"/>
        <w:jc w:val="both"/>
        <w:rPr>
          <w:rFonts w:ascii="Times New Roman" w:hAnsi="Times New Roman" w:cs="Times New Roman"/>
          <w:sz w:val="24"/>
          <w:szCs w:val="24"/>
        </w:rPr>
      </w:pPr>
    </w:p>
    <w:p w14:paraId="6073F2C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Digital extension works best when linked with participatory and capacity-building approaches instead of functioning alone</w:t>
      </w:r>
      <w:r w:rsidR="00F605D5" w:rsidRPr="00D17A65">
        <w:rPr>
          <w:rFonts w:ascii="Times New Roman" w:hAnsi="Times New Roman" w:cs="Times New Roman"/>
          <w:sz w:val="24"/>
          <w:szCs w:val="24"/>
        </w:rPr>
        <w:t xml:space="preserve"> (</w:t>
      </w:r>
      <w:r w:rsidR="00F605D5" w:rsidRPr="00D17A65">
        <w:rPr>
          <w:rFonts w:ascii="Times New Roman" w:hAnsi="Times New Roman" w:cs="Times New Roman"/>
          <w:color w:val="222222"/>
          <w:sz w:val="24"/>
          <w:szCs w:val="24"/>
          <w:shd w:val="clear" w:color="auto" w:fill="FFFFFF"/>
        </w:rPr>
        <w:t>Dayanandan, 2011).</w:t>
      </w:r>
      <w:r w:rsidRPr="00D17A65">
        <w:rPr>
          <w:rFonts w:ascii="Times New Roman" w:hAnsi="Times New Roman" w:cs="Times New Roman"/>
          <w:sz w:val="24"/>
          <w:szCs w:val="24"/>
        </w:rPr>
        <w:t xml:space="preserve"> Hybrid models that mix face-to-face training with digital support allow women to reinforce learning, clear up doubts, and adjust technologies to fit their situations. Extension staff can use ICT platforms to provide ongoing mentoring, track </w:t>
      </w:r>
      <w:r w:rsidRPr="00D17A65">
        <w:rPr>
          <w:rFonts w:ascii="Times New Roman" w:hAnsi="Times New Roman" w:cs="Times New Roman"/>
          <w:sz w:val="24"/>
          <w:szCs w:val="24"/>
        </w:rPr>
        <w:lastRenderedPageBreak/>
        <w:t>adoption, and address the challenges women face in food processing and business development</w:t>
      </w:r>
      <w:r w:rsidR="00B201EE" w:rsidRPr="00D17A65">
        <w:rPr>
          <w:rFonts w:ascii="Times New Roman" w:hAnsi="Times New Roman" w:cs="Times New Roman"/>
          <w:sz w:val="24"/>
          <w:szCs w:val="24"/>
        </w:rPr>
        <w:t xml:space="preserve"> (</w:t>
      </w:r>
      <w:proofErr w:type="spellStart"/>
      <w:r w:rsidR="00B201EE" w:rsidRPr="00D17A65">
        <w:rPr>
          <w:rFonts w:ascii="Times New Roman" w:hAnsi="Times New Roman" w:cs="Times New Roman"/>
          <w:color w:val="222222"/>
          <w:sz w:val="24"/>
          <w:szCs w:val="24"/>
          <w:shd w:val="clear" w:color="auto" w:fill="FFFFFF"/>
        </w:rPr>
        <w:t>Meinzen</w:t>
      </w:r>
      <w:proofErr w:type="spellEnd"/>
      <w:r w:rsidR="00B201EE" w:rsidRPr="00D17A65">
        <w:rPr>
          <w:rFonts w:ascii="Times New Roman" w:hAnsi="Times New Roman" w:cs="Times New Roman"/>
          <w:color w:val="222222"/>
          <w:sz w:val="24"/>
          <w:szCs w:val="24"/>
          <w:shd w:val="clear" w:color="auto" w:fill="FFFFFF"/>
        </w:rPr>
        <w:t>-Dick et al., 2014)</w:t>
      </w:r>
      <w:r w:rsidRPr="00D17A65">
        <w:rPr>
          <w:rFonts w:ascii="Times New Roman" w:hAnsi="Times New Roman" w:cs="Times New Roman"/>
          <w:sz w:val="24"/>
          <w:szCs w:val="24"/>
        </w:rPr>
        <w:t>.</w:t>
      </w:r>
    </w:p>
    <w:p w14:paraId="5B361236" w14:textId="77777777" w:rsidR="00202047" w:rsidRPr="00D17A65" w:rsidRDefault="00202047" w:rsidP="00FD049D">
      <w:pPr>
        <w:spacing w:after="0"/>
        <w:jc w:val="both"/>
        <w:rPr>
          <w:rFonts w:ascii="Times New Roman" w:hAnsi="Times New Roman" w:cs="Times New Roman"/>
          <w:sz w:val="24"/>
          <w:szCs w:val="24"/>
        </w:rPr>
      </w:pPr>
    </w:p>
    <w:p w14:paraId="446591DC" w14:textId="77777777" w:rsidR="00FD049D" w:rsidRPr="00D17A65" w:rsidRDefault="00FD049D" w:rsidP="00FD049D">
      <w:pPr>
        <w:spacing w:after="0"/>
        <w:jc w:val="both"/>
        <w:rPr>
          <w:rFonts w:ascii="Times New Roman" w:hAnsi="Times New Roman" w:cs="Times New Roman"/>
          <w:sz w:val="24"/>
          <w:szCs w:val="24"/>
        </w:rPr>
      </w:pPr>
    </w:p>
    <w:p w14:paraId="0799828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3.3.4 Outcomes and Impact</w:t>
      </w:r>
    </w:p>
    <w:p w14:paraId="27308A0C" w14:textId="77777777" w:rsidR="00FD049D" w:rsidRPr="00D17A65" w:rsidRDefault="00FD049D" w:rsidP="00FD049D">
      <w:pPr>
        <w:spacing w:after="0"/>
        <w:jc w:val="both"/>
        <w:rPr>
          <w:rFonts w:ascii="Times New Roman" w:hAnsi="Times New Roman" w:cs="Times New Roman"/>
          <w:sz w:val="24"/>
          <w:szCs w:val="24"/>
        </w:rPr>
      </w:pPr>
    </w:p>
    <w:p w14:paraId="0C2CB984" w14:textId="77777777" w:rsidR="00202047"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ICT and digital extension greatly improve the spread of food technology knowledge among women smallholders and processors, especially in areas where mobility, time, or literacy challenges hinder participation in traditional training programs</w:t>
      </w:r>
      <w:r w:rsidR="00376AB0" w:rsidRPr="00D17A65">
        <w:rPr>
          <w:rFonts w:ascii="Times New Roman" w:hAnsi="Times New Roman" w:cs="Times New Roman"/>
          <w:sz w:val="24"/>
          <w:szCs w:val="24"/>
        </w:rPr>
        <w:t xml:space="preserve"> (</w:t>
      </w:r>
      <w:proofErr w:type="spellStart"/>
      <w:r w:rsidR="00376AB0" w:rsidRPr="00D17A65">
        <w:rPr>
          <w:rFonts w:ascii="Times New Roman" w:hAnsi="Times New Roman" w:cs="Times New Roman"/>
          <w:color w:val="222222"/>
          <w:sz w:val="24"/>
          <w:szCs w:val="24"/>
          <w:shd w:val="clear" w:color="auto" w:fill="FFFFFF"/>
        </w:rPr>
        <w:t>Nchanji</w:t>
      </w:r>
      <w:proofErr w:type="spellEnd"/>
      <w:r w:rsidR="00376AB0" w:rsidRPr="00D17A65">
        <w:rPr>
          <w:rFonts w:ascii="Times New Roman" w:hAnsi="Times New Roman" w:cs="Times New Roman"/>
          <w:color w:val="222222"/>
          <w:sz w:val="24"/>
          <w:szCs w:val="24"/>
          <w:shd w:val="clear" w:color="auto" w:fill="FFFFFF"/>
        </w:rPr>
        <w:t>,</w:t>
      </w:r>
      <w:r w:rsidR="00376AB0" w:rsidRPr="00D17A65">
        <w:rPr>
          <w:rFonts w:ascii="Times New Roman" w:hAnsi="Times New Roman" w:cs="Times New Roman"/>
          <w:sz w:val="24"/>
          <w:szCs w:val="24"/>
        </w:rPr>
        <w:t xml:space="preserve"> et al., 2024).</w:t>
      </w:r>
      <w:r w:rsidRPr="00D17A65">
        <w:rPr>
          <w:rFonts w:ascii="Times New Roman" w:hAnsi="Times New Roman" w:cs="Times New Roman"/>
          <w:sz w:val="24"/>
          <w:szCs w:val="24"/>
        </w:rPr>
        <w:t xml:space="preserve"> Better access to timely and relevant information leads to improved technology adoption, better food safety practices, and greater efficiency in processing and value addition. Also, digital platforms increase women’s connections to markets, institutions, and peer networks, helping them gain more independence and resilience within food technology value chains</w:t>
      </w:r>
      <w:r w:rsidR="00376AB0" w:rsidRPr="00D17A65">
        <w:rPr>
          <w:rFonts w:ascii="Times New Roman" w:hAnsi="Times New Roman" w:cs="Times New Roman"/>
          <w:sz w:val="24"/>
          <w:szCs w:val="24"/>
        </w:rPr>
        <w:t xml:space="preserve"> (</w:t>
      </w:r>
      <w:r w:rsidR="00376AB0" w:rsidRPr="00D17A65">
        <w:rPr>
          <w:rFonts w:ascii="Times New Roman" w:hAnsi="Times New Roman" w:cs="Times New Roman"/>
          <w:color w:val="222222"/>
          <w:sz w:val="24"/>
          <w:szCs w:val="24"/>
          <w:shd w:val="clear" w:color="auto" w:fill="FFFFFF"/>
        </w:rPr>
        <w:t>Cramer,</w:t>
      </w:r>
      <w:r w:rsidR="00376AB0" w:rsidRPr="00D17A65">
        <w:rPr>
          <w:rFonts w:ascii="Times New Roman" w:hAnsi="Times New Roman" w:cs="Times New Roman"/>
          <w:sz w:val="24"/>
          <w:szCs w:val="24"/>
        </w:rPr>
        <w:t xml:space="preserve"> et al., 2016).</w:t>
      </w:r>
    </w:p>
    <w:p w14:paraId="2AD5B78C" w14:textId="77777777" w:rsidR="00202047" w:rsidRPr="00D17A65" w:rsidRDefault="00202047" w:rsidP="00FD049D">
      <w:pPr>
        <w:spacing w:after="0"/>
        <w:jc w:val="both"/>
        <w:rPr>
          <w:rFonts w:ascii="Times New Roman" w:hAnsi="Times New Roman" w:cs="Times New Roman"/>
          <w:sz w:val="24"/>
          <w:szCs w:val="24"/>
        </w:rPr>
      </w:pPr>
    </w:p>
    <w:p w14:paraId="63EF5158" w14:textId="671A6C0E"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4</w:t>
      </w:r>
      <w:r w:rsidRPr="00D17A65">
        <w:rPr>
          <w:rFonts w:ascii="Times New Roman" w:eastAsia="Times New Roman" w:hAnsi="Times New Roman" w:cs="Times New Roman"/>
          <w:b/>
          <w:bCs/>
          <w:sz w:val="24"/>
          <w:szCs w:val="24"/>
        </w:rPr>
        <w:t>: Comparative Analysis of Gender-Responsive ICT Tools and Outcomes in Food Technology Extension</w:t>
      </w:r>
    </w:p>
    <w:tbl>
      <w:tblPr>
        <w:tblStyle w:val="TableGrid"/>
        <w:tblW w:w="0" w:type="auto"/>
        <w:tblLook w:val="04A0" w:firstRow="1" w:lastRow="0" w:firstColumn="1" w:lastColumn="0" w:noHBand="0" w:noVBand="1"/>
      </w:tblPr>
      <w:tblGrid>
        <w:gridCol w:w="1473"/>
        <w:gridCol w:w="2400"/>
        <w:gridCol w:w="1994"/>
        <w:gridCol w:w="1566"/>
        <w:gridCol w:w="1917"/>
      </w:tblGrid>
      <w:tr w:rsidR="00A1353E" w:rsidRPr="00D17A65" w14:paraId="02071455" w14:textId="77777777" w:rsidTr="001B51A4">
        <w:tc>
          <w:tcPr>
            <w:tcW w:w="0" w:type="auto"/>
            <w:hideMark/>
          </w:tcPr>
          <w:p w14:paraId="6F1094DA"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ICT Tool / Platform</w:t>
            </w:r>
          </w:p>
        </w:tc>
        <w:tc>
          <w:tcPr>
            <w:tcW w:w="0" w:type="auto"/>
            <w:hideMark/>
          </w:tcPr>
          <w:p w14:paraId="6A2B610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Design Features for Women</w:t>
            </w:r>
          </w:p>
        </w:tc>
        <w:tc>
          <w:tcPr>
            <w:tcW w:w="0" w:type="auto"/>
            <w:hideMark/>
          </w:tcPr>
          <w:p w14:paraId="1D3586A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Primary Food Technology Applications</w:t>
            </w:r>
          </w:p>
        </w:tc>
        <w:tc>
          <w:tcPr>
            <w:tcW w:w="0" w:type="auto"/>
            <w:hideMark/>
          </w:tcPr>
          <w:p w14:paraId="297AC6D3"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662A5B8D"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639F075E" w14:textId="77777777" w:rsidTr="001B51A4">
        <w:tc>
          <w:tcPr>
            <w:tcW w:w="0" w:type="auto"/>
            <w:hideMark/>
          </w:tcPr>
          <w:p w14:paraId="64A3A7C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Voice-based advisory services</w:t>
            </w:r>
          </w:p>
        </w:tc>
        <w:tc>
          <w:tcPr>
            <w:tcW w:w="0" w:type="auto"/>
            <w:hideMark/>
          </w:tcPr>
          <w:p w14:paraId="7567EE7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Local language audio; no literacy requirement</w:t>
            </w:r>
          </w:p>
        </w:tc>
        <w:tc>
          <w:tcPr>
            <w:tcW w:w="0" w:type="auto"/>
            <w:hideMark/>
          </w:tcPr>
          <w:p w14:paraId="2F33F0B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steps, hygiene practices, machinery use</w:t>
            </w:r>
          </w:p>
        </w:tc>
        <w:tc>
          <w:tcPr>
            <w:tcW w:w="0" w:type="auto"/>
            <w:hideMark/>
          </w:tcPr>
          <w:p w14:paraId="76A5AF9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limited schooling</w:t>
            </w:r>
          </w:p>
        </w:tc>
        <w:tc>
          <w:tcPr>
            <w:tcW w:w="0" w:type="auto"/>
            <w:hideMark/>
          </w:tcPr>
          <w:p w14:paraId="4D4ED06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safer and correct technology use</w:t>
            </w:r>
          </w:p>
        </w:tc>
      </w:tr>
      <w:tr w:rsidR="00A1353E" w:rsidRPr="00D17A65" w14:paraId="24DF4E77" w14:textId="77777777" w:rsidTr="001B51A4">
        <w:tc>
          <w:tcPr>
            <w:tcW w:w="0" w:type="auto"/>
            <w:hideMark/>
          </w:tcPr>
          <w:p w14:paraId="66EA813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SMS alerts</w:t>
            </w:r>
          </w:p>
        </w:tc>
        <w:tc>
          <w:tcPr>
            <w:tcW w:w="0" w:type="auto"/>
            <w:hideMark/>
          </w:tcPr>
          <w:p w14:paraId="4D6BA2D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timely messages; compatible with basic phones</w:t>
            </w:r>
          </w:p>
        </w:tc>
        <w:tc>
          <w:tcPr>
            <w:tcW w:w="0" w:type="auto"/>
            <w:hideMark/>
          </w:tcPr>
          <w:p w14:paraId="35533B7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schedules, quality checks, reminders</w:t>
            </w:r>
          </w:p>
        </w:tc>
        <w:tc>
          <w:tcPr>
            <w:tcW w:w="0" w:type="auto"/>
            <w:hideMark/>
          </w:tcPr>
          <w:p w14:paraId="551C4B5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constraints, information gaps</w:t>
            </w:r>
          </w:p>
        </w:tc>
        <w:tc>
          <w:tcPr>
            <w:tcW w:w="0" w:type="auto"/>
            <w:hideMark/>
          </w:tcPr>
          <w:p w14:paraId="398455E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processing errors; timely compliance</w:t>
            </w:r>
          </w:p>
        </w:tc>
      </w:tr>
      <w:tr w:rsidR="00A1353E" w:rsidRPr="00D17A65" w14:paraId="0E477A78" w14:textId="77777777" w:rsidTr="001B51A4">
        <w:tc>
          <w:tcPr>
            <w:tcW w:w="0" w:type="auto"/>
            <w:hideMark/>
          </w:tcPr>
          <w:p w14:paraId="25D1E7C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IVR systems</w:t>
            </w:r>
          </w:p>
        </w:tc>
        <w:tc>
          <w:tcPr>
            <w:tcW w:w="0" w:type="auto"/>
            <w:hideMark/>
          </w:tcPr>
          <w:p w14:paraId="00B567C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Interactive, menu-based guidance; on-demand access</w:t>
            </w:r>
          </w:p>
        </w:tc>
        <w:tc>
          <w:tcPr>
            <w:tcW w:w="0" w:type="auto"/>
            <w:hideMark/>
          </w:tcPr>
          <w:p w14:paraId="4A5B16C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steps, troubleshooting, quality standards</w:t>
            </w:r>
          </w:p>
        </w:tc>
        <w:tc>
          <w:tcPr>
            <w:tcW w:w="0" w:type="auto"/>
            <w:hideMark/>
          </w:tcPr>
          <w:p w14:paraId="2384E5A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and mobility constraints</w:t>
            </w:r>
          </w:p>
        </w:tc>
        <w:tc>
          <w:tcPr>
            <w:tcW w:w="0" w:type="auto"/>
            <w:hideMark/>
          </w:tcPr>
          <w:p w14:paraId="3C6BCA9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problem-solving ability</w:t>
            </w:r>
          </w:p>
        </w:tc>
      </w:tr>
      <w:tr w:rsidR="00A1353E" w:rsidRPr="00D17A65" w14:paraId="28D0A36F" w14:textId="77777777" w:rsidTr="001B51A4">
        <w:tc>
          <w:tcPr>
            <w:tcW w:w="0" w:type="auto"/>
            <w:hideMark/>
          </w:tcPr>
          <w:p w14:paraId="6731F3E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Low-data mobile applications</w:t>
            </w:r>
          </w:p>
        </w:tc>
        <w:tc>
          <w:tcPr>
            <w:tcW w:w="0" w:type="auto"/>
            <w:hideMark/>
          </w:tcPr>
          <w:p w14:paraId="0265F7F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Offline access; minimal data usage</w:t>
            </w:r>
          </w:p>
        </w:tc>
        <w:tc>
          <w:tcPr>
            <w:tcW w:w="0" w:type="auto"/>
            <w:hideMark/>
          </w:tcPr>
          <w:p w14:paraId="1CE6E14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techniques, packaging, market info</w:t>
            </w:r>
          </w:p>
        </w:tc>
        <w:tc>
          <w:tcPr>
            <w:tcW w:w="0" w:type="auto"/>
            <w:hideMark/>
          </w:tcPr>
          <w:p w14:paraId="605C2D4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Poor internet connectivity, cost barriers</w:t>
            </w:r>
          </w:p>
        </w:tc>
        <w:tc>
          <w:tcPr>
            <w:tcW w:w="0" w:type="auto"/>
            <w:hideMark/>
          </w:tcPr>
          <w:p w14:paraId="4B41727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adoption of food technologies</w:t>
            </w:r>
          </w:p>
        </w:tc>
      </w:tr>
      <w:tr w:rsidR="00A1353E" w:rsidRPr="00D17A65" w14:paraId="15B4A882" w14:textId="77777777" w:rsidTr="001B51A4">
        <w:tc>
          <w:tcPr>
            <w:tcW w:w="0" w:type="auto"/>
            <w:hideMark/>
          </w:tcPr>
          <w:p w14:paraId="671AA44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WhatsApp / messaging groups</w:t>
            </w:r>
          </w:p>
        </w:tc>
        <w:tc>
          <w:tcPr>
            <w:tcW w:w="0" w:type="auto"/>
            <w:hideMark/>
          </w:tcPr>
          <w:p w14:paraId="041C1DA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Peer interaction; multimedia sharing (audio/video/images)</w:t>
            </w:r>
          </w:p>
        </w:tc>
        <w:tc>
          <w:tcPr>
            <w:tcW w:w="0" w:type="auto"/>
            <w:hideMark/>
          </w:tcPr>
          <w:p w14:paraId="45AAEA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Troubleshooting, peer learning, best practices</w:t>
            </w:r>
          </w:p>
        </w:tc>
        <w:tc>
          <w:tcPr>
            <w:tcW w:w="0" w:type="auto"/>
            <w:hideMark/>
          </w:tcPr>
          <w:p w14:paraId="48F733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isolation, weak networks</w:t>
            </w:r>
          </w:p>
        </w:tc>
        <w:tc>
          <w:tcPr>
            <w:tcW w:w="0" w:type="auto"/>
            <w:hideMark/>
          </w:tcPr>
          <w:p w14:paraId="4E6F0F8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faster issue resolution</w:t>
            </w:r>
          </w:p>
        </w:tc>
      </w:tr>
      <w:tr w:rsidR="00A1353E" w:rsidRPr="00D17A65" w14:paraId="58DAB8A8" w14:textId="77777777" w:rsidTr="001B51A4">
        <w:tc>
          <w:tcPr>
            <w:tcW w:w="0" w:type="auto"/>
            <w:hideMark/>
          </w:tcPr>
          <w:p w14:paraId="4EB148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Video-based advisories</w:t>
            </w:r>
          </w:p>
        </w:tc>
        <w:tc>
          <w:tcPr>
            <w:tcW w:w="0" w:type="auto"/>
            <w:hideMark/>
          </w:tcPr>
          <w:p w14:paraId="023B6A2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demonstrations; local context</w:t>
            </w:r>
          </w:p>
        </w:tc>
        <w:tc>
          <w:tcPr>
            <w:tcW w:w="0" w:type="auto"/>
            <w:hideMark/>
          </w:tcPr>
          <w:p w14:paraId="3C6440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equipment handling</w:t>
            </w:r>
          </w:p>
        </w:tc>
        <w:tc>
          <w:tcPr>
            <w:tcW w:w="0" w:type="auto"/>
            <w:hideMark/>
          </w:tcPr>
          <w:p w14:paraId="6CFACD9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constraints</w:t>
            </w:r>
          </w:p>
        </w:tc>
        <w:tc>
          <w:tcPr>
            <w:tcW w:w="0" w:type="auto"/>
            <w:hideMark/>
          </w:tcPr>
          <w:p w14:paraId="6CAD8BD7"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skill acquisition and retention</w:t>
            </w:r>
          </w:p>
        </w:tc>
      </w:tr>
      <w:tr w:rsidR="00A1353E" w:rsidRPr="00D17A65" w14:paraId="2E05E4A6" w14:textId="77777777" w:rsidTr="001B51A4">
        <w:tc>
          <w:tcPr>
            <w:tcW w:w="0" w:type="auto"/>
            <w:hideMark/>
          </w:tcPr>
          <w:p w14:paraId="59EAE11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Digital market information platforms</w:t>
            </w:r>
          </w:p>
        </w:tc>
        <w:tc>
          <w:tcPr>
            <w:tcW w:w="0" w:type="auto"/>
            <w:hideMark/>
          </w:tcPr>
          <w:p w14:paraId="22CB1EC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Real-time price and demand information</w:t>
            </w:r>
          </w:p>
        </w:tc>
        <w:tc>
          <w:tcPr>
            <w:tcW w:w="0" w:type="auto"/>
            <w:hideMark/>
          </w:tcPr>
          <w:p w14:paraId="656995A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Marketing, sales planning, enterprise decisions</w:t>
            </w:r>
          </w:p>
        </w:tc>
        <w:tc>
          <w:tcPr>
            <w:tcW w:w="0" w:type="auto"/>
            <w:hideMark/>
          </w:tcPr>
          <w:p w14:paraId="1EA0340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 access asymmetry</w:t>
            </w:r>
          </w:p>
        </w:tc>
        <w:tc>
          <w:tcPr>
            <w:tcW w:w="0" w:type="auto"/>
            <w:hideMark/>
          </w:tcPr>
          <w:p w14:paraId="02F938D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bargaining power and income</w:t>
            </w:r>
          </w:p>
        </w:tc>
      </w:tr>
      <w:tr w:rsidR="00A1353E" w:rsidRPr="00D17A65" w14:paraId="64F0FFD8" w14:textId="77777777" w:rsidTr="001B51A4">
        <w:tc>
          <w:tcPr>
            <w:tcW w:w="0" w:type="auto"/>
            <w:hideMark/>
          </w:tcPr>
          <w:p w14:paraId="332180A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Hybrid ICT + face-to-face models</w:t>
            </w:r>
          </w:p>
        </w:tc>
        <w:tc>
          <w:tcPr>
            <w:tcW w:w="0" w:type="auto"/>
            <w:hideMark/>
          </w:tcPr>
          <w:p w14:paraId="2751A16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follow-up after physical training</w:t>
            </w:r>
          </w:p>
        </w:tc>
        <w:tc>
          <w:tcPr>
            <w:tcW w:w="0" w:type="auto"/>
            <w:hideMark/>
          </w:tcPr>
          <w:p w14:paraId="01A97CE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Adoption support, mentoring</w:t>
            </w:r>
          </w:p>
        </w:tc>
        <w:tc>
          <w:tcPr>
            <w:tcW w:w="0" w:type="auto"/>
            <w:hideMark/>
          </w:tcPr>
          <w:p w14:paraId="5E29824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after training</w:t>
            </w:r>
          </w:p>
        </w:tc>
        <w:tc>
          <w:tcPr>
            <w:tcW w:w="0" w:type="auto"/>
            <w:hideMark/>
          </w:tcPr>
          <w:p w14:paraId="7976FDB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technology use and enterprise growth</w:t>
            </w:r>
          </w:p>
        </w:tc>
      </w:tr>
    </w:tbl>
    <w:p w14:paraId="0C93E6B3" w14:textId="77777777" w:rsidR="00A1353E" w:rsidRPr="00D17A65" w:rsidRDefault="00A1353E" w:rsidP="00FD049D">
      <w:pPr>
        <w:spacing w:after="0"/>
        <w:jc w:val="both"/>
        <w:rPr>
          <w:rFonts w:ascii="Times New Roman" w:hAnsi="Times New Roman" w:cs="Times New Roman"/>
          <w:sz w:val="24"/>
          <w:szCs w:val="24"/>
        </w:rPr>
      </w:pPr>
    </w:p>
    <w:p w14:paraId="210623B7" w14:textId="77777777" w:rsidR="00FD049D" w:rsidRPr="00D17A65" w:rsidRDefault="00FD049D" w:rsidP="00FD049D">
      <w:pPr>
        <w:spacing w:after="0"/>
        <w:jc w:val="both"/>
        <w:rPr>
          <w:rFonts w:ascii="Times New Roman" w:hAnsi="Times New Roman" w:cs="Times New Roman"/>
          <w:sz w:val="24"/>
          <w:szCs w:val="24"/>
        </w:rPr>
      </w:pPr>
    </w:p>
    <w:p w14:paraId="0394F04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 Institutional and Organizational Gender Mainstreaming</w:t>
      </w:r>
    </w:p>
    <w:p w14:paraId="03D2DAF8" w14:textId="77777777" w:rsidR="00FD049D" w:rsidRPr="00D17A65" w:rsidRDefault="00FD049D" w:rsidP="00FD049D">
      <w:pPr>
        <w:spacing w:after="0"/>
        <w:jc w:val="both"/>
        <w:rPr>
          <w:rFonts w:ascii="Times New Roman" w:hAnsi="Times New Roman" w:cs="Times New Roman"/>
          <w:sz w:val="24"/>
          <w:szCs w:val="24"/>
        </w:rPr>
      </w:pPr>
    </w:p>
    <w:p w14:paraId="4B27034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participatory methods, capacity building, and digital tools are key for boosting women’s involvement in food technology, their effects are limited without supportive institutional and organizational settings. Institutional and organizational gender mainstreaming ensures that gender sensitivity is not handled as an isolated task but is systematically woven into the goals, structures, and operations of extension systems</w:t>
      </w:r>
      <w:r w:rsidR="00376AB0" w:rsidRPr="00D17A65">
        <w:rPr>
          <w:rFonts w:ascii="Times New Roman" w:hAnsi="Times New Roman" w:cs="Times New Roman"/>
          <w:sz w:val="24"/>
          <w:szCs w:val="24"/>
        </w:rPr>
        <w:t xml:space="preserve"> (</w:t>
      </w:r>
      <w:r w:rsidR="00376AB0" w:rsidRPr="00D17A65">
        <w:rPr>
          <w:rFonts w:ascii="Times New Roman" w:hAnsi="Times New Roman" w:cs="Times New Roman"/>
          <w:color w:val="222222"/>
          <w:sz w:val="24"/>
          <w:szCs w:val="24"/>
          <w:shd w:val="clear" w:color="auto" w:fill="FFFFFF"/>
        </w:rPr>
        <w:t>Kapinga, 2020)</w:t>
      </w:r>
      <w:r w:rsidRPr="00D17A65">
        <w:rPr>
          <w:rFonts w:ascii="Times New Roman" w:hAnsi="Times New Roman" w:cs="Times New Roman"/>
          <w:sz w:val="24"/>
          <w:szCs w:val="24"/>
        </w:rPr>
        <w:t>.</w:t>
      </w:r>
    </w:p>
    <w:p w14:paraId="32B5BAEC" w14:textId="77777777" w:rsidR="00202047" w:rsidRPr="00D17A65" w:rsidRDefault="00202047" w:rsidP="00FD049D">
      <w:pPr>
        <w:spacing w:after="0"/>
        <w:jc w:val="both"/>
        <w:rPr>
          <w:rFonts w:ascii="Times New Roman" w:hAnsi="Times New Roman" w:cs="Times New Roman"/>
          <w:sz w:val="24"/>
          <w:szCs w:val="24"/>
        </w:rPr>
      </w:pPr>
    </w:p>
    <w:p w14:paraId="00D0BA7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3.4.1 Embedding Gender in Policy and Strategic Frameworks</w:t>
      </w:r>
    </w:p>
    <w:p w14:paraId="628D3832" w14:textId="77777777" w:rsidR="00FD049D" w:rsidRPr="00D17A65" w:rsidRDefault="00FD049D" w:rsidP="00FD049D">
      <w:pPr>
        <w:spacing w:after="0"/>
        <w:jc w:val="both"/>
        <w:rPr>
          <w:rFonts w:ascii="Times New Roman" w:hAnsi="Times New Roman" w:cs="Times New Roman"/>
          <w:sz w:val="24"/>
          <w:szCs w:val="24"/>
        </w:rPr>
      </w:pPr>
    </w:p>
    <w:p w14:paraId="5EB1CA61"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For lasting and scalable results, extension agencies must clearly integrate gender considerations into policy frameworks, strategic plans, and operational guidelines</w:t>
      </w:r>
      <w:r w:rsidR="008A0BCE" w:rsidRPr="00D17A65">
        <w:rPr>
          <w:rFonts w:ascii="Times New Roman" w:hAnsi="Times New Roman" w:cs="Times New Roman"/>
          <w:sz w:val="24"/>
          <w:szCs w:val="24"/>
        </w:rPr>
        <w:t xml:space="preserve"> (</w:t>
      </w:r>
      <w:r w:rsidR="008A0BCE" w:rsidRPr="00D17A65">
        <w:rPr>
          <w:rFonts w:ascii="Times New Roman" w:hAnsi="Times New Roman" w:cs="Times New Roman"/>
          <w:color w:val="222222"/>
          <w:sz w:val="24"/>
          <w:szCs w:val="24"/>
          <w:shd w:val="clear" w:color="auto" w:fill="FFFFFF"/>
        </w:rPr>
        <w:t>Ahmed, 2017)</w:t>
      </w:r>
      <w:r w:rsidRPr="00D17A65">
        <w:rPr>
          <w:rFonts w:ascii="Times New Roman" w:hAnsi="Times New Roman" w:cs="Times New Roman"/>
          <w:sz w:val="24"/>
          <w:szCs w:val="24"/>
        </w:rPr>
        <w:t>. Gender mainstreaming at the policy level provides a formal basis for inclusive programming in food technology, ensuring that women are recognized as important stakeholders rather than secondary beneficiaries</w:t>
      </w:r>
      <w:r w:rsidR="008A0BCE" w:rsidRPr="00D17A65">
        <w:rPr>
          <w:rFonts w:ascii="Times New Roman" w:hAnsi="Times New Roman" w:cs="Times New Roman"/>
          <w:sz w:val="24"/>
          <w:szCs w:val="24"/>
        </w:rPr>
        <w:t xml:space="preserve"> (</w:t>
      </w:r>
      <w:proofErr w:type="spellStart"/>
      <w:r w:rsidR="008A0BCE" w:rsidRPr="00D17A65">
        <w:rPr>
          <w:rFonts w:ascii="Times New Roman" w:hAnsi="Times New Roman" w:cs="Times New Roman"/>
          <w:color w:val="222222"/>
          <w:sz w:val="24"/>
          <w:szCs w:val="24"/>
          <w:shd w:val="clear" w:color="auto" w:fill="FFFFFF"/>
        </w:rPr>
        <w:t>Miroux</w:t>
      </w:r>
      <w:proofErr w:type="spellEnd"/>
      <w:r w:rsidR="008A0BCE" w:rsidRPr="00D17A65">
        <w:rPr>
          <w:rFonts w:ascii="Times New Roman" w:hAnsi="Times New Roman" w:cs="Times New Roman"/>
          <w:color w:val="222222"/>
          <w:sz w:val="24"/>
          <w:szCs w:val="24"/>
          <w:shd w:val="clear" w:color="auto" w:fill="FFFFFF"/>
        </w:rPr>
        <w:t>,</w:t>
      </w:r>
      <w:r w:rsidR="008A0BCE" w:rsidRPr="00D17A65">
        <w:rPr>
          <w:rFonts w:ascii="Times New Roman" w:hAnsi="Times New Roman" w:cs="Times New Roman"/>
          <w:sz w:val="24"/>
          <w:szCs w:val="24"/>
        </w:rPr>
        <w:t xml:space="preserve"> 2011).</w:t>
      </w:r>
      <w:r w:rsidRPr="00D17A65">
        <w:rPr>
          <w:rFonts w:ascii="Times New Roman" w:hAnsi="Times New Roman" w:cs="Times New Roman"/>
          <w:sz w:val="24"/>
          <w:szCs w:val="24"/>
        </w:rPr>
        <w:t xml:space="preserve"> Strategic incorporation of gender objectives helps extension systems connect food technology initiatives with wider goals on equity, nutrition security, entrepreneurship, and sustainable development.</w:t>
      </w:r>
    </w:p>
    <w:p w14:paraId="65ADC5F9" w14:textId="77777777" w:rsidR="00FD049D" w:rsidRPr="00D17A65" w:rsidRDefault="00FD049D" w:rsidP="00FD049D">
      <w:pPr>
        <w:spacing w:after="0"/>
        <w:jc w:val="both"/>
        <w:rPr>
          <w:rFonts w:ascii="Times New Roman" w:hAnsi="Times New Roman" w:cs="Times New Roman"/>
          <w:sz w:val="24"/>
          <w:szCs w:val="24"/>
        </w:rPr>
      </w:pPr>
    </w:p>
    <w:p w14:paraId="5690E06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3.4.2 Gender-Responsive Budgeting and Resource Allocation</w:t>
      </w:r>
    </w:p>
    <w:p w14:paraId="0EFD0445" w14:textId="77777777" w:rsidR="00FD049D" w:rsidRPr="00D17A65" w:rsidRDefault="00FD049D" w:rsidP="00FD049D">
      <w:pPr>
        <w:spacing w:after="0"/>
        <w:jc w:val="both"/>
        <w:rPr>
          <w:rFonts w:ascii="Times New Roman" w:hAnsi="Times New Roman" w:cs="Times New Roman"/>
          <w:sz w:val="24"/>
          <w:szCs w:val="24"/>
        </w:rPr>
      </w:pPr>
    </w:p>
    <w:p w14:paraId="1B99776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strong commitment to gender responsiveness should reflect in the budget. Gender-responsive budgeting makes sure there is enough financial and material support for women-focused training, ICT tools, business assistance, and outreach activities. Without dedicated resources, gender goals may remain only symbolic. Transparent budget tracking helps organizations evaluate whether investments genuinely support women in food processing and food technology businesses.</w:t>
      </w:r>
    </w:p>
    <w:p w14:paraId="69875874" w14:textId="77777777" w:rsidR="00FD049D" w:rsidRPr="00D17A65" w:rsidRDefault="00FD049D" w:rsidP="00FD049D">
      <w:pPr>
        <w:spacing w:after="0"/>
        <w:jc w:val="both"/>
        <w:rPr>
          <w:rFonts w:ascii="Times New Roman" w:hAnsi="Times New Roman" w:cs="Times New Roman"/>
          <w:sz w:val="24"/>
          <w:szCs w:val="24"/>
        </w:rPr>
      </w:pPr>
    </w:p>
    <w:p w14:paraId="08593B67"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3.4.3 Human Resource Policies and Capacity of Extension Personnel</w:t>
      </w:r>
    </w:p>
    <w:p w14:paraId="6248890D" w14:textId="77777777" w:rsidR="00FD049D" w:rsidRPr="00D17A65" w:rsidRDefault="00FD049D" w:rsidP="00FD049D">
      <w:pPr>
        <w:spacing w:after="0"/>
        <w:jc w:val="both"/>
        <w:rPr>
          <w:rFonts w:ascii="Times New Roman" w:hAnsi="Times New Roman" w:cs="Times New Roman"/>
          <w:sz w:val="24"/>
          <w:szCs w:val="24"/>
        </w:rPr>
      </w:pPr>
    </w:p>
    <w:p w14:paraId="13BE9F2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Human resource practices significantly affect gender responsiveness within extension organizations. Hiring female extension agents and technical staff improves women’s access to advisory services, especially in socio-cultural contexts where interactions with male agents may be limited. Equally important is training both male and female extension personnel in gender analysis, inclusive facilitation, and gender-sensitive communication. Such training helps extension </w:t>
      </w:r>
      <w:r w:rsidRPr="00D17A65">
        <w:rPr>
          <w:rFonts w:ascii="Times New Roman" w:hAnsi="Times New Roman" w:cs="Times New Roman"/>
          <w:sz w:val="24"/>
          <w:szCs w:val="24"/>
        </w:rPr>
        <w:lastRenderedPageBreak/>
        <w:t>staff recognize unconscious biases and adjust their methods to better support women food processors and entrepreneurs.</w:t>
      </w:r>
    </w:p>
    <w:p w14:paraId="12EB5B94" w14:textId="77777777" w:rsidR="00FD049D" w:rsidRPr="00D17A65" w:rsidRDefault="00FD049D" w:rsidP="00FD049D">
      <w:pPr>
        <w:spacing w:after="0"/>
        <w:jc w:val="both"/>
        <w:rPr>
          <w:rFonts w:ascii="Times New Roman" w:hAnsi="Times New Roman" w:cs="Times New Roman"/>
          <w:sz w:val="24"/>
          <w:szCs w:val="24"/>
        </w:rPr>
      </w:pPr>
    </w:p>
    <w:p w14:paraId="6A25052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3.4.4 Role of Gender Focal Points and Accountability Mechanisms</w:t>
      </w:r>
    </w:p>
    <w:p w14:paraId="2943481D" w14:textId="77777777" w:rsidR="00FD049D" w:rsidRPr="00D17A65" w:rsidRDefault="00FD049D" w:rsidP="00FD049D">
      <w:pPr>
        <w:spacing w:after="0"/>
        <w:jc w:val="both"/>
        <w:rPr>
          <w:rFonts w:ascii="Times New Roman" w:hAnsi="Times New Roman" w:cs="Times New Roman"/>
          <w:sz w:val="24"/>
          <w:szCs w:val="24"/>
        </w:rPr>
      </w:pPr>
    </w:p>
    <w:p w14:paraId="15325B0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Creating gender focal points or units within extension departments strengthens institutional accountability. These focal points coordinate gender mainstreaming efforts, monitor outreach and participation equity, and ensure the collection of sex-disaggregated data. By tracking indicators related to women’s participation, technology adoption, business outcomes, and leadership roles, gender focal points allow for evidence-based adjustments to extension strategies and programs.</w:t>
      </w:r>
    </w:p>
    <w:p w14:paraId="47DBC562" w14:textId="77777777" w:rsidR="00FD049D" w:rsidRPr="00D17A65" w:rsidRDefault="00FD049D" w:rsidP="00FD049D">
      <w:pPr>
        <w:spacing w:after="0"/>
        <w:jc w:val="both"/>
        <w:rPr>
          <w:rFonts w:ascii="Times New Roman" w:hAnsi="Times New Roman" w:cs="Times New Roman"/>
          <w:sz w:val="24"/>
          <w:szCs w:val="24"/>
        </w:rPr>
      </w:pPr>
    </w:p>
    <w:p w14:paraId="55301B4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3.4.5 Gender-Responsive Monitoring, Evaluation, and Learning (MEL)</w:t>
      </w:r>
    </w:p>
    <w:p w14:paraId="3192D14D" w14:textId="77777777" w:rsidR="00FD049D" w:rsidRPr="00D17A65" w:rsidRDefault="00FD049D" w:rsidP="00FD049D">
      <w:pPr>
        <w:spacing w:after="0"/>
        <w:jc w:val="both"/>
        <w:rPr>
          <w:rFonts w:ascii="Times New Roman" w:hAnsi="Times New Roman" w:cs="Times New Roman"/>
          <w:sz w:val="24"/>
          <w:szCs w:val="24"/>
        </w:rPr>
      </w:pPr>
    </w:p>
    <w:p w14:paraId="68744964"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Organizational gender mainstreaming also requires integrating gender-sensitive monitoring, evaluation, and learning systems. These frameworks go beyond merely counting female participants to evaluate qualitative results, such as changes in decision-making power, access to resources, and income control. Feedback loops within MEL systems promote organizational learning and continual improvement of gender-responsive food technology extension efforts.</w:t>
      </w:r>
    </w:p>
    <w:p w14:paraId="50307A09" w14:textId="77777777" w:rsidR="00FD049D" w:rsidRPr="00D17A65" w:rsidRDefault="00FD049D" w:rsidP="00FD049D">
      <w:pPr>
        <w:spacing w:after="0"/>
        <w:jc w:val="both"/>
        <w:rPr>
          <w:rFonts w:ascii="Times New Roman" w:hAnsi="Times New Roman" w:cs="Times New Roman"/>
          <w:sz w:val="24"/>
          <w:szCs w:val="24"/>
        </w:rPr>
      </w:pPr>
    </w:p>
    <w:p w14:paraId="6EC69D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3.4.6 Outcomes and Long-Term Impact</w:t>
      </w:r>
    </w:p>
    <w:p w14:paraId="54824B96" w14:textId="77777777" w:rsidR="00FD049D" w:rsidRPr="00D17A65" w:rsidRDefault="00FD049D" w:rsidP="00FD049D">
      <w:pPr>
        <w:spacing w:after="0"/>
        <w:jc w:val="both"/>
        <w:rPr>
          <w:rFonts w:ascii="Times New Roman" w:hAnsi="Times New Roman" w:cs="Times New Roman"/>
          <w:sz w:val="24"/>
          <w:szCs w:val="24"/>
        </w:rPr>
      </w:pPr>
    </w:p>
    <w:p w14:paraId="259AAF0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Institutional and organizational gender mainstreaming creates an environment that supports the effectiveness of participatory, training, and ICT-based interventions</w:t>
      </w:r>
      <w:r w:rsidR="008A0BCE" w:rsidRPr="00D17A65">
        <w:rPr>
          <w:rFonts w:ascii="Times New Roman" w:hAnsi="Times New Roman" w:cs="Times New Roman"/>
          <w:sz w:val="24"/>
          <w:szCs w:val="24"/>
        </w:rPr>
        <w:t xml:space="preserve"> (</w:t>
      </w:r>
      <w:r w:rsidR="008A0BCE" w:rsidRPr="00D17A65">
        <w:rPr>
          <w:rFonts w:ascii="Times New Roman" w:hAnsi="Times New Roman" w:cs="Times New Roman"/>
          <w:color w:val="222222"/>
          <w:sz w:val="24"/>
          <w:szCs w:val="24"/>
          <w:shd w:val="clear" w:color="auto" w:fill="FFFFFF"/>
        </w:rPr>
        <w:t>Treinen,</w:t>
      </w:r>
      <w:r w:rsidR="008A0BCE" w:rsidRPr="00D17A65">
        <w:rPr>
          <w:rFonts w:ascii="Times New Roman" w:hAnsi="Times New Roman" w:cs="Times New Roman"/>
          <w:sz w:val="24"/>
          <w:szCs w:val="24"/>
        </w:rPr>
        <w:t xml:space="preserve"> et al., 2018).</w:t>
      </w:r>
      <w:r w:rsidRPr="00D17A65">
        <w:rPr>
          <w:rFonts w:ascii="Times New Roman" w:hAnsi="Times New Roman" w:cs="Times New Roman"/>
          <w:sz w:val="24"/>
          <w:szCs w:val="24"/>
        </w:rPr>
        <w:t xml:space="preserve"> Extension systems that embed gender in policies, staffing, budgets, and monitoring are in a better position to provide equitable, scalable, and long-term effects. Ultimately, such integration helps transform food technology extension into a more inclusive, accountable, and sustainable driver of women’s empowerment and resilience in food systems</w:t>
      </w:r>
      <w:r w:rsidR="000359DF" w:rsidRPr="00D17A65">
        <w:rPr>
          <w:rFonts w:ascii="Times New Roman" w:hAnsi="Times New Roman" w:cs="Times New Roman"/>
          <w:sz w:val="24"/>
          <w:szCs w:val="24"/>
        </w:rPr>
        <w:t xml:space="preserve"> (</w:t>
      </w:r>
      <w:r w:rsidR="000359DF" w:rsidRPr="00D17A65">
        <w:rPr>
          <w:rFonts w:ascii="Times New Roman" w:hAnsi="Times New Roman" w:cs="Times New Roman"/>
          <w:color w:val="222222"/>
          <w:sz w:val="24"/>
          <w:szCs w:val="24"/>
          <w:shd w:val="clear" w:color="auto" w:fill="FFFFFF"/>
        </w:rPr>
        <w:t>Flynn-Dapaah,</w:t>
      </w:r>
      <w:r w:rsidR="000359DF" w:rsidRPr="00D17A65">
        <w:rPr>
          <w:rFonts w:ascii="Times New Roman" w:hAnsi="Times New Roman" w:cs="Times New Roman"/>
          <w:sz w:val="24"/>
          <w:szCs w:val="24"/>
        </w:rPr>
        <w:t xml:space="preserve"> 2010).</w:t>
      </w:r>
    </w:p>
    <w:p w14:paraId="3A3A85B3" w14:textId="77777777" w:rsidR="000B3006" w:rsidRPr="00D17A65" w:rsidRDefault="000B3006" w:rsidP="00FD049D">
      <w:pPr>
        <w:spacing w:after="0"/>
        <w:jc w:val="both"/>
        <w:rPr>
          <w:rFonts w:ascii="Times New Roman" w:hAnsi="Times New Roman" w:cs="Times New Roman"/>
          <w:sz w:val="24"/>
          <w:szCs w:val="24"/>
        </w:rPr>
      </w:pPr>
    </w:p>
    <w:p w14:paraId="72280728" w14:textId="35017DDC"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5</w:t>
      </w:r>
      <w:r w:rsidRPr="00D17A65">
        <w:rPr>
          <w:rFonts w:ascii="Times New Roman" w:eastAsia="Times New Roman" w:hAnsi="Times New Roman" w:cs="Times New Roman"/>
          <w:b/>
          <w:bCs/>
          <w:sz w:val="24"/>
          <w:szCs w:val="24"/>
        </w:rPr>
        <w:t>: Comparative Analysis of Institutional Gender-Mainstreaming Measures and Outcomes in Food Technology Extension</w:t>
      </w:r>
    </w:p>
    <w:tbl>
      <w:tblPr>
        <w:tblStyle w:val="TableGrid"/>
        <w:tblW w:w="0" w:type="auto"/>
        <w:tblLook w:val="04A0" w:firstRow="1" w:lastRow="0" w:firstColumn="1" w:lastColumn="0" w:noHBand="0" w:noVBand="1"/>
      </w:tblPr>
      <w:tblGrid>
        <w:gridCol w:w="1933"/>
        <w:gridCol w:w="1937"/>
        <w:gridCol w:w="1726"/>
        <w:gridCol w:w="1890"/>
        <w:gridCol w:w="1864"/>
      </w:tblGrid>
      <w:tr w:rsidR="00A1353E" w:rsidRPr="00D17A65" w14:paraId="47A3F4D1" w14:textId="77777777" w:rsidTr="00A1353E">
        <w:tc>
          <w:tcPr>
            <w:tcW w:w="0" w:type="auto"/>
            <w:hideMark/>
          </w:tcPr>
          <w:p w14:paraId="04A76F4A"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Institutional / Organizational Measure</w:t>
            </w:r>
          </w:p>
        </w:tc>
        <w:tc>
          <w:tcPr>
            <w:tcW w:w="0" w:type="auto"/>
            <w:hideMark/>
          </w:tcPr>
          <w:p w14:paraId="266510C6"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Actions</w:t>
            </w:r>
          </w:p>
        </w:tc>
        <w:tc>
          <w:tcPr>
            <w:tcW w:w="0" w:type="auto"/>
            <w:hideMark/>
          </w:tcPr>
          <w:p w14:paraId="0E4139D3"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Gap</w:t>
            </w:r>
          </w:p>
        </w:tc>
        <w:tc>
          <w:tcPr>
            <w:tcW w:w="0" w:type="auto"/>
            <w:hideMark/>
          </w:tcPr>
          <w:p w14:paraId="77540879"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Extension System Effect</w:t>
            </w:r>
          </w:p>
        </w:tc>
        <w:tc>
          <w:tcPr>
            <w:tcW w:w="0" w:type="auto"/>
            <w:hideMark/>
          </w:tcPr>
          <w:p w14:paraId="6DD60C54"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5EE723D9" w14:textId="77777777" w:rsidTr="00A1353E">
        <w:tc>
          <w:tcPr>
            <w:tcW w:w="0" w:type="auto"/>
            <w:hideMark/>
          </w:tcPr>
          <w:p w14:paraId="77F3CAF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integration in policy frameworks</w:t>
            </w:r>
          </w:p>
        </w:tc>
        <w:tc>
          <w:tcPr>
            <w:tcW w:w="0" w:type="auto"/>
            <w:hideMark/>
          </w:tcPr>
          <w:p w14:paraId="5EBE6C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of gender goals in food tech extension policies and guidelines</w:t>
            </w:r>
          </w:p>
        </w:tc>
        <w:tc>
          <w:tcPr>
            <w:tcW w:w="0" w:type="auto"/>
            <w:hideMark/>
          </w:tcPr>
          <w:p w14:paraId="4A47E8E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formal mandate for gender inclusion</w:t>
            </w:r>
          </w:p>
        </w:tc>
        <w:tc>
          <w:tcPr>
            <w:tcW w:w="0" w:type="auto"/>
            <w:hideMark/>
          </w:tcPr>
          <w:p w14:paraId="43BF1D31"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legitimacy for gender-responsive programs</w:t>
            </w:r>
          </w:p>
        </w:tc>
        <w:tc>
          <w:tcPr>
            <w:tcW w:w="0" w:type="auto"/>
            <w:hideMark/>
          </w:tcPr>
          <w:p w14:paraId="15CFC5E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women’s inclusion in food technology initiatives</w:t>
            </w:r>
          </w:p>
        </w:tc>
      </w:tr>
      <w:tr w:rsidR="00A1353E" w:rsidRPr="00D17A65" w14:paraId="517D1768" w14:textId="77777777" w:rsidTr="00A1353E">
        <w:tc>
          <w:tcPr>
            <w:tcW w:w="0" w:type="auto"/>
            <w:hideMark/>
          </w:tcPr>
          <w:p w14:paraId="645737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strategic planning</w:t>
            </w:r>
          </w:p>
        </w:tc>
        <w:tc>
          <w:tcPr>
            <w:tcW w:w="0" w:type="auto"/>
            <w:hideMark/>
          </w:tcPr>
          <w:p w14:paraId="00EEFF3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 xml:space="preserve">Gender-specific objectives, </w:t>
            </w:r>
            <w:r w:rsidRPr="00D17A65">
              <w:rPr>
                <w:rFonts w:ascii="Times New Roman" w:eastAsia="Times New Roman" w:hAnsi="Times New Roman" w:cs="Times New Roman"/>
                <w:sz w:val="24"/>
                <w:szCs w:val="24"/>
              </w:rPr>
              <w:lastRenderedPageBreak/>
              <w:t>targets, and indicators</w:t>
            </w:r>
          </w:p>
        </w:tc>
        <w:tc>
          <w:tcPr>
            <w:tcW w:w="0" w:type="auto"/>
            <w:hideMark/>
          </w:tcPr>
          <w:p w14:paraId="6BC1DBE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Ad hoc or project-based gender efforts</w:t>
            </w:r>
          </w:p>
        </w:tc>
        <w:tc>
          <w:tcPr>
            <w:tcW w:w="0" w:type="auto"/>
            <w:hideMark/>
          </w:tcPr>
          <w:p w14:paraId="071F62CE"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Program coherence and alignment</w:t>
            </w:r>
          </w:p>
        </w:tc>
        <w:tc>
          <w:tcPr>
            <w:tcW w:w="0" w:type="auto"/>
            <w:hideMark/>
          </w:tcPr>
          <w:p w14:paraId="5A1E24F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Scalable and consistent gender-</w:t>
            </w:r>
            <w:r w:rsidRPr="00D17A65">
              <w:rPr>
                <w:rFonts w:ascii="Times New Roman" w:eastAsia="Times New Roman" w:hAnsi="Times New Roman" w:cs="Times New Roman"/>
                <w:sz w:val="24"/>
                <w:szCs w:val="24"/>
              </w:rPr>
              <w:lastRenderedPageBreak/>
              <w:t>responsive interventions</w:t>
            </w:r>
          </w:p>
        </w:tc>
      </w:tr>
      <w:tr w:rsidR="00A1353E" w:rsidRPr="00D17A65" w14:paraId="4A164D81" w14:textId="77777777" w:rsidTr="00A1353E">
        <w:tc>
          <w:tcPr>
            <w:tcW w:w="0" w:type="auto"/>
            <w:hideMark/>
          </w:tcPr>
          <w:p w14:paraId="46F7DE6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Gender-responsive budgeting</w:t>
            </w:r>
          </w:p>
        </w:tc>
        <w:tc>
          <w:tcPr>
            <w:tcW w:w="0" w:type="auto"/>
            <w:hideMark/>
          </w:tcPr>
          <w:p w14:paraId="2E1BE54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Dedicated funds for women-focused training, ICT tools, and enterprises</w:t>
            </w:r>
          </w:p>
        </w:tc>
        <w:tc>
          <w:tcPr>
            <w:tcW w:w="0" w:type="auto"/>
            <w:hideMark/>
          </w:tcPr>
          <w:p w14:paraId="7F3839D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Resource constraints for women</w:t>
            </w:r>
          </w:p>
        </w:tc>
        <w:tc>
          <w:tcPr>
            <w:tcW w:w="0" w:type="auto"/>
            <w:hideMark/>
          </w:tcPr>
          <w:p w14:paraId="2B101E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Financial support for inclusive programming</w:t>
            </w:r>
          </w:p>
        </w:tc>
        <w:tc>
          <w:tcPr>
            <w:tcW w:w="0" w:type="auto"/>
            <w:hideMark/>
          </w:tcPr>
          <w:p w14:paraId="2464CCE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outreach and quality of services to women</w:t>
            </w:r>
          </w:p>
        </w:tc>
      </w:tr>
      <w:tr w:rsidR="00A1353E" w:rsidRPr="00D17A65" w14:paraId="29BC94D6" w14:textId="77777777" w:rsidTr="00A1353E">
        <w:tc>
          <w:tcPr>
            <w:tcW w:w="0" w:type="auto"/>
            <w:hideMark/>
          </w:tcPr>
          <w:p w14:paraId="54A82A8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Recruitment of female extension agents</w:t>
            </w:r>
          </w:p>
        </w:tc>
        <w:tc>
          <w:tcPr>
            <w:tcW w:w="0" w:type="auto"/>
            <w:hideMark/>
          </w:tcPr>
          <w:p w14:paraId="527531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Hiring and placement of women technical staff</w:t>
            </w:r>
          </w:p>
        </w:tc>
        <w:tc>
          <w:tcPr>
            <w:tcW w:w="0" w:type="auto"/>
            <w:hideMark/>
          </w:tcPr>
          <w:p w14:paraId="74EB550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barriers to accessing extension</w:t>
            </w:r>
          </w:p>
        </w:tc>
        <w:tc>
          <w:tcPr>
            <w:tcW w:w="0" w:type="auto"/>
            <w:hideMark/>
          </w:tcPr>
          <w:p w14:paraId="032A89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approachability and trust</w:t>
            </w:r>
          </w:p>
        </w:tc>
        <w:tc>
          <w:tcPr>
            <w:tcW w:w="0" w:type="auto"/>
            <w:hideMark/>
          </w:tcPr>
          <w:p w14:paraId="11F61C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of women in training and advisory services</w:t>
            </w:r>
          </w:p>
        </w:tc>
      </w:tr>
      <w:tr w:rsidR="00A1353E" w:rsidRPr="00D17A65" w14:paraId="390CD48C" w14:textId="77777777" w:rsidTr="00A1353E">
        <w:tc>
          <w:tcPr>
            <w:tcW w:w="0" w:type="auto"/>
            <w:hideMark/>
          </w:tcPr>
          <w:p w14:paraId="42A6997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training for extension personnel</w:t>
            </w:r>
          </w:p>
        </w:tc>
        <w:tc>
          <w:tcPr>
            <w:tcW w:w="0" w:type="auto"/>
            <w:hideMark/>
          </w:tcPr>
          <w:p w14:paraId="0C5ABE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Capacity building in gender analysis and inclusive facilitation</w:t>
            </w:r>
          </w:p>
        </w:tc>
        <w:tc>
          <w:tcPr>
            <w:tcW w:w="0" w:type="auto"/>
            <w:hideMark/>
          </w:tcPr>
          <w:p w14:paraId="105C641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bias among extension staff</w:t>
            </w:r>
          </w:p>
        </w:tc>
        <w:tc>
          <w:tcPr>
            <w:tcW w:w="0" w:type="auto"/>
            <w:hideMark/>
          </w:tcPr>
          <w:p w14:paraId="4379A5B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service delivery quality</w:t>
            </w:r>
          </w:p>
        </w:tc>
        <w:tc>
          <w:tcPr>
            <w:tcW w:w="0" w:type="auto"/>
            <w:hideMark/>
          </w:tcPr>
          <w:p w14:paraId="2CD66C7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More equitable access and engagement</w:t>
            </w:r>
          </w:p>
        </w:tc>
      </w:tr>
      <w:tr w:rsidR="00A1353E" w:rsidRPr="00D17A65" w14:paraId="05EB5E2B" w14:textId="77777777" w:rsidTr="00A1353E">
        <w:tc>
          <w:tcPr>
            <w:tcW w:w="0" w:type="auto"/>
            <w:hideMark/>
          </w:tcPr>
          <w:p w14:paraId="3C42D03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Establishment of gender focal points</w:t>
            </w:r>
          </w:p>
        </w:tc>
        <w:tc>
          <w:tcPr>
            <w:tcW w:w="0" w:type="auto"/>
            <w:hideMark/>
          </w:tcPr>
          <w:p w14:paraId="6A3B4B5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Designated units/personnel for coordination and oversight</w:t>
            </w:r>
          </w:p>
        </w:tc>
        <w:tc>
          <w:tcPr>
            <w:tcW w:w="0" w:type="auto"/>
            <w:hideMark/>
          </w:tcPr>
          <w:p w14:paraId="7FC51AC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accountability for gender outcomes</w:t>
            </w:r>
          </w:p>
        </w:tc>
        <w:tc>
          <w:tcPr>
            <w:tcW w:w="0" w:type="auto"/>
            <w:hideMark/>
          </w:tcPr>
          <w:p w14:paraId="47A0E82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monitoring and reporting</w:t>
            </w:r>
          </w:p>
        </w:tc>
        <w:tc>
          <w:tcPr>
            <w:tcW w:w="0" w:type="auto"/>
            <w:hideMark/>
          </w:tcPr>
          <w:p w14:paraId="02F82D3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Evidence-based program adjustments</w:t>
            </w:r>
          </w:p>
        </w:tc>
      </w:tr>
      <w:tr w:rsidR="00A1353E" w:rsidRPr="00D17A65" w14:paraId="6301B09F" w14:textId="77777777" w:rsidTr="00A1353E">
        <w:tc>
          <w:tcPr>
            <w:tcW w:w="0" w:type="auto"/>
            <w:hideMark/>
          </w:tcPr>
          <w:p w14:paraId="31883A2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Sex-disaggregated data collection</w:t>
            </w:r>
          </w:p>
        </w:tc>
        <w:tc>
          <w:tcPr>
            <w:tcW w:w="0" w:type="auto"/>
            <w:hideMark/>
          </w:tcPr>
          <w:p w14:paraId="522C43F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Tracking participation, adoption, and benefits</w:t>
            </w:r>
          </w:p>
        </w:tc>
        <w:tc>
          <w:tcPr>
            <w:tcW w:w="0" w:type="auto"/>
            <w:hideMark/>
          </w:tcPr>
          <w:p w14:paraId="0738998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Invisible gender disparities</w:t>
            </w:r>
          </w:p>
        </w:tc>
        <w:tc>
          <w:tcPr>
            <w:tcW w:w="0" w:type="auto"/>
            <w:hideMark/>
          </w:tcPr>
          <w:p w14:paraId="2166F87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decision-making</w:t>
            </w:r>
          </w:p>
        </w:tc>
        <w:tc>
          <w:tcPr>
            <w:tcW w:w="0" w:type="auto"/>
            <w:hideMark/>
          </w:tcPr>
          <w:p w14:paraId="06576D1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Better targeting and impact assessment</w:t>
            </w:r>
          </w:p>
        </w:tc>
      </w:tr>
      <w:tr w:rsidR="00A1353E" w:rsidRPr="00D17A65" w14:paraId="512DED7B" w14:textId="77777777" w:rsidTr="00A1353E">
        <w:tc>
          <w:tcPr>
            <w:tcW w:w="0" w:type="auto"/>
            <w:hideMark/>
          </w:tcPr>
          <w:p w14:paraId="52E1C1B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MEL frameworks</w:t>
            </w:r>
          </w:p>
        </w:tc>
        <w:tc>
          <w:tcPr>
            <w:tcW w:w="0" w:type="auto"/>
            <w:hideMark/>
          </w:tcPr>
          <w:p w14:paraId="39D1704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Monitoring empowerment and outcome indicators</w:t>
            </w:r>
          </w:p>
        </w:tc>
        <w:tc>
          <w:tcPr>
            <w:tcW w:w="0" w:type="auto"/>
            <w:hideMark/>
          </w:tcPr>
          <w:p w14:paraId="32CD5C1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 on outputs over outcomes</w:t>
            </w:r>
          </w:p>
        </w:tc>
        <w:tc>
          <w:tcPr>
            <w:tcW w:w="0" w:type="auto"/>
            <w:hideMark/>
          </w:tcPr>
          <w:p w14:paraId="0B52A15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Learning-oriented extension systems</w:t>
            </w:r>
          </w:p>
        </w:tc>
        <w:tc>
          <w:tcPr>
            <w:tcW w:w="0" w:type="auto"/>
            <w:hideMark/>
          </w:tcPr>
          <w:p w14:paraId="7C046F4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empowerment and sustainability</w:t>
            </w:r>
          </w:p>
        </w:tc>
      </w:tr>
      <w:tr w:rsidR="00A1353E" w:rsidRPr="00D17A65" w14:paraId="692F0388" w14:textId="77777777" w:rsidTr="00A1353E">
        <w:tc>
          <w:tcPr>
            <w:tcW w:w="0" w:type="auto"/>
            <w:hideMark/>
          </w:tcPr>
          <w:p w14:paraId="69FC56B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partnerships with women’s organizations</w:t>
            </w:r>
          </w:p>
        </w:tc>
        <w:tc>
          <w:tcPr>
            <w:tcW w:w="0" w:type="auto"/>
            <w:hideMark/>
          </w:tcPr>
          <w:p w14:paraId="109835F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Collaboration with SHGs, cooperatives, NGOs</w:t>
            </w:r>
          </w:p>
        </w:tc>
        <w:tc>
          <w:tcPr>
            <w:tcW w:w="0" w:type="auto"/>
            <w:hideMark/>
          </w:tcPr>
          <w:p w14:paraId="3A5B7CD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organizational linkages</w:t>
            </w:r>
          </w:p>
        </w:tc>
        <w:tc>
          <w:tcPr>
            <w:tcW w:w="0" w:type="auto"/>
            <w:hideMark/>
          </w:tcPr>
          <w:p w14:paraId="62D0B60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Broader outreach and peer support</w:t>
            </w:r>
          </w:p>
        </w:tc>
        <w:tc>
          <w:tcPr>
            <w:tcW w:w="0" w:type="auto"/>
            <w:hideMark/>
          </w:tcPr>
          <w:p w14:paraId="7BE3B1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action and enterprise development</w:t>
            </w:r>
          </w:p>
        </w:tc>
      </w:tr>
      <w:tr w:rsidR="00A1353E" w:rsidRPr="00D17A65" w14:paraId="3BB6AFBC" w14:textId="77777777" w:rsidTr="00A1353E">
        <w:tc>
          <w:tcPr>
            <w:tcW w:w="0" w:type="auto"/>
            <w:hideMark/>
          </w:tcPr>
          <w:p w14:paraId="4BA758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Leadership and incentive mechanisms</w:t>
            </w:r>
          </w:p>
        </w:tc>
        <w:tc>
          <w:tcPr>
            <w:tcW w:w="0" w:type="auto"/>
            <w:hideMark/>
          </w:tcPr>
          <w:p w14:paraId="6DF1023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performance indicators in staff appraisal</w:t>
            </w:r>
          </w:p>
        </w:tc>
        <w:tc>
          <w:tcPr>
            <w:tcW w:w="0" w:type="auto"/>
            <w:hideMark/>
          </w:tcPr>
          <w:p w14:paraId="51EEBA9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staff motivation for gender inclusion</w:t>
            </w:r>
          </w:p>
        </w:tc>
        <w:tc>
          <w:tcPr>
            <w:tcW w:w="0" w:type="auto"/>
            <w:hideMark/>
          </w:tcPr>
          <w:p w14:paraId="4E791F2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Behavioral change within institutions</w:t>
            </w:r>
          </w:p>
        </w:tc>
        <w:tc>
          <w:tcPr>
            <w:tcW w:w="0" w:type="auto"/>
            <w:hideMark/>
          </w:tcPr>
          <w:p w14:paraId="17ABFA8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Organizational culture supportive of gender equity</w:t>
            </w:r>
          </w:p>
        </w:tc>
      </w:tr>
    </w:tbl>
    <w:p w14:paraId="6A809CF4" w14:textId="77777777" w:rsidR="003F540D" w:rsidRPr="00D17A65" w:rsidRDefault="003F540D" w:rsidP="00FD049D">
      <w:pPr>
        <w:spacing w:after="0"/>
        <w:jc w:val="both"/>
        <w:rPr>
          <w:rFonts w:ascii="Times New Roman" w:hAnsi="Times New Roman" w:cs="Times New Roman"/>
          <w:b/>
          <w:sz w:val="24"/>
          <w:szCs w:val="24"/>
        </w:rPr>
      </w:pPr>
    </w:p>
    <w:p w14:paraId="63123ECA"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 Addressing Structural Barriers</w:t>
      </w:r>
    </w:p>
    <w:p w14:paraId="4DFFB8C7" w14:textId="77777777" w:rsidR="00FD049D" w:rsidRPr="00D17A65" w:rsidRDefault="00FD049D" w:rsidP="00FD049D">
      <w:pPr>
        <w:spacing w:after="0"/>
        <w:jc w:val="both"/>
        <w:rPr>
          <w:rFonts w:ascii="Times New Roman" w:hAnsi="Times New Roman" w:cs="Times New Roman"/>
          <w:sz w:val="24"/>
          <w:szCs w:val="24"/>
        </w:rPr>
      </w:pPr>
    </w:p>
    <w:p w14:paraId="66608B9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gender-responsive extension is crucial for improving women’s skills, confidence, and access to food technology, these interventions alone cannot change deeply rooted structural and socio-economic barriers. The sustained inclusion of women in food technology systems requires coordinated action across finance, policy, infrastructure, and social support systems that go beyond traditional advisory services.</w:t>
      </w:r>
    </w:p>
    <w:p w14:paraId="20D95118" w14:textId="77777777" w:rsidR="00FD049D" w:rsidRPr="00D17A65" w:rsidRDefault="00FD049D" w:rsidP="00FD049D">
      <w:pPr>
        <w:spacing w:after="0"/>
        <w:jc w:val="both"/>
        <w:rPr>
          <w:rFonts w:ascii="Times New Roman" w:hAnsi="Times New Roman" w:cs="Times New Roman"/>
          <w:sz w:val="24"/>
          <w:szCs w:val="24"/>
        </w:rPr>
      </w:pPr>
    </w:p>
    <w:p w14:paraId="4C08C2A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3.5.1 Linking Extension with Access to Finance and Markets</w:t>
      </w:r>
    </w:p>
    <w:p w14:paraId="071FB48B" w14:textId="77777777" w:rsidR="00FD049D" w:rsidRPr="00D17A65" w:rsidRDefault="00FD049D" w:rsidP="00FD049D">
      <w:pPr>
        <w:spacing w:after="0"/>
        <w:jc w:val="both"/>
        <w:rPr>
          <w:rFonts w:ascii="Times New Roman" w:hAnsi="Times New Roman" w:cs="Times New Roman"/>
          <w:sz w:val="24"/>
          <w:szCs w:val="24"/>
        </w:rPr>
      </w:pPr>
    </w:p>
    <w:p w14:paraId="665DFD5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access to credit, financial services, and formal markets remains a major barrier for women food processors and entrepreneurs. Gender-responsive extension systems can help by connecting women to tailored credit programs, revolving funds, microfinance institutions, and women-focused entrepreneurship initiatives. Extensio</w:t>
      </w:r>
      <w:r w:rsidR="003F540D" w:rsidRPr="00D17A65">
        <w:rPr>
          <w:rFonts w:ascii="Times New Roman" w:hAnsi="Times New Roman" w:cs="Times New Roman"/>
          <w:sz w:val="24"/>
          <w:szCs w:val="24"/>
        </w:rPr>
        <w:t xml:space="preserve">n-led support for market access </w:t>
      </w:r>
      <w:r w:rsidRPr="00D17A65">
        <w:rPr>
          <w:rFonts w:ascii="Times New Roman" w:hAnsi="Times New Roman" w:cs="Times New Roman"/>
          <w:sz w:val="24"/>
          <w:szCs w:val="24"/>
        </w:rPr>
        <w:t>such as collective marketing, branding, certificatio</w:t>
      </w:r>
      <w:r w:rsidR="003F540D" w:rsidRPr="00D17A65">
        <w:rPr>
          <w:rFonts w:ascii="Times New Roman" w:hAnsi="Times New Roman" w:cs="Times New Roman"/>
          <w:sz w:val="24"/>
          <w:szCs w:val="24"/>
        </w:rPr>
        <w:t xml:space="preserve">n, and digital market platforms </w:t>
      </w:r>
      <w:r w:rsidRPr="00D17A65">
        <w:rPr>
          <w:rFonts w:ascii="Times New Roman" w:hAnsi="Times New Roman" w:cs="Times New Roman"/>
          <w:sz w:val="24"/>
          <w:szCs w:val="24"/>
        </w:rPr>
        <w:t>empowers women to turn technical skills into real economic opportunities. When financial access and market connections are combined with extension services, women are more likely to invest in food processing technologies and continue growing their businesses.</w:t>
      </w:r>
    </w:p>
    <w:p w14:paraId="3ECD6320" w14:textId="77777777" w:rsidR="00FD049D" w:rsidRPr="00D17A65" w:rsidRDefault="00FD049D" w:rsidP="00FD049D">
      <w:pPr>
        <w:spacing w:after="0"/>
        <w:jc w:val="both"/>
        <w:rPr>
          <w:rFonts w:ascii="Times New Roman" w:hAnsi="Times New Roman" w:cs="Times New Roman"/>
          <w:sz w:val="24"/>
          <w:szCs w:val="24"/>
        </w:rPr>
      </w:pPr>
    </w:p>
    <w:p w14:paraId="68609F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3.5.2 Supportive Policy and Regulatory Environment</w:t>
      </w:r>
    </w:p>
    <w:p w14:paraId="5DC10E81" w14:textId="77777777" w:rsidR="00FD049D" w:rsidRPr="00D17A65" w:rsidRDefault="00FD049D" w:rsidP="00FD049D">
      <w:pPr>
        <w:spacing w:after="0"/>
        <w:jc w:val="both"/>
        <w:rPr>
          <w:rFonts w:ascii="Times New Roman" w:hAnsi="Times New Roman" w:cs="Times New Roman"/>
          <w:sz w:val="24"/>
          <w:szCs w:val="24"/>
        </w:rPr>
      </w:pPr>
    </w:p>
    <w:p w14:paraId="525651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Policies around land ownership, food safety certification, business registration, and labor laws heavily affect women’s participation in food technology. Gender-responsive extension can play an important role in advocacy and facilitation by raising awareness of entitlements, simplifying regulatory processes, and helping women comply with requirements. Ensuring alignment between extension programs and gender-sensitive policies keeps women from being excluded from formal food technology systems due to legal or administrative obstacles.</w:t>
      </w:r>
    </w:p>
    <w:p w14:paraId="5484E8D1" w14:textId="77777777" w:rsidR="00FD049D" w:rsidRPr="00D17A65" w:rsidRDefault="00FD049D" w:rsidP="00FD049D">
      <w:pPr>
        <w:spacing w:after="0"/>
        <w:jc w:val="both"/>
        <w:rPr>
          <w:rFonts w:ascii="Times New Roman" w:hAnsi="Times New Roman" w:cs="Times New Roman"/>
          <w:sz w:val="24"/>
          <w:szCs w:val="24"/>
        </w:rPr>
      </w:pPr>
    </w:p>
    <w:p w14:paraId="09E48766"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3.5.3 Gender-Sensitive Infrastructure Development</w:t>
      </w:r>
    </w:p>
    <w:p w14:paraId="1F2B15FE" w14:textId="77777777" w:rsidR="00FD049D" w:rsidRPr="00D17A65" w:rsidRDefault="00FD049D" w:rsidP="00FD049D">
      <w:pPr>
        <w:spacing w:after="0"/>
        <w:jc w:val="both"/>
        <w:rPr>
          <w:rFonts w:ascii="Times New Roman" w:hAnsi="Times New Roman" w:cs="Times New Roman"/>
          <w:sz w:val="24"/>
          <w:szCs w:val="24"/>
        </w:rPr>
      </w:pPr>
    </w:p>
    <w:p w14:paraId="52F7851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Physical infrastructure significantly influences women’s involvement in food technology, yet this factor is often overlooked. Common challenges include a lack of access to safe and appropriately located processing facilities. Establishing shared processing centers and incubation hubs designed with women’s needs in mind enhances technology adoption. Extension agencies can help by providing technical insights into infrastructure design and facilitating women’s access to these facilities.</w:t>
      </w:r>
    </w:p>
    <w:p w14:paraId="7CBAB38D" w14:textId="77777777" w:rsidR="00FD049D" w:rsidRPr="00D17A65" w:rsidRDefault="00FD049D" w:rsidP="00FD049D">
      <w:pPr>
        <w:spacing w:after="0"/>
        <w:jc w:val="both"/>
        <w:rPr>
          <w:rFonts w:ascii="Times New Roman" w:hAnsi="Times New Roman" w:cs="Times New Roman"/>
          <w:sz w:val="24"/>
          <w:szCs w:val="24"/>
        </w:rPr>
      </w:pPr>
    </w:p>
    <w:p w14:paraId="2187186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3.5.4 Addressing Time Poverty and Care Responsibilities</w:t>
      </w:r>
    </w:p>
    <w:p w14:paraId="56BF8B05" w14:textId="77777777" w:rsidR="00FD049D" w:rsidRPr="00D17A65" w:rsidRDefault="00FD049D" w:rsidP="00FD049D">
      <w:pPr>
        <w:spacing w:after="0"/>
        <w:jc w:val="both"/>
        <w:rPr>
          <w:rFonts w:ascii="Times New Roman" w:hAnsi="Times New Roman" w:cs="Times New Roman"/>
          <w:sz w:val="24"/>
          <w:szCs w:val="24"/>
        </w:rPr>
      </w:pPr>
    </w:p>
    <w:p w14:paraId="0D451EB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Women’s heavy burden of unpaid care and domestic work limits their ability to engage in training and business activities. Incorporating childcare support, flexible training schedules, and community-based services into extension programs can help ease time poverty. These social support measures, when combined with extension and capacity building, significantly improve women’s participation and retention in food technology initiatives.</w:t>
      </w:r>
    </w:p>
    <w:p w14:paraId="2FB88C3B" w14:textId="77777777" w:rsidR="00FD049D" w:rsidRPr="00D17A65" w:rsidRDefault="00FD049D" w:rsidP="00FD049D">
      <w:pPr>
        <w:spacing w:after="0"/>
        <w:jc w:val="both"/>
        <w:rPr>
          <w:rFonts w:ascii="Times New Roman" w:hAnsi="Times New Roman" w:cs="Times New Roman"/>
          <w:sz w:val="24"/>
          <w:szCs w:val="24"/>
        </w:rPr>
      </w:pPr>
    </w:p>
    <w:p w14:paraId="55E871E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3.5.5 Synergistic Impact of Integrated Interventions</w:t>
      </w:r>
    </w:p>
    <w:p w14:paraId="5167574E" w14:textId="77777777" w:rsidR="00FD049D" w:rsidRPr="00D17A65" w:rsidRDefault="00FD049D" w:rsidP="00FD049D">
      <w:pPr>
        <w:spacing w:after="0"/>
        <w:jc w:val="both"/>
        <w:rPr>
          <w:rFonts w:ascii="Times New Roman" w:hAnsi="Times New Roman" w:cs="Times New Roman"/>
          <w:sz w:val="24"/>
          <w:szCs w:val="24"/>
        </w:rPr>
      </w:pPr>
    </w:p>
    <w:p w14:paraId="048D2CB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Evidence shows that extension efforts achieve stronger and more lasting results when combined with structural support measures. Integrated approaches that simultaneously tackle skills, finance, infrastructure, policy, and social constraints create a more favorable ecosystem for women’s </w:t>
      </w:r>
      <w:r w:rsidRPr="00D17A65">
        <w:rPr>
          <w:rFonts w:ascii="Times New Roman" w:hAnsi="Times New Roman" w:cs="Times New Roman"/>
          <w:sz w:val="24"/>
          <w:szCs w:val="24"/>
        </w:rPr>
        <w:lastRenderedPageBreak/>
        <w:t>meaningful involvement in food technology systems. These synergies not only enhance individual empowerment but also contribute to systemic change towards more inclusive, resilient, and sustainable food systems.</w:t>
      </w:r>
    </w:p>
    <w:p w14:paraId="36FA53F5" w14:textId="77777777" w:rsidR="003F540D" w:rsidRPr="00D17A65" w:rsidRDefault="003F540D" w:rsidP="00FD049D">
      <w:pPr>
        <w:spacing w:after="0"/>
        <w:jc w:val="both"/>
        <w:rPr>
          <w:rFonts w:ascii="Times New Roman" w:hAnsi="Times New Roman" w:cs="Times New Roman"/>
          <w:sz w:val="24"/>
          <w:szCs w:val="24"/>
        </w:rPr>
      </w:pPr>
    </w:p>
    <w:p w14:paraId="3C73BD2A" w14:textId="41746615" w:rsidR="003F540D" w:rsidRPr="00D17A65" w:rsidRDefault="003F540D" w:rsidP="003F540D">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6</w:t>
      </w:r>
      <w:r w:rsidRPr="00D17A65">
        <w:rPr>
          <w:rFonts w:ascii="Times New Roman" w:eastAsia="Times New Roman" w:hAnsi="Times New Roman" w:cs="Times New Roman"/>
          <w:b/>
          <w:bCs/>
          <w:sz w:val="24"/>
          <w:szCs w:val="24"/>
        </w:rPr>
        <w:t>: Comparative Analysis of Structural Barriers and Integrated Extension Responses in Food Technology</w:t>
      </w:r>
    </w:p>
    <w:tbl>
      <w:tblPr>
        <w:tblStyle w:val="TableGrid"/>
        <w:tblW w:w="0" w:type="auto"/>
        <w:tblLook w:val="04A0" w:firstRow="1" w:lastRow="0" w:firstColumn="1" w:lastColumn="0" w:noHBand="0" w:noVBand="1"/>
      </w:tblPr>
      <w:tblGrid>
        <w:gridCol w:w="1702"/>
        <w:gridCol w:w="1828"/>
        <w:gridCol w:w="2123"/>
        <w:gridCol w:w="1775"/>
        <w:gridCol w:w="1922"/>
      </w:tblGrid>
      <w:tr w:rsidR="003F540D" w:rsidRPr="00D17A65" w14:paraId="5E7E870C" w14:textId="77777777" w:rsidTr="003F540D">
        <w:tc>
          <w:tcPr>
            <w:tcW w:w="0" w:type="auto"/>
            <w:hideMark/>
          </w:tcPr>
          <w:p w14:paraId="3F2CC1F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Structural Barrier</w:t>
            </w:r>
          </w:p>
        </w:tc>
        <w:tc>
          <w:tcPr>
            <w:tcW w:w="0" w:type="auto"/>
            <w:hideMark/>
          </w:tcPr>
          <w:p w14:paraId="3319BBB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Nature of Constraint</w:t>
            </w:r>
          </w:p>
        </w:tc>
        <w:tc>
          <w:tcPr>
            <w:tcW w:w="0" w:type="auto"/>
            <w:hideMark/>
          </w:tcPr>
          <w:p w14:paraId="7D42D136"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Integrated Extension-Linked Response</w:t>
            </w:r>
          </w:p>
        </w:tc>
        <w:tc>
          <w:tcPr>
            <w:tcW w:w="0" w:type="auto"/>
            <w:hideMark/>
          </w:tcPr>
          <w:p w14:paraId="0761093E"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Stakeholders Involved</w:t>
            </w:r>
          </w:p>
        </w:tc>
        <w:tc>
          <w:tcPr>
            <w:tcW w:w="0" w:type="auto"/>
            <w:hideMark/>
          </w:tcPr>
          <w:p w14:paraId="30AC567B"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3F540D" w:rsidRPr="00D17A65" w14:paraId="2AF0B674" w14:textId="77777777" w:rsidTr="003F540D">
        <w:tc>
          <w:tcPr>
            <w:tcW w:w="0" w:type="auto"/>
            <w:hideMark/>
          </w:tcPr>
          <w:p w14:paraId="370FB37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finance</w:t>
            </w:r>
          </w:p>
        </w:tc>
        <w:tc>
          <w:tcPr>
            <w:tcW w:w="0" w:type="auto"/>
            <w:hideMark/>
          </w:tcPr>
          <w:p w14:paraId="7063FF5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collateral, credit history, and tailored financial products</w:t>
            </w:r>
          </w:p>
        </w:tc>
        <w:tc>
          <w:tcPr>
            <w:tcW w:w="0" w:type="auto"/>
            <w:hideMark/>
          </w:tcPr>
          <w:p w14:paraId="4746BDA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Linkage with women-focused credit schemes, SHG–bank linkage, financial literacy through extension</w:t>
            </w:r>
          </w:p>
        </w:tc>
        <w:tc>
          <w:tcPr>
            <w:tcW w:w="0" w:type="auto"/>
            <w:hideMark/>
          </w:tcPr>
          <w:p w14:paraId="7FE5EFC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banks, SHGs, MFIs</w:t>
            </w:r>
          </w:p>
        </w:tc>
        <w:tc>
          <w:tcPr>
            <w:tcW w:w="0" w:type="auto"/>
            <w:hideMark/>
          </w:tcPr>
          <w:p w14:paraId="332B9B4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investment in food processing technologies and enterprises</w:t>
            </w:r>
          </w:p>
        </w:tc>
      </w:tr>
      <w:tr w:rsidR="003F540D" w:rsidRPr="00D17A65" w14:paraId="1F12C6A0" w14:textId="77777777" w:rsidTr="003F540D">
        <w:tc>
          <w:tcPr>
            <w:tcW w:w="0" w:type="auto"/>
            <w:hideMark/>
          </w:tcPr>
          <w:p w14:paraId="6F945AC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market access</w:t>
            </w:r>
          </w:p>
        </w:tc>
        <w:tc>
          <w:tcPr>
            <w:tcW w:w="0" w:type="auto"/>
            <w:hideMark/>
          </w:tcPr>
          <w:p w14:paraId="296C626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bargaining power and market information</w:t>
            </w:r>
          </w:p>
        </w:tc>
        <w:tc>
          <w:tcPr>
            <w:tcW w:w="0" w:type="auto"/>
            <w:hideMark/>
          </w:tcPr>
          <w:p w14:paraId="3E090ED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marketing, branding, digital platforms, certification support</w:t>
            </w:r>
          </w:p>
        </w:tc>
        <w:tc>
          <w:tcPr>
            <w:tcW w:w="0" w:type="auto"/>
            <w:hideMark/>
          </w:tcPr>
          <w:p w14:paraId="7C8A679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services, FPOs, market agencies</w:t>
            </w:r>
          </w:p>
        </w:tc>
        <w:tc>
          <w:tcPr>
            <w:tcW w:w="0" w:type="auto"/>
            <w:hideMark/>
          </w:tcPr>
          <w:p w14:paraId="64B56C9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market participation and income stability</w:t>
            </w:r>
          </w:p>
        </w:tc>
      </w:tr>
      <w:tr w:rsidR="003F540D" w:rsidRPr="00D17A65" w14:paraId="0BF8709F" w14:textId="77777777" w:rsidTr="003F540D">
        <w:tc>
          <w:tcPr>
            <w:tcW w:w="0" w:type="auto"/>
            <w:hideMark/>
          </w:tcPr>
          <w:p w14:paraId="2E5ABAB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Restrictive policy and regulatory frameworks</w:t>
            </w:r>
          </w:p>
        </w:tc>
        <w:tc>
          <w:tcPr>
            <w:tcW w:w="0" w:type="auto"/>
            <w:hideMark/>
          </w:tcPr>
          <w:p w14:paraId="69B91EF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Complex certification, licensing, and enterprise registration</w:t>
            </w:r>
          </w:p>
        </w:tc>
        <w:tc>
          <w:tcPr>
            <w:tcW w:w="0" w:type="auto"/>
            <w:hideMark/>
          </w:tcPr>
          <w:p w14:paraId="7DE5136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facilitation for compliance, policy awareness, and advocacy</w:t>
            </w:r>
          </w:p>
        </w:tc>
        <w:tc>
          <w:tcPr>
            <w:tcW w:w="0" w:type="auto"/>
            <w:hideMark/>
          </w:tcPr>
          <w:p w14:paraId="582699C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regulatory bodies</w:t>
            </w:r>
          </w:p>
        </w:tc>
        <w:tc>
          <w:tcPr>
            <w:tcW w:w="0" w:type="auto"/>
            <w:hideMark/>
          </w:tcPr>
          <w:p w14:paraId="5BE56FA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Greater formalization and legitimacy of women-led enterprises</w:t>
            </w:r>
          </w:p>
        </w:tc>
      </w:tr>
      <w:tr w:rsidR="003F540D" w:rsidRPr="00D17A65" w14:paraId="25B85E33" w14:textId="77777777" w:rsidTr="003F540D">
        <w:tc>
          <w:tcPr>
            <w:tcW w:w="0" w:type="auto"/>
            <w:hideMark/>
          </w:tcPr>
          <w:p w14:paraId="5505444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Inadequate processing infrastructure</w:t>
            </w:r>
          </w:p>
        </w:tc>
        <w:tc>
          <w:tcPr>
            <w:tcW w:w="0" w:type="auto"/>
            <w:hideMark/>
          </w:tcPr>
          <w:p w14:paraId="46191A5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safe, accessible, and hygienic facilities</w:t>
            </w:r>
          </w:p>
        </w:tc>
        <w:tc>
          <w:tcPr>
            <w:tcW w:w="0" w:type="auto"/>
            <w:hideMark/>
          </w:tcPr>
          <w:p w14:paraId="4C13EDB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processing centers, common facility centers designed for women</w:t>
            </w:r>
          </w:p>
        </w:tc>
        <w:tc>
          <w:tcPr>
            <w:tcW w:w="0" w:type="auto"/>
            <w:hideMark/>
          </w:tcPr>
          <w:p w14:paraId="33947B1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Government, extension, local institutions</w:t>
            </w:r>
          </w:p>
        </w:tc>
        <w:tc>
          <w:tcPr>
            <w:tcW w:w="0" w:type="auto"/>
            <w:hideMark/>
          </w:tcPr>
          <w:p w14:paraId="624254B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technology adoption and product quality</w:t>
            </w:r>
          </w:p>
        </w:tc>
      </w:tr>
      <w:tr w:rsidR="003F540D" w:rsidRPr="00D17A65" w14:paraId="2DE44B60" w14:textId="77777777" w:rsidTr="003F540D">
        <w:tc>
          <w:tcPr>
            <w:tcW w:w="0" w:type="auto"/>
            <w:hideMark/>
          </w:tcPr>
          <w:p w14:paraId="2D02981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and care burden</w:t>
            </w:r>
          </w:p>
        </w:tc>
        <w:tc>
          <w:tcPr>
            <w:tcW w:w="0" w:type="auto"/>
            <w:hideMark/>
          </w:tcPr>
          <w:p w14:paraId="579111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Dual roles in domestic and economic activities</w:t>
            </w:r>
          </w:p>
        </w:tc>
        <w:tc>
          <w:tcPr>
            <w:tcW w:w="0" w:type="auto"/>
            <w:hideMark/>
          </w:tcPr>
          <w:p w14:paraId="73472A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Childcare support, flexible training schedules, local delivery</w:t>
            </w:r>
          </w:p>
        </w:tc>
        <w:tc>
          <w:tcPr>
            <w:tcW w:w="0" w:type="auto"/>
            <w:hideMark/>
          </w:tcPr>
          <w:p w14:paraId="0C3A803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community organizations</w:t>
            </w:r>
          </w:p>
        </w:tc>
        <w:tc>
          <w:tcPr>
            <w:tcW w:w="0" w:type="auto"/>
            <w:hideMark/>
          </w:tcPr>
          <w:p w14:paraId="3B5458E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and retention in training programs</w:t>
            </w:r>
          </w:p>
        </w:tc>
      </w:tr>
      <w:tr w:rsidR="003F540D" w:rsidRPr="00D17A65" w14:paraId="4BA70F34" w14:textId="77777777" w:rsidTr="003F540D">
        <w:tc>
          <w:tcPr>
            <w:tcW w:w="0" w:type="auto"/>
            <w:hideMark/>
          </w:tcPr>
          <w:p w14:paraId="2A2C5C1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land and asset ownership</w:t>
            </w:r>
          </w:p>
        </w:tc>
        <w:tc>
          <w:tcPr>
            <w:tcW w:w="0" w:type="auto"/>
            <w:hideMark/>
          </w:tcPr>
          <w:p w14:paraId="02D5E3B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Legal and cultural barriers to ownership</w:t>
            </w:r>
          </w:p>
        </w:tc>
        <w:tc>
          <w:tcPr>
            <w:tcW w:w="0" w:type="auto"/>
            <w:hideMark/>
          </w:tcPr>
          <w:p w14:paraId="628E3CB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 support, collective enterprises, lease-based models</w:t>
            </w:r>
          </w:p>
        </w:tc>
        <w:tc>
          <w:tcPr>
            <w:tcW w:w="0" w:type="auto"/>
            <w:hideMark/>
          </w:tcPr>
          <w:p w14:paraId="05BB689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Policymakers, extension, cooperatives</w:t>
            </w:r>
          </w:p>
        </w:tc>
        <w:tc>
          <w:tcPr>
            <w:tcW w:w="0" w:type="auto"/>
            <w:hideMark/>
          </w:tcPr>
          <w:p w14:paraId="01A9016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access to production resources</w:t>
            </w:r>
          </w:p>
        </w:tc>
      </w:tr>
      <w:tr w:rsidR="003F540D" w:rsidRPr="00D17A65" w14:paraId="5F92AE85" w14:textId="77777777" w:rsidTr="003F540D">
        <w:tc>
          <w:tcPr>
            <w:tcW w:w="0" w:type="auto"/>
            <w:hideMark/>
          </w:tcPr>
          <w:p w14:paraId="62FF085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norms and mobility restrictions</w:t>
            </w:r>
          </w:p>
        </w:tc>
        <w:tc>
          <w:tcPr>
            <w:tcW w:w="0" w:type="auto"/>
            <w:hideMark/>
          </w:tcPr>
          <w:p w14:paraId="6CF0F89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constraints on women’s participation</w:t>
            </w:r>
          </w:p>
        </w:tc>
        <w:tc>
          <w:tcPr>
            <w:tcW w:w="0" w:type="auto"/>
            <w:hideMark/>
          </w:tcPr>
          <w:p w14:paraId="737D3E5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Community sensitization, male engagement, ICT-enabled extension</w:t>
            </w:r>
          </w:p>
        </w:tc>
        <w:tc>
          <w:tcPr>
            <w:tcW w:w="0" w:type="auto"/>
            <w:hideMark/>
          </w:tcPr>
          <w:p w14:paraId="26CCDA0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agents, local leaders</w:t>
            </w:r>
          </w:p>
        </w:tc>
        <w:tc>
          <w:tcPr>
            <w:tcW w:w="0" w:type="auto"/>
            <w:hideMark/>
          </w:tcPr>
          <w:p w14:paraId="1BD543B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mobility barriers and improved acceptance</w:t>
            </w:r>
          </w:p>
        </w:tc>
      </w:tr>
      <w:tr w:rsidR="003F540D" w:rsidRPr="00D17A65" w14:paraId="2F9F22C3" w14:textId="77777777" w:rsidTr="003F540D">
        <w:tc>
          <w:tcPr>
            <w:tcW w:w="0" w:type="auto"/>
            <w:hideMark/>
          </w:tcPr>
          <w:p w14:paraId="193E20A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Low institutional recognition</w:t>
            </w:r>
          </w:p>
        </w:tc>
        <w:tc>
          <w:tcPr>
            <w:tcW w:w="0" w:type="auto"/>
            <w:hideMark/>
          </w:tcPr>
          <w:p w14:paraId="7F765AB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Exclusion from formal networks and decision-making</w:t>
            </w:r>
          </w:p>
        </w:tc>
        <w:tc>
          <w:tcPr>
            <w:tcW w:w="0" w:type="auto"/>
            <w:hideMark/>
          </w:tcPr>
          <w:p w14:paraId="7A82E7F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in FPOs, innovation platforms, leadership training</w:t>
            </w:r>
          </w:p>
        </w:tc>
        <w:tc>
          <w:tcPr>
            <w:tcW w:w="0" w:type="auto"/>
            <w:hideMark/>
          </w:tcPr>
          <w:p w14:paraId="0B0A8FBC"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institutions</w:t>
            </w:r>
          </w:p>
        </w:tc>
        <w:tc>
          <w:tcPr>
            <w:tcW w:w="0" w:type="auto"/>
            <w:hideMark/>
          </w:tcPr>
          <w:p w14:paraId="2F38C30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voice and leadership in food tech systems</w:t>
            </w:r>
          </w:p>
        </w:tc>
      </w:tr>
      <w:tr w:rsidR="003F540D" w:rsidRPr="00D17A65" w14:paraId="370F21B0" w14:textId="77777777" w:rsidTr="003F540D">
        <w:tc>
          <w:tcPr>
            <w:tcW w:w="0" w:type="auto"/>
            <w:hideMark/>
          </w:tcPr>
          <w:p w14:paraId="07055B4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divide</w:t>
            </w:r>
          </w:p>
        </w:tc>
        <w:tc>
          <w:tcPr>
            <w:tcW w:w="0" w:type="auto"/>
            <w:hideMark/>
          </w:tcPr>
          <w:p w14:paraId="738C3EE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devices and connectivity</w:t>
            </w:r>
          </w:p>
        </w:tc>
        <w:tc>
          <w:tcPr>
            <w:tcW w:w="0" w:type="auto"/>
            <w:hideMark/>
          </w:tcPr>
          <w:p w14:paraId="665560D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Low-tech ICT tools, shared devices, digital literacy training</w:t>
            </w:r>
          </w:p>
        </w:tc>
        <w:tc>
          <w:tcPr>
            <w:tcW w:w="0" w:type="auto"/>
            <w:hideMark/>
          </w:tcPr>
          <w:p w14:paraId="74719C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ICT providers</w:t>
            </w:r>
          </w:p>
        </w:tc>
        <w:tc>
          <w:tcPr>
            <w:tcW w:w="0" w:type="auto"/>
            <w:hideMark/>
          </w:tcPr>
          <w:p w14:paraId="457BBD0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access to information and services</w:t>
            </w:r>
          </w:p>
        </w:tc>
      </w:tr>
      <w:tr w:rsidR="003F540D" w:rsidRPr="00D17A65" w14:paraId="6819A68F" w14:textId="77777777" w:rsidTr="003F540D">
        <w:tc>
          <w:tcPr>
            <w:tcW w:w="0" w:type="auto"/>
            <w:hideMark/>
          </w:tcPr>
          <w:p w14:paraId="5A8C31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Fragmented support services</w:t>
            </w:r>
          </w:p>
        </w:tc>
        <w:tc>
          <w:tcPr>
            <w:tcW w:w="0" w:type="auto"/>
            <w:hideMark/>
          </w:tcPr>
          <w:p w14:paraId="4F57EAE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Disconnected interventions</w:t>
            </w:r>
          </w:p>
        </w:tc>
        <w:tc>
          <w:tcPr>
            <w:tcW w:w="0" w:type="auto"/>
            <w:hideMark/>
          </w:tcPr>
          <w:p w14:paraId="7ADAEFA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Multi-sectoral convergence (finance, policy, infrastructure)</w:t>
            </w:r>
          </w:p>
        </w:tc>
        <w:tc>
          <w:tcPr>
            <w:tcW w:w="0" w:type="auto"/>
            <w:hideMark/>
          </w:tcPr>
          <w:p w14:paraId="3C29277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government departments</w:t>
            </w:r>
          </w:p>
        </w:tc>
        <w:tc>
          <w:tcPr>
            <w:tcW w:w="0" w:type="auto"/>
            <w:hideMark/>
          </w:tcPr>
          <w:p w14:paraId="11DD0BC8"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and scalable women’s empowerment</w:t>
            </w:r>
          </w:p>
        </w:tc>
      </w:tr>
    </w:tbl>
    <w:p w14:paraId="3B17B0EA" w14:textId="77777777" w:rsidR="003F540D" w:rsidRPr="00D17A65" w:rsidRDefault="003F540D" w:rsidP="00FD049D">
      <w:pPr>
        <w:spacing w:after="0"/>
        <w:jc w:val="both"/>
        <w:rPr>
          <w:rFonts w:ascii="Times New Roman" w:hAnsi="Times New Roman" w:cs="Times New Roman"/>
          <w:sz w:val="24"/>
          <w:szCs w:val="24"/>
        </w:rPr>
      </w:pPr>
    </w:p>
    <w:p w14:paraId="16EAC93E" w14:textId="77777777" w:rsidR="00FD049D" w:rsidRPr="00D17A65" w:rsidRDefault="00FD049D" w:rsidP="00FD049D">
      <w:pPr>
        <w:spacing w:after="0"/>
        <w:jc w:val="both"/>
        <w:rPr>
          <w:rFonts w:ascii="Times New Roman" w:hAnsi="Times New Roman" w:cs="Times New Roman"/>
          <w:sz w:val="24"/>
          <w:szCs w:val="24"/>
        </w:rPr>
      </w:pPr>
    </w:p>
    <w:p w14:paraId="483706E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 Evidence of Impact</w:t>
      </w:r>
    </w:p>
    <w:p w14:paraId="021061F3" w14:textId="77777777" w:rsidR="00FD049D" w:rsidRPr="00D17A65" w:rsidRDefault="00FD049D" w:rsidP="00FD049D">
      <w:pPr>
        <w:spacing w:after="0"/>
        <w:jc w:val="both"/>
        <w:rPr>
          <w:rFonts w:ascii="Times New Roman" w:hAnsi="Times New Roman" w:cs="Times New Roman"/>
          <w:sz w:val="24"/>
          <w:szCs w:val="24"/>
        </w:rPr>
      </w:pPr>
    </w:p>
    <w:p w14:paraId="498A6A3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growing body of evidence shows that gender-responsive extension approaches create measurable and broad impacts on women’s participation, performance, and empowerment in food technology systems. These impacts include technological adoption, skill development, economic benefits, and wider social change.</w:t>
      </w:r>
    </w:p>
    <w:p w14:paraId="5E189525" w14:textId="77777777" w:rsidR="00FD049D" w:rsidRPr="00D17A65" w:rsidRDefault="00FD049D" w:rsidP="00FD049D">
      <w:pPr>
        <w:spacing w:after="0"/>
        <w:jc w:val="both"/>
        <w:rPr>
          <w:rFonts w:ascii="Times New Roman" w:hAnsi="Times New Roman" w:cs="Times New Roman"/>
          <w:sz w:val="24"/>
          <w:szCs w:val="24"/>
        </w:rPr>
      </w:pPr>
    </w:p>
    <w:p w14:paraId="701E97E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4.1 Increased Adoption of Food Technologies</w:t>
      </w:r>
    </w:p>
    <w:p w14:paraId="60B5CB6F" w14:textId="77777777" w:rsidR="00FD049D" w:rsidRPr="00D17A65" w:rsidRDefault="00FD049D" w:rsidP="00FD049D">
      <w:pPr>
        <w:spacing w:after="0"/>
        <w:jc w:val="both"/>
        <w:rPr>
          <w:rFonts w:ascii="Times New Roman" w:hAnsi="Times New Roman" w:cs="Times New Roman"/>
          <w:sz w:val="24"/>
          <w:szCs w:val="24"/>
        </w:rPr>
      </w:pPr>
    </w:p>
    <w:p w14:paraId="394A57C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who take part in gender-responsive extension programs consistently show higher rates of adopting food technology innovations compared to those who engage through traditional, neutral-extension models. Targeted training, interactive learning, and ICT-backed advisories improve women’s access to relevant information and lower perceived risks related to adopting new technologies. As a result, women are more likely to adopt improved processing equipment, established processes, quality control methods, and food safety measures.</w:t>
      </w:r>
    </w:p>
    <w:p w14:paraId="74169A86" w14:textId="77777777" w:rsidR="00FD049D" w:rsidRPr="00D17A65" w:rsidRDefault="00FD049D" w:rsidP="00FD049D">
      <w:pPr>
        <w:spacing w:after="0"/>
        <w:jc w:val="both"/>
        <w:rPr>
          <w:rFonts w:ascii="Times New Roman" w:hAnsi="Times New Roman" w:cs="Times New Roman"/>
          <w:sz w:val="24"/>
          <w:szCs w:val="24"/>
        </w:rPr>
      </w:pPr>
    </w:p>
    <w:p w14:paraId="22330516"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Embracing such technologies not only increases processing efficiency and lessens post-harvest losses but also helps women meet the quality and safety demands of formal markets. This access allows women to reach higher-value market segments, which leads to more income opportunities and stronger economic resilience. Evidence suggests that when women have control over processing technologies, productivity gains are more likely to lead to better household nutrition and welfare.</w:t>
      </w:r>
    </w:p>
    <w:p w14:paraId="1A56E0F4" w14:textId="77777777" w:rsidR="00FD049D" w:rsidRPr="00D17A65" w:rsidRDefault="00FD049D" w:rsidP="00FD049D">
      <w:pPr>
        <w:spacing w:after="0"/>
        <w:jc w:val="both"/>
        <w:rPr>
          <w:rFonts w:ascii="Times New Roman" w:hAnsi="Times New Roman" w:cs="Times New Roman"/>
          <w:sz w:val="24"/>
          <w:szCs w:val="24"/>
        </w:rPr>
      </w:pPr>
    </w:p>
    <w:p w14:paraId="1200C0D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4.2 Enhanced Skills, Knowledge, and Confidence</w:t>
      </w:r>
    </w:p>
    <w:p w14:paraId="41F1D30A" w14:textId="77777777" w:rsidR="00FD049D" w:rsidRPr="00D17A65" w:rsidRDefault="00FD049D" w:rsidP="00FD049D">
      <w:pPr>
        <w:spacing w:after="0"/>
        <w:jc w:val="both"/>
        <w:rPr>
          <w:rFonts w:ascii="Times New Roman" w:hAnsi="Times New Roman" w:cs="Times New Roman"/>
          <w:sz w:val="24"/>
          <w:szCs w:val="24"/>
        </w:rPr>
      </w:pPr>
    </w:p>
    <w:p w14:paraId="7539FA8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initiatives greatly improve women’s technical skills and self-confidence in food technology. Training methods that respect women’s prior knowledge, offer hands-on practice, and provide ongoing mentoring build confidence and capability. Women’s self-efficacy grows when extension services recognize their contributions and view them as competent technology users and innovators.</w:t>
      </w:r>
    </w:p>
    <w:p w14:paraId="4C4DDDD8" w14:textId="77777777" w:rsidR="00FD049D" w:rsidRPr="00D17A65" w:rsidRDefault="00FD049D" w:rsidP="00FD049D">
      <w:pPr>
        <w:spacing w:after="0"/>
        <w:jc w:val="both"/>
        <w:rPr>
          <w:rFonts w:ascii="Times New Roman" w:hAnsi="Times New Roman" w:cs="Times New Roman"/>
          <w:sz w:val="24"/>
          <w:szCs w:val="24"/>
        </w:rPr>
      </w:pPr>
    </w:p>
    <w:p w14:paraId="624493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Increased confidence makes women more likely to try new technologies, engage with extension staff, and join in collective efforts. Over time, this shift from passive participants to active decision-makers supports sustained technology adoption and innovation. Studies show that confidence gains are especially strong when women engage in peer learning groups, field schools, and digital communities.</w:t>
      </w:r>
    </w:p>
    <w:p w14:paraId="7BDEE5D0" w14:textId="77777777" w:rsidR="00FD049D" w:rsidRPr="00D17A65" w:rsidRDefault="00FD049D" w:rsidP="00FD049D">
      <w:pPr>
        <w:spacing w:after="0"/>
        <w:jc w:val="both"/>
        <w:rPr>
          <w:rFonts w:ascii="Times New Roman" w:hAnsi="Times New Roman" w:cs="Times New Roman"/>
          <w:sz w:val="24"/>
          <w:szCs w:val="24"/>
        </w:rPr>
      </w:pPr>
    </w:p>
    <w:p w14:paraId="3123543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4.3 Economic and Social Benefits</w:t>
      </w:r>
    </w:p>
    <w:p w14:paraId="3362EBB2" w14:textId="77777777" w:rsidR="00FD049D" w:rsidRPr="00D17A65" w:rsidRDefault="00FD049D" w:rsidP="00FD049D">
      <w:pPr>
        <w:spacing w:after="0"/>
        <w:jc w:val="both"/>
        <w:rPr>
          <w:rFonts w:ascii="Times New Roman" w:hAnsi="Times New Roman" w:cs="Times New Roman"/>
          <w:sz w:val="24"/>
          <w:szCs w:val="24"/>
        </w:rPr>
      </w:pPr>
    </w:p>
    <w:p w14:paraId="74F8CF1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technical results, gender-responsive extension leads to broader economic and social advantages. Empowered women in food technology report increased bargaining power within value chains, such as enhanced terms with input suppliers, traders, and buyers. Joining women-led cooperatives, self-help groups, and producer organizations bolsters collective strength and access to institutional backing.</w:t>
      </w:r>
    </w:p>
    <w:p w14:paraId="082DDE35" w14:textId="77777777" w:rsidR="00FD049D" w:rsidRPr="00D17A65" w:rsidRDefault="00FD049D" w:rsidP="00FD049D">
      <w:pPr>
        <w:spacing w:after="0"/>
        <w:jc w:val="both"/>
        <w:rPr>
          <w:rFonts w:ascii="Times New Roman" w:hAnsi="Times New Roman" w:cs="Times New Roman"/>
          <w:sz w:val="24"/>
          <w:szCs w:val="24"/>
        </w:rPr>
      </w:pPr>
    </w:p>
    <w:p w14:paraId="62B24EE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At the household and community levels, higher income and better technical skills lead to greater involvement of women in decisions regarding production, investment, nutrition, and education. Evidence shows that women’s leadership in food technology initiatives helps shift gender norms, boost recognition of women's economic roles, and elevate social status. These results highlight the transformative potential of gender-responsive extension to create inclusive and fair food systems.</w:t>
      </w:r>
    </w:p>
    <w:p w14:paraId="6D8AB25C" w14:textId="77777777" w:rsidR="00FD049D" w:rsidRPr="00D17A65" w:rsidRDefault="00FD049D" w:rsidP="00FD049D">
      <w:pPr>
        <w:spacing w:after="0"/>
        <w:jc w:val="both"/>
        <w:rPr>
          <w:rFonts w:ascii="Times New Roman" w:hAnsi="Times New Roman" w:cs="Times New Roman"/>
          <w:sz w:val="24"/>
          <w:szCs w:val="24"/>
        </w:rPr>
      </w:pPr>
    </w:p>
    <w:p w14:paraId="7CE97292"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5. Challenges and Gaps</w:t>
      </w:r>
    </w:p>
    <w:p w14:paraId="22DD54AF" w14:textId="77777777" w:rsidR="00CD195E" w:rsidRPr="00D17A65" w:rsidRDefault="00CD195E" w:rsidP="00CD195E">
      <w:pPr>
        <w:spacing w:after="0"/>
        <w:jc w:val="both"/>
        <w:rPr>
          <w:rFonts w:ascii="Times New Roman" w:hAnsi="Times New Roman" w:cs="Times New Roman"/>
          <w:sz w:val="24"/>
          <w:szCs w:val="24"/>
        </w:rPr>
      </w:pPr>
    </w:p>
    <w:p w14:paraId="20068AFA"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significant progress in promoting gender-responsive extension in food technology, several ongoing challenges limit the scalability and impact of these efforts:</w:t>
      </w:r>
    </w:p>
    <w:p w14:paraId="360E64A6" w14:textId="77777777" w:rsidR="00CD195E" w:rsidRPr="00D17A65" w:rsidRDefault="00CD195E" w:rsidP="00CD195E">
      <w:pPr>
        <w:spacing w:after="0"/>
        <w:jc w:val="both"/>
        <w:rPr>
          <w:rFonts w:ascii="Times New Roman" w:hAnsi="Times New Roman" w:cs="Times New Roman"/>
          <w:sz w:val="24"/>
          <w:szCs w:val="24"/>
        </w:rPr>
      </w:pPr>
    </w:p>
    <w:p w14:paraId="61380740"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Gender-Disaggregated Data: Many extension programs do not consistently collect or analyze sex-disaggregated data on participation, adoption, and outcomes. This gap restricts evidence-based planning and makes it difficult to measure women’s actual engagement and empowerment.</w:t>
      </w:r>
    </w:p>
    <w:p w14:paraId="3D7AFF03" w14:textId="77777777" w:rsidR="00CD195E" w:rsidRPr="00D17A65" w:rsidRDefault="00CD195E" w:rsidP="00CD195E">
      <w:pPr>
        <w:spacing w:after="0"/>
        <w:jc w:val="both"/>
        <w:rPr>
          <w:rFonts w:ascii="Times New Roman" w:hAnsi="Times New Roman" w:cs="Times New Roman"/>
          <w:sz w:val="24"/>
          <w:szCs w:val="24"/>
        </w:rPr>
      </w:pPr>
    </w:p>
    <w:p w14:paraId="3295EAF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Cultural and Social Resistance: Traditional gender roles in some regions restrict women’s participation in technology-focused roles. Limitations on mobility, decision-making authority, and public engagement often hinder women’s access to training and business opportunities.</w:t>
      </w:r>
    </w:p>
    <w:p w14:paraId="3C6497AB" w14:textId="77777777" w:rsidR="00CD195E" w:rsidRPr="00D17A65" w:rsidRDefault="00CD195E" w:rsidP="00CD195E">
      <w:pPr>
        <w:spacing w:after="0"/>
        <w:jc w:val="both"/>
        <w:rPr>
          <w:rFonts w:ascii="Times New Roman" w:hAnsi="Times New Roman" w:cs="Times New Roman"/>
          <w:sz w:val="24"/>
          <w:szCs w:val="24"/>
        </w:rPr>
      </w:pPr>
    </w:p>
    <w:p w14:paraId="7A1B57F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Insufficient Female Extension Workers: The shortage of female extension agents in many areas reduces women’s access to acceptable advisory services, decreasing trust, uptake of technologies, and involvement in training initiatives.</w:t>
      </w:r>
    </w:p>
    <w:p w14:paraId="060A2DDF" w14:textId="77777777" w:rsidR="00CD195E" w:rsidRPr="00D17A65" w:rsidRDefault="00CD195E" w:rsidP="00CD195E">
      <w:pPr>
        <w:spacing w:after="0"/>
        <w:jc w:val="both"/>
        <w:rPr>
          <w:rFonts w:ascii="Times New Roman" w:hAnsi="Times New Roman" w:cs="Times New Roman"/>
          <w:sz w:val="24"/>
          <w:szCs w:val="24"/>
        </w:rPr>
      </w:pPr>
    </w:p>
    <w:p w14:paraId="4F8E6BC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Resource Constraints for Sustained Gender Mainstreaming: Gender-responsive approaches need dedicated financial, human, and infrastructural resources. Budget limits, competing priorities, and lack of commitment often lead to short-term or project-based efforts.</w:t>
      </w:r>
    </w:p>
    <w:p w14:paraId="25CA5C42" w14:textId="77777777" w:rsidR="00CD195E" w:rsidRPr="00D17A65" w:rsidRDefault="00CD195E" w:rsidP="00CD195E">
      <w:pPr>
        <w:spacing w:after="0"/>
        <w:jc w:val="both"/>
        <w:rPr>
          <w:rFonts w:ascii="Times New Roman" w:hAnsi="Times New Roman" w:cs="Times New Roman"/>
          <w:sz w:val="24"/>
          <w:szCs w:val="24"/>
        </w:rPr>
      </w:pPr>
    </w:p>
    <w:p w14:paraId="5F422013"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lastRenderedPageBreak/>
        <w:t>Fragmented Institutional Linkages: Poor coordination between extension, policy, financial, and market institutions limits integrated support for women entrepreneurs in food technology.</w:t>
      </w:r>
    </w:p>
    <w:p w14:paraId="06D5596A" w14:textId="77777777" w:rsidR="00CD195E" w:rsidRPr="00D17A65" w:rsidRDefault="00CD195E" w:rsidP="00CD195E">
      <w:pPr>
        <w:spacing w:after="0"/>
        <w:jc w:val="both"/>
        <w:rPr>
          <w:rFonts w:ascii="Times New Roman" w:hAnsi="Times New Roman" w:cs="Times New Roman"/>
          <w:sz w:val="24"/>
          <w:szCs w:val="24"/>
        </w:rPr>
      </w:pPr>
    </w:p>
    <w:p w14:paraId="41D3E92F"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Solving these challenges requires a long-term approach that builds institutional capacity, encourages cultural change, ensures resource allocation, and supports integrated multi-sectoral efforts.</w:t>
      </w:r>
    </w:p>
    <w:p w14:paraId="79A59A52" w14:textId="77777777" w:rsidR="00CD195E" w:rsidRPr="00D17A65" w:rsidRDefault="00CD195E" w:rsidP="00CD195E">
      <w:pPr>
        <w:spacing w:after="0"/>
        <w:jc w:val="both"/>
        <w:rPr>
          <w:rFonts w:ascii="Times New Roman" w:hAnsi="Times New Roman" w:cs="Times New Roman"/>
          <w:sz w:val="24"/>
          <w:szCs w:val="24"/>
        </w:rPr>
      </w:pPr>
    </w:p>
    <w:p w14:paraId="611E2B5B"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6. Future Directions</w:t>
      </w:r>
    </w:p>
    <w:p w14:paraId="5D722DBB" w14:textId="77777777" w:rsidR="00CD195E" w:rsidRPr="00D17A65" w:rsidRDefault="00CD195E" w:rsidP="00CD195E">
      <w:pPr>
        <w:spacing w:after="0"/>
        <w:jc w:val="both"/>
        <w:rPr>
          <w:rFonts w:ascii="Times New Roman" w:hAnsi="Times New Roman" w:cs="Times New Roman"/>
          <w:sz w:val="24"/>
          <w:szCs w:val="24"/>
        </w:rPr>
      </w:pPr>
    </w:p>
    <w:p w14:paraId="0051397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To achieve scalable and sustainable impacts, extension systems should adapt to emerging technology, social trends, and policy changes. Key future directions include:</w:t>
      </w:r>
    </w:p>
    <w:p w14:paraId="4715B470" w14:textId="77777777" w:rsidR="00CD195E" w:rsidRPr="00D17A65" w:rsidRDefault="00CD195E" w:rsidP="00CD195E">
      <w:pPr>
        <w:spacing w:after="0"/>
        <w:jc w:val="both"/>
        <w:rPr>
          <w:rFonts w:ascii="Times New Roman" w:hAnsi="Times New Roman" w:cs="Times New Roman"/>
          <w:sz w:val="24"/>
          <w:szCs w:val="24"/>
        </w:rPr>
      </w:pPr>
    </w:p>
    <w:p w14:paraId="26B8075B"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Intersectional Approaches: Extension programs must consider overlapping social factors, including age, caste, class, disability, and ethnicity, to ensure fair access and outcomes for all women.</w:t>
      </w:r>
    </w:p>
    <w:p w14:paraId="7CFEE7AD" w14:textId="77777777" w:rsidR="00CD195E" w:rsidRPr="00D17A65" w:rsidRDefault="00CD195E" w:rsidP="00CD195E">
      <w:pPr>
        <w:spacing w:after="0"/>
        <w:jc w:val="both"/>
        <w:rPr>
          <w:rFonts w:ascii="Times New Roman" w:hAnsi="Times New Roman" w:cs="Times New Roman"/>
          <w:sz w:val="24"/>
          <w:szCs w:val="24"/>
        </w:rPr>
      </w:pPr>
    </w:p>
    <w:p w14:paraId="5A0ACB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Co-Creation Platforms: Collaborative spaces that bring together women innovators, technology developers, and researchers can improve the relevance, usability, and adoption of food technologies designed for women’s needs.</w:t>
      </w:r>
    </w:p>
    <w:p w14:paraId="6B3AB179" w14:textId="77777777" w:rsidR="00CD195E" w:rsidRPr="00D17A65" w:rsidRDefault="00CD195E" w:rsidP="00CD195E">
      <w:pPr>
        <w:spacing w:after="0"/>
        <w:jc w:val="both"/>
        <w:rPr>
          <w:rFonts w:ascii="Times New Roman" w:hAnsi="Times New Roman" w:cs="Times New Roman"/>
          <w:sz w:val="24"/>
          <w:szCs w:val="24"/>
        </w:rPr>
      </w:pPr>
    </w:p>
    <w:p w14:paraId="45B75BE7"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Public-Private Partnerships (PPP): Collaborations with private sector actors, NGOs, and community organizations can broaden training outreach, strengthen market ties, and provide ongoing support to women-led food businesses.</w:t>
      </w:r>
    </w:p>
    <w:p w14:paraId="264D8AF4" w14:textId="77777777" w:rsidR="00CD195E" w:rsidRPr="00D17A65" w:rsidRDefault="00CD195E" w:rsidP="00CD195E">
      <w:pPr>
        <w:spacing w:after="0"/>
        <w:jc w:val="both"/>
        <w:rPr>
          <w:rFonts w:ascii="Times New Roman" w:hAnsi="Times New Roman" w:cs="Times New Roman"/>
          <w:sz w:val="24"/>
          <w:szCs w:val="24"/>
        </w:rPr>
      </w:pPr>
    </w:p>
    <w:p w14:paraId="07D88AE9"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Gender-Inclusive Digital Ecosystems: Digital tools should work to close gender gaps in access, literacy, and usability. Voice-based advisories, low-data apps, and community ICT hubs can increase reach, while integrated digital platforms can connect women to markets, finance, and mentoring.</w:t>
      </w:r>
    </w:p>
    <w:p w14:paraId="1955BF13" w14:textId="77777777" w:rsidR="00CD195E" w:rsidRPr="00D17A65" w:rsidRDefault="00CD195E" w:rsidP="00CD195E">
      <w:pPr>
        <w:spacing w:after="0"/>
        <w:jc w:val="both"/>
        <w:rPr>
          <w:rFonts w:ascii="Times New Roman" w:hAnsi="Times New Roman" w:cs="Times New Roman"/>
          <w:sz w:val="24"/>
          <w:szCs w:val="24"/>
        </w:rPr>
      </w:pPr>
    </w:p>
    <w:p w14:paraId="098FF8BF"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Integrated Policy and Institutional Support: Future strategies should align extension programs with supportive policies, financing options, and gender-responsive infrastructure to achieve systemic change rather than isolated outcomes.</w:t>
      </w:r>
    </w:p>
    <w:p w14:paraId="73467DBE" w14:textId="77777777" w:rsidR="00CD195E" w:rsidRPr="00D17A65" w:rsidRDefault="00CD195E" w:rsidP="00CD195E">
      <w:pPr>
        <w:spacing w:after="0"/>
        <w:jc w:val="both"/>
        <w:rPr>
          <w:rFonts w:ascii="Times New Roman" w:hAnsi="Times New Roman" w:cs="Times New Roman"/>
          <w:sz w:val="24"/>
          <w:szCs w:val="24"/>
        </w:rPr>
      </w:pPr>
    </w:p>
    <w:p w14:paraId="7252D15D" w14:textId="77777777" w:rsidR="00CD195E" w:rsidRPr="00D17A65" w:rsidRDefault="00CD195E" w:rsidP="00CD195E">
      <w:pPr>
        <w:spacing w:after="0"/>
        <w:jc w:val="both"/>
        <w:rPr>
          <w:rFonts w:ascii="Times New Roman" w:hAnsi="Times New Roman" w:cs="Times New Roman"/>
          <w:b/>
          <w:bCs/>
          <w:sz w:val="24"/>
          <w:szCs w:val="24"/>
        </w:rPr>
      </w:pPr>
      <w:r w:rsidRPr="00D17A65">
        <w:rPr>
          <w:rFonts w:ascii="Times New Roman" w:hAnsi="Times New Roman" w:cs="Times New Roman"/>
          <w:b/>
          <w:bCs/>
          <w:sz w:val="24"/>
          <w:szCs w:val="24"/>
        </w:rPr>
        <w:t>7. Conclusion</w:t>
      </w:r>
    </w:p>
    <w:p w14:paraId="6E36D9FD"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approaches are critical for unlocking the full potential of women in food technology. By addressing structural, social, and institutional barriers, these approaches transform women from passive beneficiaries into active decision-makers, innovators, and entrepreneurs in food systems. Participatory learning, gender-sensitive capacity building, ICT-enabled advisory services, institutional mainstreaming, and supportive policy interventions collectively enhance women’s technical skills, business acumen, confidence, and leadership.</w:t>
      </w:r>
    </w:p>
    <w:p w14:paraId="4955ACD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Evidence indicates that women empowered through such approaches not only adopt and adapt food technologies more effectively but also contribute to higher productivity, improved food safety and nutrition, and stronger participation in value chains. Beyond individual benefits, gender-</w:t>
      </w:r>
      <w:r w:rsidRPr="00D17A65">
        <w:rPr>
          <w:rFonts w:ascii="Times New Roman" w:hAnsi="Times New Roman" w:cs="Times New Roman"/>
          <w:sz w:val="24"/>
          <w:szCs w:val="24"/>
        </w:rPr>
        <w:lastRenderedPageBreak/>
        <w:t>responsive extension fosters systemic change, promoting inclusive, equitable, and sustainable food systems that advance both economic growth and social development.</w:t>
      </w:r>
    </w:p>
    <w:p w14:paraId="76D42C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progress, persistent challenges including cultural constraints, limited female extension staff, inadequate resources, and fragmented institutional support necessitate sustained attention. Future efforts must prioritize intersectional, integrated, and scalable strategies that combine digital innovations, participatory platforms, financial inclusion, and policy alignment.</w:t>
      </w:r>
    </w:p>
    <w:p w14:paraId="44C8F631"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 conclusion, integrating gender-responsive extension into food technology systems is not only a matter of equity but also a strategic imperative for resilient, innovative, and sustainable food systems. Such integration ensures that women’s expertise, creativity, and entrepreneurial capacity are recognized, nurtured, and translated into tangible social, economic, and technological outcomes, contributing decisively to inclusive food security, livelihood enhancement, and the achievement of sustainable development goals.</w:t>
      </w:r>
    </w:p>
    <w:p w14:paraId="6C9997BB" w14:textId="77777777" w:rsidR="00FD049D" w:rsidRPr="00D17A65" w:rsidRDefault="00FD049D" w:rsidP="00CD195E">
      <w:pPr>
        <w:spacing w:after="0"/>
        <w:jc w:val="both"/>
        <w:rPr>
          <w:rFonts w:ascii="Times New Roman" w:hAnsi="Times New Roman" w:cs="Times New Roman"/>
          <w:sz w:val="24"/>
          <w:szCs w:val="24"/>
        </w:rPr>
      </w:pPr>
    </w:p>
    <w:p w14:paraId="5B5ECA48" w14:textId="77777777" w:rsidR="009F3C56" w:rsidRPr="00D17A65" w:rsidRDefault="009F3C56" w:rsidP="00CD195E">
      <w:pPr>
        <w:spacing w:after="0"/>
        <w:jc w:val="both"/>
        <w:rPr>
          <w:rFonts w:ascii="Times New Roman" w:hAnsi="Times New Roman" w:cs="Times New Roman"/>
          <w:sz w:val="24"/>
          <w:szCs w:val="24"/>
        </w:rPr>
      </w:pPr>
    </w:p>
    <w:p w14:paraId="5E8314FB" w14:textId="77777777" w:rsidR="009F3C56" w:rsidRPr="00D17A65" w:rsidRDefault="009F3C56" w:rsidP="00CD195E">
      <w:pPr>
        <w:spacing w:after="0"/>
        <w:jc w:val="both"/>
        <w:rPr>
          <w:rFonts w:ascii="Times New Roman" w:hAnsi="Times New Roman" w:cs="Times New Roman"/>
          <w:sz w:val="24"/>
          <w:szCs w:val="24"/>
        </w:rPr>
      </w:pPr>
    </w:p>
    <w:p w14:paraId="65C8BF71" w14:textId="77777777" w:rsidR="009F3C56" w:rsidRPr="00D17A65" w:rsidRDefault="009F3C56" w:rsidP="00CD195E">
      <w:pPr>
        <w:spacing w:after="0"/>
        <w:jc w:val="both"/>
        <w:rPr>
          <w:rFonts w:ascii="Times New Roman" w:hAnsi="Times New Roman" w:cs="Times New Roman"/>
          <w:sz w:val="24"/>
          <w:szCs w:val="24"/>
        </w:rPr>
      </w:pPr>
    </w:p>
    <w:p w14:paraId="61653F38" w14:textId="77777777" w:rsidR="009F3C56" w:rsidRPr="00D17A65" w:rsidRDefault="009F3C56" w:rsidP="00CD195E">
      <w:pPr>
        <w:spacing w:after="0"/>
        <w:jc w:val="both"/>
        <w:rPr>
          <w:rFonts w:ascii="Times New Roman" w:hAnsi="Times New Roman" w:cs="Times New Roman"/>
          <w:sz w:val="24"/>
          <w:szCs w:val="24"/>
        </w:rPr>
      </w:pPr>
    </w:p>
    <w:p w14:paraId="04373A23" w14:textId="77777777" w:rsidR="00FD2004" w:rsidRPr="00D17A65" w:rsidRDefault="009F3C56" w:rsidP="00202047">
      <w:pPr>
        <w:spacing w:after="0"/>
        <w:jc w:val="both"/>
        <w:rPr>
          <w:rFonts w:ascii="Times New Roman" w:hAnsi="Times New Roman" w:cs="Times New Roman"/>
          <w:b/>
          <w:sz w:val="24"/>
          <w:szCs w:val="24"/>
        </w:rPr>
      </w:pPr>
      <w:r w:rsidRPr="00D17A65">
        <w:rPr>
          <w:rFonts w:ascii="Times New Roman" w:hAnsi="Times New Roman" w:cs="Times New Roman"/>
          <w:b/>
          <w:sz w:val="24"/>
          <w:szCs w:val="24"/>
        </w:rPr>
        <w:t>Reference</w:t>
      </w:r>
      <w:r w:rsidR="00FD2004" w:rsidRPr="00D17A65">
        <w:rPr>
          <w:rFonts w:ascii="Times New Roman" w:hAnsi="Times New Roman" w:cs="Times New Roman"/>
          <w:b/>
          <w:sz w:val="24"/>
          <w:szCs w:val="24"/>
        </w:rPr>
        <w:t xml:space="preserve"> </w:t>
      </w:r>
    </w:p>
    <w:p w14:paraId="55BE0EAE"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ADEWUSI, B. A., ADEKUNLE, B. I., MUSTAPHA, S. D., &amp; UZOKA, A. C. (2020). Advances in Inclusive Innovation Strategy and Gender Equity Through Digital Platform Enablement in Africa.</w:t>
      </w:r>
    </w:p>
    <w:p w14:paraId="77460B5D"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Ahmed, S. (2017). Embedding gender equality into institutional strategy. </w:t>
      </w:r>
      <w:r w:rsidRPr="00D17A65">
        <w:rPr>
          <w:rFonts w:ascii="Times New Roman" w:hAnsi="Times New Roman" w:cs="Times New Roman"/>
          <w:i/>
          <w:iCs/>
          <w:color w:val="222222"/>
          <w:sz w:val="24"/>
          <w:szCs w:val="24"/>
          <w:shd w:val="clear" w:color="auto" w:fill="FFFFFF"/>
        </w:rPr>
        <w:t>Global Health, Epidemiology and Genomics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w:t>
      </w:r>
      <w:r w:rsidRPr="00D17A65">
        <w:rPr>
          <w:rFonts w:ascii="Times New Roman" w:hAnsi="Times New Roman" w:cs="Times New Roman"/>
          <w:color w:val="222222"/>
          <w:sz w:val="24"/>
          <w:szCs w:val="24"/>
          <w:shd w:val="clear" w:color="auto" w:fill="FFFFFF"/>
        </w:rPr>
        <w:t>, e5.</w:t>
      </w:r>
    </w:p>
    <w:p w14:paraId="552EED0A"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Almahry, F. F., Sarea, A. M., &amp; Hamdan, A. M. (2018). A review paper on entrepreneurship education and entrepreneurs’ skills. </w:t>
      </w:r>
      <w:r w:rsidRPr="00D17A65">
        <w:rPr>
          <w:rFonts w:ascii="Times New Roman" w:hAnsi="Times New Roman" w:cs="Times New Roman"/>
          <w:i/>
          <w:iCs/>
          <w:color w:val="222222"/>
          <w:sz w:val="24"/>
          <w:szCs w:val="24"/>
          <w:shd w:val="clear" w:color="auto" w:fill="FFFFFF"/>
        </w:rPr>
        <w:t>Journal of Entrepreneurship Education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21</w:t>
      </w:r>
      <w:r w:rsidRPr="00D17A65">
        <w:rPr>
          <w:rFonts w:ascii="Times New Roman" w:hAnsi="Times New Roman" w:cs="Times New Roman"/>
          <w:color w:val="222222"/>
          <w:sz w:val="24"/>
          <w:szCs w:val="24"/>
          <w:shd w:val="clear" w:color="auto" w:fill="FFFFFF"/>
        </w:rPr>
        <w:t>(1), 1-7.</w:t>
      </w:r>
    </w:p>
    <w:p w14:paraId="04487506"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Arora, N., &amp; Chawla, R. A. (2023). Empowering women through </w:t>
      </w:r>
      <w:proofErr w:type="spellStart"/>
      <w:r w:rsidRPr="00D17A65">
        <w:rPr>
          <w:rFonts w:ascii="Times New Roman" w:hAnsi="Times New Roman" w:cs="Times New Roman"/>
          <w:color w:val="222222"/>
          <w:sz w:val="24"/>
          <w:szCs w:val="24"/>
          <w:shd w:val="clear" w:color="auto" w:fill="FFFFFF"/>
        </w:rPr>
        <w:t>self help</w:t>
      </w:r>
      <w:proofErr w:type="spellEnd"/>
      <w:r w:rsidRPr="00D17A65">
        <w:rPr>
          <w:rFonts w:ascii="Times New Roman" w:hAnsi="Times New Roman" w:cs="Times New Roman"/>
          <w:color w:val="222222"/>
          <w:sz w:val="24"/>
          <w:szCs w:val="24"/>
          <w:shd w:val="clear" w:color="auto" w:fill="FFFFFF"/>
        </w:rPr>
        <w:t xml:space="preserve"> groups and women cooperatives-A tool for sustainable development. </w:t>
      </w:r>
      <w:r w:rsidRPr="00D17A65">
        <w:rPr>
          <w:rFonts w:ascii="Times New Roman" w:hAnsi="Times New Roman" w:cs="Times New Roman"/>
          <w:i/>
          <w:iCs/>
          <w:color w:val="222222"/>
          <w:sz w:val="24"/>
          <w:szCs w:val="24"/>
          <w:shd w:val="clear" w:color="auto" w:fill="FFFFFF"/>
        </w:rPr>
        <w:t>DME Journal of Management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w:t>
      </w:r>
      <w:r w:rsidRPr="00D17A65">
        <w:rPr>
          <w:rFonts w:ascii="Times New Roman" w:hAnsi="Times New Roman" w:cs="Times New Roman"/>
          <w:color w:val="222222"/>
          <w:sz w:val="24"/>
          <w:szCs w:val="24"/>
          <w:shd w:val="clear" w:color="auto" w:fill="FFFFFF"/>
        </w:rPr>
        <w:t>(01), 25-30.</w:t>
      </w:r>
    </w:p>
    <w:p w14:paraId="6ABE193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19DAD32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7AE3A6D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0A850D08"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Barndt, D. (Ed.). (2004). </w:t>
      </w:r>
      <w:r w:rsidRPr="00D17A65">
        <w:rPr>
          <w:rFonts w:ascii="Times New Roman" w:hAnsi="Times New Roman" w:cs="Times New Roman"/>
          <w:i/>
          <w:iCs/>
          <w:color w:val="222222"/>
          <w:sz w:val="24"/>
          <w:szCs w:val="24"/>
          <w:shd w:val="clear" w:color="auto" w:fill="FFFFFF"/>
        </w:rPr>
        <w:t>Women working the NAFTA food chain: Women, food and globalization</w:t>
      </w:r>
      <w:r w:rsidRPr="00D17A65">
        <w:rPr>
          <w:rFonts w:ascii="Times New Roman" w:hAnsi="Times New Roman" w:cs="Times New Roman"/>
          <w:color w:val="222222"/>
          <w:sz w:val="24"/>
          <w:szCs w:val="24"/>
          <w:shd w:val="clear" w:color="auto" w:fill="FFFFFF"/>
        </w:rPr>
        <w:t>. Canadian Scholars’ Press.</w:t>
      </w:r>
    </w:p>
    <w:p w14:paraId="2D51ADEB"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lastRenderedPageBreak/>
        <w:t>Bell, K., &amp; Reed, M. (2022). The tree of participation: a new model for inclusive decision-making. </w:t>
      </w:r>
      <w:r w:rsidRPr="00D17A65">
        <w:rPr>
          <w:rFonts w:ascii="Times New Roman" w:hAnsi="Times New Roman" w:cs="Times New Roman"/>
          <w:i/>
          <w:iCs/>
          <w:color w:val="222222"/>
          <w:sz w:val="24"/>
          <w:szCs w:val="24"/>
          <w:shd w:val="clear" w:color="auto" w:fill="FFFFFF"/>
        </w:rPr>
        <w:t>Community Development Journal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57</w:t>
      </w:r>
      <w:r w:rsidRPr="00D17A65">
        <w:rPr>
          <w:rFonts w:ascii="Times New Roman" w:hAnsi="Times New Roman" w:cs="Times New Roman"/>
          <w:color w:val="222222"/>
          <w:sz w:val="24"/>
          <w:szCs w:val="24"/>
          <w:shd w:val="clear" w:color="auto" w:fill="FFFFFF"/>
        </w:rPr>
        <w:t>(4), 595-614.</w:t>
      </w:r>
    </w:p>
    <w:p w14:paraId="3189EB2F"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Blackmore, I., Ringler, C., &amp; </w:t>
      </w:r>
      <w:proofErr w:type="spellStart"/>
      <w:r w:rsidRPr="00D17A65">
        <w:rPr>
          <w:rFonts w:ascii="Times New Roman" w:hAnsi="Times New Roman" w:cs="Times New Roman"/>
          <w:color w:val="222222"/>
          <w:sz w:val="24"/>
          <w:szCs w:val="24"/>
          <w:shd w:val="clear" w:color="auto" w:fill="FFFFFF"/>
        </w:rPr>
        <w:t>Meinzen</w:t>
      </w:r>
      <w:proofErr w:type="spellEnd"/>
      <w:r w:rsidRPr="00D17A65">
        <w:rPr>
          <w:rFonts w:ascii="Times New Roman" w:hAnsi="Times New Roman" w:cs="Times New Roman"/>
          <w:color w:val="222222"/>
          <w:sz w:val="24"/>
          <w:szCs w:val="24"/>
          <w:shd w:val="clear" w:color="auto" w:fill="FFFFFF"/>
        </w:rPr>
        <w:t>-Dick, R. S. (2022). </w:t>
      </w:r>
      <w:r w:rsidRPr="00D17A65">
        <w:rPr>
          <w:rFonts w:ascii="Times New Roman" w:hAnsi="Times New Roman" w:cs="Times New Roman"/>
          <w:i/>
          <w:iCs/>
          <w:color w:val="222222"/>
          <w:sz w:val="24"/>
          <w:szCs w:val="24"/>
          <w:shd w:val="clear" w:color="auto" w:fill="FFFFFF"/>
        </w:rPr>
        <w:t>Gender gaps in agricultural growth and development: Opportunities for improving gender-responsive programming</w:t>
      </w:r>
      <w:r w:rsidRPr="00D17A65">
        <w:rPr>
          <w:rFonts w:ascii="Times New Roman" w:hAnsi="Times New Roman" w:cs="Times New Roman"/>
          <w:color w:val="222222"/>
          <w:sz w:val="24"/>
          <w:szCs w:val="24"/>
          <w:shd w:val="clear" w:color="auto" w:fill="FFFFFF"/>
        </w:rPr>
        <w:t>. Intl Food Policy Res Inst.</w:t>
      </w:r>
    </w:p>
    <w:p w14:paraId="1310499C"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Brouwer, I. D., McDermott, J., &amp; Ruben, R. (2020). Food systems everywhere: Improving relevance in practice. </w:t>
      </w:r>
      <w:r w:rsidRPr="00D17A65">
        <w:rPr>
          <w:rFonts w:ascii="Times New Roman" w:hAnsi="Times New Roman" w:cs="Times New Roman"/>
          <w:i/>
          <w:iCs/>
          <w:color w:val="222222"/>
          <w:sz w:val="24"/>
          <w:szCs w:val="24"/>
          <w:shd w:val="clear" w:color="auto" w:fill="FFFFFF"/>
        </w:rPr>
        <w:t>Global food security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26</w:t>
      </w:r>
      <w:r w:rsidRPr="00D17A65">
        <w:rPr>
          <w:rFonts w:ascii="Times New Roman" w:hAnsi="Times New Roman" w:cs="Times New Roman"/>
          <w:color w:val="222222"/>
          <w:sz w:val="24"/>
          <w:szCs w:val="24"/>
          <w:shd w:val="clear" w:color="auto" w:fill="FFFFFF"/>
        </w:rPr>
        <w:t>, 100398.</w:t>
      </w:r>
    </w:p>
    <w:p w14:paraId="72E4AFD9"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Chen, H., Ellett, J. K., Phillips, R., &amp; Feng, Y. (2021). Small-scale produce growers’ barriers and motivators to value-added business: Food safety and beyond. </w:t>
      </w:r>
      <w:r w:rsidRPr="00D17A65">
        <w:rPr>
          <w:rFonts w:ascii="Times New Roman" w:hAnsi="Times New Roman" w:cs="Times New Roman"/>
          <w:i/>
          <w:iCs/>
          <w:color w:val="222222"/>
          <w:sz w:val="24"/>
          <w:szCs w:val="24"/>
          <w:shd w:val="clear" w:color="auto" w:fill="FFFFFF"/>
        </w:rPr>
        <w:t>Food Control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130</w:t>
      </w:r>
      <w:r w:rsidRPr="00D17A65">
        <w:rPr>
          <w:rFonts w:ascii="Times New Roman" w:hAnsi="Times New Roman" w:cs="Times New Roman"/>
          <w:color w:val="222222"/>
          <w:sz w:val="24"/>
          <w:szCs w:val="24"/>
          <w:shd w:val="clear" w:color="auto" w:fill="FFFFFF"/>
        </w:rPr>
        <w:t>, 108192.</w:t>
      </w:r>
    </w:p>
    <w:p w14:paraId="4A3B114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Chianumba</w:t>
      </w:r>
      <w:proofErr w:type="spellEnd"/>
      <w:r w:rsidRPr="00D17A65">
        <w:rPr>
          <w:rFonts w:ascii="Times New Roman" w:hAnsi="Times New Roman" w:cs="Times New Roman"/>
          <w:color w:val="222222"/>
          <w:sz w:val="24"/>
          <w:szCs w:val="24"/>
          <w:shd w:val="clear" w:color="auto" w:fill="FFFFFF"/>
        </w:rPr>
        <w:t xml:space="preserve">, E. C., </w:t>
      </w:r>
      <w:proofErr w:type="spellStart"/>
      <w:r w:rsidRPr="00D17A65">
        <w:rPr>
          <w:rFonts w:ascii="Times New Roman" w:hAnsi="Times New Roman" w:cs="Times New Roman"/>
          <w:color w:val="222222"/>
          <w:sz w:val="24"/>
          <w:szCs w:val="24"/>
          <w:shd w:val="clear" w:color="auto" w:fill="FFFFFF"/>
        </w:rPr>
        <w:t>Forkuo</w:t>
      </w:r>
      <w:proofErr w:type="spellEnd"/>
      <w:r w:rsidRPr="00D17A65">
        <w:rPr>
          <w:rFonts w:ascii="Times New Roman" w:hAnsi="Times New Roman" w:cs="Times New Roman"/>
          <w:color w:val="222222"/>
          <w:sz w:val="24"/>
          <w:szCs w:val="24"/>
          <w:shd w:val="clear" w:color="auto" w:fill="FFFFFF"/>
        </w:rPr>
        <w:t xml:space="preserve">, A. Y., Mustapha, A. Y., </w:t>
      </w:r>
      <w:proofErr w:type="spellStart"/>
      <w:r w:rsidRPr="00D17A65">
        <w:rPr>
          <w:rFonts w:ascii="Times New Roman" w:hAnsi="Times New Roman" w:cs="Times New Roman"/>
          <w:color w:val="222222"/>
          <w:sz w:val="24"/>
          <w:szCs w:val="24"/>
          <w:shd w:val="clear" w:color="auto" w:fill="FFFFFF"/>
        </w:rPr>
        <w:t>Osamika</w:t>
      </w:r>
      <w:proofErr w:type="spellEnd"/>
      <w:r w:rsidRPr="00D17A65">
        <w:rPr>
          <w:rFonts w:ascii="Times New Roman" w:hAnsi="Times New Roman" w:cs="Times New Roman"/>
          <w:color w:val="222222"/>
          <w:sz w:val="24"/>
          <w:szCs w:val="24"/>
          <w:shd w:val="clear" w:color="auto" w:fill="FFFFFF"/>
        </w:rPr>
        <w:t>, D., &amp; Komi, L. S. (2024). Advances in preventive care delivery through WhatsApp, SMS, and IVR messaging in high-need populations. </w:t>
      </w:r>
      <w:r w:rsidRPr="00D17A65">
        <w:rPr>
          <w:rFonts w:ascii="Times New Roman" w:hAnsi="Times New Roman" w:cs="Times New Roman"/>
          <w:i/>
          <w:iCs/>
          <w:color w:val="222222"/>
          <w:sz w:val="24"/>
          <w:szCs w:val="24"/>
          <w:shd w:val="clear" w:color="auto" w:fill="FFFFFF"/>
        </w:rPr>
        <w:t>International Journal of Advanced Multidisciplinary Research and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w:t>
      </w:r>
      <w:r w:rsidRPr="00D17A65">
        <w:rPr>
          <w:rFonts w:ascii="Times New Roman" w:hAnsi="Times New Roman" w:cs="Times New Roman"/>
          <w:color w:val="222222"/>
          <w:sz w:val="24"/>
          <w:szCs w:val="24"/>
          <w:shd w:val="clear" w:color="auto" w:fill="FFFFFF"/>
        </w:rPr>
        <w:t>(6), 1967-1988.</w:t>
      </w:r>
    </w:p>
    <w:p w14:paraId="57132EA8"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Chinen, M., De Hoop, T., </w:t>
      </w:r>
      <w:proofErr w:type="spellStart"/>
      <w:r w:rsidRPr="00D17A65">
        <w:rPr>
          <w:rFonts w:ascii="Times New Roman" w:hAnsi="Times New Roman" w:cs="Times New Roman"/>
          <w:color w:val="222222"/>
          <w:sz w:val="24"/>
          <w:szCs w:val="24"/>
          <w:shd w:val="clear" w:color="auto" w:fill="FFFFFF"/>
        </w:rPr>
        <w:t>Alcázar</w:t>
      </w:r>
      <w:proofErr w:type="spellEnd"/>
      <w:r w:rsidRPr="00D17A65">
        <w:rPr>
          <w:rFonts w:ascii="Times New Roman" w:hAnsi="Times New Roman" w:cs="Times New Roman"/>
          <w:color w:val="222222"/>
          <w:sz w:val="24"/>
          <w:szCs w:val="24"/>
          <w:shd w:val="clear" w:color="auto" w:fill="FFFFFF"/>
        </w:rPr>
        <w:t xml:space="preserve">, L., </w:t>
      </w:r>
      <w:proofErr w:type="spellStart"/>
      <w:r w:rsidRPr="00D17A65">
        <w:rPr>
          <w:rFonts w:ascii="Times New Roman" w:hAnsi="Times New Roman" w:cs="Times New Roman"/>
          <w:color w:val="222222"/>
          <w:sz w:val="24"/>
          <w:szCs w:val="24"/>
          <w:shd w:val="clear" w:color="auto" w:fill="FFFFFF"/>
        </w:rPr>
        <w:t>Balarin</w:t>
      </w:r>
      <w:proofErr w:type="spellEnd"/>
      <w:r w:rsidRPr="00D17A65">
        <w:rPr>
          <w:rFonts w:ascii="Times New Roman" w:hAnsi="Times New Roman" w:cs="Times New Roman"/>
          <w:color w:val="222222"/>
          <w:sz w:val="24"/>
          <w:szCs w:val="24"/>
          <w:shd w:val="clear" w:color="auto" w:fill="FFFFFF"/>
        </w:rPr>
        <w:t xml:space="preserve">, M., &amp; Sennett, J. (2017). Vocational and business training to improve women's </w:t>
      </w:r>
      <w:proofErr w:type="spellStart"/>
      <w:r w:rsidRPr="00D17A65">
        <w:rPr>
          <w:rFonts w:ascii="Times New Roman" w:hAnsi="Times New Roman" w:cs="Times New Roman"/>
          <w:color w:val="222222"/>
          <w:sz w:val="24"/>
          <w:szCs w:val="24"/>
          <w:shd w:val="clear" w:color="auto" w:fill="FFFFFF"/>
        </w:rPr>
        <w:t>labour</w:t>
      </w:r>
      <w:proofErr w:type="spellEnd"/>
      <w:r w:rsidRPr="00D17A65">
        <w:rPr>
          <w:rFonts w:ascii="Times New Roman" w:hAnsi="Times New Roman" w:cs="Times New Roman"/>
          <w:color w:val="222222"/>
          <w:sz w:val="24"/>
          <w:szCs w:val="24"/>
          <w:shd w:val="clear" w:color="auto" w:fill="FFFFFF"/>
        </w:rPr>
        <w:t xml:space="preserve"> market outcomes in low‐and middle‐income countries: A systematic review. </w:t>
      </w:r>
      <w:r w:rsidRPr="00D17A65">
        <w:rPr>
          <w:rFonts w:ascii="Times New Roman" w:hAnsi="Times New Roman" w:cs="Times New Roman"/>
          <w:i/>
          <w:iCs/>
          <w:color w:val="222222"/>
          <w:sz w:val="24"/>
          <w:szCs w:val="24"/>
          <w:shd w:val="clear" w:color="auto" w:fill="FFFFFF"/>
        </w:rPr>
        <w:t>Campbell Systematic Reviews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w:t>
      </w:r>
      <w:r w:rsidRPr="00D17A65">
        <w:rPr>
          <w:rFonts w:ascii="Times New Roman" w:hAnsi="Times New Roman" w:cs="Times New Roman"/>
          <w:color w:val="222222"/>
          <w:sz w:val="24"/>
          <w:szCs w:val="24"/>
          <w:shd w:val="clear" w:color="auto" w:fill="FFFFFF"/>
        </w:rPr>
        <w:t>(1), 1-195.</w:t>
      </w:r>
    </w:p>
    <w:p w14:paraId="15F1B6A7"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Chisunum</w:t>
      </w:r>
      <w:proofErr w:type="spellEnd"/>
      <w:r w:rsidRPr="00D17A65">
        <w:rPr>
          <w:rFonts w:ascii="Times New Roman" w:hAnsi="Times New Roman" w:cs="Times New Roman"/>
          <w:color w:val="222222"/>
          <w:sz w:val="24"/>
          <w:szCs w:val="24"/>
          <w:shd w:val="clear" w:color="auto" w:fill="FFFFFF"/>
        </w:rPr>
        <w:t>, J. I., &amp; Nwadiokwu, C. (2024). Enhancing student engagement through practical production and utilization of instructional materials in an educational technology class: A multifaceted approach. </w:t>
      </w:r>
      <w:r w:rsidRPr="00D17A65">
        <w:rPr>
          <w:rFonts w:ascii="Times New Roman" w:hAnsi="Times New Roman" w:cs="Times New Roman"/>
          <w:i/>
          <w:iCs/>
          <w:color w:val="222222"/>
          <w:sz w:val="24"/>
          <w:szCs w:val="24"/>
          <w:shd w:val="clear" w:color="auto" w:fill="FFFFFF"/>
        </w:rPr>
        <w:t>NIU Journal of Educational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10</w:t>
      </w:r>
      <w:r w:rsidRPr="00D17A65">
        <w:rPr>
          <w:rFonts w:ascii="Times New Roman" w:hAnsi="Times New Roman" w:cs="Times New Roman"/>
          <w:color w:val="222222"/>
          <w:sz w:val="24"/>
          <w:szCs w:val="24"/>
          <w:shd w:val="clear" w:color="auto" w:fill="FFFFFF"/>
        </w:rPr>
        <w:t>(2), 81-89.</w:t>
      </w:r>
    </w:p>
    <w:p w14:paraId="74F8F36A" w14:textId="77777777" w:rsidR="00FD2004" w:rsidRPr="00D17A65" w:rsidRDefault="00FD2004" w:rsidP="00FD2004">
      <w:pPr>
        <w:jc w:val="both"/>
        <w:rPr>
          <w:rFonts w:ascii="Times New Roman" w:hAnsi="Times New Roman" w:cs="Times New Roman"/>
          <w:sz w:val="24"/>
          <w:szCs w:val="24"/>
        </w:rPr>
      </w:pPr>
      <w:r w:rsidRPr="00AD4326">
        <w:rPr>
          <w:rFonts w:ascii="Times New Roman" w:hAnsi="Times New Roman" w:cs="Times New Roman"/>
          <w:color w:val="222222"/>
          <w:sz w:val="24"/>
          <w:szCs w:val="24"/>
          <w:shd w:val="clear" w:color="auto" w:fill="FFFFFF"/>
          <w:lang w:val="es-US"/>
        </w:rPr>
        <w:t xml:space="preserve">Correa, T., </w:t>
      </w:r>
      <w:proofErr w:type="spellStart"/>
      <w:r w:rsidRPr="00AD4326">
        <w:rPr>
          <w:rFonts w:ascii="Times New Roman" w:hAnsi="Times New Roman" w:cs="Times New Roman"/>
          <w:color w:val="222222"/>
          <w:sz w:val="24"/>
          <w:szCs w:val="24"/>
          <w:shd w:val="clear" w:color="auto" w:fill="FFFFFF"/>
          <w:lang w:val="es-US"/>
        </w:rPr>
        <w:t>Pavez</w:t>
      </w:r>
      <w:proofErr w:type="spellEnd"/>
      <w:r w:rsidRPr="00AD4326">
        <w:rPr>
          <w:rFonts w:ascii="Times New Roman" w:hAnsi="Times New Roman" w:cs="Times New Roman"/>
          <w:color w:val="222222"/>
          <w:sz w:val="24"/>
          <w:szCs w:val="24"/>
          <w:shd w:val="clear" w:color="auto" w:fill="FFFFFF"/>
          <w:lang w:val="es-US"/>
        </w:rPr>
        <w:t xml:space="preserve">, I., &amp; Contreras, J. (2020). </w:t>
      </w:r>
      <w:r w:rsidRPr="00D17A65">
        <w:rPr>
          <w:rFonts w:ascii="Times New Roman" w:hAnsi="Times New Roman" w:cs="Times New Roman"/>
          <w:color w:val="222222"/>
          <w:sz w:val="24"/>
          <w:szCs w:val="24"/>
          <w:shd w:val="clear" w:color="auto" w:fill="FFFFFF"/>
        </w:rPr>
        <w:t xml:space="preserve">Digital inclusion through mobile </w:t>
      </w:r>
      <w:proofErr w:type="gramStart"/>
      <w:r w:rsidRPr="00D17A65">
        <w:rPr>
          <w:rFonts w:ascii="Times New Roman" w:hAnsi="Times New Roman" w:cs="Times New Roman"/>
          <w:color w:val="222222"/>
          <w:sz w:val="24"/>
          <w:szCs w:val="24"/>
          <w:shd w:val="clear" w:color="auto" w:fill="FFFFFF"/>
        </w:rPr>
        <w:t>phones?:</w:t>
      </w:r>
      <w:proofErr w:type="gramEnd"/>
      <w:r w:rsidRPr="00D17A65">
        <w:rPr>
          <w:rFonts w:ascii="Times New Roman" w:hAnsi="Times New Roman" w:cs="Times New Roman"/>
          <w:color w:val="222222"/>
          <w:sz w:val="24"/>
          <w:szCs w:val="24"/>
          <w:shd w:val="clear" w:color="auto" w:fill="FFFFFF"/>
        </w:rPr>
        <w:t xml:space="preserve"> A comparison between mobile-only and computer users in internet access, skills and use. </w:t>
      </w:r>
      <w:r w:rsidRPr="00D17A65">
        <w:rPr>
          <w:rFonts w:ascii="Times New Roman" w:hAnsi="Times New Roman" w:cs="Times New Roman"/>
          <w:i/>
          <w:iCs/>
          <w:color w:val="222222"/>
          <w:sz w:val="24"/>
          <w:szCs w:val="24"/>
          <w:shd w:val="clear" w:color="auto" w:fill="FFFFFF"/>
        </w:rPr>
        <w:t>Information, Communication &amp; Society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23</w:t>
      </w:r>
      <w:r w:rsidRPr="00D17A65">
        <w:rPr>
          <w:rFonts w:ascii="Times New Roman" w:hAnsi="Times New Roman" w:cs="Times New Roman"/>
          <w:color w:val="222222"/>
          <w:sz w:val="24"/>
          <w:szCs w:val="24"/>
          <w:shd w:val="clear" w:color="auto" w:fill="FFFFFF"/>
        </w:rPr>
        <w:t>(7), 1074-1091.</w:t>
      </w:r>
    </w:p>
    <w:p w14:paraId="0D9F260B"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Cramer, L., </w:t>
      </w:r>
      <w:proofErr w:type="spellStart"/>
      <w:r w:rsidRPr="00D17A65">
        <w:rPr>
          <w:rFonts w:ascii="Times New Roman" w:hAnsi="Times New Roman" w:cs="Times New Roman"/>
          <w:color w:val="222222"/>
          <w:sz w:val="24"/>
          <w:szCs w:val="24"/>
          <w:shd w:val="clear" w:color="auto" w:fill="FFFFFF"/>
        </w:rPr>
        <w:t>Förch</w:t>
      </w:r>
      <w:proofErr w:type="spellEnd"/>
      <w:r w:rsidRPr="00D17A65">
        <w:rPr>
          <w:rFonts w:ascii="Times New Roman" w:hAnsi="Times New Roman" w:cs="Times New Roman"/>
          <w:color w:val="222222"/>
          <w:sz w:val="24"/>
          <w:szCs w:val="24"/>
          <w:shd w:val="clear" w:color="auto" w:fill="FFFFFF"/>
        </w:rPr>
        <w:t>, W., Mutie, I., &amp; Thornton, P. K. (2016). Connecting women, connecting men: how communities and organizations interact to strengthen adaptive capacity and food security in the face of climate change. </w:t>
      </w:r>
      <w:r w:rsidRPr="00D17A65">
        <w:rPr>
          <w:rFonts w:ascii="Times New Roman" w:hAnsi="Times New Roman" w:cs="Times New Roman"/>
          <w:i/>
          <w:iCs/>
          <w:color w:val="222222"/>
          <w:sz w:val="24"/>
          <w:szCs w:val="24"/>
          <w:shd w:val="clear" w:color="auto" w:fill="FFFFFF"/>
        </w:rPr>
        <w:t>Gender, Technology and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(2), 169-199.</w:t>
      </w:r>
    </w:p>
    <w:p w14:paraId="2D832347"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Dayanandan, R. (2011). Gender mainstreaming through extension: Problems and prospects. </w:t>
      </w:r>
      <w:r w:rsidRPr="00D17A65">
        <w:rPr>
          <w:rFonts w:ascii="Times New Roman" w:hAnsi="Times New Roman" w:cs="Times New Roman"/>
          <w:i/>
          <w:iCs/>
          <w:color w:val="222222"/>
          <w:sz w:val="24"/>
          <w:szCs w:val="24"/>
          <w:shd w:val="clear" w:color="auto" w:fill="FFFFFF"/>
        </w:rPr>
        <w:t>Journal of Alternative Perspectives in the Social Sciences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(3), 508-550.</w:t>
      </w:r>
      <w:r w:rsidRPr="00D17A65">
        <w:rPr>
          <w:rFonts w:ascii="Times New Roman" w:hAnsi="Times New Roman" w:cs="Times New Roman"/>
          <w:sz w:val="24"/>
          <w:szCs w:val="24"/>
        </w:rPr>
        <w:t xml:space="preserve"> </w:t>
      </w:r>
    </w:p>
    <w:p w14:paraId="1AED25E0"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de Brún, T., O’Reilly-de Brún, M., van Weel-Baumgarten, E., Burns, N., Dowrick, C., Lionis, C., ... &amp; MacFarlane, A. (2017). Using Participatory Learning &amp; Action (PLA) research techniques for inter-stakeholder dialogue in primary healthcare: an analysis of stakeholders’ experiences. </w:t>
      </w:r>
      <w:r w:rsidRPr="00D17A65">
        <w:rPr>
          <w:rFonts w:ascii="Times New Roman" w:hAnsi="Times New Roman" w:cs="Times New Roman"/>
          <w:i/>
          <w:iCs/>
          <w:color w:val="222222"/>
          <w:sz w:val="24"/>
          <w:szCs w:val="24"/>
          <w:shd w:val="clear" w:color="auto" w:fill="FFFFFF"/>
        </w:rPr>
        <w:t>Research involvement and engagement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(1), 28.</w:t>
      </w:r>
    </w:p>
    <w:p w14:paraId="16D2B601"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Dushkova, D., &amp; </w:t>
      </w:r>
      <w:proofErr w:type="spellStart"/>
      <w:r w:rsidRPr="00D17A65">
        <w:rPr>
          <w:rFonts w:ascii="Times New Roman" w:hAnsi="Times New Roman" w:cs="Times New Roman"/>
          <w:color w:val="222222"/>
          <w:sz w:val="24"/>
          <w:szCs w:val="24"/>
          <w:shd w:val="clear" w:color="auto" w:fill="FFFFFF"/>
        </w:rPr>
        <w:t>Ivlieva</w:t>
      </w:r>
      <w:proofErr w:type="spellEnd"/>
      <w:r w:rsidRPr="00D17A65">
        <w:rPr>
          <w:rFonts w:ascii="Times New Roman" w:hAnsi="Times New Roman" w:cs="Times New Roman"/>
          <w:color w:val="222222"/>
          <w:sz w:val="24"/>
          <w:szCs w:val="24"/>
          <w:shd w:val="clear" w:color="auto" w:fill="FFFFFF"/>
        </w:rPr>
        <w:t>, O. (2024). Empowering communities to act for a change: A review of the community empowerment programs towards sustainability and resilience. </w:t>
      </w:r>
      <w:r w:rsidRPr="00D17A65">
        <w:rPr>
          <w:rFonts w:ascii="Times New Roman" w:hAnsi="Times New Roman" w:cs="Times New Roman"/>
          <w:i/>
          <w:iCs/>
          <w:color w:val="222222"/>
          <w:sz w:val="24"/>
          <w:szCs w:val="24"/>
          <w:shd w:val="clear" w:color="auto" w:fill="FFFFFF"/>
        </w:rPr>
        <w:t>Sustainability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16</w:t>
      </w:r>
      <w:r w:rsidRPr="00D17A65">
        <w:rPr>
          <w:rFonts w:ascii="Times New Roman" w:hAnsi="Times New Roman" w:cs="Times New Roman"/>
          <w:color w:val="222222"/>
          <w:sz w:val="24"/>
          <w:szCs w:val="24"/>
          <w:shd w:val="clear" w:color="auto" w:fill="FFFFFF"/>
        </w:rPr>
        <w:t>(19), 8700</w:t>
      </w:r>
    </w:p>
    <w:p w14:paraId="2C9CFD9C"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Flynn-Dapaah, K., &amp; Tareq Rashid, A. (2010). Gender digital equality in ICT interventions in health: evidence from IDRC supported projects in developing countries.</w:t>
      </w:r>
    </w:p>
    <w:p w14:paraId="1DBA1AD2"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lastRenderedPageBreak/>
        <w:t>Gebreselassie, K., Groote, H. D., &amp; Friesen, D. (2013). Gender analysis and approaches to gender responsive extension to promote quality protein maize (QPM) in Ethiopia.</w:t>
      </w:r>
    </w:p>
    <w:p w14:paraId="07A3B944"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Gul, S., Fatima, B., &amp; Akhtar, N. (2025). Gender Equality in Education: Addressing Structural Barriers and Social Norms Asian Context. </w:t>
      </w:r>
      <w:r w:rsidRPr="00D17A65">
        <w:rPr>
          <w:rFonts w:ascii="Times New Roman" w:hAnsi="Times New Roman" w:cs="Times New Roman"/>
          <w:i/>
          <w:iCs/>
          <w:color w:val="222222"/>
          <w:sz w:val="24"/>
          <w:szCs w:val="24"/>
          <w:shd w:val="clear" w:color="auto" w:fill="FFFFFF"/>
        </w:rPr>
        <w:t>The Critical Review of Social Sciences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(1), 2839-2854.</w:t>
      </w:r>
    </w:p>
    <w:p w14:paraId="2F072A6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Hoeggel</w:t>
      </w:r>
      <w:proofErr w:type="spellEnd"/>
      <w:r w:rsidRPr="00D17A65">
        <w:rPr>
          <w:rFonts w:ascii="Times New Roman" w:hAnsi="Times New Roman" w:cs="Times New Roman"/>
          <w:color w:val="222222"/>
          <w:sz w:val="24"/>
          <w:szCs w:val="24"/>
          <w:shd w:val="clear" w:color="auto" w:fill="FFFFFF"/>
        </w:rPr>
        <w:t xml:space="preserve">, F. U., &amp; </w:t>
      </w:r>
      <w:proofErr w:type="spellStart"/>
      <w:r w:rsidRPr="00D17A65">
        <w:rPr>
          <w:rFonts w:ascii="Times New Roman" w:hAnsi="Times New Roman" w:cs="Times New Roman"/>
          <w:color w:val="222222"/>
          <w:sz w:val="24"/>
          <w:szCs w:val="24"/>
          <w:shd w:val="clear" w:color="auto" w:fill="FFFFFF"/>
        </w:rPr>
        <w:t>Mbeyale</w:t>
      </w:r>
      <w:proofErr w:type="spellEnd"/>
      <w:r w:rsidRPr="00D17A65">
        <w:rPr>
          <w:rFonts w:ascii="Times New Roman" w:hAnsi="Times New Roman" w:cs="Times New Roman"/>
          <w:color w:val="222222"/>
          <w:sz w:val="24"/>
          <w:szCs w:val="24"/>
          <w:shd w:val="clear" w:color="auto" w:fill="FFFFFF"/>
        </w:rPr>
        <w:t>, G. (2014). Impact Assessment of Pastoralist Field Schools in Ethiopia, Kenya and Uganda. </w:t>
      </w:r>
      <w:r w:rsidRPr="00D17A65">
        <w:rPr>
          <w:rFonts w:ascii="Times New Roman" w:hAnsi="Times New Roman" w:cs="Times New Roman"/>
          <w:i/>
          <w:iCs/>
          <w:color w:val="222222"/>
          <w:sz w:val="24"/>
          <w:szCs w:val="24"/>
          <w:shd w:val="clear" w:color="auto" w:fill="FFFFFF"/>
        </w:rPr>
        <w:t>Centre for Development and Environment (CDE)</w:t>
      </w:r>
      <w:r w:rsidRPr="00D17A65">
        <w:rPr>
          <w:rFonts w:ascii="Times New Roman" w:hAnsi="Times New Roman" w:cs="Times New Roman"/>
          <w:color w:val="222222"/>
          <w:sz w:val="24"/>
          <w:szCs w:val="24"/>
          <w:shd w:val="clear" w:color="auto" w:fill="FFFFFF"/>
        </w:rPr>
        <w:t>.</w:t>
      </w:r>
    </w:p>
    <w:p w14:paraId="40F2EDA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Hoffecker, E. (2021). Understanding inclusive innovation processes in agricultural systems: A middle-range conceptual model. </w:t>
      </w:r>
      <w:r w:rsidRPr="00D17A65">
        <w:rPr>
          <w:rFonts w:ascii="Times New Roman" w:hAnsi="Times New Roman" w:cs="Times New Roman"/>
          <w:i/>
          <w:iCs/>
          <w:color w:val="222222"/>
          <w:sz w:val="24"/>
          <w:szCs w:val="24"/>
          <w:shd w:val="clear" w:color="auto" w:fill="FFFFFF"/>
        </w:rPr>
        <w:t>World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140</w:t>
      </w:r>
      <w:r w:rsidRPr="00D17A65">
        <w:rPr>
          <w:rFonts w:ascii="Times New Roman" w:hAnsi="Times New Roman" w:cs="Times New Roman"/>
          <w:color w:val="222222"/>
          <w:sz w:val="24"/>
          <w:szCs w:val="24"/>
          <w:shd w:val="clear" w:color="auto" w:fill="FFFFFF"/>
        </w:rPr>
        <w:t>, 105382.</w:t>
      </w:r>
    </w:p>
    <w:p w14:paraId="42936AD8"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Ibnouf, F. O. (2012). The value of women's indigenous knowledge in food processing and preservation for achieving household food security in rural Sudan. </w:t>
      </w:r>
      <w:r w:rsidRPr="00D17A65">
        <w:rPr>
          <w:rFonts w:ascii="Times New Roman" w:hAnsi="Times New Roman" w:cs="Times New Roman"/>
          <w:i/>
          <w:iCs/>
          <w:color w:val="222222"/>
          <w:sz w:val="24"/>
          <w:szCs w:val="24"/>
          <w:shd w:val="clear" w:color="auto" w:fill="FFFFFF"/>
        </w:rPr>
        <w:t>Journal of food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(1), 238.</w:t>
      </w:r>
    </w:p>
    <w:p w14:paraId="2C76B82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Ibnouf, M. H., </w:t>
      </w:r>
      <w:proofErr w:type="spellStart"/>
      <w:r w:rsidRPr="00D17A65">
        <w:rPr>
          <w:rFonts w:ascii="Times New Roman" w:hAnsi="Times New Roman" w:cs="Times New Roman"/>
          <w:color w:val="222222"/>
          <w:sz w:val="24"/>
          <w:szCs w:val="24"/>
          <w:shd w:val="clear" w:color="auto" w:fill="FFFFFF"/>
        </w:rPr>
        <w:t>Sheqwarah</w:t>
      </w:r>
      <w:proofErr w:type="spellEnd"/>
      <w:r w:rsidRPr="00D17A65">
        <w:rPr>
          <w:rFonts w:ascii="Times New Roman" w:hAnsi="Times New Roman" w:cs="Times New Roman"/>
          <w:color w:val="222222"/>
          <w:sz w:val="24"/>
          <w:szCs w:val="24"/>
          <w:shd w:val="clear" w:color="auto" w:fill="FFFFFF"/>
        </w:rPr>
        <w:t>, M. N., &amp; Sultan, K. I. (2015). An evaluation of the participatory learning and action (PLA) training workshop. </w:t>
      </w:r>
      <w:r w:rsidRPr="00D17A65">
        <w:rPr>
          <w:rFonts w:ascii="Times New Roman" w:hAnsi="Times New Roman" w:cs="Times New Roman"/>
          <w:i/>
          <w:iCs/>
          <w:color w:val="222222"/>
          <w:sz w:val="24"/>
          <w:szCs w:val="24"/>
          <w:shd w:val="clear" w:color="auto" w:fill="FFFFFF"/>
        </w:rPr>
        <w:t>Journal of Agricultural Science</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7</w:t>
      </w:r>
      <w:r w:rsidRPr="00D17A65">
        <w:rPr>
          <w:rFonts w:ascii="Times New Roman" w:hAnsi="Times New Roman" w:cs="Times New Roman"/>
          <w:color w:val="222222"/>
          <w:sz w:val="24"/>
          <w:szCs w:val="24"/>
          <w:shd w:val="clear" w:color="auto" w:fill="FFFFFF"/>
        </w:rPr>
        <w:t>(12), 144-150.</w:t>
      </w:r>
    </w:p>
    <w:p w14:paraId="6182DE1F"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Jarial</w:t>
      </w:r>
      <w:proofErr w:type="spellEnd"/>
      <w:r w:rsidRPr="00D17A65">
        <w:rPr>
          <w:rFonts w:ascii="Times New Roman" w:hAnsi="Times New Roman" w:cs="Times New Roman"/>
          <w:color w:val="222222"/>
          <w:sz w:val="24"/>
          <w:szCs w:val="24"/>
          <w:shd w:val="clear" w:color="auto" w:fill="FFFFFF"/>
        </w:rPr>
        <w:t>, S., &amp; Sachan, S. (2021). Digital agriculture through extension advisory services-is it gender-responsive? A review.</w:t>
      </w:r>
    </w:p>
    <w:p w14:paraId="74902912"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Jarial</w:t>
      </w:r>
      <w:proofErr w:type="spellEnd"/>
      <w:r w:rsidRPr="00D17A65">
        <w:rPr>
          <w:rFonts w:ascii="Times New Roman" w:hAnsi="Times New Roman" w:cs="Times New Roman"/>
          <w:color w:val="222222"/>
          <w:sz w:val="24"/>
          <w:szCs w:val="24"/>
          <w:shd w:val="clear" w:color="auto" w:fill="FFFFFF"/>
        </w:rPr>
        <w:t>, S., &amp; Sachan, S. (2021). Digital agriculture through extension advisory services-is it gender-responsive? A review.</w:t>
      </w:r>
    </w:p>
    <w:p w14:paraId="5984814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Jones, E., Smith, S., &amp; Wills, C. (2012). Women producers and the benefits of collective forms of enterprise. </w:t>
      </w:r>
      <w:r w:rsidRPr="00D17A65">
        <w:rPr>
          <w:rFonts w:ascii="Times New Roman" w:hAnsi="Times New Roman" w:cs="Times New Roman"/>
          <w:i/>
          <w:iCs/>
          <w:color w:val="222222"/>
          <w:sz w:val="24"/>
          <w:szCs w:val="24"/>
          <w:shd w:val="clear" w:color="auto" w:fill="FFFFFF"/>
        </w:rPr>
        <w:t>Gender &amp;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(1), 13-32.</w:t>
      </w:r>
      <w:r w:rsidRPr="00D17A65">
        <w:rPr>
          <w:rFonts w:ascii="Times New Roman" w:hAnsi="Times New Roman" w:cs="Times New Roman"/>
          <w:sz w:val="24"/>
          <w:szCs w:val="24"/>
        </w:rPr>
        <w:t xml:space="preserve"> </w:t>
      </w:r>
    </w:p>
    <w:p w14:paraId="4B5FCC91"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Kapinga, A. F. (2020). </w:t>
      </w:r>
      <w:r w:rsidRPr="00D17A65">
        <w:rPr>
          <w:rFonts w:ascii="Times New Roman" w:hAnsi="Times New Roman" w:cs="Times New Roman"/>
          <w:i/>
          <w:iCs/>
          <w:color w:val="222222"/>
          <w:sz w:val="24"/>
          <w:szCs w:val="24"/>
          <w:shd w:val="clear" w:color="auto" w:fill="FFFFFF"/>
        </w:rPr>
        <w:t>Mobile technology for empowerment: a case of women entrepreneurs in the food processing sector in Tanzania</w:t>
      </w:r>
      <w:r w:rsidRPr="00D17A65">
        <w:rPr>
          <w:rFonts w:ascii="Times New Roman" w:hAnsi="Times New Roman" w:cs="Times New Roman"/>
          <w:color w:val="222222"/>
          <w:sz w:val="24"/>
          <w:szCs w:val="24"/>
          <w:shd w:val="clear" w:color="auto" w:fill="FFFFFF"/>
        </w:rPr>
        <w:t xml:space="preserve"> (Doctoral dissertation, </w:t>
      </w:r>
      <w:proofErr w:type="spellStart"/>
      <w:r w:rsidRPr="00D17A65">
        <w:rPr>
          <w:rFonts w:ascii="Times New Roman" w:hAnsi="Times New Roman" w:cs="Times New Roman"/>
          <w:color w:val="222222"/>
          <w:sz w:val="24"/>
          <w:szCs w:val="24"/>
          <w:shd w:val="clear" w:color="auto" w:fill="FFFFFF"/>
        </w:rPr>
        <w:t>Itä-Suomen</w:t>
      </w:r>
      <w:proofErr w:type="spellEnd"/>
      <w:r w:rsidRPr="00D17A65">
        <w:rPr>
          <w:rFonts w:ascii="Times New Roman" w:hAnsi="Times New Roman" w:cs="Times New Roman"/>
          <w:color w:val="222222"/>
          <w:sz w:val="24"/>
          <w:szCs w:val="24"/>
          <w:shd w:val="clear" w:color="auto" w:fill="FFFFFF"/>
        </w:rPr>
        <w:t xml:space="preserve"> </w:t>
      </w:r>
      <w:proofErr w:type="spellStart"/>
      <w:r w:rsidRPr="00D17A65">
        <w:rPr>
          <w:rFonts w:ascii="Times New Roman" w:hAnsi="Times New Roman" w:cs="Times New Roman"/>
          <w:color w:val="222222"/>
          <w:sz w:val="24"/>
          <w:szCs w:val="24"/>
          <w:shd w:val="clear" w:color="auto" w:fill="FFFFFF"/>
        </w:rPr>
        <w:t>yliopisto</w:t>
      </w:r>
      <w:proofErr w:type="spellEnd"/>
      <w:r w:rsidRPr="00D17A65">
        <w:rPr>
          <w:rFonts w:ascii="Times New Roman" w:hAnsi="Times New Roman" w:cs="Times New Roman"/>
          <w:color w:val="222222"/>
          <w:sz w:val="24"/>
          <w:szCs w:val="24"/>
          <w:shd w:val="clear" w:color="auto" w:fill="FFFFFF"/>
        </w:rPr>
        <w:t>).</w:t>
      </w:r>
    </w:p>
    <w:p w14:paraId="3537BFB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Khagram</w:t>
      </w:r>
      <w:proofErr w:type="spellEnd"/>
      <w:r w:rsidRPr="00D17A65">
        <w:rPr>
          <w:rFonts w:ascii="Times New Roman" w:hAnsi="Times New Roman" w:cs="Times New Roman"/>
          <w:color w:val="222222"/>
          <w:sz w:val="24"/>
          <w:szCs w:val="24"/>
          <w:shd w:val="clear" w:color="auto" w:fill="FFFFFF"/>
        </w:rPr>
        <w:t>, S., Thomas, C., Lucero, C., &amp; Mathes, S. (2009). Evidence for development effectiveness. </w:t>
      </w:r>
      <w:r w:rsidRPr="00D17A65">
        <w:rPr>
          <w:rFonts w:ascii="Times New Roman" w:hAnsi="Times New Roman" w:cs="Times New Roman"/>
          <w:i/>
          <w:iCs/>
          <w:color w:val="222222"/>
          <w:sz w:val="24"/>
          <w:szCs w:val="24"/>
          <w:shd w:val="clear" w:color="auto" w:fill="FFFFFF"/>
        </w:rPr>
        <w:t>Journal of development effectiveness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(3), 247-270.</w:t>
      </w:r>
    </w:p>
    <w:p w14:paraId="36C30F5F" w14:textId="77777777" w:rsidR="00FD2004" w:rsidRPr="00D17A65" w:rsidRDefault="00FD2004" w:rsidP="00FD2004">
      <w:pPr>
        <w:jc w:val="both"/>
        <w:rPr>
          <w:rFonts w:ascii="Times New Roman" w:hAnsi="Times New Roman" w:cs="Times New Roman"/>
          <w:sz w:val="24"/>
          <w:szCs w:val="24"/>
        </w:rPr>
      </w:pPr>
      <w:r w:rsidRPr="00AD4326">
        <w:rPr>
          <w:rFonts w:ascii="Times New Roman" w:hAnsi="Times New Roman" w:cs="Times New Roman"/>
          <w:color w:val="222222"/>
          <w:sz w:val="24"/>
          <w:szCs w:val="24"/>
          <w:shd w:val="clear" w:color="auto" w:fill="FFFFFF"/>
          <w:lang w:val="es-US"/>
        </w:rPr>
        <w:t xml:space="preserve">Khan, Y., </w:t>
      </w:r>
      <w:proofErr w:type="spellStart"/>
      <w:r w:rsidRPr="00AD4326">
        <w:rPr>
          <w:rFonts w:ascii="Times New Roman" w:hAnsi="Times New Roman" w:cs="Times New Roman"/>
          <w:color w:val="222222"/>
          <w:sz w:val="24"/>
          <w:szCs w:val="24"/>
          <w:shd w:val="clear" w:color="auto" w:fill="FFFFFF"/>
          <w:lang w:val="es-US"/>
        </w:rPr>
        <w:t>Daraz</w:t>
      </w:r>
      <w:proofErr w:type="spellEnd"/>
      <w:r w:rsidRPr="00AD4326">
        <w:rPr>
          <w:rFonts w:ascii="Times New Roman" w:hAnsi="Times New Roman" w:cs="Times New Roman"/>
          <w:color w:val="222222"/>
          <w:sz w:val="24"/>
          <w:szCs w:val="24"/>
          <w:shd w:val="clear" w:color="auto" w:fill="FFFFFF"/>
          <w:lang w:val="es-US"/>
        </w:rPr>
        <w:t xml:space="preserve">, U., &amp; </w:t>
      </w:r>
      <w:proofErr w:type="spellStart"/>
      <w:r w:rsidRPr="00AD4326">
        <w:rPr>
          <w:rFonts w:ascii="Times New Roman" w:hAnsi="Times New Roman" w:cs="Times New Roman"/>
          <w:color w:val="222222"/>
          <w:sz w:val="24"/>
          <w:szCs w:val="24"/>
          <w:shd w:val="clear" w:color="auto" w:fill="FFFFFF"/>
          <w:lang w:val="es-US"/>
        </w:rPr>
        <w:t>Bojnec</w:t>
      </w:r>
      <w:proofErr w:type="spellEnd"/>
      <w:r w:rsidRPr="00AD4326">
        <w:rPr>
          <w:rFonts w:ascii="Times New Roman" w:hAnsi="Times New Roman" w:cs="Times New Roman"/>
          <w:color w:val="222222"/>
          <w:sz w:val="24"/>
          <w:szCs w:val="24"/>
          <w:shd w:val="clear" w:color="auto" w:fill="FFFFFF"/>
          <w:lang w:val="es-US"/>
        </w:rPr>
        <w:t xml:space="preserve">, Š. (2023). </w:t>
      </w:r>
      <w:r w:rsidRPr="00D17A65">
        <w:rPr>
          <w:rFonts w:ascii="Times New Roman" w:hAnsi="Times New Roman" w:cs="Times New Roman"/>
          <w:color w:val="222222"/>
          <w:sz w:val="24"/>
          <w:szCs w:val="24"/>
          <w:shd w:val="clear" w:color="auto" w:fill="FFFFFF"/>
        </w:rPr>
        <w:t>Enhancing food security and nutrition through social safety nets: a pathway to sustainable development. </w:t>
      </w:r>
      <w:r w:rsidRPr="00D17A65">
        <w:rPr>
          <w:rFonts w:ascii="Times New Roman" w:hAnsi="Times New Roman" w:cs="Times New Roman"/>
          <w:i/>
          <w:iCs/>
          <w:color w:val="222222"/>
          <w:sz w:val="24"/>
          <w:szCs w:val="24"/>
          <w:shd w:val="clear" w:color="auto" w:fill="FFFFFF"/>
        </w:rPr>
        <w:t>Sustainability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15</w:t>
      </w:r>
      <w:r w:rsidRPr="00D17A65">
        <w:rPr>
          <w:rFonts w:ascii="Times New Roman" w:hAnsi="Times New Roman" w:cs="Times New Roman"/>
          <w:color w:val="222222"/>
          <w:sz w:val="24"/>
          <w:szCs w:val="24"/>
          <w:shd w:val="clear" w:color="auto" w:fill="FFFFFF"/>
        </w:rPr>
        <w:t>(19), 14347.</w:t>
      </w:r>
    </w:p>
    <w:p w14:paraId="74319051"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Lamontagne-Godwin, J., Cardey, S., Williams, F. E., Dorward, P. T., Aslam, N., &amp; Almas, M. (2019). Identifying gender-responsive approaches in rural advisory services that contribute to the </w:t>
      </w:r>
      <w:proofErr w:type="spellStart"/>
      <w:r w:rsidRPr="00D17A65">
        <w:rPr>
          <w:rFonts w:ascii="Times New Roman" w:hAnsi="Times New Roman" w:cs="Times New Roman"/>
          <w:color w:val="222222"/>
          <w:sz w:val="24"/>
          <w:szCs w:val="24"/>
          <w:shd w:val="clear" w:color="auto" w:fill="FFFFFF"/>
        </w:rPr>
        <w:t>institutionalisation</w:t>
      </w:r>
      <w:proofErr w:type="spellEnd"/>
      <w:r w:rsidRPr="00D17A65">
        <w:rPr>
          <w:rFonts w:ascii="Times New Roman" w:hAnsi="Times New Roman" w:cs="Times New Roman"/>
          <w:color w:val="222222"/>
          <w:sz w:val="24"/>
          <w:szCs w:val="24"/>
          <w:shd w:val="clear" w:color="auto" w:fill="FFFFFF"/>
        </w:rPr>
        <w:t xml:space="preserve"> of gender in Pakistan. </w:t>
      </w:r>
      <w:r w:rsidRPr="00D17A65">
        <w:rPr>
          <w:rFonts w:ascii="Times New Roman" w:hAnsi="Times New Roman" w:cs="Times New Roman"/>
          <w:i/>
          <w:iCs/>
          <w:color w:val="222222"/>
          <w:sz w:val="24"/>
          <w:szCs w:val="24"/>
          <w:shd w:val="clear" w:color="auto" w:fill="FFFFFF"/>
        </w:rPr>
        <w:t>The Journal of Agricultural Education and Extension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25</w:t>
      </w:r>
      <w:r w:rsidRPr="00D17A65">
        <w:rPr>
          <w:rFonts w:ascii="Times New Roman" w:hAnsi="Times New Roman" w:cs="Times New Roman"/>
          <w:color w:val="222222"/>
          <w:sz w:val="24"/>
          <w:szCs w:val="24"/>
          <w:shd w:val="clear" w:color="auto" w:fill="FFFFFF"/>
        </w:rPr>
        <w:t>(3), 267-288.</w:t>
      </w:r>
    </w:p>
    <w:p w14:paraId="2C7A6757"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Lemma, M., Gizaw, S., </w:t>
      </w:r>
      <w:proofErr w:type="spellStart"/>
      <w:r w:rsidRPr="00D17A65">
        <w:rPr>
          <w:rFonts w:ascii="Times New Roman" w:hAnsi="Times New Roman" w:cs="Times New Roman"/>
          <w:color w:val="222222"/>
          <w:sz w:val="24"/>
          <w:szCs w:val="24"/>
          <w:shd w:val="clear" w:color="auto" w:fill="FFFFFF"/>
        </w:rPr>
        <w:t>Etafa</w:t>
      </w:r>
      <w:proofErr w:type="spellEnd"/>
      <w:r w:rsidRPr="00D17A65">
        <w:rPr>
          <w:rFonts w:ascii="Times New Roman" w:hAnsi="Times New Roman" w:cs="Times New Roman"/>
          <w:color w:val="222222"/>
          <w:sz w:val="24"/>
          <w:szCs w:val="24"/>
          <w:shd w:val="clear" w:color="auto" w:fill="FFFFFF"/>
        </w:rPr>
        <w:t xml:space="preserve">, A., </w:t>
      </w:r>
      <w:proofErr w:type="spellStart"/>
      <w:r w:rsidRPr="00D17A65">
        <w:rPr>
          <w:rFonts w:ascii="Times New Roman" w:hAnsi="Times New Roman" w:cs="Times New Roman"/>
          <w:color w:val="222222"/>
          <w:sz w:val="24"/>
          <w:szCs w:val="24"/>
          <w:shd w:val="clear" w:color="auto" w:fill="FFFFFF"/>
        </w:rPr>
        <w:t>Mulema</w:t>
      </w:r>
      <w:proofErr w:type="spellEnd"/>
      <w:r w:rsidRPr="00D17A65">
        <w:rPr>
          <w:rFonts w:ascii="Times New Roman" w:hAnsi="Times New Roman" w:cs="Times New Roman"/>
          <w:color w:val="222222"/>
          <w:sz w:val="24"/>
          <w:szCs w:val="24"/>
          <w:shd w:val="clear" w:color="auto" w:fill="FFFFFF"/>
        </w:rPr>
        <w:t>, A. A., &amp; Wieland, B. (2020). Gender integration in the Ethiopian agricultural extension system: A literature review.</w:t>
      </w:r>
    </w:p>
    <w:p w14:paraId="6EDB4E71"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Liedtke, C., Jolanta Welfens, M., Rohn, H., &amp; Nordmann, J. (2012). LIVING LAB: user‐driven innovation for sustainability. </w:t>
      </w:r>
      <w:r w:rsidRPr="00D17A65">
        <w:rPr>
          <w:rFonts w:ascii="Times New Roman" w:hAnsi="Times New Roman" w:cs="Times New Roman"/>
          <w:i/>
          <w:iCs/>
          <w:color w:val="222222"/>
          <w:sz w:val="24"/>
          <w:szCs w:val="24"/>
          <w:shd w:val="clear" w:color="auto" w:fill="FFFFFF"/>
        </w:rPr>
        <w:t>International journal of sustainability in higher education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w:t>
      </w:r>
      <w:r w:rsidRPr="00D17A65">
        <w:rPr>
          <w:rFonts w:ascii="Times New Roman" w:hAnsi="Times New Roman" w:cs="Times New Roman"/>
          <w:color w:val="222222"/>
          <w:sz w:val="24"/>
          <w:szCs w:val="24"/>
          <w:shd w:val="clear" w:color="auto" w:fill="FFFFFF"/>
        </w:rPr>
        <w:t>(2), 106-118.</w:t>
      </w:r>
    </w:p>
    <w:p w14:paraId="6E5D3D15"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lastRenderedPageBreak/>
        <w:t>Losasso</w:t>
      </w:r>
      <w:proofErr w:type="spellEnd"/>
      <w:r w:rsidRPr="00D17A65">
        <w:rPr>
          <w:rFonts w:ascii="Times New Roman" w:hAnsi="Times New Roman" w:cs="Times New Roman"/>
          <w:color w:val="222222"/>
          <w:sz w:val="24"/>
          <w:szCs w:val="24"/>
          <w:shd w:val="clear" w:color="auto" w:fill="FFFFFF"/>
        </w:rPr>
        <w:t xml:space="preserve">, C., </w:t>
      </w:r>
      <w:proofErr w:type="spellStart"/>
      <w:r w:rsidRPr="00D17A65">
        <w:rPr>
          <w:rFonts w:ascii="Times New Roman" w:hAnsi="Times New Roman" w:cs="Times New Roman"/>
          <w:color w:val="222222"/>
          <w:sz w:val="24"/>
          <w:szCs w:val="24"/>
          <w:shd w:val="clear" w:color="auto" w:fill="FFFFFF"/>
        </w:rPr>
        <w:t>Cibin</w:t>
      </w:r>
      <w:proofErr w:type="spellEnd"/>
      <w:r w:rsidRPr="00D17A65">
        <w:rPr>
          <w:rFonts w:ascii="Times New Roman" w:hAnsi="Times New Roman" w:cs="Times New Roman"/>
          <w:color w:val="222222"/>
          <w:sz w:val="24"/>
          <w:szCs w:val="24"/>
          <w:shd w:val="clear" w:color="auto" w:fill="FFFFFF"/>
        </w:rPr>
        <w:t xml:space="preserve">, V., Cappa, V., Roccato, A., Vanzo, A., Andrighetto, I., &amp; Ricci, A. (2012). Food safety and nutrition: Improving consumer </w:t>
      </w:r>
      <w:proofErr w:type="spellStart"/>
      <w:r w:rsidRPr="00D17A65">
        <w:rPr>
          <w:rFonts w:ascii="Times New Roman" w:hAnsi="Times New Roman" w:cs="Times New Roman"/>
          <w:color w:val="222222"/>
          <w:sz w:val="24"/>
          <w:szCs w:val="24"/>
          <w:shd w:val="clear" w:color="auto" w:fill="FFFFFF"/>
        </w:rPr>
        <w:t>behaviour</w:t>
      </w:r>
      <w:proofErr w:type="spellEnd"/>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Food control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26</w:t>
      </w:r>
      <w:r w:rsidRPr="00D17A65">
        <w:rPr>
          <w:rFonts w:ascii="Times New Roman" w:hAnsi="Times New Roman" w:cs="Times New Roman"/>
          <w:color w:val="222222"/>
          <w:sz w:val="24"/>
          <w:szCs w:val="24"/>
          <w:shd w:val="clear" w:color="auto" w:fill="FFFFFF"/>
        </w:rPr>
        <w:t>(2), 252-258.</w:t>
      </w:r>
    </w:p>
    <w:p w14:paraId="09FD4E8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Lumadi</w:t>
      </w:r>
      <w:proofErr w:type="spellEnd"/>
      <w:r w:rsidRPr="00D17A65">
        <w:rPr>
          <w:rFonts w:ascii="Times New Roman" w:hAnsi="Times New Roman" w:cs="Times New Roman"/>
          <w:color w:val="222222"/>
          <w:sz w:val="24"/>
          <w:szCs w:val="24"/>
          <w:shd w:val="clear" w:color="auto" w:fill="FFFFFF"/>
        </w:rPr>
        <w:t>, M. W., &amp; Shongwe, S. S. (2010). The Need for Training Gender-Sensitive Teachers: Addressing Education Challenges for Gender Sensitive National Development. </w:t>
      </w:r>
      <w:r w:rsidRPr="00D17A65">
        <w:rPr>
          <w:rFonts w:ascii="Times New Roman" w:hAnsi="Times New Roman" w:cs="Times New Roman"/>
          <w:i/>
          <w:iCs/>
          <w:color w:val="222222"/>
          <w:sz w:val="24"/>
          <w:szCs w:val="24"/>
          <w:shd w:val="clear" w:color="auto" w:fill="FFFFFF"/>
        </w:rPr>
        <w:t>Contemporary issues in education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(3), 41-50.</w:t>
      </w:r>
    </w:p>
    <w:p w14:paraId="55BA93A4"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Meinzen</w:t>
      </w:r>
      <w:proofErr w:type="spellEnd"/>
      <w:r w:rsidRPr="00D17A65">
        <w:rPr>
          <w:rFonts w:ascii="Times New Roman" w:hAnsi="Times New Roman" w:cs="Times New Roman"/>
          <w:color w:val="222222"/>
          <w:sz w:val="24"/>
          <w:szCs w:val="24"/>
          <w:shd w:val="clear" w:color="auto" w:fill="FFFFFF"/>
        </w:rPr>
        <w:t>-Dick, R., Quisumbing, A. R., &amp; Behrman, J. A. (2014). A system that delivers: Integrating gender into agricultural research, development, and extension. In </w:t>
      </w:r>
      <w:r w:rsidRPr="00D17A65">
        <w:rPr>
          <w:rFonts w:ascii="Times New Roman" w:hAnsi="Times New Roman" w:cs="Times New Roman"/>
          <w:i/>
          <w:iCs/>
          <w:color w:val="222222"/>
          <w:sz w:val="24"/>
          <w:szCs w:val="24"/>
          <w:shd w:val="clear" w:color="auto" w:fill="FFFFFF"/>
        </w:rPr>
        <w:t>Gender in agriculture: Closing the knowledge gap</w:t>
      </w:r>
      <w:r w:rsidRPr="00D17A65">
        <w:rPr>
          <w:rFonts w:ascii="Times New Roman" w:hAnsi="Times New Roman" w:cs="Times New Roman"/>
          <w:color w:val="222222"/>
          <w:sz w:val="24"/>
          <w:szCs w:val="24"/>
          <w:shd w:val="clear" w:color="auto" w:fill="FFFFFF"/>
        </w:rPr>
        <w:t> (pp. 373-391). Dordrecht: Springer Netherlands.</w:t>
      </w:r>
    </w:p>
    <w:p w14:paraId="71BEEB6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Miroux</w:t>
      </w:r>
      <w:proofErr w:type="spellEnd"/>
      <w:r w:rsidRPr="00D17A65">
        <w:rPr>
          <w:rFonts w:ascii="Times New Roman" w:hAnsi="Times New Roman" w:cs="Times New Roman"/>
          <w:color w:val="222222"/>
          <w:sz w:val="24"/>
          <w:szCs w:val="24"/>
          <w:shd w:val="clear" w:color="auto" w:fill="FFFFFF"/>
        </w:rPr>
        <w:t>, A. (2011). Mainstreaming a gender perspective in science, technology and innovation policy. </w:t>
      </w:r>
      <w:r w:rsidRPr="00D17A65">
        <w:rPr>
          <w:rFonts w:ascii="Times New Roman" w:hAnsi="Times New Roman" w:cs="Times New Roman"/>
          <w:i/>
          <w:iCs/>
          <w:color w:val="222222"/>
          <w:sz w:val="24"/>
          <w:szCs w:val="24"/>
          <w:shd w:val="clear" w:color="auto" w:fill="FFFFFF"/>
        </w:rPr>
        <w:t>United Nations Commission on the Status of Women</w:t>
      </w:r>
      <w:r w:rsidRPr="00D17A65">
        <w:rPr>
          <w:rFonts w:ascii="Times New Roman" w:hAnsi="Times New Roman" w:cs="Times New Roman"/>
          <w:color w:val="222222"/>
          <w:sz w:val="24"/>
          <w:szCs w:val="24"/>
          <w:shd w:val="clear" w:color="auto" w:fill="FFFFFF"/>
        </w:rPr>
        <w:t>, (55).</w:t>
      </w:r>
    </w:p>
    <w:p w14:paraId="445A56D7"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Mulema</w:t>
      </w:r>
      <w:proofErr w:type="spellEnd"/>
      <w:r w:rsidRPr="00D17A65">
        <w:rPr>
          <w:rFonts w:ascii="Times New Roman" w:hAnsi="Times New Roman" w:cs="Times New Roman"/>
          <w:color w:val="222222"/>
          <w:sz w:val="24"/>
          <w:szCs w:val="24"/>
          <w:shd w:val="clear" w:color="auto" w:fill="FFFFFF"/>
        </w:rPr>
        <w:t xml:space="preserve">, A. A., </w:t>
      </w:r>
      <w:proofErr w:type="spellStart"/>
      <w:r w:rsidRPr="00D17A65">
        <w:rPr>
          <w:rFonts w:ascii="Times New Roman" w:hAnsi="Times New Roman" w:cs="Times New Roman"/>
          <w:color w:val="222222"/>
          <w:sz w:val="24"/>
          <w:szCs w:val="24"/>
          <w:shd w:val="clear" w:color="auto" w:fill="FFFFFF"/>
        </w:rPr>
        <w:t>Kinati</w:t>
      </w:r>
      <w:proofErr w:type="spellEnd"/>
      <w:r w:rsidRPr="00D17A65">
        <w:rPr>
          <w:rFonts w:ascii="Times New Roman" w:hAnsi="Times New Roman" w:cs="Times New Roman"/>
          <w:color w:val="222222"/>
          <w:sz w:val="24"/>
          <w:szCs w:val="24"/>
          <w:shd w:val="clear" w:color="auto" w:fill="FFFFFF"/>
        </w:rPr>
        <w:t xml:space="preserve">, W., Lemma, M., </w:t>
      </w:r>
      <w:proofErr w:type="spellStart"/>
      <w:r w:rsidRPr="00D17A65">
        <w:rPr>
          <w:rFonts w:ascii="Times New Roman" w:hAnsi="Times New Roman" w:cs="Times New Roman"/>
          <w:color w:val="222222"/>
          <w:sz w:val="24"/>
          <w:szCs w:val="24"/>
          <w:shd w:val="clear" w:color="auto" w:fill="FFFFFF"/>
        </w:rPr>
        <w:t>Galiè</w:t>
      </w:r>
      <w:proofErr w:type="spellEnd"/>
      <w:r w:rsidRPr="00D17A65">
        <w:rPr>
          <w:rFonts w:ascii="Times New Roman" w:hAnsi="Times New Roman" w:cs="Times New Roman"/>
          <w:color w:val="222222"/>
          <w:sz w:val="24"/>
          <w:szCs w:val="24"/>
          <w:shd w:val="clear" w:color="auto" w:fill="FFFFFF"/>
        </w:rPr>
        <w:t xml:space="preserve">, A., Ouma, E. A., </w:t>
      </w:r>
      <w:proofErr w:type="spellStart"/>
      <w:r w:rsidRPr="00D17A65">
        <w:rPr>
          <w:rFonts w:ascii="Times New Roman" w:hAnsi="Times New Roman" w:cs="Times New Roman"/>
          <w:color w:val="222222"/>
          <w:sz w:val="24"/>
          <w:szCs w:val="24"/>
          <w:shd w:val="clear" w:color="auto" w:fill="FFFFFF"/>
        </w:rPr>
        <w:t>Baltenweck</w:t>
      </w:r>
      <w:proofErr w:type="spellEnd"/>
      <w:r w:rsidRPr="00D17A65">
        <w:rPr>
          <w:rFonts w:ascii="Times New Roman" w:hAnsi="Times New Roman" w:cs="Times New Roman"/>
          <w:color w:val="222222"/>
          <w:sz w:val="24"/>
          <w:szCs w:val="24"/>
          <w:shd w:val="clear" w:color="auto" w:fill="FFFFFF"/>
        </w:rPr>
        <w:t>, I., ... &amp; Rijke, E. (2021). Gender capacity development: Guidelines for trainers.</w:t>
      </w:r>
    </w:p>
    <w:p w14:paraId="58C25065"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Nchanji</w:t>
      </w:r>
      <w:proofErr w:type="spellEnd"/>
      <w:r w:rsidRPr="00D17A65">
        <w:rPr>
          <w:rFonts w:ascii="Times New Roman" w:hAnsi="Times New Roman" w:cs="Times New Roman"/>
          <w:color w:val="222222"/>
          <w:sz w:val="24"/>
          <w:szCs w:val="24"/>
          <w:shd w:val="clear" w:color="auto" w:fill="FFFFFF"/>
        </w:rPr>
        <w:t>, E., Ouko, K., &amp; Cosmas, L. (2024). A Guide on Gender-Responsive Digital Technologies in the Agrifood Systems.</w:t>
      </w:r>
    </w:p>
    <w:p w14:paraId="319307D0"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Nordhagen, S., </w:t>
      </w:r>
      <w:proofErr w:type="spellStart"/>
      <w:r w:rsidRPr="00D17A65">
        <w:rPr>
          <w:rFonts w:ascii="Times New Roman" w:hAnsi="Times New Roman" w:cs="Times New Roman"/>
          <w:color w:val="222222"/>
          <w:sz w:val="24"/>
          <w:szCs w:val="24"/>
          <w:shd w:val="clear" w:color="auto" w:fill="FFFFFF"/>
        </w:rPr>
        <w:t>Lambertini</w:t>
      </w:r>
      <w:proofErr w:type="spellEnd"/>
      <w:r w:rsidRPr="00D17A65">
        <w:rPr>
          <w:rFonts w:ascii="Times New Roman" w:hAnsi="Times New Roman" w:cs="Times New Roman"/>
          <w:color w:val="222222"/>
          <w:sz w:val="24"/>
          <w:szCs w:val="24"/>
          <w:shd w:val="clear" w:color="auto" w:fill="FFFFFF"/>
        </w:rPr>
        <w:t>, E., DeWaal, C. S., McClafferty, B., &amp; Neufeld, L. M. (2022). Integrating nutrition and food safety in food systems policy and programming. </w:t>
      </w:r>
      <w:r w:rsidRPr="00D17A65">
        <w:rPr>
          <w:rFonts w:ascii="Times New Roman" w:hAnsi="Times New Roman" w:cs="Times New Roman"/>
          <w:i/>
          <w:iCs/>
          <w:color w:val="222222"/>
          <w:sz w:val="24"/>
          <w:szCs w:val="24"/>
          <w:shd w:val="clear" w:color="auto" w:fill="FFFFFF"/>
        </w:rPr>
        <w:t>Global Food Security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32</w:t>
      </w:r>
      <w:r w:rsidRPr="00D17A65">
        <w:rPr>
          <w:rFonts w:ascii="Times New Roman" w:hAnsi="Times New Roman" w:cs="Times New Roman"/>
          <w:color w:val="222222"/>
          <w:sz w:val="24"/>
          <w:szCs w:val="24"/>
          <w:shd w:val="clear" w:color="auto" w:fill="FFFFFF"/>
        </w:rPr>
        <w:t>, 100593.</w:t>
      </w:r>
    </w:p>
    <w:p w14:paraId="709F773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Oganetse</w:t>
      </w:r>
      <w:proofErr w:type="spellEnd"/>
      <w:r w:rsidRPr="00D17A65">
        <w:rPr>
          <w:rFonts w:ascii="Times New Roman" w:hAnsi="Times New Roman" w:cs="Times New Roman"/>
          <w:color w:val="222222"/>
          <w:sz w:val="24"/>
          <w:szCs w:val="24"/>
          <w:shd w:val="clear" w:color="auto" w:fill="FFFFFF"/>
        </w:rPr>
        <w:t>, D. K., &amp; Phiri, D. (2025). Gender-sensitive literacy policies in distance education: overcoming barriers to women's education in sub-Saharan Africa. In </w:t>
      </w:r>
      <w:r w:rsidRPr="00D17A65">
        <w:rPr>
          <w:rFonts w:ascii="Times New Roman" w:hAnsi="Times New Roman" w:cs="Times New Roman"/>
          <w:i/>
          <w:iCs/>
          <w:color w:val="222222"/>
          <w:sz w:val="24"/>
          <w:szCs w:val="24"/>
          <w:shd w:val="clear" w:color="auto" w:fill="FFFFFF"/>
        </w:rPr>
        <w:t>Literacy Policies for Equity and Inclusion</w:t>
      </w:r>
      <w:r w:rsidRPr="00D17A65">
        <w:rPr>
          <w:rFonts w:ascii="Times New Roman" w:hAnsi="Times New Roman" w:cs="Times New Roman"/>
          <w:color w:val="222222"/>
          <w:sz w:val="24"/>
          <w:szCs w:val="24"/>
          <w:shd w:val="clear" w:color="auto" w:fill="FFFFFF"/>
        </w:rPr>
        <w:t> (pp. 233-262). IGI Global Scientific Publishing.</w:t>
      </w:r>
    </w:p>
    <w:p w14:paraId="30ADBC8B"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Orser, B., Riding, A., &amp; Li, Y. (2019). Technology adoption and gender-inclusive entrepreneurship education and training. </w:t>
      </w:r>
      <w:r w:rsidRPr="00D17A65">
        <w:rPr>
          <w:rFonts w:ascii="Times New Roman" w:hAnsi="Times New Roman" w:cs="Times New Roman"/>
          <w:i/>
          <w:iCs/>
          <w:color w:val="222222"/>
          <w:sz w:val="24"/>
          <w:szCs w:val="24"/>
          <w:shd w:val="clear" w:color="auto" w:fill="FFFFFF"/>
        </w:rPr>
        <w:t>International Journal of Gender and Entrepreneurship</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11</w:t>
      </w:r>
      <w:r w:rsidRPr="00D17A65">
        <w:rPr>
          <w:rFonts w:ascii="Times New Roman" w:hAnsi="Times New Roman" w:cs="Times New Roman"/>
          <w:color w:val="222222"/>
          <w:sz w:val="24"/>
          <w:szCs w:val="24"/>
          <w:shd w:val="clear" w:color="auto" w:fill="FFFFFF"/>
        </w:rPr>
        <w:t>(3), 273-298.</w:t>
      </w:r>
    </w:p>
    <w:p w14:paraId="1426FDA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Percy, R. (2000). Capacity building for gender‐sensitive agricultural extension planning in Ethiopia. </w:t>
      </w:r>
      <w:r w:rsidRPr="00D17A65">
        <w:rPr>
          <w:rFonts w:ascii="Times New Roman" w:hAnsi="Times New Roman" w:cs="Times New Roman"/>
          <w:i/>
          <w:iCs/>
          <w:color w:val="222222"/>
          <w:sz w:val="24"/>
          <w:szCs w:val="24"/>
          <w:shd w:val="clear" w:color="auto" w:fill="FFFFFF"/>
        </w:rPr>
        <w:t>The Journal of Agricultural Education and Extension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7</w:t>
      </w:r>
      <w:r w:rsidRPr="00D17A65">
        <w:rPr>
          <w:rFonts w:ascii="Times New Roman" w:hAnsi="Times New Roman" w:cs="Times New Roman"/>
          <w:color w:val="222222"/>
          <w:sz w:val="24"/>
          <w:szCs w:val="24"/>
          <w:shd w:val="clear" w:color="auto" w:fill="FFFFFF"/>
        </w:rPr>
        <w:t>(1), 21-30.</w:t>
      </w:r>
    </w:p>
    <w:p w14:paraId="36DD0139"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Prajapati, C. S., Priya, N. K., Bishnoi, S., Vishwakarma, S. K., </w:t>
      </w:r>
      <w:proofErr w:type="spellStart"/>
      <w:r w:rsidRPr="00D17A65">
        <w:rPr>
          <w:rFonts w:ascii="Times New Roman" w:hAnsi="Times New Roman" w:cs="Times New Roman"/>
          <w:color w:val="222222"/>
          <w:sz w:val="24"/>
          <w:szCs w:val="24"/>
          <w:shd w:val="clear" w:color="auto" w:fill="FFFFFF"/>
        </w:rPr>
        <w:t>Buvaneswari</w:t>
      </w:r>
      <w:proofErr w:type="spellEnd"/>
      <w:r w:rsidRPr="00D17A65">
        <w:rPr>
          <w:rFonts w:ascii="Times New Roman" w:hAnsi="Times New Roman" w:cs="Times New Roman"/>
          <w:color w:val="222222"/>
          <w:sz w:val="24"/>
          <w:szCs w:val="24"/>
          <w:shd w:val="clear" w:color="auto" w:fill="FFFFFF"/>
        </w:rPr>
        <w:t>, K., Shastri, S., ... &amp; Jadhav, A. (2025). The role of participatory approaches in modern agricultural extension: bridging knowledge gaps for sustainable farming practices. </w:t>
      </w:r>
      <w:r w:rsidRPr="00D17A65">
        <w:rPr>
          <w:rFonts w:ascii="Times New Roman" w:hAnsi="Times New Roman" w:cs="Times New Roman"/>
          <w:i/>
          <w:iCs/>
          <w:color w:val="222222"/>
          <w:sz w:val="24"/>
          <w:szCs w:val="24"/>
          <w:shd w:val="clear" w:color="auto" w:fill="FFFFFF"/>
        </w:rPr>
        <w:t>Journal of Experimental Agriculture International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47</w:t>
      </w:r>
      <w:r w:rsidRPr="00D17A65">
        <w:rPr>
          <w:rFonts w:ascii="Times New Roman" w:hAnsi="Times New Roman" w:cs="Times New Roman"/>
          <w:color w:val="222222"/>
          <w:sz w:val="24"/>
          <w:szCs w:val="24"/>
          <w:shd w:val="clear" w:color="auto" w:fill="FFFFFF"/>
        </w:rPr>
        <w:t>(2), 204-222.</w:t>
      </w:r>
    </w:p>
    <w:p w14:paraId="5784CB96"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Premi Devi, W., &amp; </w:t>
      </w:r>
      <w:proofErr w:type="spellStart"/>
      <w:r w:rsidRPr="00D17A65">
        <w:rPr>
          <w:rFonts w:ascii="Times New Roman" w:hAnsi="Times New Roman" w:cs="Times New Roman"/>
          <w:color w:val="222222"/>
          <w:sz w:val="24"/>
          <w:szCs w:val="24"/>
          <w:shd w:val="clear" w:color="auto" w:fill="FFFFFF"/>
        </w:rPr>
        <w:t>Somokanta</w:t>
      </w:r>
      <w:proofErr w:type="spellEnd"/>
      <w:r w:rsidRPr="00D17A65">
        <w:rPr>
          <w:rFonts w:ascii="Times New Roman" w:hAnsi="Times New Roman" w:cs="Times New Roman"/>
          <w:color w:val="222222"/>
          <w:sz w:val="24"/>
          <w:szCs w:val="24"/>
          <w:shd w:val="clear" w:color="auto" w:fill="FFFFFF"/>
        </w:rPr>
        <w:t>, T. (2016). Gender, technology, and work: case of women employees in selected food processing industries in Manipur. </w:t>
      </w:r>
      <w:r w:rsidRPr="00D17A65">
        <w:rPr>
          <w:rFonts w:ascii="Times New Roman" w:hAnsi="Times New Roman" w:cs="Times New Roman"/>
          <w:i/>
          <w:iCs/>
          <w:color w:val="222222"/>
          <w:sz w:val="24"/>
          <w:szCs w:val="24"/>
          <w:shd w:val="clear" w:color="auto" w:fill="FFFFFF"/>
        </w:rPr>
        <w:t>Gender, Technology and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(1), 81-104.</w:t>
      </w:r>
    </w:p>
    <w:p w14:paraId="1C831834"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Priya, N. K., </w:t>
      </w:r>
      <w:proofErr w:type="spellStart"/>
      <w:r w:rsidRPr="00D17A65">
        <w:rPr>
          <w:rFonts w:ascii="Times New Roman" w:hAnsi="Times New Roman" w:cs="Times New Roman"/>
          <w:color w:val="222222"/>
          <w:sz w:val="24"/>
          <w:szCs w:val="24"/>
          <w:shd w:val="clear" w:color="auto" w:fill="FFFFFF"/>
        </w:rPr>
        <w:t>Sivanarayana</w:t>
      </w:r>
      <w:proofErr w:type="spellEnd"/>
      <w:r w:rsidRPr="00D17A65">
        <w:rPr>
          <w:rFonts w:ascii="Times New Roman" w:hAnsi="Times New Roman" w:cs="Times New Roman"/>
          <w:color w:val="222222"/>
          <w:sz w:val="24"/>
          <w:szCs w:val="24"/>
          <w:shd w:val="clear" w:color="auto" w:fill="FFFFFF"/>
        </w:rPr>
        <w:t>, G., &amp; Roy, G. S. (2025). Designing Gender-Inclusive Extension Approaches for Women Empowerment. </w:t>
      </w:r>
      <w:r w:rsidRPr="00D17A65">
        <w:rPr>
          <w:rFonts w:ascii="Times New Roman" w:hAnsi="Times New Roman" w:cs="Times New Roman"/>
          <w:i/>
          <w:iCs/>
          <w:color w:val="222222"/>
          <w:sz w:val="24"/>
          <w:szCs w:val="24"/>
          <w:shd w:val="clear" w:color="auto" w:fill="FFFFFF"/>
        </w:rPr>
        <w:t>New Frontiers in Agricultural Extension Strategies</w:t>
      </w:r>
      <w:r w:rsidRPr="00D17A65">
        <w:rPr>
          <w:rFonts w:ascii="Times New Roman" w:hAnsi="Times New Roman" w:cs="Times New Roman"/>
          <w:color w:val="222222"/>
          <w:sz w:val="24"/>
          <w:szCs w:val="24"/>
          <w:shd w:val="clear" w:color="auto" w:fill="FFFFFF"/>
        </w:rPr>
        <w:t>, 156.</w:t>
      </w:r>
    </w:p>
    <w:p w14:paraId="6C444D24"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Priya, N. K., </w:t>
      </w:r>
      <w:proofErr w:type="spellStart"/>
      <w:r w:rsidRPr="00D17A65">
        <w:rPr>
          <w:rFonts w:ascii="Times New Roman" w:hAnsi="Times New Roman" w:cs="Times New Roman"/>
          <w:color w:val="222222"/>
          <w:sz w:val="24"/>
          <w:szCs w:val="24"/>
          <w:shd w:val="clear" w:color="auto" w:fill="FFFFFF"/>
        </w:rPr>
        <w:t>Sivanarayana</w:t>
      </w:r>
      <w:proofErr w:type="spellEnd"/>
      <w:r w:rsidRPr="00D17A65">
        <w:rPr>
          <w:rFonts w:ascii="Times New Roman" w:hAnsi="Times New Roman" w:cs="Times New Roman"/>
          <w:color w:val="222222"/>
          <w:sz w:val="24"/>
          <w:szCs w:val="24"/>
          <w:shd w:val="clear" w:color="auto" w:fill="FFFFFF"/>
        </w:rPr>
        <w:t>, G., &amp; Roy, G. S. (2025). Designing Gender-Inclusive Extension Approaches for Women Empowerment. </w:t>
      </w:r>
      <w:r w:rsidRPr="00D17A65">
        <w:rPr>
          <w:rFonts w:ascii="Times New Roman" w:hAnsi="Times New Roman" w:cs="Times New Roman"/>
          <w:i/>
          <w:iCs/>
          <w:color w:val="222222"/>
          <w:sz w:val="24"/>
          <w:szCs w:val="24"/>
          <w:shd w:val="clear" w:color="auto" w:fill="FFFFFF"/>
        </w:rPr>
        <w:t>New Frontiers in Agricultural Extension Strategies</w:t>
      </w:r>
      <w:r w:rsidRPr="00D17A65">
        <w:rPr>
          <w:rFonts w:ascii="Times New Roman" w:hAnsi="Times New Roman" w:cs="Times New Roman"/>
          <w:color w:val="222222"/>
          <w:sz w:val="24"/>
          <w:szCs w:val="24"/>
          <w:shd w:val="clear" w:color="auto" w:fill="FFFFFF"/>
        </w:rPr>
        <w:t>, 156.</w:t>
      </w:r>
    </w:p>
    <w:p w14:paraId="13505E82"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lastRenderedPageBreak/>
        <w:t xml:space="preserve">Quaye, W., </w:t>
      </w:r>
      <w:proofErr w:type="spellStart"/>
      <w:r w:rsidRPr="00D17A65">
        <w:rPr>
          <w:rFonts w:ascii="Times New Roman" w:hAnsi="Times New Roman" w:cs="Times New Roman"/>
          <w:color w:val="222222"/>
          <w:sz w:val="24"/>
          <w:szCs w:val="24"/>
          <w:shd w:val="clear" w:color="auto" w:fill="FFFFFF"/>
        </w:rPr>
        <w:t>Fuseini</w:t>
      </w:r>
      <w:proofErr w:type="spellEnd"/>
      <w:r w:rsidRPr="00D17A65">
        <w:rPr>
          <w:rFonts w:ascii="Times New Roman" w:hAnsi="Times New Roman" w:cs="Times New Roman"/>
          <w:color w:val="222222"/>
          <w:sz w:val="24"/>
          <w:szCs w:val="24"/>
          <w:shd w:val="clear" w:color="auto" w:fill="FFFFFF"/>
        </w:rPr>
        <w:t xml:space="preserve">, M., Boadu, P., &amp; </w:t>
      </w:r>
      <w:proofErr w:type="spellStart"/>
      <w:r w:rsidRPr="00D17A65">
        <w:rPr>
          <w:rFonts w:ascii="Times New Roman" w:hAnsi="Times New Roman" w:cs="Times New Roman"/>
          <w:color w:val="222222"/>
          <w:sz w:val="24"/>
          <w:szCs w:val="24"/>
          <w:shd w:val="clear" w:color="auto" w:fill="FFFFFF"/>
        </w:rPr>
        <w:t>Asafu-Adjaye</w:t>
      </w:r>
      <w:proofErr w:type="spellEnd"/>
      <w:r w:rsidRPr="00D17A65">
        <w:rPr>
          <w:rFonts w:ascii="Times New Roman" w:hAnsi="Times New Roman" w:cs="Times New Roman"/>
          <w:color w:val="222222"/>
          <w:sz w:val="24"/>
          <w:szCs w:val="24"/>
          <w:shd w:val="clear" w:color="auto" w:fill="FFFFFF"/>
        </w:rPr>
        <w:t>, N. Y. (2019). Bridging the gender gap in agricultural development through gender responsive extension and rural advisory services delivery in Ghana. </w:t>
      </w:r>
      <w:r w:rsidRPr="00D17A65">
        <w:rPr>
          <w:rFonts w:ascii="Times New Roman" w:hAnsi="Times New Roman" w:cs="Times New Roman"/>
          <w:i/>
          <w:iCs/>
          <w:color w:val="222222"/>
          <w:sz w:val="24"/>
          <w:szCs w:val="24"/>
          <w:shd w:val="clear" w:color="auto" w:fill="FFFFFF"/>
        </w:rPr>
        <w:t>Journal of gender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28</w:t>
      </w:r>
      <w:r w:rsidRPr="00D17A65">
        <w:rPr>
          <w:rFonts w:ascii="Times New Roman" w:hAnsi="Times New Roman" w:cs="Times New Roman"/>
          <w:color w:val="222222"/>
          <w:sz w:val="24"/>
          <w:szCs w:val="24"/>
          <w:shd w:val="clear" w:color="auto" w:fill="FFFFFF"/>
        </w:rPr>
        <w:t>(2), 185-203.</w:t>
      </w:r>
    </w:p>
    <w:p w14:paraId="0D466198"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Quaye, W., </w:t>
      </w:r>
      <w:proofErr w:type="spellStart"/>
      <w:r w:rsidRPr="00D17A65">
        <w:rPr>
          <w:rFonts w:ascii="Times New Roman" w:hAnsi="Times New Roman" w:cs="Times New Roman"/>
          <w:color w:val="222222"/>
          <w:sz w:val="24"/>
          <w:szCs w:val="24"/>
          <w:shd w:val="clear" w:color="auto" w:fill="FFFFFF"/>
        </w:rPr>
        <w:t>Fuseini</w:t>
      </w:r>
      <w:proofErr w:type="spellEnd"/>
      <w:r w:rsidRPr="00D17A65">
        <w:rPr>
          <w:rFonts w:ascii="Times New Roman" w:hAnsi="Times New Roman" w:cs="Times New Roman"/>
          <w:color w:val="222222"/>
          <w:sz w:val="24"/>
          <w:szCs w:val="24"/>
          <w:shd w:val="clear" w:color="auto" w:fill="FFFFFF"/>
        </w:rPr>
        <w:t xml:space="preserve">, M., Boadu, P., &amp; </w:t>
      </w:r>
      <w:proofErr w:type="spellStart"/>
      <w:r w:rsidRPr="00D17A65">
        <w:rPr>
          <w:rFonts w:ascii="Times New Roman" w:hAnsi="Times New Roman" w:cs="Times New Roman"/>
          <w:color w:val="222222"/>
          <w:sz w:val="24"/>
          <w:szCs w:val="24"/>
          <w:shd w:val="clear" w:color="auto" w:fill="FFFFFF"/>
        </w:rPr>
        <w:t>Asafu-Adjaye</w:t>
      </w:r>
      <w:proofErr w:type="spellEnd"/>
      <w:r w:rsidRPr="00D17A65">
        <w:rPr>
          <w:rFonts w:ascii="Times New Roman" w:hAnsi="Times New Roman" w:cs="Times New Roman"/>
          <w:color w:val="222222"/>
          <w:sz w:val="24"/>
          <w:szCs w:val="24"/>
          <w:shd w:val="clear" w:color="auto" w:fill="FFFFFF"/>
        </w:rPr>
        <w:t>, N. Y. (2019). Bridging the gender gap in agricultural development through gender responsive extension and rural advisory services delivery in Ghana. </w:t>
      </w:r>
      <w:r w:rsidRPr="00D17A65">
        <w:rPr>
          <w:rFonts w:ascii="Times New Roman" w:hAnsi="Times New Roman" w:cs="Times New Roman"/>
          <w:i/>
          <w:iCs/>
          <w:color w:val="222222"/>
          <w:sz w:val="24"/>
          <w:szCs w:val="24"/>
          <w:shd w:val="clear" w:color="auto" w:fill="FFFFFF"/>
        </w:rPr>
        <w:t>Journal of gender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28</w:t>
      </w:r>
      <w:r w:rsidRPr="00D17A65">
        <w:rPr>
          <w:rFonts w:ascii="Times New Roman" w:hAnsi="Times New Roman" w:cs="Times New Roman"/>
          <w:color w:val="222222"/>
          <w:sz w:val="24"/>
          <w:szCs w:val="24"/>
          <w:shd w:val="clear" w:color="auto" w:fill="FFFFFF"/>
        </w:rPr>
        <w:t>(2), 185-203.</w:t>
      </w:r>
    </w:p>
    <w:p w14:paraId="601AB8D1"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Ragasa, C. (2014). Improving gender responsiveness of agricultural extension. In </w:t>
      </w:r>
      <w:r w:rsidRPr="00D17A65">
        <w:rPr>
          <w:rFonts w:ascii="Times New Roman" w:hAnsi="Times New Roman" w:cs="Times New Roman"/>
          <w:i/>
          <w:iCs/>
          <w:color w:val="222222"/>
          <w:sz w:val="24"/>
          <w:szCs w:val="24"/>
          <w:shd w:val="clear" w:color="auto" w:fill="FFFFFF"/>
        </w:rPr>
        <w:t>Gender in agriculture: Closing the knowledge gap</w:t>
      </w:r>
      <w:r w:rsidRPr="00D17A65">
        <w:rPr>
          <w:rFonts w:ascii="Times New Roman" w:hAnsi="Times New Roman" w:cs="Times New Roman"/>
          <w:color w:val="222222"/>
          <w:sz w:val="24"/>
          <w:szCs w:val="24"/>
          <w:shd w:val="clear" w:color="auto" w:fill="FFFFFF"/>
        </w:rPr>
        <w:t> (pp. 411-430). Dordrecht: Springer Netherlands.</w:t>
      </w:r>
    </w:p>
    <w:p w14:paraId="7C311765" w14:textId="77777777" w:rsidR="00FD2004" w:rsidRPr="00D17A65" w:rsidRDefault="00FD2004" w:rsidP="00FD2004">
      <w:pPr>
        <w:jc w:val="both"/>
        <w:rPr>
          <w:rFonts w:ascii="Times New Roman" w:hAnsi="Times New Roman" w:cs="Times New Roman"/>
          <w:sz w:val="24"/>
          <w:szCs w:val="24"/>
        </w:rPr>
      </w:pPr>
      <w:r w:rsidRPr="00AD4326">
        <w:rPr>
          <w:rFonts w:ascii="Times New Roman" w:hAnsi="Times New Roman" w:cs="Times New Roman"/>
          <w:color w:val="222222"/>
          <w:sz w:val="24"/>
          <w:szCs w:val="24"/>
          <w:shd w:val="clear" w:color="auto" w:fill="FFFFFF"/>
          <w:lang w:val="es-US"/>
        </w:rPr>
        <w:t xml:space="preserve">Ravula, P., </w:t>
      </w:r>
      <w:proofErr w:type="spellStart"/>
      <w:r w:rsidRPr="00AD4326">
        <w:rPr>
          <w:rFonts w:ascii="Times New Roman" w:hAnsi="Times New Roman" w:cs="Times New Roman"/>
          <w:color w:val="222222"/>
          <w:sz w:val="24"/>
          <w:szCs w:val="24"/>
          <w:shd w:val="clear" w:color="auto" w:fill="FFFFFF"/>
          <w:lang w:val="es-US"/>
        </w:rPr>
        <w:t>Rupavatharam</w:t>
      </w:r>
      <w:proofErr w:type="spellEnd"/>
      <w:r w:rsidRPr="00AD4326">
        <w:rPr>
          <w:rFonts w:ascii="Times New Roman" w:hAnsi="Times New Roman" w:cs="Times New Roman"/>
          <w:color w:val="222222"/>
          <w:sz w:val="24"/>
          <w:szCs w:val="24"/>
          <w:shd w:val="clear" w:color="auto" w:fill="FFFFFF"/>
          <w:lang w:val="es-US"/>
        </w:rPr>
        <w:t xml:space="preserve">, S., </w:t>
      </w:r>
      <w:proofErr w:type="spellStart"/>
      <w:r w:rsidRPr="00AD4326">
        <w:rPr>
          <w:rFonts w:ascii="Times New Roman" w:hAnsi="Times New Roman" w:cs="Times New Roman"/>
          <w:color w:val="222222"/>
          <w:sz w:val="24"/>
          <w:szCs w:val="24"/>
          <w:shd w:val="clear" w:color="auto" w:fill="FFFFFF"/>
          <w:lang w:val="es-US"/>
        </w:rPr>
        <w:t>Kasala</w:t>
      </w:r>
      <w:proofErr w:type="spellEnd"/>
      <w:r w:rsidRPr="00AD4326">
        <w:rPr>
          <w:rFonts w:ascii="Times New Roman" w:hAnsi="Times New Roman" w:cs="Times New Roman"/>
          <w:color w:val="222222"/>
          <w:sz w:val="24"/>
          <w:szCs w:val="24"/>
          <w:shd w:val="clear" w:color="auto" w:fill="FFFFFF"/>
          <w:lang w:val="es-US"/>
        </w:rPr>
        <w:t xml:space="preserve">, K., Kumar, K., &amp; </w:t>
      </w:r>
      <w:proofErr w:type="spellStart"/>
      <w:r w:rsidRPr="00AD4326">
        <w:rPr>
          <w:rFonts w:ascii="Times New Roman" w:hAnsi="Times New Roman" w:cs="Times New Roman"/>
          <w:color w:val="222222"/>
          <w:sz w:val="24"/>
          <w:szCs w:val="24"/>
          <w:shd w:val="clear" w:color="auto" w:fill="FFFFFF"/>
          <w:lang w:val="es-US"/>
        </w:rPr>
        <w:t>Singaraju</w:t>
      </w:r>
      <w:proofErr w:type="spellEnd"/>
      <w:r w:rsidRPr="00AD4326">
        <w:rPr>
          <w:rFonts w:ascii="Times New Roman" w:hAnsi="Times New Roman" w:cs="Times New Roman"/>
          <w:color w:val="222222"/>
          <w:sz w:val="24"/>
          <w:szCs w:val="24"/>
          <w:shd w:val="clear" w:color="auto" w:fill="FFFFFF"/>
          <w:lang w:val="es-US"/>
        </w:rPr>
        <w:t xml:space="preserve">, N. (2024). </w:t>
      </w:r>
      <w:r w:rsidRPr="00D17A65">
        <w:rPr>
          <w:rFonts w:ascii="Times New Roman" w:hAnsi="Times New Roman" w:cs="Times New Roman"/>
          <w:color w:val="222222"/>
          <w:sz w:val="24"/>
          <w:szCs w:val="24"/>
          <w:shd w:val="clear" w:color="auto" w:fill="FFFFFF"/>
        </w:rPr>
        <w:t>Training Module: Gender Responsive Digital Inclusion.</w:t>
      </w:r>
    </w:p>
    <w:p w14:paraId="025B65FF"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Sindhu, S., &amp; </w:t>
      </w:r>
      <w:proofErr w:type="spellStart"/>
      <w:r w:rsidRPr="00D17A65">
        <w:rPr>
          <w:rFonts w:ascii="Times New Roman" w:hAnsi="Times New Roman" w:cs="Times New Roman"/>
          <w:color w:val="222222"/>
          <w:sz w:val="24"/>
          <w:szCs w:val="24"/>
          <w:shd w:val="clear" w:color="auto" w:fill="FFFFFF"/>
        </w:rPr>
        <w:t>Poornimadarshini</w:t>
      </w:r>
      <w:proofErr w:type="spellEnd"/>
      <w:r w:rsidRPr="00D17A65">
        <w:rPr>
          <w:rFonts w:ascii="Times New Roman" w:hAnsi="Times New Roman" w:cs="Times New Roman"/>
          <w:color w:val="222222"/>
          <w:sz w:val="24"/>
          <w:szCs w:val="24"/>
          <w:shd w:val="clear" w:color="auto" w:fill="FFFFFF"/>
        </w:rPr>
        <w:t>, S. (2025). Women, Technology, and Transformation: Building Inclusive Innovation Ecosystems for Sustainable Development. </w:t>
      </w:r>
      <w:r w:rsidRPr="00D17A65">
        <w:rPr>
          <w:rFonts w:ascii="Times New Roman" w:hAnsi="Times New Roman" w:cs="Times New Roman"/>
          <w:i/>
          <w:iCs/>
          <w:color w:val="222222"/>
          <w:sz w:val="24"/>
          <w:szCs w:val="24"/>
          <w:shd w:val="clear" w:color="auto" w:fill="FFFFFF"/>
        </w:rPr>
        <w:t>Journal of Women, Innovation, and Technological Empowerment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(3), 8-14.</w:t>
      </w:r>
    </w:p>
    <w:p w14:paraId="0764951F"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Sinell</w:t>
      </w:r>
      <w:proofErr w:type="spellEnd"/>
      <w:r w:rsidRPr="00D17A65">
        <w:rPr>
          <w:rFonts w:ascii="Times New Roman" w:hAnsi="Times New Roman" w:cs="Times New Roman"/>
          <w:color w:val="222222"/>
          <w:sz w:val="24"/>
          <w:szCs w:val="24"/>
          <w:shd w:val="clear" w:color="auto" w:fill="FFFFFF"/>
        </w:rPr>
        <w:t xml:space="preserve">, A., Müller-Wieland, R., &amp; </w:t>
      </w:r>
      <w:proofErr w:type="spellStart"/>
      <w:r w:rsidRPr="00D17A65">
        <w:rPr>
          <w:rFonts w:ascii="Times New Roman" w:hAnsi="Times New Roman" w:cs="Times New Roman"/>
          <w:color w:val="222222"/>
          <w:sz w:val="24"/>
          <w:szCs w:val="24"/>
          <w:shd w:val="clear" w:color="auto" w:fill="FFFFFF"/>
        </w:rPr>
        <w:t>Muschner</w:t>
      </w:r>
      <w:proofErr w:type="spellEnd"/>
      <w:r w:rsidRPr="00D17A65">
        <w:rPr>
          <w:rFonts w:ascii="Times New Roman" w:hAnsi="Times New Roman" w:cs="Times New Roman"/>
          <w:color w:val="222222"/>
          <w:sz w:val="24"/>
          <w:szCs w:val="24"/>
          <w:shd w:val="clear" w:color="auto" w:fill="FFFFFF"/>
        </w:rPr>
        <w:t>, A. (2018). Gender-specific constraints on academic entrepreneurship and engagement in knowledge and technology transfer. </w:t>
      </w:r>
      <w:r w:rsidRPr="00D17A65">
        <w:rPr>
          <w:rFonts w:ascii="Times New Roman" w:hAnsi="Times New Roman" w:cs="Times New Roman"/>
          <w:i/>
          <w:iCs/>
          <w:color w:val="222222"/>
          <w:sz w:val="24"/>
          <w:szCs w:val="24"/>
          <w:shd w:val="clear" w:color="auto" w:fill="FFFFFF"/>
        </w:rPr>
        <w:t>Technology Innovation Management Review</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8</w:t>
      </w:r>
      <w:r w:rsidRPr="00D17A65">
        <w:rPr>
          <w:rFonts w:ascii="Times New Roman" w:hAnsi="Times New Roman" w:cs="Times New Roman"/>
          <w:color w:val="222222"/>
          <w:sz w:val="24"/>
          <w:szCs w:val="24"/>
          <w:shd w:val="clear" w:color="auto" w:fill="FFFFFF"/>
        </w:rPr>
        <w:t>(2).</w:t>
      </w:r>
    </w:p>
    <w:p w14:paraId="38B9838E"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Sudan, F. K. (2007). Livelihood diversification and women empowerment through self-help micro credit </w:t>
      </w:r>
      <w:proofErr w:type="spellStart"/>
      <w:r w:rsidRPr="00D17A65">
        <w:rPr>
          <w:rFonts w:ascii="Times New Roman" w:hAnsi="Times New Roman" w:cs="Times New Roman"/>
          <w:color w:val="222222"/>
          <w:sz w:val="24"/>
          <w:szCs w:val="24"/>
          <w:shd w:val="clear" w:color="auto" w:fill="FFFFFF"/>
        </w:rPr>
        <w:t>programme</w:t>
      </w:r>
      <w:proofErr w:type="spellEnd"/>
      <w:r w:rsidRPr="00D17A65">
        <w:rPr>
          <w:rFonts w:ascii="Times New Roman" w:hAnsi="Times New Roman" w:cs="Times New Roman"/>
          <w:color w:val="222222"/>
          <w:sz w:val="24"/>
          <w:szCs w:val="24"/>
          <w:shd w:val="clear" w:color="auto" w:fill="FFFFFF"/>
        </w:rPr>
        <w:t>: Evidence from Jammu and Kashmir. </w:t>
      </w:r>
      <w:r w:rsidRPr="00D17A65">
        <w:rPr>
          <w:rFonts w:ascii="Times New Roman" w:hAnsi="Times New Roman" w:cs="Times New Roman"/>
          <w:i/>
          <w:iCs/>
          <w:color w:val="222222"/>
          <w:sz w:val="24"/>
          <w:szCs w:val="24"/>
          <w:shd w:val="clear" w:color="auto" w:fill="FFFFFF"/>
        </w:rPr>
        <w:t>Indus Journal of Management &amp; Social Sciences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(2), 90-106.</w:t>
      </w:r>
    </w:p>
    <w:p w14:paraId="3FF8BF62"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Sudheer, K. P., Unni, S. K., &amp; Shaju, A. A. (2022). Gender Responsive Agribusiness Development: An Indian. In </w:t>
      </w:r>
      <w:r w:rsidRPr="00D17A65">
        <w:rPr>
          <w:rFonts w:ascii="Times New Roman" w:hAnsi="Times New Roman" w:cs="Times New Roman"/>
          <w:i/>
          <w:iCs/>
          <w:color w:val="222222"/>
          <w:sz w:val="24"/>
          <w:szCs w:val="24"/>
          <w:shd w:val="clear" w:color="auto" w:fill="FFFFFF"/>
        </w:rPr>
        <w:t>Engendering Agricultural Development</w:t>
      </w:r>
      <w:r w:rsidRPr="00D17A65">
        <w:rPr>
          <w:rFonts w:ascii="Times New Roman" w:hAnsi="Times New Roman" w:cs="Times New Roman"/>
          <w:color w:val="222222"/>
          <w:sz w:val="24"/>
          <w:szCs w:val="24"/>
          <w:shd w:val="clear" w:color="auto" w:fill="FFFFFF"/>
        </w:rPr>
        <w:t> (pp. 147-174). CRC Press.</w:t>
      </w:r>
    </w:p>
    <w:p w14:paraId="44D2F73B"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Terjesen, S. (2005). Senior women managers’ transition to entrepreneurship: Leveraging embedded career capital. </w:t>
      </w:r>
      <w:r w:rsidRPr="00D17A65">
        <w:rPr>
          <w:rFonts w:ascii="Times New Roman" w:hAnsi="Times New Roman" w:cs="Times New Roman"/>
          <w:i/>
          <w:iCs/>
          <w:color w:val="222222"/>
          <w:sz w:val="24"/>
          <w:szCs w:val="24"/>
          <w:shd w:val="clear" w:color="auto" w:fill="FFFFFF"/>
        </w:rPr>
        <w:t>Career Development International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10</w:t>
      </w:r>
      <w:r w:rsidRPr="00D17A65">
        <w:rPr>
          <w:rFonts w:ascii="Times New Roman" w:hAnsi="Times New Roman" w:cs="Times New Roman"/>
          <w:color w:val="222222"/>
          <w:sz w:val="24"/>
          <w:szCs w:val="24"/>
          <w:shd w:val="clear" w:color="auto" w:fill="FFFFFF"/>
        </w:rPr>
        <w:t>(3), 246-259.</w:t>
      </w:r>
    </w:p>
    <w:p w14:paraId="6C636A1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Tetarwal</w:t>
      </w:r>
      <w:proofErr w:type="spellEnd"/>
      <w:r w:rsidRPr="00D17A65">
        <w:rPr>
          <w:rFonts w:ascii="Times New Roman" w:hAnsi="Times New Roman" w:cs="Times New Roman"/>
          <w:color w:val="222222"/>
          <w:sz w:val="24"/>
          <w:szCs w:val="24"/>
          <w:shd w:val="clear" w:color="auto" w:fill="FFFFFF"/>
        </w:rPr>
        <w:t>, P., Patel, H., &amp; Jayasudha, J. (2024). Gender Sensitivity and Mainstreaming in Technology Dissemination. </w:t>
      </w:r>
      <w:r w:rsidRPr="00D17A65">
        <w:rPr>
          <w:rFonts w:ascii="Times New Roman" w:hAnsi="Times New Roman" w:cs="Times New Roman"/>
          <w:i/>
          <w:iCs/>
          <w:color w:val="222222"/>
          <w:sz w:val="24"/>
          <w:szCs w:val="24"/>
          <w:shd w:val="clear" w:color="auto" w:fill="FFFFFF"/>
        </w:rPr>
        <w:t>Dr. KL Chaudhary</w:t>
      </w:r>
      <w:r w:rsidRPr="00D17A65">
        <w:rPr>
          <w:rFonts w:ascii="Times New Roman" w:hAnsi="Times New Roman" w:cs="Times New Roman"/>
          <w:color w:val="222222"/>
          <w:sz w:val="24"/>
          <w:szCs w:val="24"/>
          <w:shd w:val="clear" w:color="auto" w:fill="FFFFFF"/>
        </w:rPr>
        <w:t>, 193.</w:t>
      </w:r>
    </w:p>
    <w:p w14:paraId="3CEA2EDA"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Tinker, I. (1979). </w:t>
      </w:r>
      <w:r w:rsidRPr="00D17A65">
        <w:rPr>
          <w:rFonts w:ascii="Times New Roman" w:hAnsi="Times New Roman" w:cs="Times New Roman"/>
          <w:i/>
          <w:iCs/>
          <w:color w:val="222222"/>
          <w:sz w:val="24"/>
          <w:szCs w:val="24"/>
          <w:shd w:val="clear" w:color="auto" w:fill="FFFFFF"/>
        </w:rPr>
        <w:t>New technologies for food chain activities: The imperative of equity for women</w:t>
      </w:r>
      <w:r w:rsidRPr="00D17A65">
        <w:rPr>
          <w:rFonts w:ascii="Times New Roman" w:hAnsi="Times New Roman" w:cs="Times New Roman"/>
          <w:color w:val="222222"/>
          <w:sz w:val="24"/>
          <w:szCs w:val="24"/>
          <w:shd w:val="clear" w:color="auto" w:fill="FFFFFF"/>
        </w:rPr>
        <w:t>. Agency for International Development.</w:t>
      </w:r>
    </w:p>
    <w:p w14:paraId="7F143F14"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Treinen, S., &amp; Van der Elstraeten, A. (2018). Gender and ICTs-Mainstreaming gender in the use of information and communication technologies (ICTs) for agriculture and rural development. </w:t>
      </w:r>
      <w:r w:rsidRPr="00D17A65">
        <w:rPr>
          <w:rFonts w:ascii="Times New Roman" w:hAnsi="Times New Roman" w:cs="Times New Roman"/>
          <w:i/>
          <w:iCs/>
          <w:color w:val="222222"/>
          <w:sz w:val="24"/>
          <w:szCs w:val="24"/>
          <w:shd w:val="clear" w:color="auto" w:fill="FFFFFF"/>
        </w:rPr>
        <w:t>Gender and ICTs-Mainstreaming gender in the use of information and communication technologies (ICTs) for agriculture and rural development</w:t>
      </w:r>
      <w:r w:rsidRPr="00D17A65">
        <w:rPr>
          <w:rFonts w:ascii="Times New Roman" w:hAnsi="Times New Roman" w:cs="Times New Roman"/>
          <w:color w:val="222222"/>
          <w:sz w:val="24"/>
          <w:szCs w:val="24"/>
          <w:shd w:val="clear" w:color="auto" w:fill="FFFFFF"/>
        </w:rPr>
        <w:t>.</w:t>
      </w:r>
    </w:p>
    <w:p w14:paraId="46C4D2F5"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Women, U. N. (2024). </w:t>
      </w:r>
      <w:r w:rsidRPr="00D17A65">
        <w:rPr>
          <w:rFonts w:ascii="Times New Roman" w:hAnsi="Times New Roman" w:cs="Times New Roman"/>
          <w:i/>
          <w:iCs/>
          <w:color w:val="222222"/>
          <w:sz w:val="24"/>
          <w:szCs w:val="24"/>
          <w:shd w:val="clear" w:color="auto" w:fill="FFFFFF"/>
        </w:rPr>
        <w:t>Towards gender-responsive agricultural extension services in Albania: Assessment report</w:t>
      </w:r>
      <w:r w:rsidRPr="00D17A65">
        <w:rPr>
          <w:rFonts w:ascii="Times New Roman" w:hAnsi="Times New Roman" w:cs="Times New Roman"/>
          <w:color w:val="222222"/>
          <w:sz w:val="24"/>
          <w:szCs w:val="24"/>
          <w:shd w:val="clear" w:color="auto" w:fill="FFFFFF"/>
        </w:rPr>
        <w:t xml:space="preserve">. Food &amp; Agriculture </w:t>
      </w:r>
      <w:proofErr w:type="gramStart"/>
      <w:r w:rsidRPr="00D17A65">
        <w:rPr>
          <w:rFonts w:ascii="Times New Roman" w:hAnsi="Times New Roman" w:cs="Times New Roman"/>
          <w:color w:val="222222"/>
          <w:sz w:val="24"/>
          <w:szCs w:val="24"/>
          <w:shd w:val="clear" w:color="auto" w:fill="FFFFFF"/>
        </w:rPr>
        <w:t>Org.[</w:t>
      </w:r>
      <w:proofErr w:type="gramEnd"/>
      <w:r w:rsidRPr="00D17A65">
        <w:rPr>
          <w:rFonts w:ascii="Times New Roman" w:hAnsi="Times New Roman" w:cs="Times New Roman"/>
          <w:color w:val="222222"/>
          <w:sz w:val="24"/>
          <w:szCs w:val="24"/>
          <w:shd w:val="clear" w:color="auto" w:fill="FFFFFF"/>
        </w:rPr>
        <w:t>Author][Author].</w:t>
      </w:r>
    </w:p>
    <w:p w14:paraId="07DDE20A" w14:textId="77777777" w:rsidR="009F3C56" w:rsidRPr="00D17A65" w:rsidRDefault="009F3C56" w:rsidP="00FD2004">
      <w:pPr>
        <w:jc w:val="both"/>
        <w:rPr>
          <w:rFonts w:ascii="Times New Roman" w:hAnsi="Times New Roman" w:cs="Times New Roman"/>
          <w:sz w:val="24"/>
          <w:szCs w:val="24"/>
        </w:rPr>
      </w:pPr>
    </w:p>
    <w:sectPr w:rsidR="009F3C56" w:rsidRPr="00D17A6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57534" w14:textId="77777777" w:rsidR="00125FEC" w:rsidRDefault="00125FEC" w:rsidP="003E4012">
      <w:pPr>
        <w:spacing w:after="0" w:line="240" w:lineRule="auto"/>
      </w:pPr>
      <w:r>
        <w:separator/>
      </w:r>
    </w:p>
  </w:endnote>
  <w:endnote w:type="continuationSeparator" w:id="0">
    <w:p w14:paraId="4D850FA5" w14:textId="77777777" w:rsidR="00125FEC" w:rsidRDefault="00125FEC" w:rsidP="003E4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76A3" w14:textId="77777777" w:rsidR="003E4012" w:rsidRDefault="003E4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B6EC" w14:textId="77777777" w:rsidR="003E4012" w:rsidRDefault="003E40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A89D" w14:textId="77777777" w:rsidR="003E4012" w:rsidRDefault="003E4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9A2A2" w14:textId="77777777" w:rsidR="00125FEC" w:rsidRDefault="00125FEC" w:rsidP="003E4012">
      <w:pPr>
        <w:spacing w:after="0" w:line="240" w:lineRule="auto"/>
      </w:pPr>
      <w:r>
        <w:separator/>
      </w:r>
    </w:p>
  </w:footnote>
  <w:footnote w:type="continuationSeparator" w:id="0">
    <w:p w14:paraId="36D78C6E" w14:textId="77777777" w:rsidR="00125FEC" w:rsidRDefault="00125FEC" w:rsidP="003E4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EB79" w14:textId="408247C2" w:rsidR="003E4012" w:rsidRDefault="003E4012">
    <w:pPr>
      <w:pStyle w:val="Header"/>
    </w:pPr>
    <w:r>
      <w:rPr>
        <w:noProof/>
      </w:rPr>
      <w:pict w14:anchorId="7EAC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8DCC4" w14:textId="6E966A74" w:rsidR="003E4012" w:rsidRDefault="003E4012">
    <w:pPr>
      <w:pStyle w:val="Header"/>
    </w:pPr>
    <w:r>
      <w:rPr>
        <w:noProof/>
      </w:rPr>
      <w:pict w14:anchorId="7C875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1A4C" w14:textId="525123D8" w:rsidR="003E4012" w:rsidRDefault="003E4012">
    <w:pPr>
      <w:pStyle w:val="Header"/>
    </w:pPr>
    <w:r>
      <w:rPr>
        <w:noProof/>
      </w:rPr>
      <w:pict w14:anchorId="0635A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xtDS1MDMwMrIwMLZQ0lEKTi0uzszPAykwrAUAmi+ZBCwAAAA="/>
  </w:docVars>
  <w:rsids>
    <w:rsidRoot w:val="00C21218"/>
    <w:rsid w:val="00017892"/>
    <w:rsid w:val="00025E09"/>
    <w:rsid w:val="000359DF"/>
    <w:rsid w:val="00071EF8"/>
    <w:rsid w:val="00090A03"/>
    <w:rsid w:val="000A27F6"/>
    <w:rsid w:val="000B3006"/>
    <w:rsid w:val="000F2620"/>
    <w:rsid w:val="00125FEC"/>
    <w:rsid w:val="001A3F11"/>
    <w:rsid w:val="001B51A4"/>
    <w:rsid w:val="001C3D8E"/>
    <w:rsid w:val="001C6934"/>
    <w:rsid w:val="001C7622"/>
    <w:rsid w:val="001F1037"/>
    <w:rsid w:val="00202047"/>
    <w:rsid w:val="00273E6D"/>
    <w:rsid w:val="002B264D"/>
    <w:rsid w:val="002C61C0"/>
    <w:rsid w:val="002D151B"/>
    <w:rsid w:val="002E465F"/>
    <w:rsid w:val="00376AB0"/>
    <w:rsid w:val="003B40C9"/>
    <w:rsid w:val="003E4012"/>
    <w:rsid w:val="003F540D"/>
    <w:rsid w:val="004364B1"/>
    <w:rsid w:val="00443F4F"/>
    <w:rsid w:val="004A4689"/>
    <w:rsid w:val="004E3413"/>
    <w:rsid w:val="004F269E"/>
    <w:rsid w:val="005129F9"/>
    <w:rsid w:val="00514284"/>
    <w:rsid w:val="00531C9D"/>
    <w:rsid w:val="0054085D"/>
    <w:rsid w:val="00547338"/>
    <w:rsid w:val="005822A1"/>
    <w:rsid w:val="005B5C17"/>
    <w:rsid w:val="005E7871"/>
    <w:rsid w:val="006070CC"/>
    <w:rsid w:val="00631665"/>
    <w:rsid w:val="00651DC0"/>
    <w:rsid w:val="0065352E"/>
    <w:rsid w:val="006B0F5D"/>
    <w:rsid w:val="006E58A9"/>
    <w:rsid w:val="007045DF"/>
    <w:rsid w:val="00746CC3"/>
    <w:rsid w:val="00747D9A"/>
    <w:rsid w:val="00791E30"/>
    <w:rsid w:val="007E1E4F"/>
    <w:rsid w:val="0082249D"/>
    <w:rsid w:val="0083394E"/>
    <w:rsid w:val="00844840"/>
    <w:rsid w:val="008A0BCE"/>
    <w:rsid w:val="008D7506"/>
    <w:rsid w:val="00973DED"/>
    <w:rsid w:val="009A1DE2"/>
    <w:rsid w:val="009F3C56"/>
    <w:rsid w:val="00A05889"/>
    <w:rsid w:val="00A1353E"/>
    <w:rsid w:val="00A53CA8"/>
    <w:rsid w:val="00A54DD8"/>
    <w:rsid w:val="00AA6398"/>
    <w:rsid w:val="00AD4326"/>
    <w:rsid w:val="00B05BE6"/>
    <w:rsid w:val="00B06B04"/>
    <w:rsid w:val="00B16567"/>
    <w:rsid w:val="00B201EE"/>
    <w:rsid w:val="00B97C19"/>
    <w:rsid w:val="00BA6A63"/>
    <w:rsid w:val="00BB4FDA"/>
    <w:rsid w:val="00C21218"/>
    <w:rsid w:val="00C40430"/>
    <w:rsid w:val="00C5098A"/>
    <w:rsid w:val="00C90F57"/>
    <w:rsid w:val="00CA4854"/>
    <w:rsid w:val="00CB132A"/>
    <w:rsid w:val="00CC5D01"/>
    <w:rsid w:val="00CD195E"/>
    <w:rsid w:val="00CD596B"/>
    <w:rsid w:val="00CE2743"/>
    <w:rsid w:val="00D17A65"/>
    <w:rsid w:val="00D960D3"/>
    <w:rsid w:val="00DC7A21"/>
    <w:rsid w:val="00DE162B"/>
    <w:rsid w:val="00DF10D6"/>
    <w:rsid w:val="00DF419F"/>
    <w:rsid w:val="00E24714"/>
    <w:rsid w:val="00E61E50"/>
    <w:rsid w:val="00E80E48"/>
    <w:rsid w:val="00EA246A"/>
    <w:rsid w:val="00EB0D49"/>
    <w:rsid w:val="00EC57B3"/>
    <w:rsid w:val="00EE3DBC"/>
    <w:rsid w:val="00F31529"/>
    <w:rsid w:val="00F605D5"/>
    <w:rsid w:val="00F867BF"/>
    <w:rsid w:val="00FA0C21"/>
    <w:rsid w:val="00FC7AEF"/>
    <w:rsid w:val="00FD049D"/>
    <w:rsid w:val="00FD2004"/>
    <w:rsid w:val="00FD6DF2"/>
    <w:rsid w:val="00FE4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5D2DB"/>
  <w15:chartTrackingRefBased/>
  <w15:docId w15:val="{08815DE6-C3F8-43B1-ABF3-3DEC0350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16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B4F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B4FDA"/>
    <w:rPr>
      <w:rFonts w:ascii="Times New Roman" w:eastAsia="Times New Roman" w:hAnsi="Times New Roman" w:cs="Times New Roman"/>
      <w:b/>
      <w:bCs/>
      <w:sz w:val="27"/>
      <w:szCs w:val="27"/>
    </w:rPr>
  </w:style>
  <w:style w:type="character" w:styleId="Strong">
    <w:name w:val="Strong"/>
    <w:basedOn w:val="DefaultParagraphFont"/>
    <w:uiPriority w:val="22"/>
    <w:qFormat/>
    <w:rsid w:val="00BB4FDA"/>
    <w:rPr>
      <w:b/>
      <w:bCs/>
    </w:rPr>
  </w:style>
  <w:style w:type="table" w:styleId="TableGrid">
    <w:name w:val="Table Grid"/>
    <w:basedOn w:val="TableNormal"/>
    <w:uiPriority w:val="39"/>
    <w:rsid w:val="00BB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16567"/>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B16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567"/>
    <w:rPr>
      <w:rFonts w:ascii="Courier New" w:eastAsia="Times New Roman" w:hAnsi="Courier New" w:cs="Courier New"/>
      <w:sz w:val="20"/>
      <w:szCs w:val="20"/>
    </w:rPr>
  </w:style>
  <w:style w:type="character" w:styleId="HTMLCode">
    <w:name w:val="HTML Code"/>
    <w:basedOn w:val="DefaultParagraphFont"/>
    <w:uiPriority w:val="99"/>
    <w:semiHidden/>
    <w:unhideWhenUsed/>
    <w:rsid w:val="00B16567"/>
    <w:rPr>
      <w:rFonts w:ascii="Courier New" w:eastAsia="Times New Roman" w:hAnsi="Courier New" w:cs="Courier New"/>
      <w:sz w:val="20"/>
      <w:szCs w:val="20"/>
    </w:rPr>
  </w:style>
  <w:style w:type="character" w:customStyle="1" w:styleId="hljs-type">
    <w:name w:val="hljs-type"/>
    <w:basedOn w:val="DefaultParagraphFont"/>
    <w:rsid w:val="00B16567"/>
  </w:style>
  <w:style w:type="character" w:customStyle="1" w:styleId="hljs-keyword">
    <w:name w:val="hljs-keyword"/>
    <w:basedOn w:val="DefaultParagraphFont"/>
    <w:rsid w:val="00B16567"/>
  </w:style>
  <w:style w:type="character" w:customStyle="1" w:styleId="hljs-comment">
    <w:name w:val="hljs-comment"/>
    <w:basedOn w:val="DefaultParagraphFont"/>
    <w:rsid w:val="00B16567"/>
  </w:style>
  <w:style w:type="character" w:styleId="Hyperlink">
    <w:name w:val="Hyperlink"/>
    <w:basedOn w:val="DefaultParagraphFont"/>
    <w:uiPriority w:val="99"/>
    <w:unhideWhenUsed/>
    <w:rsid w:val="00D17A65"/>
    <w:rPr>
      <w:color w:val="0563C1" w:themeColor="hyperlink"/>
      <w:u w:val="single"/>
    </w:rPr>
  </w:style>
  <w:style w:type="character" w:styleId="UnresolvedMention">
    <w:name w:val="Unresolved Mention"/>
    <w:basedOn w:val="DefaultParagraphFont"/>
    <w:uiPriority w:val="99"/>
    <w:semiHidden/>
    <w:unhideWhenUsed/>
    <w:rsid w:val="00CA4854"/>
    <w:rPr>
      <w:color w:val="605E5C"/>
      <w:shd w:val="clear" w:color="auto" w:fill="E1DFDD"/>
    </w:rPr>
  </w:style>
  <w:style w:type="paragraph" w:styleId="ListParagraph">
    <w:name w:val="List Paragraph"/>
    <w:basedOn w:val="Normal"/>
    <w:uiPriority w:val="34"/>
    <w:qFormat/>
    <w:rsid w:val="00BA6A63"/>
    <w:pPr>
      <w:ind w:left="720"/>
      <w:contextualSpacing/>
    </w:pPr>
  </w:style>
  <w:style w:type="paragraph" w:styleId="Header">
    <w:name w:val="header"/>
    <w:basedOn w:val="Normal"/>
    <w:link w:val="HeaderChar"/>
    <w:uiPriority w:val="99"/>
    <w:unhideWhenUsed/>
    <w:rsid w:val="003E4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012"/>
  </w:style>
  <w:style w:type="paragraph" w:styleId="Footer">
    <w:name w:val="footer"/>
    <w:basedOn w:val="Normal"/>
    <w:link w:val="FooterChar"/>
    <w:uiPriority w:val="99"/>
    <w:unhideWhenUsed/>
    <w:rsid w:val="003E4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0243">
      <w:bodyDiv w:val="1"/>
      <w:marLeft w:val="0"/>
      <w:marRight w:val="0"/>
      <w:marTop w:val="0"/>
      <w:marBottom w:val="0"/>
      <w:divBdr>
        <w:top w:val="none" w:sz="0" w:space="0" w:color="auto"/>
        <w:left w:val="none" w:sz="0" w:space="0" w:color="auto"/>
        <w:bottom w:val="none" w:sz="0" w:space="0" w:color="auto"/>
        <w:right w:val="none" w:sz="0" w:space="0" w:color="auto"/>
      </w:divBdr>
    </w:div>
    <w:div w:id="163396213">
      <w:bodyDiv w:val="1"/>
      <w:marLeft w:val="0"/>
      <w:marRight w:val="0"/>
      <w:marTop w:val="0"/>
      <w:marBottom w:val="0"/>
      <w:divBdr>
        <w:top w:val="none" w:sz="0" w:space="0" w:color="auto"/>
        <w:left w:val="none" w:sz="0" w:space="0" w:color="auto"/>
        <w:bottom w:val="none" w:sz="0" w:space="0" w:color="auto"/>
        <w:right w:val="none" w:sz="0" w:space="0" w:color="auto"/>
      </w:divBdr>
      <w:divsChild>
        <w:div w:id="6174884">
          <w:marLeft w:val="0"/>
          <w:marRight w:val="0"/>
          <w:marTop w:val="0"/>
          <w:marBottom w:val="0"/>
          <w:divBdr>
            <w:top w:val="none" w:sz="0" w:space="0" w:color="auto"/>
            <w:left w:val="none" w:sz="0" w:space="0" w:color="auto"/>
            <w:bottom w:val="none" w:sz="0" w:space="0" w:color="auto"/>
            <w:right w:val="none" w:sz="0" w:space="0" w:color="auto"/>
          </w:divBdr>
          <w:divsChild>
            <w:div w:id="12921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373">
      <w:bodyDiv w:val="1"/>
      <w:marLeft w:val="0"/>
      <w:marRight w:val="0"/>
      <w:marTop w:val="0"/>
      <w:marBottom w:val="0"/>
      <w:divBdr>
        <w:top w:val="none" w:sz="0" w:space="0" w:color="auto"/>
        <w:left w:val="none" w:sz="0" w:space="0" w:color="auto"/>
        <w:bottom w:val="none" w:sz="0" w:space="0" w:color="auto"/>
        <w:right w:val="none" w:sz="0" w:space="0" w:color="auto"/>
      </w:divBdr>
      <w:divsChild>
        <w:div w:id="1450927428">
          <w:marLeft w:val="0"/>
          <w:marRight w:val="0"/>
          <w:marTop w:val="0"/>
          <w:marBottom w:val="0"/>
          <w:divBdr>
            <w:top w:val="none" w:sz="0" w:space="0" w:color="auto"/>
            <w:left w:val="none" w:sz="0" w:space="0" w:color="auto"/>
            <w:bottom w:val="none" w:sz="0" w:space="0" w:color="auto"/>
            <w:right w:val="none" w:sz="0" w:space="0" w:color="auto"/>
          </w:divBdr>
          <w:divsChild>
            <w:div w:id="16730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9843">
      <w:bodyDiv w:val="1"/>
      <w:marLeft w:val="0"/>
      <w:marRight w:val="0"/>
      <w:marTop w:val="0"/>
      <w:marBottom w:val="0"/>
      <w:divBdr>
        <w:top w:val="none" w:sz="0" w:space="0" w:color="auto"/>
        <w:left w:val="none" w:sz="0" w:space="0" w:color="auto"/>
        <w:bottom w:val="none" w:sz="0" w:space="0" w:color="auto"/>
        <w:right w:val="none" w:sz="0" w:space="0" w:color="auto"/>
      </w:divBdr>
      <w:divsChild>
        <w:div w:id="392893850">
          <w:marLeft w:val="0"/>
          <w:marRight w:val="0"/>
          <w:marTop w:val="0"/>
          <w:marBottom w:val="0"/>
          <w:divBdr>
            <w:top w:val="none" w:sz="0" w:space="0" w:color="auto"/>
            <w:left w:val="none" w:sz="0" w:space="0" w:color="auto"/>
            <w:bottom w:val="none" w:sz="0" w:space="0" w:color="auto"/>
            <w:right w:val="none" w:sz="0" w:space="0" w:color="auto"/>
          </w:divBdr>
          <w:divsChild>
            <w:div w:id="8149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313">
      <w:bodyDiv w:val="1"/>
      <w:marLeft w:val="0"/>
      <w:marRight w:val="0"/>
      <w:marTop w:val="0"/>
      <w:marBottom w:val="0"/>
      <w:divBdr>
        <w:top w:val="none" w:sz="0" w:space="0" w:color="auto"/>
        <w:left w:val="none" w:sz="0" w:space="0" w:color="auto"/>
        <w:bottom w:val="none" w:sz="0" w:space="0" w:color="auto"/>
        <w:right w:val="none" w:sz="0" w:space="0" w:color="auto"/>
      </w:divBdr>
      <w:divsChild>
        <w:div w:id="2036610181">
          <w:marLeft w:val="0"/>
          <w:marRight w:val="0"/>
          <w:marTop w:val="0"/>
          <w:marBottom w:val="0"/>
          <w:divBdr>
            <w:top w:val="none" w:sz="0" w:space="0" w:color="auto"/>
            <w:left w:val="none" w:sz="0" w:space="0" w:color="auto"/>
            <w:bottom w:val="none" w:sz="0" w:space="0" w:color="auto"/>
            <w:right w:val="none" w:sz="0" w:space="0" w:color="auto"/>
          </w:divBdr>
          <w:divsChild>
            <w:div w:id="10834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942">
      <w:bodyDiv w:val="1"/>
      <w:marLeft w:val="0"/>
      <w:marRight w:val="0"/>
      <w:marTop w:val="0"/>
      <w:marBottom w:val="0"/>
      <w:divBdr>
        <w:top w:val="none" w:sz="0" w:space="0" w:color="auto"/>
        <w:left w:val="none" w:sz="0" w:space="0" w:color="auto"/>
        <w:bottom w:val="none" w:sz="0" w:space="0" w:color="auto"/>
        <w:right w:val="none" w:sz="0" w:space="0" w:color="auto"/>
      </w:divBdr>
      <w:divsChild>
        <w:div w:id="1146241628">
          <w:marLeft w:val="0"/>
          <w:marRight w:val="0"/>
          <w:marTop w:val="0"/>
          <w:marBottom w:val="0"/>
          <w:divBdr>
            <w:top w:val="none" w:sz="0" w:space="0" w:color="auto"/>
            <w:left w:val="none" w:sz="0" w:space="0" w:color="auto"/>
            <w:bottom w:val="none" w:sz="0" w:space="0" w:color="auto"/>
            <w:right w:val="none" w:sz="0" w:space="0" w:color="auto"/>
          </w:divBdr>
          <w:divsChild>
            <w:div w:id="4063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70971">
      <w:bodyDiv w:val="1"/>
      <w:marLeft w:val="0"/>
      <w:marRight w:val="0"/>
      <w:marTop w:val="0"/>
      <w:marBottom w:val="0"/>
      <w:divBdr>
        <w:top w:val="none" w:sz="0" w:space="0" w:color="auto"/>
        <w:left w:val="none" w:sz="0" w:space="0" w:color="auto"/>
        <w:bottom w:val="none" w:sz="0" w:space="0" w:color="auto"/>
        <w:right w:val="none" w:sz="0" w:space="0" w:color="auto"/>
      </w:divBdr>
      <w:divsChild>
        <w:div w:id="187381062">
          <w:marLeft w:val="0"/>
          <w:marRight w:val="0"/>
          <w:marTop w:val="0"/>
          <w:marBottom w:val="0"/>
          <w:divBdr>
            <w:top w:val="none" w:sz="0" w:space="0" w:color="auto"/>
            <w:left w:val="none" w:sz="0" w:space="0" w:color="auto"/>
            <w:bottom w:val="none" w:sz="0" w:space="0" w:color="auto"/>
            <w:right w:val="none" w:sz="0" w:space="0" w:color="auto"/>
          </w:divBdr>
          <w:divsChild>
            <w:div w:id="12061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53158">
      <w:bodyDiv w:val="1"/>
      <w:marLeft w:val="0"/>
      <w:marRight w:val="0"/>
      <w:marTop w:val="0"/>
      <w:marBottom w:val="0"/>
      <w:divBdr>
        <w:top w:val="none" w:sz="0" w:space="0" w:color="auto"/>
        <w:left w:val="none" w:sz="0" w:space="0" w:color="auto"/>
        <w:bottom w:val="none" w:sz="0" w:space="0" w:color="auto"/>
        <w:right w:val="none" w:sz="0" w:space="0" w:color="auto"/>
      </w:divBdr>
      <w:divsChild>
        <w:div w:id="1162165288">
          <w:marLeft w:val="0"/>
          <w:marRight w:val="0"/>
          <w:marTop w:val="0"/>
          <w:marBottom w:val="0"/>
          <w:divBdr>
            <w:top w:val="none" w:sz="0" w:space="0" w:color="auto"/>
            <w:left w:val="none" w:sz="0" w:space="0" w:color="auto"/>
            <w:bottom w:val="none" w:sz="0" w:space="0" w:color="auto"/>
            <w:right w:val="none" w:sz="0" w:space="0" w:color="auto"/>
          </w:divBdr>
          <w:divsChild>
            <w:div w:id="9391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25</Pages>
  <Words>9242</Words>
  <Characters>52683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93</cp:revision>
  <dcterms:created xsi:type="dcterms:W3CDTF">2026-01-01T23:15:00Z</dcterms:created>
  <dcterms:modified xsi:type="dcterms:W3CDTF">2026-01-09T10:46:00Z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ef6138e2-e2d4-4b55-9e02-305b615660b7</vt:lpwstr>
  </property>
</Properties>
</file>