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36A69" w14:textId="0AD2DC50" w:rsidR="00754C9A" w:rsidRDefault="00E94892" w:rsidP="00856EBC">
      <w:pPr>
        <w:pStyle w:val="Title"/>
        <w:spacing w:after="0"/>
        <w:jc w:val="both"/>
        <w:rPr>
          <w:rFonts w:ascii="Arial" w:hAnsi="Arial" w:cs="Arial"/>
        </w:rPr>
      </w:pPr>
      <w:r w:rsidRPr="00E94892">
        <w:rPr>
          <w:rFonts w:ascii="Arial" w:hAnsi="Arial" w:cs="Arial"/>
        </w:rPr>
        <w:t>Original Research article</w:t>
      </w:r>
    </w:p>
    <w:p w14:paraId="4B0D4884" w14:textId="77777777" w:rsidR="00E94892" w:rsidRDefault="00E94892" w:rsidP="00856EBC">
      <w:pPr>
        <w:pStyle w:val="Title"/>
        <w:spacing w:after="0"/>
        <w:jc w:val="both"/>
        <w:rPr>
          <w:rFonts w:ascii="Arial" w:hAnsi="Arial" w:cs="Arial"/>
        </w:rPr>
      </w:pPr>
    </w:p>
    <w:p w14:paraId="2045F093" w14:textId="176471E0" w:rsidR="00163BC4" w:rsidRPr="00163BC4" w:rsidRDefault="0041446C" w:rsidP="00856EBC">
      <w:pPr>
        <w:pStyle w:val="Author"/>
        <w:spacing w:line="240" w:lineRule="auto"/>
        <w:rPr>
          <w:rFonts w:ascii="Arial" w:hAnsi="Arial" w:cs="Arial"/>
          <w:bCs/>
          <w:iCs/>
          <w:kern w:val="28"/>
          <w:sz w:val="36"/>
        </w:rPr>
      </w:pPr>
      <w:r w:rsidRPr="0041446C">
        <w:rPr>
          <w:rFonts w:ascii="Arial" w:hAnsi="Arial" w:cs="Arial"/>
          <w:bCs/>
          <w:iCs/>
          <w:kern w:val="28"/>
          <w:sz w:val="36"/>
        </w:rPr>
        <w:t xml:space="preserve">Study on </w:t>
      </w:r>
      <w:r w:rsidR="00066BEF">
        <w:rPr>
          <w:rFonts w:ascii="Arial" w:hAnsi="Arial" w:cs="Arial"/>
          <w:bCs/>
          <w:iCs/>
          <w:kern w:val="28"/>
          <w:sz w:val="36"/>
        </w:rPr>
        <w:t>P</w:t>
      </w:r>
      <w:r w:rsidRPr="0041446C">
        <w:rPr>
          <w:rFonts w:ascii="Arial" w:hAnsi="Arial" w:cs="Arial"/>
          <w:bCs/>
          <w:iCs/>
          <w:kern w:val="28"/>
          <w:sz w:val="36"/>
        </w:rPr>
        <w:t xml:space="preserve">hysical </w:t>
      </w:r>
      <w:r w:rsidR="00066BEF">
        <w:rPr>
          <w:rFonts w:ascii="Arial" w:hAnsi="Arial" w:cs="Arial"/>
          <w:bCs/>
          <w:iCs/>
          <w:kern w:val="28"/>
          <w:sz w:val="36"/>
        </w:rPr>
        <w:t>P</w:t>
      </w:r>
      <w:r w:rsidRPr="0041446C">
        <w:rPr>
          <w:rFonts w:ascii="Arial" w:hAnsi="Arial" w:cs="Arial"/>
          <w:bCs/>
          <w:iCs/>
          <w:kern w:val="28"/>
          <w:sz w:val="36"/>
        </w:rPr>
        <w:t xml:space="preserve">roperties of </w:t>
      </w:r>
      <w:r w:rsidR="00066BEF">
        <w:rPr>
          <w:rFonts w:ascii="Arial" w:hAnsi="Arial" w:cs="Arial"/>
          <w:bCs/>
          <w:iCs/>
          <w:kern w:val="28"/>
          <w:sz w:val="36"/>
        </w:rPr>
        <w:t>G</w:t>
      </w:r>
      <w:r w:rsidRPr="0041446C">
        <w:rPr>
          <w:rFonts w:ascii="Arial" w:hAnsi="Arial" w:cs="Arial"/>
          <w:bCs/>
          <w:iCs/>
          <w:kern w:val="28"/>
          <w:sz w:val="36"/>
        </w:rPr>
        <w:t xml:space="preserve">oat and </w:t>
      </w:r>
      <w:r w:rsidR="00066BEF">
        <w:rPr>
          <w:rFonts w:ascii="Arial" w:hAnsi="Arial" w:cs="Arial"/>
          <w:bCs/>
          <w:iCs/>
          <w:kern w:val="28"/>
          <w:sz w:val="36"/>
        </w:rPr>
        <w:t>C</w:t>
      </w:r>
      <w:r w:rsidRPr="0041446C">
        <w:rPr>
          <w:rFonts w:ascii="Arial" w:hAnsi="Arial" w:cs="Arial"/>
          <w:bCs/>
          <w:iCs/>
          <w:kern w:val="28"/>
          <w:sz w:val="36"/>
        </w:rPr>
        <w:t xml:space="preserve">ow </w:t>
      </w:r>
      <w:r w:rsidR="00066BEF">
        <w:rPr>
          <w:rFonts w:ascii="Arial" w:hAnsi="Arial" w:cs="Arial"/>
          <w:bCs/>
          <w:iCs/>
          <w:kern w:val="28"/>
          <w:sz w:val="36"/>
        </w:rPr>
        <w:t>M</w:t>
      </w:r>
      <w:r w:rsidRPr="0041446C">
        <w:rPr>
          <w:rFonts w:ascii="Arial" w:hAnsi="Arial" w:cs="Arial"/>
          <w:bCs/>
          <w:iCs/>
          <w:kern w:val="28"/>
          <w:sz w:val="36"/>
        </w:rPr>
        <w:t xml:space="preserve">ilk </w:t>
      </w:r>
      <w:r w:rsidR="00066BEF">
        <w:rPr>
          <w:rFonts w:ascii="Arial" w:hAnsi="Arial" w:cs="Arial"/>
          <w:bCs/>
          <w:iCs/>
          <w:kern w:val="28"/>
          <w:sz w:val="36"/>
        </w:rPr>
        <w:t>P</w:t>
      </w:r>
      <w:r w:rsidRPr="0041446C">
        <w:rPr>
          <w:rFonts w:ascii="Arial" w:hAnsi="Arial" w:cs="Arial"/>
          <w:bCs/>
          <w:iCs/>
          <w:kern w:val="28"/>
          <w:sz w:val="36"/>
        </w:rPr>
        <w:t>owder</w:t>
      </w:r>
    </w:p>
    <w:p w14:paraId="362AF43F" w14:textId="77777777" w:rsidR="00A258C3" w:rsidRPr="00790ADA" w:rsidRDefault="00A258C3" w:rsidP="00856EBC">
      <w:pPr>
        <w:pStyle w:val="Author"/>
        <w:spacing w:line="240" w:lineRule="auto"/>
        <w:jc w:val="both"/>
        <w:rPr>
          <w:rFonts w:ascii="Arial" w:hAnsi="Arial" w:cs="Arial"/>
          <w:sz w:val="36"/>
        </w:rPr>
      </w:pPr>
    </w:p>
    <w:p w14:paraId="2A185041" w14:textId="129BF04E" w:rsidR="00827EE2" w:rsidRPr="00FB3A86" w:rsidRDefault="00827EE2" w:rsidP="0014552F">
      <w:pPr>
        <w:pStyle w:val="Copyright"/>
        <w:spacing w:line="240" w:lineRule="auto"/>
        <w:jc w:val="both"/>
        <w:rPr>
          <w:rFonts w:ascii="Arial" w:hAnsi="Arial" w:cs="Arial"/>
        </w:rPr>
        <w:sectPr w:rsidR="00827EE2" w:rsidRPr="00FB3A86" w:rsidSect="000140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bookmarkStart w:id="0" w:name="_GoBack"/>
      <w:bookmarkEnd w:id="0"/>
    </w:p>
    <w:p w14:paraId="01CB88A9" w14:textId="77777777" w:rsidR="00B01FCD" w:rsidRDefault="00B01FCD" w:rsidP="00E80D3A">
      <w:pPr>
        <w:pStyle w:val="AbstHead"/>
        <w:spacing w:before="240" w:after="0"/>
        <w:jc w:val="both"/>
        <w:rPr>
          <w:rFonts w:ascii="Arial" w:hAnsi="Arial" w:cs="Arial"/>
        </w:rPr>
      </w:pPr>
      <w:r w:rsidRPr="00FB3A86">
        <w:rPr>
          <w:rFonts w:ascii="Arial" w:hAnsi="Arial" w:cs="Arial"/>
        </w:rPr>
        <w:t>ABSTRACT</w:t>
      </w:r>
    </w:p>
    <w:p w14:paraId="784673F6" w14:textId="77777777" w:rsidR="00790ADA" w:rsidRPr="00FB3A86" w:rsidRDefault="00790ADA" w:rsidP="00856EB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FB343E9" w14:textId="77777777" w:rsidTr="001E44FE">
        <w:tc>
          <w:tcPr>
            <w:tcW w:w="9576" w:type="dxa"/>
            <w:shd w:val="clear" w:color="auto" w:fill="F2F2F2"/>
          </w:tcPr>
          <w:p w14:paraId="2311749C" w14:textId="2779D70F" w:rsidR="00505F06" w:rsidRPr="00BA1B01" w:rsidRDefault="0041446C" w:rsidP="00685D1E">
            <w:pPr>
              <w:pStyle w:val="Body"/>
              <w:spacing w:after="0" w:line="480" w:lineRule="auto"/>
              <w:rPr>
                <w:rFonts w:ascii="Arial" w:eastAsia="Calibri" w:hAnsi="Arial" w:cs="Arial"/>
                <w:szCs w:val="22"/>
              </w:rPr>
            </w:pPr>
            <w:r w:rsidRPr="0041446C">
              <w:rPr>
                <w:rFonts w:ascii="Arial" w:eastAsia="Calibri" w:hAnsi="Arial" w:cs="Arial"/>
                <w:szCs w:val="22"/>
              </w:rPr>
              <w:t>This study aimed to analyze goat milk powder and cow milk powder for physical properties.</w:t>
            </w:r>
            <w:r w:rsidR="00685D1E">
              <w:rPr>
                <w:rFonts w:ascii="Arial" w:eastAsia="Calibri" w:hAnsi="Arial" w:cs="Arial"/>
                <w:szCs w:val="22"/>
              </w:rPr>
              <w:t xml:space="preserve"> </w:t>
            </w:r>
            <w:r w:rsidR="00225728" w:rsidRPr="00225728">
              <w:rPr>
                <w:rFonts w:ascii="Arial" w:eastAsia="Calibri" w:hAnsi="Arial" w:cs="Arial"/>
                <w:szCs w:val="22"/>
              </w:rPr>
              <w:t>The L* value of COM was observed significantly (</w:t>
            </w:r>
            <w:r w:rsidR="00CB129A">
              <w:rPr>
                <w:rFonts w:ascii="Arial" w:eastAsia="Calibri" w:hAnsi="Arial" w:cs="Arial"/>
                <w:szCs w:val="22"/>
              </w:rPr>
              <w:t>P&lt;</w:t>
            </w:r>
            <w:r w:rsidR="00225728" w:rsidRPr="00225728">
              <w:rPr>
                <w:rFonts w:ascii="Arial" w:eastAsia="Calibri" w:hAnsi="Arial" w:cs="Arial"/>
                <w:szCs w:val="22"/>
              </w:rPr>
              <w:t>0.05) lower than the GMP1 and GMP2. An average a* value was varied from -3.25 to -3.90 in powder samples. The b* value of COM was found significantly (</w:t>
            </w:r>
            <w:r w:rsidR="00CB129A">
              <w:rPr>
                <w:rFonts w:ascii="Arial" w:eastAsia="Calibri" w:hAnsi="Arial" w:cs="Arial"/>
                <w:szCs w:val="22"/>
              </w:rPr>
              <w:t>P&lt;</w:t>
            </w:r>
            <w:r w:rsidR="00225728" w:rsidRPr="00225728">
              <w:rPr>
                <w:rFonts w:ascii="Arial" w:eastAsia="Calibri" w:hAnsi="Arial" w:cs="Arial"/>
                <w:szCs w:val="22"/>
              </w:rPr>
              <w:t>0.05) higher. Lower browning index was found in both goat milk powders. The yellowness index of GMP1 and GMP2 was found significantly lower than COM. The insolubility index of COM was found highest. The average surface free fat of 18.25, 29.60 and 30.26 found in GMP1, GMP2 and COM respectively. Bulk density of powder samples varied from 0.39 to 0.49 g/ml. The loose bulk density of COM was observed significantly (</w:t>
            </w:r>
            <w:r w:rsidR="00CB129A">
              <w:rPr>
                <w:rFonts w:ascii="Arial" w:eastAsia="Calibri" w:hAnsi="Arial" w:cs="Arial"/>
                <w:szCs w:val="22"/>
              </w:rPr>
              <w:t>P&lt;</w:t>
            </w:r>
            <w:r w:rsidR="00225728" w:rsidRPr="00225728">
              <w:rPr>
                <w:rFonts w:ascii="Arial" w:eastAsia="Calibri" w:hAnsi="Arial" w:cs="Arial"/>
                <w:szCs w:val="22"/>
              </w:rPr>
              <w:t>0.05) higher than GMP1 and GMP2. Flowability was observed better in COM. The wettability of all the powder samples</w:t>
            </w:r>
            <w:r w:rsidR="00A31BC0">
              <w:rPr>
                <w:rFonts w:ascii="Arial" w:eastAsia="Calibri" w:hAnsi="Arial" w:cs="Arial"/>
                <w:szCs w:val="22"/>
              </w:rPr>
              <w:t xml:space="preserve"> was observed more than 30 min.</w:t>
            </w:r>
          </w:p>
        </w:tc>
      </w:tr>
    </w:tbl>
    <w:p w14:paraId="1DAD140D" w14:textId="1613C5E5" w:rsidR="00505F06" w:rsidRPr="00A24E7E" w:rsidRDefault="00225728" w:rsidP="00E80D3A">
      <w:pPr>
        <w:pStyle w:val="Body"/>
        <w:spacing w:before="240"/>
        <w:rPr>
          <w:rFonts w:ascii="Arial" w:hAnsi="Arial" w:cs="Arial"/>
          <w:i/>
        </w:rPr>
      </w:pPr>
      <w:r>
        <w:rPr>
          <w:rFonts w:ascii="Arial" w:hAnsi="Arial" w:cs="Arial"/>
          <w:i/>
        </w:rPr>
        <w:t xml:space="preserve">Keywords: </w:t>
      </w:r>
      <w:r w:rsidRPr="00225728">
        <w:rPr>
          <w:rFonts w:ascii="Arial" w:hAnsi="Arial" w:cs="Arial"/>
          <w:i/>
        </w:rPr>
        <w:t xml:space="preserve">Goat milk powder, Insolubility index, Bulk </w:t>
      </w:r>
      <w:proofErr w:type="spellStart"/>
      <w:r w:rsidRPr="00225728">
        <w:rPr>
          <w:rFonts w:ascii="Arial" w:hAnsi="Arial" w:cs="Arial"/>
          <w:i/>
        </w:rPr>
        <w:t>demsity</w:t>
      </w:r>
      <w:proofErr w:type="spellEnd"/>
      <w:r w:rsidRPr="00225728">
        <w:rPr>
          <w:rFonts w:ascii="Arial" w:hAnsi="Arial" w:cs="Arial"/>
          <w:i/>
        </w:rPr>
        <w:t xml:space="preserve">, </w:t>
      </w:r>
      <w:proofErr w:type="spellStart"/>
      <w:r w:rsidRPr="00225728">
        <w:rPr>
          <w:rFonts w:ascii="Arial" w:hAnsi="Arial" w:cs="Arial"/>
          <w:i/>
        </w:rPr>
        <w:t>Hausner’s</w:t>
      </w:r>
      <w:proofErr w:type="spellEnd"/>
      <w:r w:rsidRPr="00225728">
        <w:rPr>
          <w:rFonts w:ascii="Arial" w:hAnsi="Arial" w:cs="Arial"/>
          <w:i/>
        </w:rPr>
        <w:t xml:space="preserve"> ratio, </w:t>
      </w:r>
      <w:proofErr w:type="spellStart"/>
      <w:r w:rsidRPr="00225728">
        <w:rPr>
          <w:rFonts w:ascii="Arial" w:hAnsi="Arial" w:cs="Arial"/>
          <w:i/>
        </w:rPr>
        <w:t>Carr’s</w:t>
      </w:r>
      <w:proofErr w:type="spellEnd"/>
      <w:r w:rsidRPr="00225728">
        <w:rPr>
          <w:rFonts w:ascii="Arial" w:hAnsi="Arial" w:cs="Arial"/>
          <w:i/>
        </w:rPr>
        <w:t xml:space="preserve"> index.</w:t>
      </w:r>
    </w:p>
    <w:p w14:paraId="1D5A30B3" w14:textId="18E9E3F8" w:rsidR="00F23A18" w:rsidRDefault="00902823" w:rsidP="00E80D3A">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280B1394" w14:textId="77777777" w:rsidR="00F23A18" w:rsidRDefault="00F23A18" w:rsidP="00685D1E">
      <w:pPr>
        <w:pStyle w:val="Body"/>
        <w:spacing w:after="0" w:line="480" w:lineRule="auto"/>
        <w:rPr>
          <w:rFonts w:ascii="Arial" w:eastAsia="Calibri" w:hAnsi="Arial" w:cs="Arial"/>
          <w:szCs w:val="22"/>
        </w:rPr>
      </w:pPr>
      <w:r w:rsidRPr="00F23A18">
        <w:rPr>
          <w:rFonts w:ascii="Arial" w:eastAsia="Calibri" w:hAnsi="Arial" w:cs="Arial"/>
          <w:szCs w:val="22"/>
        </w:rPr>
        <w:t xml:space="preserve">Goats produce about 2% milk of the world’s total annual milk production. Goat milk have different nutritional properties than cow milk as high </w:t>
      </w:r>
      <w:proofErr w:type="gramStart"/>
      <w:r w:rsidRPr="00F23A18">
        <w:rPr>
          <w:rFonts w:ascii="Arial" w:eastAsia="Calibri" w:hAnsi="Arial" w:cs="Arial"/>
          <w:szCs w:val="22"/>
        </w:rPr>
        <w:t>amount</w:t>
      </w:r>
      <w:proofErr w:type="gramEnd"/>
      <w:r w:rsidRPr="00F23A18">
        <w:rPr>
          <w:rFonts w:ascii="Arial" w:eastAsia="Calibri" w:hAnsi="Arial" w:cs="Arial"/>
          <w:szCs w:val="22"/>
        </w:rPr>
        <w:t xml:space="preserve"> of calories, protein, and lipids. In goat milk minerals like magnesium, potassium, calcium, phosphorus, and vitamin A are also found abundant (</w:t>
      </w:r>
      <w:proofErr w:type="spellStart"/>
      <w:r w:rsidRPr="00F23A18">
        <w:rPr>
          <w:rFonts w:ascii="Arial" w:eastAsia="Calibri" w:hAnsi="Arial" w:cs="Arial"/>
          <w:szCs w:val="22"/>
        </w:rPr>
        <w:t>Saikia</w:t>
      </w:r>
      <w:proofErr w:type="spellEnd"/>
      <w:r w:rsidRPr="00F23A18">
        <w:rPr>
          <w:rFonts w:ascii="Arial" w:eastAsia="Calibri" w:hAnsi="Arial" w:cs="Arial"/>
          <w:szCs w:val="22"/>
        </w:rPr>
        <w:t>, 2022). Goat milk and milk products of it powder, cheese and yoghurt have significant role in human nutrition. These goat milk products can be used for malnourished people, treating people afflicted with cow milk allergies and gastro-intestinal disorders (</w:t>
      </w:r>
      <w:proofErr w:type="spellStart"/>
      <w:r w:rsidRPr="00F23A18">
        <w:rPr>
          <w:rFonts w:ascii="Arial" w:eastAsia="Calibri" w:hAnsi="Arial" w:cs="Arial"/>
          <w:szCs w:val="22"/>
        </w:rPr>
        <w:t>Haenlein</w:t>
      </w:r>
      <w:proofErr w:type="spellEnd"/>
      <w:r w:rsidRPr="00F23A18">
        <w:rPr>
          <w:rFonts w:ascii="Arial" w:eastAsia="Calibri" w:hAnsi="Arial" w:cs="Arial"/>
          <w:szCs w:val="22"/>
        </w:rPr>
        <w:t xml:space="preserve">, 2004). </w:t>
      </w:r>
    </w:p>
    <w:p w14:paraId="4BFAD25B" w14:textId="77777777" w:rsidR="00F23A18" w:rsidRPr="00F23A18" w:rsidRDefault="00F23A18" w:rsidP="00685D1E">
      <w:pPr>
        <w:pStyle w:val="Body"/>
        <w:spacing w:after="0" w:line="480" w:lineRule="auto"/>
        <w:rPr>
          <w:rFonts w:ascii="Arial" w:eastAsia="Calibri" w:hAnsi="Arial" w:cs="Arial"/>
          <w:szCs w:val="22"/>
        </w:rPr>
      </w:pPr>
      <w:r w:rsidRPr="00F23A18">
        <w:rPr>
          <w:rFonts w:ascii="Arial" w:eastAsia="Calibri" w:hAnsi="Arial" w:cs="Arial"/>
          <w:szCs w:val="22"/>
        </w:rPr>
        <w:t xml:space="preserve">Physical properties of milk powder are important for the final steps of the drying process as well as for further use of it. The chemical composition and their physical properties are the </w:t>
      </w:r>
      <w:r w:rsidRPr="00F23A18">
        <w:rPr>
          <w:rFonts w:ascii="Arial" w:eastAsia="Calibri" w:hAnsi="Arial" w:cs="Arial"/>
          <w:szCs w:val="22"/>
        </w:rPr>
        <w:lastRenderedPageBreak/>
        <w:t xml:space="preserve">basic quality indicators of milk powders. The variation in the milk powders properties comes from the raw material, drying methods and the numerous chemical reactions that could happen during storage because of the temperature, relative humidity and time (Pugliese et al., 2017). </w:t>
      </w:r>
    </w:p>
    <w:p w14:paraId="7064D2BC" w14:textId="77777777" w:rsidR="00F23A18" w:rsidRPr="00F23A18" w:rsidRDefault="00F23A18" w:rsidP="00685D1E">
      <w:pPr>
        <w:pStyle w:val="Body"/>
        <w:spacing w:after="0" w:line="480" w:lineRule="auto"/>
        <w:rPr>
          <w:rFonts w:ascii="Arial" w:eastAsia="Calibri" w:hAnsi="Arial" w:cs="Arial"/>
          <w:szCs w:val="22"/>
        </w:rPr>
      </w:pP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of milk powders have very important impact on acceptability by consumer as well as for products formulation. The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of powdered milk products may be influenced by the technological parameters used during production in turn responsible for the formation of Maillard reactions compounds, which commonly occurs in thermally processed milk between proteins and reducing sugars. The L* value denotes sample luminance, which ranges from black to white. The negative a* value indicates green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and positive value indicates red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The positive b* value represents yellow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and negative values to blue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The b* value is measured as a valuable indicator of Maillard reaction as the typical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change due to Maillard reaction. The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changes in milk powder also affected by the free radicals produced by lactose crystallization which can start lipid oxidation. The browning index also rises as drying times and evaporation rates increase. Chroma refers to the strength or saturation of a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that describes the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intensity (Thomsen et al., 2005; Le et al., 2011; Pugliese et al., 2017; Oliveira et al., 2020). </w:t>
      </w:r>
    </w:p>
    <w:p w14:paraId="66F562CA" w14:textId="77777777" w:rsidR="00F23A18" w:rsidRPr="00F23A18" w:rsidRDefault="00F23A18" w:rsidP="00685D1E">
      <w:pPr>
        <w:pStyle w:val="Body"/>
        <w:spacing w:after="0" w:line="480" w:lineRule="auto"/>
        <w:rPr>
          <w:rFonts w:ascii="Arial" w:eastAsia="Calibri" w:hAnsi="Arial" w:cs="Arial"/>
          <w:szCs w:val="22"/>
        </w:rPr>
      </w:pPr>
      <w:r w:rsidRPr="00F23A18">
        <w:rPr>
          <w:rFonts w:ascii="Arial" w:eastAsia="Calibri" w:hAnsi="Arial" w:cs="Arial"/>
          <w:szCs w:val="22"/>
        </w:rPr>
        <w:t>Water is the critical component influencing the degree of food deterioration due to chemical and micr</w:t>
      </w:r>
      <w:r w:rsidR="00501EC2">
        <w:rPr>
          <w:rFonts w:ascii="Arial" w:eastAsia="Calibri" w:hAnsi="Arial" w:cs="Arial"/>
          <w:szCs w:val="22"/>
        </w:rPr>
        <w:t>obial factors. Water activity (a</w:t>
      </w:r>
      <w:r w:rsidRPr="00501EC2">
        <w:rPr>
          <w:rFonts w:ascii="Arial" w:eastAsia="Calibri" w:hAnsi="Arial" w:cs="Arial"/>
          <w:szCs w:val="22"/>
          <w:vertAlign w:val="subscript"/>
        </w:rPr>
        <w:t>w</w:t>
      </w:r>
      <w:r w:rsidRPr="00F23A18">
        <w:rPr>
          <w:rFonts w:ascii="Arial" w:eastAsia="Calibri" w:hAnsi="Arial" w:cs="Arial"/>
          <w:szCs w:val="22"/>
        </w:rPr>
        <w:t>) is the phenomenon used in food preservation, food supply and intermediate moisture foods. The solubility of the powder decreases due to the hydrophobic nature of fats when it is present on the surface matrix of the powder. The milk fat which is not generally fully protected by a membrane which appears in the surface of milk powder define as surface free fat. It was anticipated that the fat at the surface of milk powders made from aerated feed concentrates would be smaller compared to powders made from unaerated feed concentrates (Davis et al., 2017; Nascimento et al., 2019; Sulieman et al., 2014).</w:t>
      </w:r>
    </w:p>
    <w:p w14:paraId="6EDBE02F" w14:textId="77777777" w:rsidR="00F23A18" w:rsidRPr="00F23A18" w:rsidRDefault="00F23A18" w:rsidP="00685D1E">
      <w:pPr>
        <w:pStyle w:val="Body"/>
        <w:spacing w:after="0" w:line="480" w:lineRule="auto"/>
        <w:rPr>
          <w:rFonts w:ascii="Arial" w:eastAsia="Calibri" w:hAnsi="Arial" w:cs="Arial"/>
          <w:szCs w:val="22"/>
        </w:rPr>
      </w:pPr>
      <w:r w:rsidRPr="00F23A18">
        <w:rPr>
          <w:rFonts w:ascii="Arial" w:eastAsia="Calibri" w:hAnsi="Arial" w:cs="Arial"/>
          <w:szCs w:val="22"/>
        </w:rPr>
        <w:t xml:space="preserve">Properties such as tapped bulk density, loose bulk density and their ratios such as </w:t>
      </w:r>
      <w:proofErr w:type="spellStart"/>
      <w:r w:rsidRPr="00F23A18">
        <w:rPr>
          <w:rFonts w:ascii="Arial" w:eastAsia="Calibri" w:hAnsi="Arial" w:cs="Arial"/>
          <w:szCs w:val="22"/>
        </w:rPr>
        <w:t>Hausner</w:t>
      </w:r>
      <w:proofErr w:type="spellEnd"/>
      <w:r w:rsidRPr="00F23A18">
        <w:rPr>
          <w:rFonts w:ascii="Arial" w:eastAsia="Calibri" w:hAnsi="Arial" w:cs="Arial"/>
          <w:szCs w:val="22"/>
        </w:rPr>
        <w:t xml:space="preserve"> Ratio and </w:t>
      </w:r>
      <w:proofErr w:type="spellStart"/>
      <w:r w:rsidRPr="00F23A18">
        <w:rPr>
          <w:rFonts w:ascii="Arial" w:eastAsia="Calibri" w:hAnsi="Arial" w:cs="Arial"/>
          <w:szCs w:val="22"/>
        </w:rPr>
        <w:t>Carr’s</w:t>
      </w:r>
      <w:proofErr w:type="spellEnd"/>
      <w:r w:rsidRPr="00F23A18">
        <w:rPr>
          <w:rFonts w:ascii="Arial" w:eastAsia="Calibri" w:hAnsi="Arial" w:cs="Arial"/>
          <w:szCs w:val="22"/>
        </w:rPr>
        <w:t xml:space="preserve"> index have been used as qualitative descriptors of the milk powders </w:t>
      </w:r>
      <w:r w:rsidRPr="00F23A18">
        <w:rPr>
          <w:rFonts w:ascii="Arial" w:eastAsia="Calibri" w:hAnsi="Arial" w:cs="Arial"/>
          <w:szCs w:val="22"/>
        </w:rPr>
        <w:lastRenderedPageBreak/>
        <w:t xml:space="preserve">flowability. Bulk density is a very important property for the economy, functionality and market requirements point of view. The loose bulk density measurement is necessary for the air included in the particles and the interstitial air between particles in the milk powder. The </w:t>
      </w:r>
      <w:proofErr w:type="spellStart"/>
      <w:r w:rsidRPr="00F23A18">
        <w:rPr>
          <w:rFonts w:ascii="Arial" w:eastAsia="Calibri" w:hAnsi="Arial" w:cs="Arial"/>
          <w:szCs w:val="22"/>
        </w:rPr>
        <w:t>Hausner</w:t>
      </w:r>
      <w:proofErr w:type="spellEnd"/>
      <w:r w:rsidRPr="00F23A18">
        <w:rPr>
          <w:rFonts w:ascii="Arial" w:eastAsia="Calibri" w:hAnsi="Arial" w:cs="Arial"/>
          <w:szCs w:val="22"/>
        </w:rPr>
        <w:t xml:space="preserve"> ratio, that is an indicator of the cohesion of the milk powder particles, inversely related with the size of the particles. The </w:t>
      </w:r>
      <w:proofErr w:type="spellStart"/>
      <w:r w:rsidRPr="00F23A18">
        <w:rPr>
          <w:rFonts w:ascii="Arial" w:eastAsia="Calibri" w:hAnsi="Arial" w:cs="Arial"/>
          <w:szCs w:val="22"/>
        </w:rPr>
        <w:t>Carr’s</w:t>
      </w:r>
      <w:proofErr w:type="spellEnd"/>
      <w:r w:rsidRPr="00F23A18">
        <w:rPr>
          <w:rFonts w:ascii="Arial" w:eastAsia="Calibri" w:hAnsi="Arial" w:cs="Arial"/>
          <w:szCs w:val="22"/>
        </w:rPr>
        <w:t xml:space="preserve"> index also known as compressibility index is measures the cohesiveness of milk powder as well as the ability to reduce the volume of a powder by tapping. The surface fat composition influences the flowability of whole milk powder (Kim et al., 2005; </w:t>
      </w:r>
      <w:proofErr w:type="spellStart"/>
      <w:r w:rsidRPr="00F23A18">
        <w:rPr>
          <w:rFonts w:ascii="Arial" w:eastAsia="Calibri" w:hAnsi="Arial" w:cs="Arial"/>
          <w:szCs w:val="22"/>
        </w:rPr>
        <w:t>Walstra</w:t>
      </w:r>
      <w:proofErr w:type="spellEnd"/>
      <w:r w:rsidRPr="00F23A18">
        <w:rPr>
          <w:rFonts w:ascii="Arial" w:eastAsia="Calibri" w:hAnsi="Arial" w:cs="Arial"/>
          <w:szCs w:val="22"/>
        </w:rPr>
        <w:t xml:space="preserve"> et al., 2005; </w:t>
      </w:r>
      <w:proofErr w:type="spellStart"/>
      <w:r w:rsidRPr="00F23A18">
        <w:rPr>
          <w:rFonts w:ascii="Arial" w:eastAsia="Calibri" w:hAnsi="Arial" w:cs="Arial"/>
          <w:szCs w:val="22"/>
        </w:rPr>
        <w:t>Ilari</w:t>
      </w:r>
      <w:proofErr w:type="spellEnd"/>
      <w:r w:rsidRPr="00F23A18">
        <w:rPr>
          <w:rFonts w:ascii="Arial" w:eastAsia="Calibri" w:hAnsi="Arial" w:cs="Arial"/>
          <w:szCs w:val="22"/>
        </w:rPr>
        <w:t xml:space="preserve"> and </w:t>
      </w:r>
      <w:proofErr w:type="spellStart"/>
      <w:r w:rsidRPr="00F23A18">
        <w:rPr>
          <w:rFonts w:ascii="Arial" w:eastAsia="Calibri" w:hAnsi="Arial" w:cs="Arial"/>
          <w:szCs w:val="22"/>
        </w:rPr>
        <w:t>Mekkaoui</w:t>
      </w:r>
      <w:proofErr w:type="spellEnd"/>
      <w:r w:rsidRPr="00F23A18">
        <w:rPr>
          <w:rFonts w:ascii="Arial" w:eastAsia="Calibri" w:hAnsi="Arial" w:cs="Arial"/>
          <w:szCs w:val="22"/>
        </w:rPr>
        <w:t xml:space="preserve"> 2005; European Pharmacopoeia, 2011). </w:t>
      </w:r>
    </w:p>
    <w:p w14:paraId="04344E22" w14:textId="77777777" w:rsidR="00F23A18" w:rsidRPr="00F23A18" w:rsidRDefault="00F23A18" w:rsidP="00685D1E">
      <w:pPr>
        <w:pStyle w:val="Body"/>
        <w:spacing w:after="0" w:line="480" w:lineRule="auto"/>
        <w:rPr>
          <w:rFonts w:ascii="Arial" w:eastAsia="Calibri" w:hAnsi="Arial" w:cs="Arial"/>
          <w:szCs w:val="22"/>
        </w:rPr>
      </w:pPr>
      <w:r w:rsidRPr="00F23A18">
        <w:rPr>
          <w:rFonts w:ascii="Arial" w:eastAsia="Calibri" w:hAnsi="Arial" w:cs="Arial"/>
          <w:szCs w:val="22"/>
        </w:rPr>
        <w:t xml:space="preserve">The phenomenon of wetting and absorbing water at a particular temperature is called wettability. The larger particle size with porous </w:t>
      </w:r>
      <w:proofErr w:type="spellStart"/>
      <w:r w:rsidRPr="00F23A18">
        <w:rPr>
          <w:rFonts w:ascii="Arial" w:eastAsia="Calibri" w:hAnsi="Arial" w:cs="Arial"/>
          <w:szCs w:val="22"/>
        </w:rPr>
        <w:t>favour</w:t>
      </w:r>
      <w:proofErr w:type="spellEnd"/>
      <w:r w:rsidRPr="00F23A18">
        <w:rPr>
          <w:rFonts w:ascii="Arial" w:eastAsia="Calibri" w:hAnsi="Arial" w:cs="Arial"/>
          <w:szCs w:val="22"/>
        </w:rPr>
        <w:t xml:space="preserve"> fast wetting. It is the capillary action into the powder when the water gets penetrated it. The wettability of goat milk powder is affected by the amount of free fat. The presence of some insoluble material in milk powders in reconstituted milk is known as insolubility index. The insolubility index is expressed as the volume of sediment in ml (GEA, 2006; Reddy et al., 2014).</w:t>
      </w:r>
    </w:p>
    <w:p w14:paraId="32300AE5" w14:textId="5D400137" w:rsidR="00856EBC" w:rsidRPr="00F23A18" w:rsidRDefault="00F23A18" w:rsidP="00E80D3A">
      <w:pPr>
        <w:pStyle w:val="Body"/>
        <w:spacing w:after="0" w:line="480" w:lineRule="auto"/>
        <w:rPr>
          <w:rFonts w:ascii="Arial" w:eastAsia="Calibri" w:hAnsi="Arial" w:cs="Arial"/>
          <w:szCs w:val="22"/>
        </w:rPr>
      </w:pPr>
      <w:r w:rsidRPr="00F23A18">
        <w:rPr>
          <w:rFonts w:ascii="Arial" w:eastAsia="Calibri" w:hAnsi="Arial" w:cs="Arial"/>
          <w:szCs w:val="22"/>
        </w:rPr>
        <w:t xml:space="preserve">The occluded air also called as entrapped air, is one of the most important factors for controlling bulk density which present inside milk powder particle as bubbles. Its volume is usually expressed in ml/100 g powder. The difference between the volume of a particular mass of particles and the volume of a similar quantity of air-free solids is known as occluded air. Some factors which affect the occluded air are an incorporation of air into the feed, atomizers and properties of the feed (GEA, 2006; </w:t>
      </w:r>
      <w:proofErr w:type="spellStart"/>
      <w:r w:rsidRPr="00F23A18">
        <w:rPr>
          <w:rFonts w:ascii="Arial" w:eastAsia="Calibri" w:hAnsi="Arial" w:cs="Arial"/>
          <w:szCs w:val="22"/>
        </w:rPr>
        <w:t>Fournaise</w:t>
      </w:r>
      <w:proofErr w:type="spellEnd"/>
      <w:r w:rsidRPr="00F23A18">
        <w:rPr>
          <w:rFonts w:ascii="Arial" w:eastAsia="Calibri" w:hAnsi="Arial" w:cs="Arial"/>
          <w:szCs w:val="22"/>
        </w:rPr>
        <w:t xml:space="preserve"> et al., 2020). </w:t>
      </w:r>
    </w:p>
    <w:p w14:paraId="781EC0E4" w14:textId="77777777" w:rsidR="00C44A4F" w:rsidRPr="00856EBC" w:rsidRDefault="00856EBC" w:rsidP="00856EBC">
      <w:pPr>
        <w:tabs>
          <w:tab w:val="left" w:pos="1080"/>
        </w:tabs>
        <w:jc w:val="both"/>
        <w:rPr>
          <w:rFonts w:ascii="Arial" w:hAnsi="Arial"/>
          <w:b/>
        </w:rPr>
      </w:pPr>
      <w:r>
        <w:rPr>
          <w:rFonts w:ascii="Arial" w:hAnsi="Arial"/>
          <w:b/>
        </w:rPr>
        <w:t>Table 1.</w:t>
      </w:r>
      <w:r>
        <w:rPr>
          <w:rFonts w:ascii="Arial" w:hAnsi="Arial"/>
          <w:b/>
        </w:rPr>
        <w:tab/>
      </w:r>
      <w:r w:rsidR="00F23A18" w:rsidRPr="00856EBC">
        <w:rPr>
          <w:rFonts w:ascii="Arial" w:hAnsi="Arial"/>
          <w:b/>
        </w:rPr>
        <w:t xml:space="preserve">Specification for </w:t>
      </w:r>
      <w:proofErr w:type="spellStart"/>
      <w:r w:rsidR="00F23A18" w:rsidRPr="00856EBC">
        <w:rPr>
          <w:rFonts w:ascii="Arial" w:hAnsi="Arial"/>
          <w:b/>
        </w:rPr>
        <w:t>carr’s</w:t>
      </w:r>
      <w:proofErr w:type="spellEnd"/>
      <w:r w:rsidR="00F23A18" w:rsidRPr="00856EBC">
        <w:rPr>
          <w:rFonts w:ascii="Arial" w:hAnsi="Arial"/>
          <w:b/>
        </w:rPr>
        <w:t xml:space="preserve"> index and </w:t>
      </w:r>
      <w:proofErr w:type="spellStart"/>
      <w:r w:rsidR="00F23A18" w:rsidRPr="00856EBC">
        <w:rPr>
          <w:rFonts w:ascii="Arial" w:hAnsi="Arial"/>
          <w:b/>
        </w:rPr>
        <w:t>Hausner</w:t>
      </w:r>
      <w:proofErr w:type="spellEnd"/>
      <w:r w:rsidR="00F23A18" w:rsidRPr="00856EBC">
        <w:rPr>
          <w:rFonts w:ascii="Arial" w:hAnsi="Arial"/>
          <w:b/>
        </w:rPr>
        <w:t xml:space="preserve"> rati</w:t>
      </w:r>
      <w:r w:rsidR="00C44A4F">
        <w:rPr>
          <w:rFonts w:ascii="Arial" w:hAnsi="Arial"/>
          <w:b/>
        </w:rPr>
        <w:t>o (European Pharmacopoeia, 7.1th</w:t>
      </w:r>
      <w:r w:rsidR="00F23A18" w:rsidRPr="00856EBC">
        <w:rPr>
          <w:rFonts w:ascii="Arial" w:hAnsi="Arial"/>
          <w:b/>
        </w:rPr>
        <w:t xml:space="preserve"> ed., Council of Europe, Strasbourg, 2011)</w:t>
      </w:r>
    </w:p>
    <w:tbl>
      <w:tblPr>
        <w:tblStyle w:val="TableGrid"/>
        <w:tblpPr w:leftFromText="180" w:rightFromText="180" w:vertAnchor="text" w:horzAnchor="margin" w:tblpXSpec="center" w:tblpY="210"/>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20" w:firstRow="1" w:lastRow="0" w:firstColumn="0" w:lastColumn="0" w:noHBand="0" w:noVBand="1"/>
      </w:tblPr>
      <w:tblGrid>
        <w:gridCol w:w="2433"/>
        <w:gridCol w:w="2758"/>
        <w:gridCol w:w="3017"/>
      </w:tblGrid>
      <w:tr w:rsidR="00F23A18" w:rsidRPr="00AC596C" w14:paraId="492FA074" w14:textId="77777777" w:rsidTr="00685D1E">
        <w:trPr>
          <w:trHeight w:val="274"/>
        </w:trPr>
        <w:tc>
          <w:tcPr>
            <w:tcW w:w="1482" w:type="pct"/>
            <w:tcBorders>
              <w:top w:val="single" w:sz="4" w:space="0" w:color="auto"/>
              <w:bottom w:val="single" w:sz="4" w:space="0" w:color="auto"/>
            </w:tcBorders>
            <w:vAlign w:val="center"/>
            <w:hideMark/>
          </w:tcPr>
          <w:p w14:paraId="4EDAD287" w14:textId="77777777" w:rsidR="00F23A18" w:rsidRPr="00AC596C" w:rsidRDefault="00F23A18" w:rsidP="00685D1E">
            <w:pPr>
              <w:pStyle w:val="Default"/>
              <w:spacing w:line="360" w:lineRule="auto"/>
              <w:jc w:val="center"/>
              <w:rPr>
                <w:rFonts w:ascii="Arial" w:hAnsi="Arial" w:cs="Arial"/>
                <w:b/>
                <w:bCs/>
                <w:color w:val="auto"/>
                <w:sz w:val="20"/>
                <w:szCs w:val="20"/>
              </w:rPr>
            </w:pPr>
            <w:r w:rsidRPr="00AC596C">
              <w:rPr>
                <w:rFonts w:ascii="Arial" w:hAnsi="Arial" w:cs="Arial"/>
                <w:b/>
                <w:bCs/>
                <w:color w:val="auto"/>
                <w:sz w:val="20"/>
                <w:szCs w:val="20"/>
              </w:rPr>
              <w:t>Flowability</w:t>
            </w:r>
          </w:p>
        </w:tc>
        <w:tc>
          <w:tcPr>
            <w:tcW w:w="1680" w:type="pct"/>
            <w:tcBorders>
              <w:top w:val="single" w:sz="4" w:space="0" w:color="auto"/>
              <w:bottom w:val="single" w:sz="4" w:space="0" w:color="auto"/>
            </w:tcBorders>
            <w:vAlign w:val="center"/>
            <w:hideMark/>
          </w:tcPr>
          <w:p w14:paraId="3BCB6DDE" w14:textId="77777777" w:rsidR="00F23A18" w:rsidRPr="00AC596C" w:rsidRDefault="00F23A18" w:rsidP="00685D1E">
            <w:pPr>
              <w:pStyle w:val="Default"/>
              <w:spacing w:line="360" w:lineRule="auto"/>
              <w:jc w:val="center"/>
              <w:rPr>
                <w:rFonts w:ascii="Arial" w:hAnsi="Arial" w:cs="Arial"/>
                <w:b/>
                <w:bCs/>
                <w:color w:val="auto"/>
                <w:sz w:val="20"/>
                <w:szCs w:val="20"/>
              </w:rPr>
            </w:pPr>
            <w:proofErr w:type="spellStart"/>
            <w:r w:rsidRPr="00AC596C">
              <w:rPr>
                <w:rFonts w:ascii="Arial" w:hAnsi="Arial" w:cs="Arial"/>
                <w:b/>
                <w:bCs/>
                <w:color w:val="auto"/>
                <w:sz w:val="20"/>
                <w:szCs w:val="20"/>
              </w:rPr>
              <w:t>Carr’s</w:t>
            </w:r>
            <w:proofErr w:type="spellEnd"/>
            <w:r w:rsidRPr="00AC596C">
              <w:rPr>
                <w:rFonts w:ascii="Arial" w:hAnsi="Arial" w:cs="Arial"/>
                <w:b/>
                <w:bCs/>
                <w:color w:val="auto"/>
                <w:sz w:val="20"/>
                <w:szCs w:val="20"/>
              </w:rPr>
              <w:t xml:space="preserve"> index (%)</w:t>
            </w:r>
          </w:p>
        </w:tc>
        <w:tc>
          <w:tcPr>
            <w:tcW w:w="1839" w:type="pct"/>
            <w:tcBorders>
              <w:top w:val="single" w:sz="4" w:space="0" w:color="auto"/>
              <w:bottom w:val="single" w:sz="4" w:space="0" w:color="auto"/>
            </w:tcBorders>
            <w:vAlign w:val="center"/>
            <w:hideMark/>
          </w:tcPr>
          <w:p w14:paraId="0642BBE9" w14:textId="77777777" w:rsidR="00F23A18" w:rsidRPr="00AC596C" w:rsidRDefault="00F23A18" w:rsidP="00685D1E">
            <w:pPr>
              <w:pStyle w:val="Default"/>
              <w:spacing w:line="360" w:lineRule="auto"/>
              <w:jc w:val="center"/>
              <w:rPr>
                <w:rFonts w:ascii="Arial" w:hAnsi="Arial" w:cs="Arial"/>
                <w:b/>
                <w:bCs/>
                <w:color w:val="auto"/>
                <w:sz w:val="20"/>
                <w:szCs w:val="20"/>
              </w:rPr>
            </w:pPr>
            <w:proofErr w:type="spellStart"/>
            <w:r w:rsidRPr="00AC596C">
              <w:rPr>
                <w:rFonts w:ascii="Arial" w:hAnsi="Arial" w:cs="Arial"/>
                <w:b/>
                <w:bCs/>
                <w:color w:val="auto"/>
                <w:sz w:val="20"/>
                <w:szCs w:val="20"/>
              </w:rPr>
              <w:t>Hausner</w:t>
            </w:r>
            <w:proofErr w:type="spellEnd"/>
            <w:r w:rsidRPr="00AC596C">
              <w:rPr>
                <w:rFonts w:ascii="Arial" w:hAnsi="Arial" w:cs="Arial"/>
                <w:b/>
                <w:bCs/>
                <w:color w:val="auto"/>
                <w:sz w:val="20"/>
                <w:szCs w:val="20"/>
              </w:rPr>
              <w:t xml:space="preserve"> ratio (</w:t>
            </w:r>
            <w:r w:rsidRPr="00AC596C">
              <w:rPr>
                <w:rFonts w:ascii="Arial" w:hAnsi="Arial" w:cs="Arial"/>
                <w:b/>
                <w:bCs/>
                <w:i/>
                <w:color w:val="auto"/>
                <w:sz w:val="20"/>
                <w:szCs w:val="20"/>
              </w:rPr>
              <w:t>H</w:t>
            </w:r>
            <w:r w:rsidRPr="00AC596C">
              <w:rPr>
                <w:rFonts w:ascii="Arial" w:hAnsi="Arial" w:cs="Arial"/>
                <w:b/>
                <w:bCs/>
                <w:i/>
                <w:color w:val="auto"/>
                <w:sz w:val="20"/>
                <w:szCs w:val="20"/>
                <w:vertAlign w:val="subscript"/>
              </w:rPr>
              <w:t>R</w:t>
            </w:r>
            <w:r w:rsidRPr="00AC596C">
              <w:rPr>
                <w:rFonts w:ascii="Arial" w:hAnsi="Arial" w:cs="Arial"/>
                <w:b/>
                <w:bCs/>
                <w:color w:val="auto"/>
                <w:sz w:val="20"/>
                <w:szCs w:val="20"/>
              </w:rPr>
              <w:t>)</w:t>
            </w:r>
          </w:p>
        </w:tc>
      </w:tr>
      <w:tr w:rsidR="00F23A18" w:rsidRPr="00AC596C" w14:paraId="4B670B5B" w14:textId="77777777" w:rsidTr="00685D1E">
        <w:trPr>
          <w:trHeight w:val="140"/>
        </w:trPr>
        <w:tc>
          <w:tcPr>
            <w:tcW w:w="1482" w:type="pct"/>
            <w:tcBorders>
              <w:top w:val="single" w:sz="4" w:space="0" w:color="auto"/>
            </w:tcBorders>
            <w:vAlign w:val="center"/>
            <w:hideMark/>
          </w:tcPr>
          <w:p w14:paraId="432B4E91"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Excellent</w:t>
            </w:r>
          </w:p>
        </w:tc>
        <w:tc>
          <w:tcPr>
            <w:tcW w:w="1680" w:type="pct"/>
            <w:tcBorders>
              <w:top w:val="single" w:sz="4" w:space="0" w:color="auto"/>
            </w:tcBorders>
            <w:vAlign w:val="center"/>
            <w:hideMark/>
          </w:tcPr>
          <w:p w14:paraId="6F71F501"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0-10</w:t>
            </w:r>
          </w:p>
        </w:tc>
        <w:tc>
          <w:tcPr>
            <w:tcW w:w="1839" w:type="pct"/>
            <w:tcBorders>
              <w:top w:val="single" w:sz="4" w:space="0" w:color="auto"/>
            </w:tcBorders>
            <w:vAlign w:val="center"/>
            <w:hideMark/>
          </w:tcPr>
          <w:p w14:paraId="01D10986"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1.00-1.11</w:t>
            </w:r>
          </w:p>
        </w:tc>
      </w:tr>
      <w:tr w:rsidR="00F23A18" w:rsidRPr="00AC596C" w14:paraId="3E1DEFEF" w14:textId="77777777" w:rsidTr="00685D1E">
        <w:trPr>
          <w:trHeight w:val="272"/>
        </w:trPr>
        <w:tc>
          <w:tcPr>
            <w:tcW w:w="1482" w:type="pct"/>
            <w:vAlign w:val="center"/>
            <w:hideMark/>
          </w:tcPr>
          <w:p w14:paraId="4B2B8C4F"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Good</w:t>
            </w:r>
          </w:p>
        </w:tc>
        <w:tc>
          <w:tcPr>
            <w:tcW w:w="1680" w:type="pct"/>
            <w:vAlign w:val="center"/>
            <w:hideMark/>
          </w:tcPr>
          <w:p w14:paraId="60B292E8"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11-15</w:t>
            </w:r>
          </w:p>
        </w:tc>
        <w:tc>
          <w:tcPr>
            <w:tcW w:w="1839" w:type="pct"/>
            <w:vAlign w:val="center"/>
            <w:hideMark/>
          </w:tcPr>
          <w:p w14:paraId="3DBAB0D0"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1.12-1.18</w:t>
            </w:r>
          </w:p>
        </w:tc>
      </w:tr>
      <w:tr w:rsidR="00F23A18" w:rsidRPr="00AC596C" w14:paraId="0908AEDB" w14:textId="77777777" w:rsidTr="00685D1E">
        <w:trPr>
          <w:trHeight w:val="120"/>
        </w:trPr>
        <w:tc>
          <w:tcPr>
            <w:tcW w:w="1482" w:type="pct"/>
            <w:vAlign w:val="center"/>
            <w:hideMark/>
          </w:tcPr>
          <w:p w14:paraId="1D8A6B88"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Fair</w:t>
            </w:r>
          </w:p>
        </w:tc>
        <w:tc>
          <w:tcPr>
            <w:tcW w:w="1680" w:type="pct"/>
            <w:vAlign w:val="center"/>
            <w:hideMark/>
          </w:tcPr>
          <w:p w14:paraId="624C13BA"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16-20</w:t>
            </w:r>
          </w:p>
        </w:tc>
        <w:tc>
          <w:tcPr>
            <w:tcW w:w="1839" w:type="pct"/>
            <w:vAlign w:val="center"/>
            <w:hideMark/>
          </w:tcPr>
          <w:p w14:paraId="1B9D9FD0"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1.19-1.25</w:t>
            </w:r>
          </w:p>
        </w:tc>
      </w:tr>
      <w:tr w:rsidR="00F23A18" w:rsidRPr="00AC596C" w14:paraId="1D427AF6" w14:textId="77777777" w:rsidTr="00685D1E">
        <w:trPr>
          <w:trHeight w:val="43"/>
        </w:trPr>
        <w:tc>
          <w:tcPr>
            <w:tcW w:w="1482" w:type="pct"/>
            <w:vAlign w:val="center"/>
            <w:hideMark/>
          </w:tcPr>
          <w:p w14:paraId="2D28B531"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Passable</w:t>
            </w:r>
          </w:p>
        </w:tc>
        <w:tc>
          <w:tcPr>
            <w:tcW w:w="1680" w:type="pct"/>
            <w:vAlign w:val="center"/>
            <w:hideMark/>
          </w:tcPr>
          <w:p w14:paraId="0DBBE408"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21-25</w:t>
            </w:r>
          </w:p>
        </w:tc>
        <w:tc>
          <w:tcPr>
            <w:tcW w:w="1839" w:type="pct"/>
            <w:vAlign w:val="center"/>
            <w:hideMark/>
          </w:tcPr>
          <w:p w14:paraId="7C27C877"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1.26-1.34</w:t>
            </w:r>
          </w:p>
        </w:tc>
      </w:tr>
      <w:tr w:rsidR="00F23A18" w:rsidRPr="00AC596C" w14:paraId="3D513C9F" w14:textId="77777777" w:rsidTr="00685D1E">
        <w:trPr>
          <w:trHeight w:val="43"/>
        </w:trPr>
        <w:tc>
          <w:tcPr>
            <w:tcW w:w="1482" w:type="pct"/>
            <w:vAlign w:val="center"/>
            <w:hideMark/>
          </w:tcPr>
          <w:p w14:paraId="1A74016B"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Poor</w:t>
            </w:r>
          </w:p>
        </w:tc>
        <w:tc>
          <w:tcPr>
            <w:tcW w:w="1680" w:type="pct"/>
            <w:vAlign w:val="center"/>
            <w:hideMark/>
          </w:tcPr>
          <w:p w14:paraId="6F671560"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26-31</w:t>
            </w:r>
          </w:p>
        </w:tc>
        <w:tc>
          <w:tcPr>
            <w:tcW w:w="1839" w:type="pct"/>
            <w:vAlign w:val="center"/>
            <w:hideMark/>
          </w:tcPr>
          <w:p w14:paraId="60ABE3DB"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1.35-1.45</w:t>
            </w:r>
          </w:p>
        </w:tc>
      </w:tr>
      <w:tr w:rsidR="00F23A18" w:rsidRPr="00AC596C" w14:paraId="7411C0FD" w14:textId="77777777" w:rsidTr="00685D1E">
        <w:trPr>
          <w:trHeight w:val="43"/>
        </w:trPr>
        <w:tc>
          <w:tcPr>
            <w:tcW w:w="1482" w:type="pct"/>
            <w:vAlign w:val="center"/>
            <w:hideMark/>
          </w:tcPr>
          <w:p w14:paraId="708F8776"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Very poor</w:t>
            </w:r>
          </w:p>
        </w:tc>
        <w:tc>
          <w:tcPr>
            <w:tcW w:w="1680" w:type="pct"/>
            <w:vAlign w:val="center"/>
            <w:hideMark/>
          </w:tcPr>
          <w:p w14:paraId="4D4CA2B1"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32-37</w:t>
            </w:r>
          </w:p>
        </w:tc>
        <w:tc>
          <w:tcPr>
            <w:tcW w:w="1839" w:type="pct"/>
            <w:vAlign w:val="center"/>
            <w:hideMark/>
          </w:tcPr>
          <w:p w14:paraId="100A3EA4"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1.46-1.59</w:t>
            </w:r>
          </w:p>
        </w:tc>
      </w:tr>
      <w:tr w:rsidR="00F23A18" w:rsidRPr="00AC596C" w14:paraId="483C509C" w14:textId="77777777" w:rsidTr="00685D1E">
        <w:trPr>
          <w:trHeight w:val="122"/>
        </w:trPr>
        <w:tc>
          <w:tcPr>
            <w:tcW w:w="1482" w:type="pct"/>
            <w:vAlign w:val="center"/>
            <w:hideMark/>
          </w:tcPr>
          <w:p w14:paraId="68259894"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lastRenderedPageBreak/>
              <w:t>Very, very poor</w:t>
            </w:r>
          </w:p>
        </w:tc>
        <w:tc>
          <w:tcPr>
            <w:tcW w:w="1680" w:type="pct"/>
            <w:vAlign w:val="center"/>
            <w:hideMark/>
          </w:tcPr>
          <w:p w14:paraId="055B4A8C"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&gt;38</w:t>
            </w:r>
          </w:p>
        </w:tc>
        <w:tc>
          <w:tcPr>
            <w:tcW w:w="1839" w:type="pct"/>
            <w:vAlign w:val="center"/>
            <w:hideMark/>
          </w:tcPr>
          <w:p w14:paraId="1A479C1A"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&gt;1.60</w:t>
            </w:r>
          </w:p>
        </w:tc>
      </w:tr>
    </w:tbl>
    <w:p w14:paraId="3637D3D8" w14:textId="5404435E" w:rsidR="00F23A18" w:rsidRPr="00FB3A86" w:rsidRDefault="00902823" w:rsidP="00E80D3A">
      <w:pPr>
        <w:pStyle w:val="AbstHead"/>
        <w:spacing w:before="240"/>
        <w:jc w:val="both"/>
        <w:rPr>
          <w:rFonts w:ascii="Arial" w:hAnsi="Arial" w:cs="Arial"/>
        </w:rPr>
      </w:pPr>
      <w:r>
        <w:rPr>
          <w:rFonts w:ascii="Arial" w:hAnsi="Arial" w:cs="Arial"/>
        </w:rPr>
        <w:t>2. material and method</w:t>
      </w:r>
      <w:r w:rsidR="00F23A18">
        <w:rPr>
          <w:rFonts w:ascii="Arial" w:hAnsi="Arial" w:cs="Arial"/>
        </w:rPr>
        <w:t>s</w:t>
      </w:r>
    </w:p>
    <w:p w14:paraId="627DD8E4" w14:textId="66BBEB5E" w:rsidR="00856EBC" w:rsidRDefault="00AA74E0" w:rsidP="00E80D3A">
      <w:pPr>
        <w:pStyle w:val="Body"/>
        <w:rPr>
          <w:rFonts w:ascii="Arial" w:hAnsi="Arial" w:cs="Arial"/>
          <w:b/>
          <w:sz w:val="22"/>
        </w:rPr>
      </w:pPr>
      <w:r w:rsidRPr="00C30A0F">
        <w:rPr>
          <w:rFonts w:ascii="Arial" w:hAnsi="Arial" w:cs="Arial"/>
          <w:b/>
          <w:caps/>
          <w:sz w:val="22"/>
        </w:rPr>
        <w:t xml:space="preserve">2.1 </w:t>
      </w:r>
      <w:r w:rsidR="00F23A18">
        <w:rPr>
          <w:rFonts w:ascii="Arial" w:hAnsi="Arial" w:cs="Arial"/>
          <w:b/>
          <w:sz w:val="22"/>
        </w:rPr>
        <w:t>Materials</w:t>
      </w:r>
    </w:p>
    <w:p w14:paraId="5FB408C5" w14:textId="2B655187" w:rsidR="00856EBC" w:rsidRPr="00F23A18" w:rsidRDefault="00F23A18" w:rsidP="00E80D3A">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The fresh spray dried goat milk powders and a spray dried cow milk powder (A2 type) used for this study were purchased from the market. The most commonly available two different brands of goat milk powders (GMP1 and GMP2) were selected for the study. A cow milk powder (COM) was also purchased from the market. The samples of goat and cow milk powders were analyzed for chemical composition, physical properties.</w:t>
      </w:r>
    </w:p>
    <w:p w14:paraId="498CB613" w14:textId="1CAA681F" w:rsidR="00856EBC" w:rsidRPr="00E80D3A" w:rsidRDefault="00F23A18" w:rsidP="00E80D3A">
      <w:pPr>
        <w:pStyle w:val="Body"/>
        <w:rPr>
          <w:rFonts w:ascii="Arial" w:hAnsi="Arial" w:cs="Arial"/>
          <w:b/>
          <w:sz w:val="22"/>
        </w:rPr>
      </w:pPr>
      <w:r>
        <w:rPr>
          <w:rFonts w:ascii="Arial" w:hAnsi="Arial" w:cs="Arial"/>
          <w:b/>
          <w:caps/>
          <w:sz w:val="22"/>
        </w:rPr>
        <w:t xml:space="preserve">2.2 </w:t>
      </w:r>
      <w:r>
        <w:rPr>
          <w:rFonts w:ascii="Arial" w:hAnsi="Arial" w:cs="Arial"/>
          <w:b/>
          <w:sz w:val="22"/>
        </w:rPr>
        <w:t>Methods</w:t>
      </w:r>
    </w:p>
    <w:p w14:paraId="3631D098"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The moisture content of goat and cow milk powders was determined using method as described by ISO 5537/IDF 026:2004 and GEA Niro (2006). The total fat was determined by Gerber method IS (1224 Part II):1977 and (GEA Niro, 2005). The total protein of milk powder sample was determined by </w:t>
      </w:r>
      <w:proofErr w:type="spellStart"/>
      <w:r w:rsidRPr="00F23A18">
        <w:rPr>
          <w:rFonts w:ascii="Arial" w:eastAsia="Calibri" w:hAnsi="Arial" w:cs="Arial"/>
          <w:szCs w:val="22"/>
        </w:rPr>
        <w:t>Kjeldahl</w:t>
      </w:r>
      <w:proofErr w:type="spellEnd"/>
      <w:r w:rsidRPr="00F23A18">
        <w:rPr>
          <w:rFonts w:ascii="Arial" w:eastAsia="Calibri" w:hAnsi="Arial" w:cs="Arial"/>
          <w:szCs w:val="22"/>
        </w:rPr>
        <w:t xml:space="preserve"> method (AOAC, 2006). Ash content of milk powders were determined as described by GEA Niro (2006). Lactose content in camel milk powder and cow milk powder was estimated by difference.</w:t>
      </w:r>
      <w:bookmarkStart w:id="1" w:name="_Hlk136611655"/>
    </w:p>
    <w:p w14:paraId="301C1AF5"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Surface free fat </w:t>
      </w:r>
      <w:bookmarkEnd w:id="1"/>
      <w:r w:rsidRPr="00F23A18">
        <w:rPr>
          <w:rFonts w:ascii="Arial" w:eastAsia="Calibri" w:hAnsi="Arial" w:cs="Arial"/>
          <w:szCs w:val="22"/>
        </w:rPr>
        <w:t xml:space="preserve">of goat and cow milk powders was determined by using GEA Niro analytical method No. A 10 a (GEA Niro, 2005). 10 g of milk powder sample was weighed into a 250 ml Erlenmeyer flask. Stop watch was started and exact 50 ml petroleum ether was added to the flask. The sample was agitated in to the shaking device and filtered into 100 ml Erlenmeyer flask after exact 15 minutes. 25 ml of filtrate added to the pre-weighed </w:t>
      </w:r>
      <w:proofErr w:type="spellStart"/>
      <w:r w:rsidRPr="00F23A18">
        <w:rPr>
          <w:rFonts w:ascii="Arial" w:eastAsia="Calibri" w:hAnsi="Arial" w:cs="Arial"/>
          <w:szCs w:val="22"/>
        </w:rPr>
        <w:t>aluminium</w:t>
      </w:r>
      <w:proofErr w:type="spellEnd"/>
      <w:r w:rsidRPr="00F23A18">
        <w:rPr>
          <w:rFonts w:ascii="Arial" w:eastAsia="Calibri" w:hAnsi="Arial" w:cs="Arial"/>
          <w:szCs w:val="22"/>
        </w:rPr>
        <w:t xml:space="preserve"> dish. After evaporating most of petroleum ether under fume hood dish was dried in to the oven at 105±1˚C for one hour. The samples were cooled into the desiccator and weighed. Surface free fat of goat and cow milk powders determined by using following formula:</w:t>
      </w:r>
    </w:p>
    <w:p w14:paraId="4142E446"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m:rPr>
            <m:sty m:val="p"/>
          </m:rPr>
          <w:rPr>
            <w:rFonts w:ascii="Cambria Math" w:eastAsia="Calibri" w:hAnsi="Cambria Math" w:cs="Arial"/>
            <w:szCs w:val="22"/>
          </w:rPr>
          <m:t>%</m:t>
        </m:r>
        <m:r>
          <w:rPr>
            <w:rFonts w:ascii="Cambria Math" w:eastAsia="Calibri" w:hAnsi="Cambria Math" w:cs="Arial"/>
            <w:szCs w:val="22"/>
          </w:rPr>
          <m:t>free</m:t>
        </m:r>
        <m:r>
          <m:rPr>
            <m:sty m:val="p"/>
          </m:rPr>
          <w:rPr>
            <w:rFonts w:ascii="Cambria Math" w:eastAsia="Calibri" w:hAnsi="Cambria Math" w:cs="Arial"/>
            <w:szCs w:val="22"/>
          </w:rPr>
          <m:t xml:space="preserve"> </m:t>
        </m:r>
        <m:r>
          <w:rPr>
            <w:rFonts w:ascii="Cambria Math" w:eastAsia="Calibri" w:hAnsi="Cambria Math" w:cs="Arial"/>
            <w:szCs w:val="22"/>
          </w:rPr>
          <m:t>fat</m:t>
        </m:r>
        <m:r>
          <m:rPr>
            <m:sty m:val="p"/>
          </m:rPr>
          <w:rPr>
            <w:rFonts w:ascii="Cambria Math" w:eastAsia="Calibri" w:hAnsi="Cambria Math" w:cs="Arial"/>
            <w:szCs w:val="22"/>
          </w:rPr>
          <m:t>=</m:t>
        </m:r>
        <m:r>
          <w:rPr>
            <w:rFonts w:ascii="Cambria Math" w:eastAsia="Calibri" w:hAnsi="Cambria Math" w:cs="Arial"/>
            <w:szCs w:val="22"/>
          </w:rPr>
          <m:t>a</m:t>
        </m:r>
        <m:r>
          <m:rPr>
            <m:sty m:val="p"/>
          </m:rPr>
          <w:rPr>
            <w:rFonts w:ascii="Cambria Math" w:eastAsia="Calibri" w:hAnsi="Cambria Math" w:cs="Arial"/>
            <w:szCs w:val="22"/>
          </w:rPr>
          <m:t>×50×</m:t>
        </m:r>
        <m:f>
          <m:fPr>
            <m:ctrlPr>
              <w:rPr>
                <w:rFonts w:ascii="Cambria Math" w:eastAsia="Calibri" w:hAnsi="Cambria Math" w:cs="Arial"/>
                <w:szCs w:val="22"/>
              </w:rPr>
            </m:ctrlPr>
          </m:fPr>
          <m:num>
            <m:r>
              <m:rPr>
                <m:sty m:val="p"/>
              </m:rPr>
              <w:rPr>
                <w:rFonts w:ascii="Cambria Math" w:eastAsia="Calibri" w:hAnsi="Cambria Math" w:cs="Arial"/>
                <w:szCs w:val="22"/>
              </w:rPr>
              <m:t>100</m:t>
            </m:r>
          </m:num>
          <m:den>
            <m:r>
              <m:rPr>
                <m:sty m:val="p"/>
              </m:rPr>
              <w:rPr>
                <w:rFonts w:ascii="Cambria Math" w:eastAsia="Calibri" w:hAnsi="Cambria Math" w:cs="Arial"/>
                <w:szCs w:val="22"/>
              </w:rPr>
              <m:t>(</m:t>
            </m:r>
            <m:r>
              <w:rPr>
                <w:rFonts w:ascii="Cambria Math" w:eastAsia="Calibri" w:hAnsi="Cambria Math" w:cs="Arial"/>
                <w:szCs w:val="22"/>
              </w:rPr>
              <m:t>ml</m:t>
            </m:r>
            <m:r>
              <m:rPr>
                <m:sty m:val="p"/>
              </m:rPr>
              <w:rPr>
                <w:rFonts w:ascii="Cambria Math" w:eastAsia="Calibri" w:hAnsi="Cambria Math" w:cs="Arial"/>
                <w:szCs w:val="22"/>
              </w:rPr>
              <m:t>-</m:t>
            </m:r>
            <m:f>
              <m:fPr>
                <m:ctrlPr>
                  <w:rPr>
                    <w:rFonts w:ascii="Cambria Math" w:eastAsia="Calibri" w:hAnsi="Cambria Math" w:cs="Arial"/>
                    <w:szCs w:val="22"/>
                  </w:rPr>
                </m:ctrlPr>
              </m:fPr>
              <m:num>
                <m:r>
                  <w:rPr>
                    <w:rFonts w:ascii="Cambria Math" w:eastAsia="Calibri" w:hAnsi="Cambria Math" w:cs="Arial"/>
                    <w:szCs w:val="22"/>
                  </w:rPr>
                  <m:t>a</m:t>
                </m:r>
              </m:num>
              <m:den>
                <m:r>
                  <m:rPr>
                    <m:sty m:val="p"/>
                  </m:rPr>
                  <w:rPr>
                    <w:rFonts w:ascii="Cambria Math" w:eastAsia="Calibri" w:hAnsi="Cambria Math" w:cs="Arial"/>
                    <w:szCs w:val="22"/>
                  </w:rPr>
                  <m:t>0.94</m:t>
                </m:r>
              </m:den>
            </m:f>
            <m:r>
              <m:rPr>
                <m:sty m:val="p"/>
              </m:rPr>
              <w:rPr>
                <w:rFonts w:ascii="Cambria Math" w:eastAsia="Calibri" w:hAnsi="Cambria Math" w:cs="Arial"/>
                <w:szCs w:val="22"/>
              </w:rPr>
              <m:t>)×</m:t>
            </m:r>
            <m:r>
              <w:rPr>
                <w:rFonts w:ascii="Cambria Math" w:eastAsia="Calibri" w:hAnsi="Cambria Math" w:cs="Arial"/>
                <w:szCs w:val="22"/>
              </w:rPr>
              <m:t>b</m:t>
            </m:r>
          </m:den>
        </m:f>
      </m:oMath>
      <w:r w:rsidRPr="00F23A18">
        <w:rPr>
          <w:rFonts w:ascii="Arial" w:eastAsia="Calibri" w:hAnsi="Arial" w:cs="Arial"/>
          <w:szCs w:val="22"/>
        </w:rPr>
        <w:t xml:space="preserve"> </w:t>
      </w:r>
      <w:proofErr w:type="gramStart"/>
      <w:r w:rsidRPr="00F23A18">
        <w:rPr>
          <w:rFonts w:ascii="Arial" w:eastAsia="Calibri" w:hAnsi="Arial" w:cs="Arial"/>
          <w:szCs w:val="22"/>
        </w:rPr>
        <w:t>…(</w:t>
      </w:r>
      <w:proofErr w:type="gramEnd"/>
      <w:r w:rsidRPr="00F23A18">
        <w:rPr>
          <w:rFonts w:ascii="Arial" w:eastAsia="Calibri" w:hAnsi="Arial" w:cs="Arial"/>
          <w:szCs w:val="22"/>
        </w:rPr>
        <w:t>1)</w:t>
      </w:r>
    </w:p>
    <w:p w14:paraId="3E3C1EE8"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Where, ml = ml of filtrate taken out with pipette, a = evaporation residue in g, b = g of powder used, 0.94 = estimated value of density of free fat</w:t>
      </w:r>
    </w:p>
    <w:p w14:paraId="237A7D14"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lastRenderedPageBreak/>
        <w:t xml:space="preserve">Bulk density of the powder was determined using GEA Niro analytical method No. A 2 b method (GEA Niro, 2006). 25 g of goat and cow milk powders was taken in to 50 ml measuring cylinder. The measuring cylinder tapped for 50 times and final volume were measured.  Bulk density, </w:t>
      </w:r>
      <w:proofErr w:type="spellStart"/>
      <w:r w:rsidRPr="00F23A18">
        <w:rPr>
          <w:rFonts w:ascii="Arial" w:eastAsia="Calibri" w:hAnsi="Arial" w:cs="Arial"/>
          <w:szCs w:val="22"/>
        </w:rPr>
        <w:t>Hausner</w:t>
      </w:r>
      <w:proofErr w:type="spellEnd"/>
      <w:r w:rsidRPr="00F23A18">
        <w:rPr>
          <w:rFonts w:ascii="Arial" w:eastAsia="Calibri" w:hAnsi="Arial" w:cs="Arial"/>
          <w:szCs w:val="22"/>
        </w:rPr>
        <w:t xml:space="preserve"> ratio (HR) and </w:t>
      </w:r>
      <w:proofErr w:type="spellStart"/>
      <w:r w:rsidRPr="00F23A18">
        <w:rPr>
          <w:rFonts w:ascii="Arial" w:eastAsia="Calibri" w:hAnsi="Arial" w:cs="Arial"/>
          <w:szCs w:val="22"/>
        </w:rPr>
        <w:t>Carr’s</w:t>
      </w:r>
      <w:proofErr w:type="spellEnd"/>
      <w:r w:rsidRPr="00F23A18">
        <w:rPr>
          <w:rFonts w:ascii="Arial" w:eastAsia="Calibri" w:hAnsi="Arial" w:cs="Arial"/>
          <w:szCs w:val="22"/>
        </w:rPr>
        <w:t xml:space="preserve"> index of goat and cow milk powders measured using following formula (Saw et al., 2015; </w:t>
      </w:r>
      <w:proofErr w:type="spellStart"/>
      <w:r w:rsidRPr="00F23A18">
        <w:rPr>
          <w:rFonts w:ascii="Arial" w:eastAsia="Calibri" w:hAnsi="Arial" w:cs="Arial"/>
          <w:szCs w:val="22"/>
        </w:rPr>
        <w:t>Shipar</w:t>
      </w:r>
      <w:proofErr w:type="spellEnd"/>
      <w:r w:rsidRPr="00F23A18">
        <w:rPr>
          <w:rFonts w:ascii="Arial" w:eastAsia="Calibri" w:hAnsi="Arial" w:cs="Arial"/>
          <w:szCs w:val="22"/>
        </w:rPr>
        <w:t xml:space="preserve"> et al., 2013):  </w:t>
      </w:r>
    </w:p>
    <w:p w14:paraId="2D1D3717"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w:rPr>
            <w:rFonts w:ascii="Cambria Math" w:eastAsia="Calibri" w:hAnsi="Cambria Math" w:cs="Arial"/>
            <w:szCs w:val="22"/>
          </w:rPr>
          <m:t>Bulk</m:t>
        </m:r>
        <m:r>
          <m:rPr>
            <m:sty m:val="p"/>
          </m:rPr>
          <w:rPr>
            <w:rFonts w:ascii="Cambria Math" w:eastAsia="Calibri" w:hAnsi="Cambria Math" w:cs="Arial"/>
            <w:szCs w:val="22"/>
          </w:rPr>
          <m:t xml:space="preserve"> </m:t>
        </m:r>
        <m:r>
          <w:rPr>
            <w:rFonts w:ascii="Cambria Math" w:eastAsia="Calibri" w:hAnsi="Cambria Math" w:cs="Arial"/>
            <w:szCs w:val="22"/>
          </w:rPr>
          <m:t>density</m:t>
        </m:r>
        <m:r>
          <m:rPr>
            <m:sty m:val="p"/>
          </m:rPr>
          <w:rPr>
            <w:rFonts w:ascii="Cambria Math" w:eastAsia="Calibri" w:hAnsi="Cambria Math" w:cs="Arial"/>
            <w:szCs w:val="22"/>
          </w:rPr>
          <m:t>=</m:t>
        </m:r>
        <m:f>
          <m:fPr>
            <m:ctrlPr>
              <w:rPr>
                <w:rFonts w:ascii="Cambria Math" w:eastAsia="Calibri" w:hAnsi="Cambria Math" w:cs="Arial"/>
                <w:szCs w:val="22"/>
              </w:rPr>
            </m:ctrlPr>
          </m:fPr>
          <m:num>
            <m:r>
              <m:rPr>
                <m:sty m:val="p"/>
              </m:rPr>
              <w:rPr>
                <w:rFonts w:ascii="Cambria Math" w:eastAsia="Calibri" w:hAnsi="Cambria Math" w:cs="Arial"/>
                <w:szCs w:val="22"/>
              </w:rPr>
              <m:t>100</m:t>
            </m:r>
          </m:num>
          <m:den>
            <m:r>
              <w:rPr>
                <w:rFonts w:ascii="Cambria Math" w:eastAsia="Calibri" w:hAnsi="Cambria Math" w:cs="Arial"/>
                <w:szCs w:val="22"/>
              </w:rPr>
              <m:t>BV</m:t>
            </m:r>
          </m:den>
        </m:f>
        <m:r>
          <m:rPr>
            <m:sty m:val="p"/>
          </m:rPr>
          <w:rPr>
            <w:rFonts w:ascii="Cambria Math" w:eastAsia="Calibri" w:hAnsi="Cambria Math" w:cs="Arial"/>
            <w:szCs w:val="22"/>
          </w:rPr>
          <m:t xml:space="preserve"> </m:t>
        </m:r>
        <m:r>
          <w:rPr>
            <w:rFonts w:ascii="Cambria Math" w:eastAsia="Calibri" w:hAnsi="Cambria Math" w:cs="Arial"/>
            <w:szCs w:val="22"/>
          </w:rPr>
          <m:t>g</m:t>
        </m:r>
        <m:r>
          <m:rPr>
            <m:sty m:val="p"/>
          </m:rPr>
          <w:rPr>
            <w:rFonts w:ascii="Cambria Math" w:eastAsia="Calibri" w:hAnsi="Cambria Math" w:cs="Arial"/>
            <w:szCs w:val="22"/>
          </w:rPr>
          <m:t>/</m:t>
        </m:r>
        <m:r>
          <w:rPr>
            <w:rFonts w:ascii="Cambria Math" w:eastAsia="Calibri" w:hAnsi="Cambria Math" w:cs="Arial"/>
            <w:szCs w:val="22"/>
          </w:rPr>
          <m:t>ml</m:t>
        </m:r>
      </m:oMath>
      <w:r w:rsidRPr="00F23A18">
        <w:rPr>
          <w:rFonts w:ascii="Arial" w:eastAsia="Calibri" w:hAnsi="Arial" w:cs="Arial"/>
          <w:szCs w:val="22"/>
        </w:rPr>
        <w:t xml:space="preserve"> </w:t>
      </w:r>
      <w:proofErr w:type="gramStart"/>
      <w:r w:rsidRPr="00F23A18">
        <w:rPr>
          <w:rFonts w:ascii="Arial" w:eastAsia="Calibri" w:hAnsi="Arial" w:cs="Arial"/>
          <w:szCs w:val="22"/>
        </w:rPr>
        <w:t>…(</w:t>
      </w:r>
      <w:proofErr w:type="gramEnd"/>
      <w:r w:rsidRPr="00F23A18">
        <w:rPr>
          <w:rFonts w:ascii="Arial" w:eastAsia="Calibri" w:hAnsi="Arial" w:cs="Arial"/>
          <w:szCs w:val="22"/>
        </w:rPr>
        <w:t>2)</w:t>
      </w:r>
    </w:p>
    <w:p w14:paraId="54D74A7E"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w:rPr>
            <w:rFonts w:ascii="Cambria Math" w:eastAsia="Calibri" w:hAnsi="Cambria Math" w:cs="Arial"/>
            <w:szCs w:val="22"/>
          </w:rPr>
          <m:t>Hausner</m:t>
        </m:r>
        <m:r>
          <m:rPr>
            <m:sty m:val="p"/>
          </m:rPr>
          <w:rPr>
            <w:rFonts w:ascii="Cambria Math" w:eastAsia="Calibri" w:hAnsi="Cambria Math" w:cs="Arial"/>
            <w:szCs w:val="22"/>
          </w:rPr>
          <m:t> </m:t>
        </m:r>
        <m:r>
          <w:rPr>
            <w:rFonts w:ascii="Cambria Math" w:eastAsia="Calibri" w:hAnsi="Cambria Math" w:cs="Arial"/>
            <w:szCs w:val="22"/>
          </w:rPr>
          <m:t>ratio</m:t>
        </m:r>
        <m:r>
          <m:rPr>
            <m:sty m:val="p"/>
          </m:rPr>
          <w:rPr>
            <w:rFonts w:ascii="Cambria Math" w:eastAsia="Calibri" w:hAnsi="Cambria Math" w:cs="Arial"/>
            <w:szCs w:val="22"/>
          </w:rPr>
          <m:t>=</m:t>
        </m:r>
        <m:f>
          <m:fPr>
            <m:ctrlPr>
              <w:rPr>
                <w:rFonts w:ascii="Cambria Math" w:eastAsia="Calibri" w:hAnsi="Cambria Math" w:cs="Arial"/>
                <w:szCs w:val="22"/>
              </w:rPr>
            </m:ctrlPr>
          </m:fPr>
          <m:num>
            <m:r>
              <w:rPr>
                <w:rFonts w:ascii="Cambria Math" w:eastAsia="Calibri" w:hAnsi="Cambria Math" w:cs="Arial"/>
                <w:szCs w:val="22"/>
              </w:rPr>
              <m:t>bulk</m:t>
            </m:r>
            <m:r>
              <m:rPr>
                <m:sty m:val="p"/>
              </m:rPr>
              <w:rPr>
                <w:rFonts w:ascii="Cambria Math" w:eastAsia="Calibri" w:hAnsi="Cambria Math" w:cs="Arial"/>
                <w:szCs w:val="22"/>
              </w:rPr>
              <m:t> </m:t>
            </m:r>
            <m:r>
              <w:rPr>
                <w:rFonts w:ascii="Cambria Math" w:eastAsia="Calibri" w:hAnsi="Cambria Math" w:cs="Arial"/>
                <w:szCs w:val="22"/>
              </w:rPr>
              <m:t>density</m:t>
            </m:r>
          </m:num>
          <m:den>
            <m:r>
              <w:rPr>
                <w:rFonts w:ascii="Cambria Math" w:eastAsia="Calibri" w:hAnsi="Cambria Math" w:cs="Arial"/>
                <w:szCs w:val="22"/>
              </w:rPr>
              <m:t>loose</m:t>
            </m:r>
            <m:r>
              <m:rPr>
                <m:sty m:val="p"/>
              </m:rPr>
              <w:rPr>
                <w:rFonts w:ascii="Cambria Math" w:eastAsia="Calibri" w:hAnsi="Cambria Math" w:cs="Arial"/>
                <w:szCs w:val="22"/>
              </w:rPr>
              <m:t> </m:t>
            </m:r>
            <m:r>
              <w:rPr>
                <w:rFonts w:ascii="Cambria Math" w:eastAsia="Calibri" w:hAnsi="Cambria Math" w:cs="Arial"/>
                <w:szCs w:val="22"/>
              </w:rPr>
              <m:t>bulk</m:t>
            </m:r>
            <m:r>
              <m:rPr>
                <m:sty m:val="p"/>
              </m:rPr>
              <w:rPr>
                <w:rFonts w:ascii="Cambria Math" w:eastAsia="Calibri" w:hAnsi="Cambria Math" w:cs="Arial"/>
                <w:szCs w:val="22"/>
              </w:rPr>
              <m:t xml:space="preserve"> </m:t>
            </m:r>
            <m:r>
              <w:rPr>
                <w:rFonts w:ascii="Cambria Math" w:eastAsia="Calibri" w:hAnsi="Cambria Math" w:cs="Arial"/>
                <w:szCs w:val="22"/>
              </w:rPr>
              <m:t>density</m:t>
            </m:r>
          </m:den>
        </m:f>
      </m:oMath>
      <w:r w:rsidRPr="00F23A18">
        <w:rPr>
          <w:rFonts w:ascii="Arial" w:eastAsia="Calibri" w:hAnsi="Arial" w:cs="Arial"/>
          <w:szCs w:val="22"/>
        </w:rPr>
        <w:t xml:space="preserve"> </w:t>
      </w:r>
      <w:proofErr w:type="gramStart"/>
      <w:r w:rsidRPr="00F23A18">
        <w:rPr>
          <w:rFonts w:ascii="Arial" w:eastAsia="Calibri" w:hAnsi="Arial" w:cs="Arial"/>
          <w:szCs w:val="22"/>
        </w:rPr>
        <w:t>…(</w:t>
      </w:r>
      <w:proofErr w:type="gramEnd"/>
      <w:r w:rsidRPr="00F23A18">
        <w:rPr>
          <w:rFonts w:ascii="Arial" w:eastAsia="Calibri" w:hAnsi="Arial" w:cs="Arial"/>
          <w:szCs w:val="22"/>
        </w:rPr>
        <w:t>3)</w:t>
      </w:r>
    </w:p>
    <w:p w14:paraId="62519525"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C</w:t>
      </w:r>
      <m:oMath>
        <m:r>
          <w:rPr>
            <w:rFonts w:ascii="Cambria Math" w:eastAsia="Calibri" w:hAnsi="Cambria Math" w:cs="Arial"/>
            <w:szCs w:val="22"/>
          </w:rPr>
          <m:t>ar</m:t>
        </m:r>
        <m:sSup>
          <m:sSupPr>
            <m:ctrlPr>
              <w:rPr>
                <w:rFonts w:ascii="Cambria Math" w:eastAsia="Calibri" w:hAnsi="Cambria Math" w:cs="Arial"/>
                <w:szCs w:val="22"/>
              </w:rPr>
            </m:ctrlPr>
          </m:sSupPr>
          <m:e>
            <m:r>
              <w:rPr>
                <w:rFonts w:ascii="Cambria Math" w:eastAsia="Calibri" w:hAnsi="Cambria Math" w:cs="Arial"/>
                <w:szCs w:val="22"/>
              </w:rPr>
              <m:t>r</m:t>
            </m:r>
          </m:e>
          <m:sup>
            <m:r>
              <m:rPr>
                <m:sty m:val="p"/>
              </m:rPr>
              <w:rPr>
                <w:rFonts w:ascii="Cambria Math" w:eastAsia="Calibri" w:hAnsi="Cambria Math" w:cs="Arial"/>
                <w:szCs w:val="22"/>
              </w:rPr>
              <m:t>'</m:t>
            </m:r>
          </m:sup>
        </m:sSup>
        <m:r>
          <w:rPr>
            <w:rFonts w:ascii="Cambria Math" w:eastAsia="Calibri" w:hAnsi="Cambria Math" w:cs="Arial"/>
            <w:szCs w:val="22"/>
          </w:rPr>
          <m:t>s</m:t>
        </m:r>
        <m:r>
          <m:rPr>
            <m:sty m:val="p"/>
          </m:rPr>
          <w:rPr>
            <w:rFonts w:ascii="Cambria Math" w:eastAsia="Calibri" w:hAnsi="Cambria Math" w:cs="Arial"/>
            <w:szCs w:val="22"/>
          </w:rPr>
          <m:t> </m:t>
        </m:r>
        <m:r>
          <w:rPr>
            <w:rFonts w:ascii="Cambria Math" w:eastAsia="Calibri" w:hAnsi="Cambria Math" w:cs="Arial"/>
            <w:szCs w:val="22"/>
          </w:rPr>
          <m:t>index</m:t>
        </m:r>
        <m:r>
          <m:rPr>
            <m:sty m:val="p"/>
          </m:rPr>
          <w:rPr>
            <w:rFonts w:ascii="Cambria Math" w:eastAsia="Calibri" w:hAnsi="Cambria Math" w:cs="Arial"/>
            <w:szCs w:val="22"/>
          </w:rPr>
          <m:t>=</m:t>
        </m:r>
        <m:f>
          <m:fPr>
            <m:ctrlPr>
              <w:rPr>
                <w:rFonts w:ascii="Cambria Math" w:eastAsia="Calibri" w:hAnsi="Cambria Math" w:cs="Arial"/>
                <w:szCs w:val="22"/>
              </w:rPr>
            </m:ctrlPr>
          </m:fPr>
          <m:num>
            <m:r>
              <w:rPr>
                <w:rFonts w:ascii="Cambria Math" w:eastAsia="Calibri" w:hAnsi="Cambria Math" w:cs="Arial"/>
                <w:szCs w:val="22"/>
              </w:rPr>
              <m:t>Bulk</m:t>
            </m:r>
            <m:r>
              <m:rPr>
                <m:sty m:val="p"/>
              </m:rPr>
              <w:rPr>
                <w:rFonts w:ascii="Cambria Math" w:eastAsia="Calibri" w:hAnsi="Cambria Math" w:cs="Arial"/>
                <w:szCs w:val="22"/>
              </w:rPr>
              <m:t> </m:t>
            </m:r>
            <m:r>
              <w:rPr>
                <w:rFonts w:ascii="Cambria Math" w:eastAsia="Calibri" w:hAnsi="Cambria Math" w:cs="Arial"/>
                <w:szCs w:val="22"/>
              </w:rPr>
              <m:t>density</m:t>
            </m:r>
            <m:r>
              <m:rPr>
                <m:sty m:val="p"/>
              </m:rPr>
              <w:rPr>
                <w:rFonts w:ascii="Cambria Math" w:eastAsia="Calibri" w:hAnsi="Cambria Math" w:cs="Arial"/>
                <w:szCs w:val="22"/>
              </w:rPr>
              <m:t> -</m:t>
            </m:r>
            <m:r>
              <w:rPr>
                <w:rFonts w:ascii="Cambria Math" w:eastAsia="Calibri" w:hAnsi="Cambria Math" w:cs="Arial"/>
                <w:szCs w:val="22"/>
              </w:rPr>
              <m:t>loose</m:t>
            </m:r>
            <m:r>
              <m:rPr>
                <m:sty m:val="p"/>
              </m:rPr>
              <w:rPr>
                <w:rFonts w:ascii="Cambria Math" w:eastAsia="Calibri" w:hAnsi="Cambria Math" w:cs="Arial"/>
                <w:szCs w:val="22"/>
              </w:rPr>
              <m:t xml:space="preserve"> </m:t>
            </m:r>
            <m:r>
              <w:rPr>
                <w:rFonts w:ascii="Cambria Math" w:eastAsia="Calibri" w:hAnsi="Cambria Math" w:cs="Arial"/>
                <w:szCs w:val="22"/>
              </w:rPr>
              <m:t>bulk</m:t>
            </m:r>
            <m:r>
              <m:rPr>
                <m:sty m:val="p"/>
              </m:rPr>
              <w:rPr>
                <w:rFonts w:ascii="Cambria Math" w:eastAsia="Calibri" w:hAnsi="Cambria Math" w:cs="Arial"/>
                <w:szCs w:val="22"/>
              </w:rPr>
              <m:t> </m:t>
            </m:r>
            <m:r>
              <w:rPr>
                <w:rFonts w:ascii="Cambria Math" w:eastAsia="Calibri" w:hAnsi="Cambria Math" w:cs="Arial"/>
                <w:szCs w:val="22"/>
              </w:rPr>
              <m:t>density</m:t>
            </m:r>
          </m:num>
          <m:den>
            <m:r>
              <w:rPr>
                <w:rFonts w:ascii="Cambria Math" w:eastAsia="Calibri" w:hAnsi="Cambria Math" w:cs="Arial"/>
                <w:szCs w:val="22"/>
              </w:rPr>
              <m:t>bulk</m:t>
            </m:r>
            <m:r>
              <m:rPr>
                <m:sty m:val="p"/>
              </m:rPr>
              <w:rPr>
                <w:rFonts w:ascii="Cambria Math" w:eastAsia="Calibri" w:hAnsi="Cambria Math" w:cs="Arial"/>
                <w:szCs w:val="22"/>
              </w:rPr>
              <m:t> </m:t>
            </m:r>
            <m:r>
              <w:rPr>
                <w:rFonts w:ascii="Cambria Math" w:eastAsia="Calibri" w:hAnsi="Cambria Math" w:cs="Arial"/>
                <w:szCs w:val="22"/>
              </w:rPr>
              <m:t>density</m:t>
            </m:r>
          </m:den>
        </m:f>
        <m:r>
          <m:rPr>
            <m:sty m:val="p"/>
          </m:rPr>
          <w:rPr>
            <w:rFonts w:ascii="Cambria Math" w:eastAsia="Calibri" w:hAnsi="Cambria Math" w:cs="Arial"/>
            <w:szCs w:val="22"/>
          </w:rPr>
          <m:t>×10</m:t>
        </m:r>
      </m:oMath>
      <w:r w:rsidRPr="00F23A18">
        <w:rPr>
          <w:rFonts w:ascii="Arial" w:eastAsia="Calibri" w:hAnsi="Arial" w:cs="Arial"/>
          <w:szCs w:val="22"/>
        </w:rPr>
        <w:t xml:space="preserve"> </w:t>
      </w:r>
      <w:proofErr w:type="gramStart"/>
      <w:r w:rsidRPr="00F23A18">
        <w:rPr>
          <w:rFonts w:ascii="Arial" w:eastAsia="Calibri" w:hAnsi="Arial" w:cs="Arial"/>
          <w:szCs w:val="22"/>
        </w:rPr>
        <w:t>…(</w:t>
      </w:r>
      <w:proofErr w:type="gramEnd"/>
      <w:r w:rsidRPr="00F23A18">
        <w:rPr>
          <w:rFonts w:ascii="Arial" w:eastAsia="Calibri" w:hAnsi="Arial" w:cs="Arial"/>
          <w:szCs w:val="22"/>
        </w:rPr>
        <w:t xml:space="preserve">4)   </w:t>
      </w:r>
    </w:p>
    <w:p w14:paraId="6ED39051"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 BV = bulk volume of 100 g powder in ml/100 g, 100= weight of powder sample in g</w:t>
      </w:r>
    </w:p>
    <w:p w14:paraId="45547880"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Occluded air of goat and cow milk powders was determined for the fresh sample by using GEA Niro analytical method No. A 11 a (GEA, 2006). 25 g of sample was taken in to a 100 ml measuring cylinder. Then 60 ml petroleum ether was added in it. Read out the total volume with suspended particles. Occluded air in goat and cow milk powders was measured using the following calculation:</w:t>
      </w:r>
    </w:p>
    <w:p w14:paraId="549F90C1"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             </w:t>
      </w:r>
      <m:oMath>
        <m:r>
          <w:rPr>
            <w:rFonts w:ascii="Cambria Math" w:eastAsia="Calibri" w:hAnsi="Cambria Math" w:cs="Arial"/>
            <w:szCs w:val="22"/>
          </w:rPr>
          <m:t>occluded</m:t>
        </m:r>
        <m:r>
          <m:rPr>
            <m:sty m:val="p"/>
          </m:rPr>
          <w:rPr>
            <w:rFonts w:ascii="Cambria Math" w:eastAsia="Calibri" w:hAnsi="Cambria Math" w:cs="Arial"/>
            <w:szCs w:val="22"/>
          </w:rPr>
          <m:t xml:space="preserve"> </m:t>
        </m:r>
        <m:r>
          <w:rPr>
            <w:rFonts w:ascii="Cambria Math" w:eastAsia="Calibri" w:hAnsi="Cambria Math" w:cs="Arial"/>
            <w:szCs w:val="22"/>
          </w:rPr>
          <m:t>air</m:t>
        </m:r>
        <m:r>
          <m:rPr>
            <m:sty m:val="p"/>
          </m:rPr>
          <w:rPr>
            <w:rFonts w:ascii="Cambria Math" w:eastAsia="Calibri" w:hAnsi="Cambria Math" w:cs="Arial"/>
            <w:szCs w:val="22"/>
          </w:rPr>
          <m:t>=</m:t>
        </m:r>
        <m:f>
          <m:fPr>
            <m:ctrlPr>
              <w:rPr>
                <w:rFonts w:ascii="Cambria Math" w:eastAsia="Calibri" w:hAnsi="Cambria Math" w:cs="Arial"/>
                <w:szCs w:val="22"/>
              </w:rPr>
            </m:ctrlPr>
          </m:fPr>
          <m:num>
            <m:r>
              <m:rPr>
                <m:sty m:val="p"/>
              </m:rPr>
              <w:rPr>
                <w:rFonts w:ascii="Cambria Math" w:eastAsia="Calibri" w:hAnsi="Cambria Math" w:cs="Arial"/>
                <w:szCs w:val="22"/>
              </w:rPr>
              <m:t>100</m:t>
            </m:r>
          </m:num>
          <m:den>
            <m:r>
              <w:rPr>
                <w:rFonts w:ascii="Cambria Math" w:eastAsia="Calibri" w:hAnsi="Cambria Math" w:cs="Arial"/>
                <w:szCs w:val="22"/>
              </w:rPr>
              <m:t>Dparticle</m:t>
            </m:r>
          </m:den>
        </m:f>
        <m:r>
          <m:rPr>
            <m:sty m:val="p"/>
          </m:rPr>
          <w:rPr>
            <w:rFonts w:ascii="Cambria Math" w:eastAsia="Calibri" w:hAnsi="Cambria Math" w:cs="Arial"/>
            <w:szCs w:val="22"/>
          </w:rPr>
          <m:t>-</m:t>
        </m:r>
        <m:f>
          <m:fPr>
            <m:ctrlPr>
              <w:rPr>
                <w:rFonts w:ascii="Cambria Math" w:eastAsia="Calibri" w:hAnsi="Cambria Math" w:cs="Arial"/>
                <w:szCs w:val="22"/>
              </w:rPr>
            </m:ctrlPr>
          </m:fPr>
          <m:num>
            <m:r>
              <m:rPr>
                <m:sty m:val="p"/>
              </m:rPr>
              <w:rPr>
                <w:rFonts w:ascii="Cambria Math" w:eastAsia="Calibri" w:hAnsi="Cambria Math" w:cs="Arial"/>
                <w:szCs w:val="22"/>
              </w:rPr>
              <m:t>100</m:t>
            </m:r>
          </m:num>
          <m:den>
            <m:r>
              <w:rPr>
                <w:rFonts w:ascii="Cambria Math" w:eastAsia="Calibri" w:hAnsi="Cambria Math" w:cs="Arial"/>
                <w:szCs w:val="22"/>
              </w:rPr>
              <m:t>Dsolids</m:t>
            </m:r>
          </m:den>
        </m:f>
        <m:r>
          <m:rPr>
            <m:sty m:val="p"/>
          </m:rPr>
          <w:rPr>
            <w:rFonts w:ascii="Cambria Math" w:eastAsia="Calibri" w:hAnsi="Cambria Math" w:cs="Arial"/>
            <w:szCs w:val="22"/>
          </w:rPr>
          <m:t xml:space="preserve"> </m:t>
        </m:r>
        <m:r>
          <w:rPr>
            <w:rFonts w:ascii="Cambria Math" w:eastAsia="Calibri" w:hAnsi="Cambria Math" w:cs="Arial"/>
            <w:szCs w:val="22"/>
          </w:rPr>
          <m:t>ml</m:t>
        </m:r>
        <m:r>
          <m:rPr>
            <m:sty m:val="p"/>
          </m:rPr>
          <w:rPr>
            <w:rFonts w:ascii="Cambria Math" w:eastAsia="Calibri" w:hAnsi="Cambria Math" w:cs="Arial"/>
            <w:szCs w:val="22"/>
          </w:rPr>
          <m:t>/100</m:t>
        </m:r>
        <m:r>
          <w:rPr>
            <w:rFonts w:ascii="Cambria Math" w:eastAsia="Calibri" w:hAnsi="Cambria Math" w:cs="Arial"/>
            <w:szCs w:val="22"/>
          </w:rPr>
          <m:t>g</m:t>
        </m:r>
      </m:oMath>
      <w:r w:rsidRPr="00F23A18">
        <w:rPr>
          <w:rFonts w:ascii="Arial" w:eastAsia="Calibri" w:hAnsi="Arial" w:cs="Arial"/>
          <w:szCs w:val="22"/>
        </w:rPr>
        <w:t xml:space="preserve"> </w:t>
      </w:r>
      <w:proofErr w:type="gramStart"/>
      <w:r w:rsidRPr="00F23A18">
        <w:rPr>
          <w:rFonts w:ascii="Arial" w:eastAsia="Calibri" w:hAnsi="Arial" w:cs="Arial"/>
          <w:szCs w:val="22"/>
        </w:rPr>
        <w:t>…(</w:t>
      </w:r>
      <w:proofErr w:type="gramEnd"/>
      <w:r w:rsidRPr="00F23A18">
        <w:rPr>
          <w:rFonts w:ascii="Arial" w:eastAsia="Calibri" w:hAnsi="Arial" w:cs="Arial"/>
          <w:szCs w:val="22"/>
        </w:rPr>
        <w:t>5)</w:t>
      </w:r>
    </w:p>
    <w:p w14:paraId="0881162E"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Insolubility index of powder was determined using method described by GEA Niro analytical method A 3 a (GEA Niro, 2006). The 13 g goat and cow milk powders were added in 100 ml of distilled water in the mixing jar, the mixing was accomplished by placing jar in the mixer and stirred for 90 s. The foam separated was removed by a spoon. The 50 ml of reconstituted milk was transferred to 50 ml graduated centrifuge tubes. The tubes were then centrifuged at 1080 rpm for 5 minutes. Subsequently, about 25 ml distilled water with about 40°C temperature was added in the tube and the tube was shaken to disperse the sediment. The tube was then filled up to the 50 ml marks with distilled water. The content in the tube was mixed thoroughly and re-centrifuge for 5 min. Finally, the volume of the sediment at the bottom of the tube was noted. </w:t>
      </w:r>
    </w:p>
    <w:p w14:paraId="5B3CA2EC"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Wettability of goat and cow milk powders was measured using GEA Niro analytical method No. A 5 b (GEA Niro, 2009). In 600 ml glass beaker, 250 ml (25±0.5˚C) deionized water was </w:t>
      </w:r>
      <w:r w:rsidRPr="00F23A18">
        <w:rPr>
          <w:rFonts w:ascii="Arial" w:eastAsia="Calibri" w:hAnsi="Arial" w:cs="Arial"/>
          <w:szCs w:val="22"/>
        </w:rPr>
        <w:lastRenderedPageBreak/>
        <w:t>taken. 13 g of goat and cow milk powders was weighed accurately. The glass plate was placed on top of the beaker, with one edge of the plate close to the rim of the beaker then placed the metal tube on top of the plate. Sample was transferred to the metal tube and spread the sample evenly over the glass plate and removed the glass plate with one hand holding the tube. Total time was recorded until all particles have become wetted.</w:t>
      </w:r>
    </w:p>
    <w:p w14:paraId="40432B20"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The Water activity (aw) of goat and cow milk powders was determined using method described in Public Health England (2017). The </w:t>
      </w:r>
      <w:proofErr w:type="spellStart"/>
      <w:r w:rsidRPr="00F23A18">
        <w:rPr>
          <w:rFonts w:ascii="Arial" w:eastAsia="Calibri" w:hAnsi="Arial" w:cs="Arial"/>
          <w:szCs w:val="22"/>
        </w:rPr>
        <w:t>Rotronics</w:t>
      </w:r>
      <w:proofErr w:type="spellEnd"/>
      <w:r w:rsidRPr="00F23A18">
        <w:rPr>
          <w:rFonts w:ascii="Arial" w:eastAsia="Calibri" w:hAnsi="Arial" w:cs="Arial"/>
          <w:szCs w:val="22"/>
        </w:rPr>
        <w:t xml:space="preserve"> </w:t>
      </w:r>
      <w:proofErr w:type="spellStart"/>
      <w:r w:rsidRPr="00F23A18">
        <w:rPr>
          <w:rFonts w:ascii="Arial" w:eastAsia="Calibri" w:hAnsi="Arial" w:cs="Arial"/>
          <w:szCs w:val="22"/>
        </w:rPr>
        <w:t>HygroLab</w:t>
      </w:r>
      <w:proofErr w:type="spellEnd"/>
      <w:r w:rsidRPr="00F23A18">
        <w:rPr>
          <w:rFonts w:ascii="Arial" w:eastAsia="Calibri" w:hAnsi="Arial" w:cs="Arial"/>
          <w:szCs w:val="22"/>
        </w:rPr>
        <w:t xml:space="preserve"> was used in the analysis water activity meter. </w:t>
      </w:r>
    </w:p>
    <w:p w14:paraId="6BDA39F9"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The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of the goat and cow milk powders were measured by chromameter (Konica Minolta Chroma Meter CR-400, Japan) described in Public Health England (2017). For the analysis of sample, the appropriate amount of powder was taken in glass petri dish and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measurement was performed according to the three-</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coordinates (L*, a*, b*) with chromameter. The chroma, yellowness index, whiteness index and browning index were calculated from these three measured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coordinates (L*, a*, b*) using equations, (6) (7) (8) (9) respectively Milovanovic et al. (2020).</w:t>
      </w:r>
    </w:p>
    <w:p w14:paraId="2DEEED02"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m:rPr>
            <m:sty m:val="p"/>
          </m:rPr>
          <w:rPr>
            <w:rFonts w:ascii="Cambria Math" w:eastAsia="Calibri" w:hAnsi="Cambria Math" w:cs="Arial"/>
            <w:szCs w:val="22"/>
          </w:rPr>
          <m:t xml:space="preserve">Chroma </m:t>
        </m:r>
        <m:d>
          <m:dPr>
            <m:ctrlPr>
              <w:rPr>
                <w:rFonts w:ascii="Cambria Math" w:eastAsia="Calibri" w:hAnsi="Cambria Math" w:cs="Arial"/>
                <w:szCs w:val="22"/>
              </w:rPr>
            </m:ctrlPr>
          </m:dPr>
          <m:e>
            <m:r>
              <m:rPr>
                <m:sty m:val="p"/>
              </m:rPr>
              <w:rPr>
                <w:rFonts w:ascii="Cambria Math" w:eastAsia="Calibri" w:hAnsi="Cambria Math" w:cs="Arial"/>
                <w:szCs w:val="22"/>
              </w:rPr>
              <m:t>C*</m:t>
            </m:r>
          </m:e>
        </m:d>
        <m:r>
          <m:rPr>
            <m:sty m:val="p"/>
          </m:rPr>
          <w:rPr>
            <w:rFonts w:ascii="Cambria Math" w:eastAsia="Calibri" w:hAnsi="Cambria Math" w:cs="Arial"/>
            <w:szCs w:val="22"/>
          </w:rPr>
          <m:t>=</m:t>
        </m:r>
        <m:rad>
          <m:radPr>
            <m:degHide m:val="1"/>
            <m:ctrlPr>
              <w:rPr>
                <w:rFonts w:ascii="Cambria Math" w:eastAsia="Calibri" w:hAnsi="Cambria Math" w:cs="Arial"/>
                <w:szCs w:val="22"/>
              </w:rPr>
            </m:ctrlPr>
          </m:radPr>
          <m:deg/>
          <m:e>
            <m:sSup>
              <m:sSupPr>
                <m:ctrlPr>
                  <w:rPr>
                    <w:rFonts w:ascii="Cambria Math" w:eastAsia="Calibri" w:hAnsi="Cambria Math" w:cs="Arial"/>
                    <w:szCs w:val="22"/>
                  </w:rPr>
                </m:ctrlPr>
              </m:sSupPr>
              <m:e>
                <m:r>
                  <m:rPr>
                    <m:sty m:val="p"/>
                  </m:rPr>
                  <w:rPr>
                    <w:rFonts w:ascii="Cambria Math" w:eastAsia="Calibri" w:hAnsi="Cambria Math" w:cs="Arial"/>
                    <w:szCs w:val="22"/>
                  </w:rPr>
                  <m:t>(</m:t>
                </m:r>
                <m:r>
                  <w:rPr>
                    <w:rFonts w:ascii="Cambria Math" w:eastAsia="Calibri" w:hAnsi="Cambria Math" w:cs="Arial"/>
                    <w:szCs w:val="22"/>
                  </w:rPr>
                  <m:t>a</m:t>
                </m:r>
                <m:r>
                  <m:rPr>
                    <m:sty m:val="p"/>
                  </m:rPr>
                  <w:rPr>
                    <w:rFonts w:ascii="Cambria Math" w:eastAsia="Calibri" w:hAnsi="Cambria Math" w:cs="Arial"/>
                    <w:szCs w:val="22"/>
                  </w:rPr>
                  <m:t>*)</m:t>
                </m:r>
              </m:e>
              <m:sup>
                <m:r>
                  <m:rPr>
                    <m:sty m:val="p"/>
                  </m:rPr>
                  <w:rPr>
                    <w:rFonts w:ascii="Cambria Math" w:eastAsia="Calibri" w:hAnsi="Cambria Math" w:cs="Arial"/>
                    <w:szCs w:val="22"/>
                  </w:rPr>
                  <m:t>2</m:t>
                </m:r>
              </m:sup>
            </m:sSup>
            <m:r>
              <m:rPr>
                <m:sty m:val="p"/>
              </m:rPr>
              <w:rPr>
                <w:rFonts w:ascii="Cambria Math" w:eastAsia="Calibri" w:hAnsi="Cambria Math" w:cs="Arial"/>
                <w:szCs w:val="22"/>
              </w:rPr>
              <m:t>+</m:t>
            </m:r>
            <m:sSup>
              <m:sSupPr>
                <m:ctrlPr>
                  <w:rPr>
                    <w:rFonts w:ascii="Cambria Math" w:eastAsia="Calibri" w:hAnsi="Cambria Math" w:cs="Arial"/>
                    <w:szCs w:val="22"/>
                  </w:rPr>
                </m:ctrlPr>
              </m:sSupPr>
              <m:e>
                <m:r>
                  <m:rPr>
                    <m:sty m:val="p"/>
                  </m:rPr>
                  <w:rPr>
                    <w:rFonts w:ascii="Cambria Math" w:eastAsia="Calibri" w:hAnsi="Cambria Math" w:cs="Arial"/>
                    <w:szCs w:val="22"/>
                  </w:rPr>
                  <m:t>(</m:t>
                </m:r>
                <m:r>
                  <w:rPr>
                    <w:rFonts w:ascii="Cambria Math" w:eastAsia="Calibri" w:hAnsi="Cambria Math" w:cs="Arial"/>
                    <w:szCs w:val="22"/>
                  </w:rPr>
                  <m:t>b</m:t>
                </m:r>
                <m:r>
                  <m:rPr>
                    <m:sty m:val="p"/>
                  </m:rPr>
                  <w:rPr>
                    <w:rFonts w:ascii="Cambria Math" w:eastAsia="Calibri" w:hAnsi="Cambria Math" w:cs="Arial"/>
                    <w:szCs w:val="22"/>
                  </w:rPr>
                  <m:t>*)</m:t>
                </m:r>
              </m:e>
              <m:sup>
                <m:r>
                  <m:rPr>
                    <m:sty m:val="p"/>
                  </m:rPr>
                  <w:rPr>
                    <w:rFonts w:ascii="Cambria Math" w:eastAsia="Calibri" w:hAnsi="Cambria Math" w:cs="Arial"/>
                    <w:szCs w:val="22"/>
                  </w:rPr>
                  <m:t>2</m:t>
                </m:r>
              </m:sup>
            </m:sSup>
          </m:e>
        </m:rad>
      </m:oMath>
      <w:r w:rsidRPr="00F23A18">
        <w:rPr>
          <w:rFonts w:ascii="Arial" w:eastAsia="Calibri" w:hAnsi="Arial" w:cs="Arial"/>
          <w:szCs w:val="22"/>
        </w:rPr>
        <w:t xml:space="preserve">  </w:t>
      </w:r>
      <w:proofErr w:type="gramStart"/>
      <w:r w:rsidRPr="00F23A18">
        <w:rPr>
          <w:rFonts w:ascii="Arial" w:eastAsia="Calibri" w:hAnsi="Arial" w:cs="Arial"/>
          <w:szCs w:val="22"/>
        </w:rPr>
        <w:t>…(</w:t>
      </w:r>
      <w:proofErr w:type="gramEnd"/>
      <w:r w:rsidRPr="00F23A18">
        <w:rPr>
          <w:rFonts w:ascii="Arial" w:eastAsia="Calibri" w:hAnsi="Arial" w:cs="Arial"/>
          <w:szCs w:val="22"/>
        </w:rPr>
        <w:t>6)</w:t>
      </w:r>
    </w:p>
    <w:p w14:paraId="420740C4"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m:rPr>
            <m:sty m:val="p"/>
          </m:rPr>
          <w:rPr>
            <w:rFonts w:ascii="Cambria Math" w:eastAsia="Calibri" w:hAnsi="Cambria Math" w:cs="Arial"/>
            <w:szCs w:val="22"/>
          </w:rPr>
          <m:t>Yellowness index =</m:t>
        </m:r>
        <m:f>
          <m:fPr>
            <m:ctrlPr>
              <w:rPr>
                <w:rFonts w:ascii="Cambria Math" w:eastAsia="Calibri" w:hAnsi="Cambria Math" w:cs="Arial"/>
                <w:szCs w:val="22"/>
              </w:rPr>
            </m:ctrlPr>
          </m:fPr>
          <m:num>
            <m:r>
              <m:rPr>
                <m:sty m:val="p"/>
              </m:rPr>
              <w:rPr>
                <w:rFonts w:ascii="Cambria Math" w:eastAsia="Calibri" w:hAnsi="Cambria Math" w:cs="Arial"/>
                <w:szCs w:val="22"/>
              </w:rPr>
              <m:t>(142.86×</m:t>
            </m:r>
            <m:r>
              <w:rPr>
                <w:rFonts w:ascii="Cambria Math" w:eastAsia="Calibri" w:hAnsi="Cambria Math" w:cs="Arial"/>
                <w:szCs w:val="22"/>
              </w:rPr>
              <m:t>b</m:t>
            </m:r>
            <m:r>
              <m:rPr>
                <m:sty m:val="p"/>
              </m:rPr>
              <w:rPr>
                <w:rFonts w:ascii="Cambria Math" w:eastAsia="Calibri" w:hAnsi="Cambria Math" w:cs="Arial"/>
                <w:szCs w:val="22"/>
              </w:rPr>
              <m:t>*)</m:t>
            </m:r>
          </m:num>
          <m:den>
            <m:r>
              <w:rPr>
                <w:rFonts w:ascii="Cambria Math" w:eastAsia="Calibri" w:hAnsi="Cambria Math" w:cs="Arial"/>
                <w:szCs w:val="22"/>
              </w:rPr>
              <m:t>L</m:t>
            </m:r>
            <m:r>
              <m:rPr>
                <m:sty m:val="p"/>
              </m:rPr>
              <w:rPr>
                <w:rFonts w:ascii="Cambria Math" w:eastAsia="Calibri" w:hAnsi="Cambria Math" w:cs="Arial"/>
                <w:szCs w:val="22"/>
              </w:rPr>
              <m:t>*</m:t>
            </m:r>
          </m:den>
        </m:f>
      </m:oMath>
      <w:r w:rsidRPr="00F23A18">
        <w:rPr>
          <w:rFonts w:ascii="Arial" w:eastAsia="Calibri" w:hAnsi="Arial" w:cs="Arial"/>
          <w:szCs w:val="22"/>
        </w:rPr>
        <w:t xml:space="preserve"> </w:t>
      </w:r>
      <w:proofErr w:type="gramStart"/>
      <w:r w:rsidRPr="00F23A18">
        <w:rPr>
          <w:rFonts w:ascii="Arial" w:eastAsia="Calibri" w:hAnsi="Arial" w:cs="Arial"/>
          <w:szCs w:val="22"/>
        </w:rPr>
        <w:t>…(</w:t>
      </w:r>
      <w:proofErr w:type="gramEnd"/>
      <w:r w:rsidRPr="00F23A18">
        <w:rPr>
          <w:rFonts w:ascii="Arial" w:eastAsia="Calibri" w:hAnsi="Arial" w:cs="Arial"/>
          <w:szCs w:val="22"/>
        </w:rPr>
        <w:t>7)</w:t>
      </w:r>
    </w:p>
    <w:p w14:paraId="2B4C6D48"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m:rPr>
            <m:sty m:val="p"/>
          </m:rPr>
          <w:rPr>
            <w:rFonts w:ascii="Cambria Math" w:eastAsia="Calibri" w:hAnsi="Cambria Math" w:cs="Arial"/>
            <w:szCs w:val="22"/>
          </w:rPr>
          <m:t>Whiteness index=100-[</m:t>
        </m:r>
        <m:d>
          <m:dPr>
            <m:ctrlPr>
              <w:rPr>
                <w:rFonts w:ascii="Cambria Math" w:eastAsia="Calibri" w:hAnsi="Cambria Math" w:cs="Arial"/>
                <w:szCs w:val="22"/>
              </w:rPr>
            </m:ctrlPr>
          </m:dPr>
          <m:e>
            <m:r>
              <m:rPr>
                <m:sty m:val="p"/>
              </m:rPr>
              <w:rPr>
                <w:rFonts w:ascii="Cambria Math" w:eastAsia="Calibri" w:hAnsi="Cambria Math" w:cs="Arial"/>
                <w:szCs w:val="22"/>
              </w:rPr>
              <m:t>100-L*</m:t>
            </m:r>
          </m:e>
        </m:d>
      </m:oMath>
      <w:r w:rsidRPr="00F23A18">
        <w:rPr>
          <w:rFonts w:ascii="Arial" w:eastAsia="Calibri" w:hAnsi="Arial" w:cs="Arial"/>
          <w:szCs w:val="22"/>
        </w:rPr>
        <w:t>2</w:t>
      </w:r>
      <m:oMath>
        <m:r>
          <m:rPr>
            <m:sty m:val="p"/>
          </m:rPr>
          <w:rPr>
            <w:rFonts w:ascii="Cambria Math" w:eastAsia="Calibri" w:hAnsi="Cambria Math" w:cs="Arial"/>
            <w:szCs w:val="22"/>
          </w:rPr>
          <m:t xml:space="preserve"> + </m:t>
        </m:r>
        <m:d>
          <m:dPr>
            <m:ctrlPr>
              <w:rPr>
                <w:rFonts w:ascii="Cambria Math" w:eastAsia="Calibri" w:hAnsi="Cambria Math" w:cs="Arial"/>
                <w:szCs w:val="22"/>
              </w:rPr>
            </m:ctrlPr>
          </m:dPr>
          <m:e>
            <m:r>
              <m:rPr>
                <m:sty m:val="p"/>
              </m:rPr>
              <w:rPr>
                <w:rFonts w:ascii="Cambria Math" w:eastAsia="Calibri" w:hAnsi="Cambria Math" w:cs="Arial"/>
                <w:szCs w:val="22"/>
              </w:rPr>
              <m:t>a*</m:t>
            </m:r>
          </m:e>
        </m:d>
      </m:oMath>
      <w:r w:rsidRPr="00F23A18">
        <w:rPr>
          <w:rFonts w:ascii="Arial" w:eastAsia="Calibri" w:hAnsi="Arial" w:cs="Arial"/>
          <w:szCs w:val="22"/>
        </w:rPr>
        <w:t>2</w:t>
      </w:r>
      <m:oMath>
        <m:r>
          <m:rPr>
            <m:sty m:val="p"/>
          </m:rPr>
          <w:rPr>
            <w:rFonts w:ascii="Cambria Math" w:eastAsia="Calibri" w:hAnsi="Cambria Math" w:cs="Arial"/>
            <w:szCs w:val="22"/>
          </w:rPr>
          <m:t xml:space="preserve"> + </m:t>
        </m:r>
        <m:d>
          <m:dPr>
            <m:ctrlPr>
              <w:rPr>
                <w:rFonts w:ascii="Cambria Math" w:eastAsia="Calibri" w:hAnsi="Cambria Math" w:cs="Arial"/>
                <w:szCs w:val="22"/>
              </w:rPr>
            </m:ctrlPr>
          </m:dPr>
          <m:e>
            <m:r>
              <m:rPr>
                <m:sty m:val="p"/>
              </m:rPr>
              <w:rPr>
                <w:rFonts w:ascii="Cambria Math" w:eastAsia="Calibri" w:hAnsi="Cambria Math" w:cs="Arial"/>
                <w:szCs w:val="22"/>
              </w:rPr>
              <m:t>b*</m:t>
            </m:r>
          </m:e>
        </m:d>
      </m:oMath>
      <w:r w:rsidRPr="00F23A18">
        <w:rPr>
          <w:rFonts w:ascii="Arial" w:eastAsia="Calibri" w:hAnsi="Arial" w:cs="Arial"/>
          <w:szCs w:val="22"/>
        </w:rPr>
        <w:t>2</w:t>
      </w:r>
      <m:oMath>
        <m:r>
          <m:rPr>
            <m:sty m:val="p"/>
          </m:rPr>
          <w:rPr>
            <w:rFonts w:ascii="Cambria Math" w:eastAsia="Calibri" w:hAnsi="Cambria Math" w:cs="Arial"/>
            <w:szCs w:val="22"/>
          </w:rPr>
          <m:t xml:space="preserve"> ]</m:t>
        </m:r>
      </m:oMath>
      <w:r w:rsidRPr="00F23A18">
        <w:rPr>
          <w:rFonts w:ascii="Arial" w:eastAsia="Calibri" w:hAnsi="Arial" w:cs="Arial"/>
          <w:szCs w:val="22"/>
        </w:rPr>
        <w:t xml:space="preserve">1/2 </w:t>
      </w:r>
      <w:proofErr w:type="gramStart"/>
      <w:r w:rsidRPr="00F23A18">
        <w:rPr>
          <w:rFonts w:ascii="Arial" w:eastAsia="Calibri" w:hAnsi="Arial" w:cs="Arial"/>
          <w:szCs w:val="22"/>
        </w:rPr>
        <w:t>…(</w:t>
      </w:r>
      <w:proofErr w:type="gramEnd"/>
      <w:r w:rsidRPr="00F23A18">
        <w:rPr>
          <w:rFonts w:ascii="Arial" w:eastAsia="Calibri" w:hAnsi="Arial" w:cs="Arial"/>
          <w:szCs w:val="22"/>
        </w:rPr>
        <w:t>8)</w:t>
      </w:r>
    </w:p>
    <w:p w14:paraId="2E0920F9"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m:rPr>
            <m:sty m:val="p"/>
          </m:rPr>
          <w:rPr>
            <w:rFonts w:ascii="Cambria Math" w:eastAsia="Calibri" w:hAnsi="Cambria Math" w:cs="Arial"/>
            <w:szCs w:val="22"/>
          </w:rPr>
          <m:t>Browning index=</m:t>
        </m:r>
        <m:f>
          <m:fPr>
            <m:ctrlPr>
              <w:rPr>
                <w:rFonts w:ascii="Cambria Math" w:eastAsia="Calibri" w:hAnsi="Cambria Math" w:cs="Arial"/>
                <w:szCs w:val="22"/>
              </w:rPr>
            </m:ctrlPr>
          </m:fPr>
          <m:num>
            <m:d>
              <m:dPr>
                <m:ctrlPr>
                  <w:rPr>
                    <w:rFonts w:ascii="Cambria Math" w:eastAsia="Calibri" w:hAnsi="Cambria Math" w:cs="Arial"/>
                    <w:szCs w:val="22"/>
                  </w:rPr>
                </m:ctrlPr>
              </m:dPr>
              <m:e>
                <m:r>
                  <w:rPr>
                    <w:rFonts w:ascii="Cambria Math" w:eastAsia="Calibri" w:hAnsi="Cambria Math" w:cs="Arial"/>
                    <w:szCs w:val="22"/>
                  </w:rPr>
                  <m:t>x</m:t>
                </m:r>
                <m:r>
                  <m:rPr>
                    <m:sty m:val="p"/>
                  </m:rPr>
                  <w:rPr>
                    <w:rFonts w:ascii="Cambria Math" w:eastAsia="Calibri" w:hAnsi="Cambria Math" w:cs="Arial"/>
                    <w:szCs w:val="22"/>
                  </w:rPr>
                  <m:t>-0.31</m:t>
                </m:r>
              </m:e>
            </m:d>
          </m:num>
          <m:den>
            <m:r>
              <m:rPr>
                <m:sty m:val="p"/>
              </m:rPr>
              <w:rPr>
                <w:rFonts w:ascii="Cambria Math" w:eastAsia="Calibri" w:hAnsi="Cambria Math" w:cs="Arial"/>
                <w:szCs w:val="22"/>
              </w:rPr>
              <m:t>0.17</m:t>
            </m:r>
          </m:den>
        </m:f>
        <m:r>
          <m:rPr>
            <m:sty m:val="p"/>
          </m:rPr>
          <w:rPr>
            <w:rFonts w:ascii="Cambria Math" w:eastAsia="Calibri" w:hAnsi="Cambria Math" w:cs="Arial"/>
            <w:szCs w:val="22"/>
          </w:rPr>
          <m:t>×100</m:t>
        </m:r>
      </m:oMath>
      <w:r w:rsidRPr="00F23A18">
        <w:rPr>
          <w:rFonts w:ascii="Arial" w:eastAsia="Calibri" w:hAnsi="Arial" w:cs="Arial"/>
          <w:szCs w:val="22"/>
        </w:rPr>
        <w:t xml:space="preserve"> </w:t>
      </w:r>
      <w:proofErr w:type="gramStart"/>
      <w:r w:rsidRPr="00F23A18">
        <w:rPr>
          <w:rFonts w:ascii="Arial" w:eastAsia="Calibri" w:hAnsi="Arial" w:cs="Arial"/>
          <w:szCs w:val="22"/>
        </w:rPr>
        <w:t>…(</w:t>
      </w:r>
      <w:proofErr w:type="gramEnd"/>
      <w:r w:rsidRPr="00F23A18">
        <w:rPr>
          <w:rFonts w:ascii="Arial" w:eastAsia="Calibri" w:hAnsi="Arial" w:cs="Arial"/>
          <w:szCs w:val="22"/>
        </w:rPr>
        <w:t>9)</w:t>
      </w:r>
    </w:p>
    <w:p w14:paraId="2F42C4AE"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w:rPr>
            <w:rFonts w:ascii="Cambria Math" w:eastAsia="Calibri" w:hAnsi="Cambria Math" w:cs="Arial"/>
            <w:szCs w:val="22"/>
          </w:rPr>
          <m:t>x</m:t>
        </m:r>
        <m:r>
          <m:rPr>
            <m:sty m:val="p"/>
          </m:rPr>
          <w:rPr>
            <w:rFonts w:ascii="Cambria Math" w:eastAsia="Calibri" w:hAnsi="Cambria Math" w:cs="Arial"/>
            <w:szCs w:val="22"/>
          </w:rPr>
          <m:t>=</m:t>
        </m:r>
        <m:f>
          <m:fPr>
            <m:ctrlPr>
              <w:rPr>
                <w:rFonts w:ascii="Cambria Math" w:eastAsia="Calibri" w:hAnsi="Cambria Math" w:cs="Arial"/>
                <w:szCs w:val="22"/>
              </w:rPr>
            </m:ctrlPr>
          </m:fPr>
          <m:num>
            <m:r>
              <m:rPr>
                <m:sty m:val="p"/>
              </m:rPr>
              <w:rPr>
                <w:rFonts w:ascii="Cambria Math" w:eastAsia="Calibri" w:hAnsi="Cambria Math" w:cs="Arial"/>
                <w:szCs w:val="22"/>
              </w:rPr>
              <m:t>(a* + 1.75 L*)</m:t>
            </m:r>
          </m:num>
          <m:den>
            <m:r>
              <m:rPr>
                <m:sty m:val="p"/>
              </m:rPr>
              <w:rPr>
                <w:rFonts w:ascii="Cambria Math" w:eastAsia="Calibri" w:hAnsi="Cambria Math" w:cs="Arial"/>
                <w:szCs w:val="22"/>
              </w:rPr>
              <m:t>(5.645 ×L* + a* - 3.012× b*)</m:t>
            </m:r>
          </m:den>
        </m:f>
      </m:oMath>
      <w:r w:rsidRPr="00F23A18">
        <w:rPr>
          <w:rFonts w:ascii="Arial" w:eastAsia="Calibri" w:hAnsi="Arial" w:cs="Arial"/>
          <w:szCs w:val="22"/>
        </w:rPr>
        <w:t xml:space="preserve"> </w:t>
      </w:r>
      <w:proofErr w:type="gramStart"/>
      <w:r w:rsidRPr="00F23A18">
        <w:rPr>
          <w:rFonts w:ascii="Arial" w:eastAsia="Calibri" w:hAnsi="Arial" w:cs="Arial"/>
          <w:szCs w:val="22"/>
        </w:rPr>
        <w:t>…(</w:t>
      </w:r>
      <w:proofErr w:type="gramEnd"/>
      <w:r w:rsidRPr="00F23A18">
        <w:rPr>
          <w:rFonts w:ascii="Arial" w:eastAsia="Calibri" w:hAnsi="Arial" w:cs="Arial"/>
          <w:szCs w:val="22"/>
        </w:rPr>
        <w:t>10)</w:t>
      </w:r>
    </w:p>
    <w:p w14:paraId="5CB278BF" w14:textId="45E47ABD" w:rsidR="00790ADA" w:rsidRPr="004D4785"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The Statistical analysis was done by using the completely randomized design (CRD) (Steel and Torrie, 1980). Data are expressed as the mean ± standard deviation.</w:t>
      </w:r>
    </w:p>
    <w:p w14:paraId="33A0F212" w14:textId="545A9F1D" w:rsidR="00790ADA" w:rsidRPr="00FB3A86" w:rsidRDefault="00000F8F" w:rsidP="004D4785">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1E3E16" w14:textId="3BB9A093" w:rsidR="00C44A4F"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The most commonly available two brands GMP1 and GMP2 were compared with COM for different physical properties which was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surface free fat, insolubility index, bulk density, </w:t>
      </w:r>
      <w:r w:rsidRPr="00F23A18">
        <w:rPr>
          <w:rFonts w:ascii="Arial" w:eastAsia="Calibri" w:hAnsi="Arial" w:cs="Arial"/>
          <w:szCs w:val="22"/>
        </w:rPr>
        <w:lastRenderedPageBreak/>
        <w:t xml:space="preserve">water activity, wettability etc. The chemical composition of all the powder samples was shown in Table </w:t>
      </w:r>
      <w:r w:rsidR="00856EBC">
        <w:rPr>
          <w:rFonts w:ascii="Arial" w:eastAsia="Calibri" w:hAnsi="Arial" w:cs="Arial"/>
          <w:szCs w:val="22"/>
        </w:rPr>
        <w:t>2</w:t>
      </w:r>
      <w:r w:rsidRPr="00F23A18">
        <w:rPr>
          <w:rFonts w:ascii="Arial" w:eastAsia="Calibri" w:hAnsi="Arial" w:cs="Arial"/>
          <w:szCs w:val="22"/>
        </w:rPr>
        <w:t xml:space="preserve">. </w:t>
      </w:r>
    </w:p>
    <w:p w14:paraId="66F0CB62" w14:textId="7B15F935" w:rsidR="00856EBC" w:rsidRPr="00856EBC" w:rsidRDefault="00856EBC" w:rsidP="00E80D3A">
      <w:pPr>
        <w:tabs>
          <w:tab w:val="left" w:pos="1080"/>
        </w:tabs>
        <w:spacing w:after="240"/>
        <w:jc w:val="both"/>
        <w:rPr>
          <w:rFonts w:ascii="Arial" w:hAnsi="Arial"/>
          <w:b/>
        </w:rPr>
      </w:pPr>
      <w:r w:rsidRPr="00856EBC">
        <w:rPr>
          <w:rFonts w:ascii="Arial" w:hAnsi="Arial"/>
          <w:b/>
        </w:rPr>
        <w:t xml:space="preserve">Table </w:t>
      </w:r>
      <w:r>
        <w:rPr>
          <w:rFonts w:ascii="Arial" w:hAnsi="Arial"/>
          <w:b/>
        </w:rPr>
        <w:t>2</w:t>
      </w:r>
      <w:r w:rsidRPr="00856EBC">
        <w:rPr>
          <w:rFonts w:ascii="Arial" w:hAnsi="Arial"/>
          <w:b/>
        </w:rPr>
        <w:t>.</w:t>
      </w:r>
      <w:r>
        <w:rPr>
          <w:rFonts w:ascii="Arial" w:hAnsi="Arial"/>
          <w:b/>
        </w:rPr>
        <w:tab/>
      </w:r>
      <w:r w:rsidR="00F23A18" w:rsidRPr="00856EBC">
        <w:rPr>
          <w:rFonts w:ascii="Arial" w:hAnsi="Arial"/>
          <w:b/>
        </w:rPr>
        <w:t>Chemical composition of goat and cow milk powders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278"/>
        <w:gridCol w:w="1315"/>
        <w:gridCol w:w="1395"/>
        <w:gridCol w:w="1276"/>
        <w:gridCol w:w="1466"/>
      </w:tblGrid>
      <w:tr w:rsidR="00F23A18" w:rsidRPr="00F23A18" w14:paraId="1D671D6C" w14:textId="77777777" w:rsidTr="004D4785">
        <w:tc>
          <w:tcPr>
            <w:tcW w:w="900" w:type="pct"/>
            <w:tcBorders>
              <w:top w:val="single" w:sz="4" w:space="0" w:color="auto"/>
              <w:bottom w:val="single" w:sz="4" w:space="0" w:color="auto"/>
            </w:tcBorders>
            <w:vAlign w:val="center"/>
          </w:tcPr>
          <w:p w14:paraId="3EB75421" w14:textId="77777777" w:rsidR="00F23A18" w:rsidRPr="00F23A18" w:rsidRDefault="00F23A18" w:rsidP="004D4785">
            <w:pPr>
              <w:spacing w:line="360" w:lineRule="auto"/>
              <w:jc w:val="center"/>
              <w:rPr>
                <w:rFonts w:ascii="Arial" w:hAnsi="Arial" w:cs="Arial"/>
                <w:sz w:val="20"/>
              </w:rPr>
            </w:pPr>
            <w:bookmarkStart w:id="2" w:name="_Hlk138778731"/>
            <w:r w:rsidRPr="00F23A18">
              <w:rPr>
                <w:rFonts w:ascii="Arial" w:hAnsi="Arial" w:cs="Arial"/>
                <w:sz w:val="20"/>
              </w:rPr>
              <w:t>Parameters/</w:t>
            </w:r>
          </w:p>
          <w:p w14:paraId="1A23548D"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Sample</w:t>
            </w:r>
          </w:p>
        </w:tc>
        <w:tc>
          <w:tcPr>
            <w:tcW w:w="778" w:type="pct"/>
            <w:tcBorders>
              <w:top w:val="single" w:sz="4" w:space="0" w:color="auto"/>
              <w:bottom w:val="single" w:sz="4" w:space="0" w:color="auto"/>
            </w:tcBorders>
            <w:vAlign w:val="center"/>
          </w:tcPr>
          <w:p w14:paraId="586F618A"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Moisture (%)</w:t>
            </w:r>
          </w:p>
        </w:tc>
        <w:tc>
          <w:tcPr>
            <w:tcW w:w="801" w:type="pct"/>
            <w:tcBorders>
              <w:top w:val="single" w:sz="4" w:space="0" w:color="auto"/>
              <w:bottom w:val="single" w:sz="4" w:space="0" w:color="auto"/>
            </w:tcBorders>
            <w:vAlign w:val="center"/>
          </w:tcPr>
          <w:p w14:paraId="43FDCD70"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Fat (%)</w:t>
            </w:r>
          </w:p>
        </w:tc>
        <w:tc>
          <w:tcPr>
            <w:tcW w:w="850" w:type="pct"/>
            <w:tcBorders>
              <w:top w:val="single" w:sz="4" w:space="0" w:color="auto"/>
              <w:bottom w:val="single" w:sz="4" w:space="0" w:color="auto"/>
            </w:tcBorders>
            <w:vAlign w:val="center"/>
          </w:tcPr>
          <w:p w14:paraId="7ABF2783"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Protein (%)</w:t>
            </w:r>
          </w:p>
        </w:tc>
        <w:tc>
          <w:tcPr>
            <w:tcW w:w="777" w:type="pct"/>
            <w:tcBorders>
              <w:top w:val="single" w:sz="4" w:space="0" w:color="auto"/>
              <w:bottom w:val="single" w:sz="4" w:space="0" w:color="auto"/>
            </w:tcBorders>
            <w:vAlign w:val="center"/>
          </w:tcPr>
          <w:p w14:paraId="125BC707"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Ash (%)</w:t>
            </w:r>
          </w:p>
        </w:tc>
        <w:tc>
          <w:tcPr>
            <w:tcW w:w="893" w:type="pct"/>
            <w:tcBorders>
              <w:top w:val="single" w:sz="4" w:space="0" w:color="auto"/>
              <w:bottom w:val="single" w:sz="4" w:space="0" w:color="auto"/>
            </w:tcBorders>
            <w:vAlign w:val="center"/>
          </w:tcPr>
          <w:p w14:paraId="65EF0386"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Lactose (%)</w:t>
            </w:r>
          </w:p>
        </w:tc>
      </w:tr>
      <w:tr w:rsidR="00F23A18" w:rsidRPr="00F23A18" w14:paraId="262026CA" w14:textId="77777777" w:rsidTr="004D4785">
        <w:tc>
          <w:tcPr>
            <w:tcW w:w="900" w:type="pct"/>
            <w:tcBorders>
              <w:top w:val="single" w:sz="4" w:space="0" w:color="auto"/>
            </w:tcBorders>
            <w:vAlign w:val="center"/>
          </w:tcPr>
          <w:p w14:paraId="17E087BC"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GMP1</w:t>
            </w:r>
          </w:p>
        </w:tc>
        <w:tc>
          <w:tcPr>
            <w:tcW w:w="778" w:type="pct"/>
            <w:tcBorders>
              <w:top w:val="single" w:sz="4" w:space="0" w:color="auto"/>
            </w:tcBorders>
            <w:vAlign w:val="center"/>
          </w:tcPr>
          <w:p w14:paraId="1BC4066C"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2.81</w:t>
            </w:r>
          </w:p>
        </w:tc>
        <w:tc>
          <w:tcPr>
            <w:tcW w:w="801" w:type="pct"/>
            <w:tcBorders>
              <w:top w:val="single" w:sz="4" w:space="0" w:color="auto"/>
            </w:tcBorders>
            <w:vAlign w:val="center"/>
          </w:tcPr>
          <w:p w14:paraId="4A372FE1"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28.18</w:t>
            </w:r>
          </w:p>
        </w:tc>
        <w:tc>
          <w:tcPr>
            <w:tcW w:w="850" w:type="pct"/>
            <w:tcBorders>
              <w:top w:val="single" w:sz="4" w:space="0" w:color="auto"/>
            </w:tcBorders>
            <w:vAlign w:val="center"/>
          </w:tcPr>
          <w:p w14:paraId="4234B1FD"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27.00</w:t>
            </w:r>
          </w:p>
        </w:tc>
        <w:tc>
          <w:tcPr>
            <w:tcW w:w="777" w:type="pct"/>
            <w:tcBorders>
              <w:top w:val="single" w:sz="4" w:space="0" w:color="auto"/>
            </w:tcBorders>
            <w:vAlign w:val="center"/>
          </w:tcPr>
          <w:p w14:paraId="7A9D1C49"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6.43</w:t>
            </w:r>
          </w:p>
        </w:tc>
        <w:tc>
          <w:tcPr>
            <w:tcW w:w="893" w:type="pct"/>
            <w:tcBorders>
              <w:top w:val="single" w:sz="4" w:space="0" w:color="auto"/>
            </w:tcBorders>
            <w:vAlign w:val="center"/>
          </w:tcPr>
          <w:p w14:paraId="78531381"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35.14</w:t>
            </w:r>
          </w:p>
        </w:tc>
      </w:tr>
      <w:tr w:rsidR="00F23A18" w:rsidRPr="00F23A18" w14:paraId="644F43CB" w14:textId="77777777" w:rsidTr="004D4785">
        <w:tc>
          <w:tcPr>
            <w:tcW w:w="900" w:type="pct"/>
            <w:vAlign w:val="center"/>
          </w:tcPr>
          <w:p w14:paraId="3A7CCEA7"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GMP2</w:t>
            </w:r>
          </w:p>
        </w:tc>
        <w:tc>
          <w:tcPr>
            <w:tcW w:w="778" w:type="pct"/>
            <w:vAlign w:val="center"/>
          </w:tcPr>
          <w:p w14:paraId="6110AA24"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2.14</w:t>
            </w:r>
          </w:p>
        </w:tc>
        <w:tc>
          <w:tcPr>
            <w:tcW w:w="801" w:type="pct"/>
            <w:vAlign w:val="center"/>
          </w:tcPr>
          <w:p w14:paraId="575C203C"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28.29</w:t>
            </w:r>
          </w:p>
        </w:tc>
        <w:tc>
          <w:tcPr>
            <w:tcW w:w="850" w:type="pct"/>
            <w:vAlign w:val="center"/>
          </w:tcPr>
          <w:p w14:paraId="044D92FD"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29.79</w:t>
            </w:r>
          </w:p>
        </w:tc>
        <w:tc>
          <w:tcPr>
            <w:tcW w:w="777" w:type="pct"/>
            <w:vAlign w:val="center"/>
          </w:tcPr>
          <w:p w14:paraId="2F0CAAAF"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6.45</w:t>
            </w:r>
          </w:p>
        </w:tc>
        <w:tc>
          <w:tcPr>
            <w:tcW w:w="893" w:type="pct"/>
            <w:vAlign w:val="center"/>
          </w:tcPr>
          <w:p w14:paraId="13FCCCF3"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33.80</w:t>
            </w:r>
          </w:p>
        </w:tc>
      </w:tr>
      <w:tr w:rsidR="00F23A18" w:rsidRPr="00F23A18" w14:paraId="1AF6FCF0" w14:textId="77777777" w:rsidTr="004D4785">
        <w:tc>
          <w:tcPr>
            <w:tcW w:w="900" w:type="pct"/>
            <w:vAlign w:val="center"/>
          </w:tcPr>
          <w:p w14:paraId="4FE8A174"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COM</w:t>
            </w:r>
          </w:p>
        </w:tc>
        <w:tc>
          <w:tcPr>
            <w:tcW w:w="778" w:type="pct"/>
            <w:vAlign w:val="center"/>
          </w:tcPr>
          <w:p w14:paraId="2A86CFC2"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1.84</w:t>
            </w:r>
          </w:p>
        </w:tc>
        <w:tc>
          <w:tcPr>
            <w:tcW w:w="801" w:type="pct"/>
            <w:vAlign w:val="center"/>
          </w:tcPr>
          <w:p w14:paraId="10DD1F8B"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30.32</w:t>
            </w:r>
          </w:p>
        </w:tc>
        <w:tc>
          <w:tcPr>
            <w:tcW w:w="850" w:type="pct"/>
            <w:vAlign w:val="center"/>
          </w:tcPr>
          <w:p w14:paraId="0E0FD7B7"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24.77</w:t>
            </w:r>
          </w:p>
        </w:tc>
        <w:tc>
          <w:tcPr>
            <w:tcW w:w="777" w:type="pct"/>
            <w:vAlign w:val="center"/>
          </w:tcPr>
          <w:p w14:paraId="10D32E26"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5.73</w:t>
            </w:r>
          </w:p>
        </w:tc>
        <w:tc>
          <w:tcPr>
            <w:tcW w:w="893" w:type="pct"/>
            <w:vAlign w:val="center"/>
          </w:tcPr>
          <w:p w14:paraId="109E10CB"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37.49</w:t>
            </w:r>
          </w:p>
        </w:tc>
      </w:tr>
    </w:tbl>
    <w:p w14:paraId="7B6CC4D1" w14:textId="310B013E" w:rsidR="00856EBC" w:rsidRPr="00E80D3A" w:rsidRDefault="00856EBC" w:rsidP="00E80D3A">
      <w:pPr>
        <w:pStyle w:val="Body"/>
        <w:spacing w:before="240"/>
        <w:rPr>
          <w:rFonts w:ascii="Arial" w:hAnsi="Arial" w:cs="Arial"/>
          <w:b/>
          <w:caps/>
          <w:sz w:val="22"/>
        </w:rPr>
      </w:pPr>
      <w:bookmarkStart w:id="3" w:name="_Hlk134190236"/>
      <w:bookmarkEnd w:id="2"/>
      <w:r>
        <w:rPr>
          <w:rFonts w:ascii="Arial" w:hAnsi="Arial" w:cs="Arial"/>
          <w:b/>
          <w:sz w:val="22"/>
        </w:rPr>
        <w:t xml:space="preserve">3.1 </w:t>
      </w:r>
      <w:proofErr w:type="spellStart"/>
      <w:r>
        <w:rPr>
          <w:rFonts w:ascii="Arial" w:hAnsi="Arial" w:cs="Arial"/>
          <w:b/>
          <w:sz w:val="22"/>
        </w:rPr>
        <w:t>C</w:t>
      </w:r>
      <w:r w:rsidRPr="00856EBC">
        <w:rPr>
          <w:rFonts w:ascii="Arial" w:hAnsi="Arial" w:cs="Arial"/>
          <w:b/>
          <w:sz w:val="22"/>
        </w:rPr>
        <w:t>olour</w:t>
      </w:r>
      <w:proofErr w:type="spellEnd"/>
      <w:r w:rsidRPr="00856EBC">
        <w:rPr>
          <w:rFonts w:ascii="Arial" w:hAnsi="Arial" w:cs="Arial"/>
          <w:b/>
          <w:sz w:val="22"/>
        </w:rPr>
        <w:t xml:space="preserve"> values of goat and cow milk powders</w:t>
      </w:r>
    </w:p>
    <w:p w14:paraId="16C77FC3" w14:textId="2A9F1EB0" w:rsidR="00F23A18" w:rsidRPr="00F23A18" w:rsidRDefault="00F23A18" w:rsidP="00E80D3A">
      <w:pPr>
        <w:spacing w:line="480" w:lineRule="auto"/>
        <w:jc w:val="both"/>
        <w:rPr>
          <w:rFonts w:ascii="Arial" w:eastAsia="Calibri" w:hAnsi="Arial" w:cs="Arial"/>
          <w:szCs w:val="22"/>
        </w:rPr>
      </w:pPr>
      <w:r w:rsidRPr="00F23A18">
        <w:rPr>
          <w:rFonts w:ascii="Arial" w:eastAsia="Calibri" w:hAnsi="Arial" w:cs="Arial"/>
          <w:szCs w:val="22"/>
        </w:rPr>
        <w:t>L* value is the measure of lightness which varies between 0 and 100. The L* value was observed 95.74, 94.54 and 91.19 in GMP1, GMP2 and COM respectively. The L* value was determined between 94.22 to 96.81 in GMP1 and 92.88 to 95.64 in GMP2. The L* value in COM was observed 90.85 to 91.66. L* value of COM was found significantly (</w:t>
      </w:r>
      <w:r w:rsidR="00CB129A">
        <w:rPr>
          <w:rFonts w:ascii="Arial" w:eastAsia="Calibri" w:hAnsi="Arial" w:cs="Arial"/>
          <w:szCs w:val="22"/>
        </w:rPr>
        <w:t>P&lt;</w:t>
      </w:r>
      <w:r w:rsidRPr="00F23A18">
        <w:rPr>
          <w:rFonts w:ascii="Arial" w:eastAsia="Calibri" w:hAnsi="Arial" w:cs="Arial"/>
          <w:szCs w:val="22"/>
        </w:rPr>
        <w:t>0.05) lower than the GMP1 and GMP2. The non-significant (</w:t>
      </w:r>
      <w:r w:rsidR="00CB129A">
        <w:rPr>
          <w:rFonts w:ascii="Arial" w:eastAsia="Calibri" w:hAnsi="Arial" w:cs="Arial"/>
          <w:szCs w:val="22"/>
        </w:rPr>
        <w:t>P&gt;</w:t>
      </w:r>
      <w:r w:rsidRPr="00F23A18">
        <w:rPr>
          <w:rFonts w:ascii="Arial" w:eastAsia="Calibri" w:hAnsi="Arial" w:cs="Arial"/>
          <w:szCs w:val="22"/>
        </w:rPr>
        <w:t xml:space="preserve">0.05) difference was observed between the GMP1 and GMP2. The variation in L* value might be due to the modification of the particle size, different time and temperature combinations for heat treatment processes as well as variations in the types of technological equipment used by different plants (Lee et al., 1998; </w:t>
      </w:r>
      <w:proofErr w:type="spellStart"/>
      <w:r w:rsidRPr="00F23A18">
        <w:rPr>
          <w:rFonts w:ascii="Arial" w:eastAsia="Calibri" w:hAnsi="Arial" w:cs="Arial"/>
          <w:szCs w:val="22"/>
        </w:rPr>
        <w:t>Grigioni</w:t>
      </w:r>
      <w:proofErr w:type="spellEnd"/>
      <w:r w:rsidRPr="00F23A18">
        <w:rPr>
          <w:rFonts w:ascii="Arial" w:eastAsia="Calibri" w:hAnsi="Arial" w:cs="Arial"/>
          <w:szCs w:val="22"/>
        </w:rPr>
        <w:t xml:space="preserve"> et al., 2007). The L* value of milk powders is influenced by different parameters such as composition of raw milk, carotenoid content, riboflavin content, preheating, temperature of the inlet as well as outlet air, increased feed rates and time of contact between air powder particles. Pugliese et al., 2017 reported the L* value of whole milk powder from 93.00 to 96.49. L* value of goat milk powder was reported in various literature from 83.07 to 91.41 (Fonseca et al., 2011; Reddy, 2014; Oliveira et al., 2020). </w:t>
      </w:r>
      <w:proofErr w:type="spellStart"/>
      <w:r w:rsidRPr="00F23A18">
        <w:rPr>
          <w:rFonts w:ascii="Arial" w:eastAsia="Calibri" w:hAnsi="Arial" w:cs="Arial"/>
          <w:szCs w:val="22"/>
        </w:rPr>
        <w:t>Chudy</w:t>
      </w:r>
      <w:proofErr w:type="spellEnd"/>
      <w:r w:rsidRPr="00F23A18">
        <w:rPr>
          <w:rFonts w:ascii="Arial" w:eastAsia="Calibri" w:hAnsi="Arial" w:cs="Arial"/>
          <w:szCs w:val="22"/>
        </w:rPr>
        <w:t xml:space="preserve"> et al. (2015) and </w:t>
      </w:r>
      <w:proofErr w:type="spellStart"/>
      <w:r w:rsidRPr="00F23A18">
        <w:rPr>
          <w:rFonts w:ascii="Arial" w:eastAsia="Calibri" w:hAnsi="Arial" w:cs="Arial"/>
          <w:szCs w:val="22"/>
        </w:rPr>
        <w:t>Magan</w:t>
      </w:r>
      <w:proofErr w:type="spellEnd"/>
      <w:r w:rsidRPr="00F23A18">
        <w:rPr>
          <w:rFonts w:ascii="Arial" w:eastAsia="Calibri" w:hAnsi="Arial" w:cs="Arial"/>
          <w:szCs w:val="22"/>
        </w:rPr>
        <w:t xml:space="preserve"> et al. (2019) was found L* values from 93 to 93.5 for cow milk powder. </w:t>
      </w:r>
      <w:bookmarkStart w:id="4" w:name="_Hlk134263724"/>
    </w:p>
    <w:bookmarkEnd w:id="4"/>
    <w:p w14:paraId="7E7D1CCD" w14:textId="28645E5F" w:rsidR="00F23A18" w:rsidRPr="00F23A18" w:rsidRDefault="00F23A18" w:rsidP="00E80D3A">
      <w:pPr>
        <w:spacing w:line="480" w:lineRule="auto"/>
        <w:jc w:val="both"/>
        <w:rPr>
          <w:rFonts w:ascii="Arial" w:eastAsia="Calibri" w:hAnsi="Arial" w:cs="Arial"/>
          <w:szCs w:val="22"/>
        </w:rPr>
      </w:pPr>
      <w:r w:rsidRPr="00F23A18">
        <w:rPr>
          <w:rFonts w:ascii="Arial" w:eastAsia="Calibri" w:hAnsi="Arial" w:cs="Arial"/>
          <w:szCs w:val="22"/>
        </w:rPr>
        <w:t>The average a* value in GMP1, GMP2 and COM was observed -3.25, -3.30 and -3.90 respectively. The COM was found significantly (</w:t>
      </w:r>
      <w:r w:rsidR="00CB129A">
        <w:rPr>
          <w:rFonts w:ascii="Arial" w:eastAsia="Calibri" w:hAnsi="Arial" w:cs="Arial"/>
          <w:szCs w:val="22"/>
        </w:rPr>
        <w:t>P&lt;</w:t>
      </w:r>
      <w:r w:rsidRPr="00F23A18">
        <w:rPr>
          <w:rFonts w:ascii="Arial" w:eastAsia="Calibri" w:hAnsi="Arial" w:cs="Arial"/>
          <w:szCs w:val="22"/>
        </w:rPr>
        <w:t>0.05) higher in a* value with compared to GMP1 and GMP2. The non-significant (</w:t>
      </w:r>
      <w:r w:rsidR="00CB129A">
        <w:rPr>
          <w:rFonts w:ascii="Arial" w:eastAsia="Calibri" w:hAnsi="Arial" w:cs="Arial"/>
          <w:szCs w:val="22"/>
        </w:rPr>
        <w:t>P&gt;</w:t>
      </w:r>
      <w:r w:rsidRPr="00F23A18">
        <w:rPr>
          <w:rFonts w:ascii="Arial" w:eastAsia="Calibri" w:hAnsi="Arial" w:cs="Arial"/>
          <w:szCs w:val="22"/>
        </w:rPr>
        <w:t xml:space="preserve">0.05) difference was observed in a* value of GMP1 </w:t>
      </w:r>
      <w:r w:rsidRPr="00F23A18">
        <w:rPr>
          <w:rFonts w:ascii="Arial" w:eastAsia="Calibri" w:hAnsi="Arial" w:cs="Arial"/>
          <w:szCs w:val="22"/>
        </w:rPr>
        <w:lastRenderedPageBreak/>
        <w:t>and GMP2. The a* values of GMP1 varied from -3.10 to -3.42, -2.81 to -3.68 in GMP2 and in COM -3.49 to -4.26. The variation in a* value of goat milk powder and cow milk powder might be due to different heat treatments given to each powder. The a* value of milk powders is influenced by different compositions, species to species, carotenoid content, riboflavin content, the composition of raw milk, preheating, temperature of the inlet as well as outlet air, feeding rates and time of contact between air powder particles (</w:t>
      </w:r>
      <w:proofErr w:type="spellStart"/>
      <w:r w:rsidRPr="00F23A18">
        <w:rPr>
          <w:rFonts w:ascii="Arial" w:eastAsia="Calibri" w:hAnsi="Arial" w:cs="Arial"/>
          <w:szCs w:val="22"/>
        </w:rPr>
        <w:t>Bosset</w:t>
      </w:r>
      <w:proofErr w:type="spellEnd"/>
      <w:r w:rsidRPr="00F23A18">
        <w:rPr>
          <w:rFonts w:ascii="Arial" w:eastAsia="Calibri" w:hAnsi="Arial" w:cs="Arial"/>
          <w:szCs w:val="22"/>
        </w:rPr>
        <w:t xml:space="preserve"> et al., 1994; Lee et al., 1998; Popov et al., 2008). Pugliese et al. (2017) reported a* values from -1.43 to -2.15 in whole milk powder. The a* value was found -1.33 by Fonseca et al. (2011) in goat milk powder whereas Reddy (2013) and Oliveira et al. (2020) observed a* value between -1.88 to -3.46 in goat milk powder. </w:t>
      </w:r>
      <w:proofErr w:type="spellStart"/>
      <w:r w:rsidRPr="00F23A18">
        <w:rPr>
          <w:rFonts w:ascii="Arial" w:eastAsia="Calibri" w:hAnsi="Arial" w:cs="Arial"/>
          <w:szCs w:val="22"/>
        </w:rPr>
        <w:t>Magan</w:t>
      </w:r>
      <w:proofErr w:type="spellEnd"/>
      <w:r w:rsidRPr="00F23A18">
        <w:rPr>
          <w:rFonts w:ascii="Arial" w:eastAsia="Calibri" w:hAnsi="Arial" w:cs="Arial"/>
          <w:szCs w:val="22"/>
        </w:rPr>
        <w:t xml:space="preserve"> et al. (2019) reported a* value of -5.44 to -4.65 in cow milk powder. </w:t>
      </w:r>
    </w:p>
    <w:p w14:paraId="20C6D0D2" w14:textId="221AD77E" w:rsidR="00F23A18" w:rsidRPr="00F23A18" w:rsidRDefault="00F23A18" w:rsidP="00E80D3A">
      <w:pPr>
        <w:spacing w:line="480" w:lineRule="auto"/>
        <w:jc w:val="both"/>
        <w:rPr>
          <w:rFonts w:ascii="Arial" w:eastAsia="Calibri" w:hAnsi="Arial" w:cs="Arial"/>
          <w:szCs w:val="22"/>
        </w:rPr>
      </w:pPr>
      <w:r w:rsidRPr="00F23A18">
        <w:rPr>
          <w:rFonts w:ascii="Arial" w:eastAsia="Calibri" w:hAnsi="Arial" w:cs="Arial"/>
          <w:szCs w:val="22"/>
        </w:rPr>
        <w:t>The b* value of cow milk powder was observed significantly (</w:t>
      </w:r>
      <w:r w:rsidR="00CB129A">
        <w:rPr>
          <w:rFonts w:ascii="Arial" w:eastAsia="Calibri" w:hAnsi="Arial" w:cs="Arial"/>
          <w:szCs w:val="22"/>
        </w:rPr>
        <w:t>P&lt;</w:t>
      </w:r>
      <w:r w:rsidRPr="00F23A18">
        <w:rPr>
          <w:rFonts w:ascii="Arial" w:eastAsia="Calibri" w:hAnsi="Arial" w:cs="Arial"/>
          <w:szCs w:val="22"/>
        </w:rPr>
        <w:t xml:space="preserve">0.05) higher than the goat milk powder. The average b* value was observed 19.94, 11.43 and 13.01 in COM, GMP1 and GMP2 respectively. The b* value in COM was observed from 19.01 to 20.74 and in GMP1 from 10.05 to 13.23. b* value in GMP2 varied from 12.45 to 13.74. The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variation might be due to the interactions of many variables, the formation of brown pigments by Maillard reactions during the heat treatment, the concentration of the particles and pigments, concentrations of β-carotene, due to the moisture removal during evaporation and drying (</w:t>
      </w:r>
      <w:proofErr w:type="spellStart"/>
      <w:r w:rsidRPr="00F23A18">
        <w:rPr>
          <w:rFonts w:ascii="Arial" w:eastAsia="Calibri" w:hAnsi="Arial" w:cs="Arial"/>
          <w:szCs w:val="22"/>
        </w:rPr>
        <w:t>Bosset</w:t>
      </w:r>
      <w:proofErr w:type="spellEnd"/>
      <w:r w:rsidRPr="00F23A18">
        <w:rPr>
          <w:rFonts w:ascii="Arial" w:eastAsia="Calibri" w:hAnsi="Arial" w:cs="Arial"/>
          <w:szCs w:val="22"/>
        </w:rPr>
        <w:t xml:space="preserve"> et al., 1994; 1998; </w:t>
      </w:r>
      <w:proofErr w:type="spellStart"/>
      <w:r w:rsidRPr="00F23A18">
        <w:rPr>
          <w:rFonts w:ascii="Arial" w:eastAsia="Calibri" w:hAnsi="Arial" w:cs="Arial"/>
          <w:szCs w:val="22"/>
        </w:rPr>
        <w:t>Walstra</w:t>
      </w:r>
      <w:proofErr w:type="spellEnd"/>
      <w:r w:rsidRPr="00F23A18">
        <w:rPr>
          <w:rFonts w:ascii="Arial" w:eastAsia="Calibri" w:hAnsi="Arial" w:cs="Arial"/>
          <w:szCs w:val="22"/>
        </w:rPr>
        <w:t xml:space="preserve"> et al., 2005; Popov et al., 2008). Fonseca et al. (2011) and Oliveira et al. (2020) revealed the b* value of 8.74 to 13.91 in goat milk powder. Reddy (2013) also reported b* value from 9.46 to 10.57 for </w:t>
      </w:r>
      <w:proofErr w:type="spellStart"/>
      <w:r w:rsidRPr="00F23A18">
        <w:rPr>
          <w:rFonts w:ascii="Arial" w:eastAsia="Calibri" w:hAnsi="Arial" w:cs="Arial"/>
          <w:szCs w:val="22"/>
        </w:rPr>
        <w:t>Osmanabadi</w:t>
      </w:r>
      <w:proofErr w:type="spellEnd"/>
      <w:r w:rsidRPr="00F23A18">
        <w:rPr>
          <w:rFonts w:ascii="Arial" w:eastAsia="Calibri" w:hAnsi="Arial" w:cs="Arial"/>
          <w:szCs w:val="22"/>
        </w:rPr>
        <w:t xml:space="preserve"> goat milk powder. Pugliese et al. (2017) and Li et al. (2019) reported the b* value from 13.70 to 15.03 b* value in whole milk powder. </w:t>
      </w:r>
      <w:proofErr w:type="spellStart"/>
      <w:r w:rsidRPr="00F23A18">
        <w:rPr>
          <w:rFonts w:ascii="Arial" w:eastAsia="Calibri" w:hAnsi="Arial" w:cs="Arial"/>
          <w:szCs w:val="22"/>
        </w:rPr>
        <w:t>Magan</w:t>
      </w:r>
      <w:proofErr w:type="spellEnd"/>
      <w:r w:rsidRPr="00F23A18">
        <w:rPr>
          <w:rFonts w:ascii="Arial" w:eastAsia="Calibri" w:hAnsi="Arial" w:cs="Arial"/>
          <w:szCs w:val="22"/>
        </w:rPr>
        <w:t xml:space="preserve"> et al. (2019) reported the b* value of 15.00 to 18.50 in cow milk powder. </w:t>
      </w:r>
    </w:p>
    <w:p w14:paraId="0645D4F2" w14:textId="2A104FAB" w:rsidR="00F23A18" w:rsidRPr="00F23A18" w:rsidRDefault="00F23A18" w:rsidP="00E80D3A">
      <w:pPr>
        <w:spacing w:line="480" w:lineRule="auto"/>
        <w:jc w:val="both"/>
        <w:rPr>
          <w:rFonts w:ascii="Arial" w:eastAsia="Calibri" w:hAnsi="Arial" w:cs="Arial"/>
          <w:szCs w:val="22"/>
        </w:rPr>
      </w:pPr>
      <w:r w:rsidRPr="00F23A18">
        <w:rPr>
          <w:rFonts w:ascii="Arial" w:eastAsia="Calibri" w:hAnsi="Arial" w:cs="Arial"/>
          <w:szCs w:val="22"/>
        </w:rPr>
        <w:t>The browning index of GMP1 and GMP2 was 9.81 and 11.70 whereas 20.54 of COM. The browning index of cow milk powder was found significantly (</w:t>
      </w:r>
      <w:r w:rsidR="00CB129A">
        <w:rPr>
          <w:rFonts w:ascii="Arial" w:eastAsia="Calibri" w:hAnsi="Arial" w:cs="Arial"/>
          <w:szCs w:val="22"/>
        </w:rPr>
        <w:t>P&lt;</w:t>
      </w:r>
      <w:r w:rsidRPr="00F23A18">
        <w:rPr>
          <w:rFonts w:ascii="Arial" w:eastAsia="Calibri" w:hAnsi="Arial" w:cs="Arial"/>
          <w:szCs w:val="22"/>
        </w:rPr>
        <w:t xml:space="preserve">0.05) higher compared to goat milk powder samples. Browning index in GMP1 varied from 8.22 to 11.96, in GMP2 10.62 to 13.20, whereas in COM 18.91 to 21.85. The browning index of the sample is also influenced by the feed flow rate, droplet size, drying duration, evaporation rate, number of positive charge </w:t>
      </w:r>
      <w:r w:rsidRPr="00F23A18">
        <w:rPr>
          <w:rFonts w:ascii="Arial" w:eastAsia="Calibri" w:hAnsi="Arial" w:cs="Arial"/>
          <w:szCs w:val="22"/>
        </w:rPr>
        <w:lastRenderedPageBreak/>
        <w:t xml:space="preserve">amino acid present in milk, carotenoid, riboflavin, contact time of hot air with powder particles, sugar content and various chemical reactions. </w:t>
      </w:r>
      <w:bookmarkStart w:id="5" w:name="_Hlk134100415"/>
      <w:r w:rsidRPr="00F23A18">
        <w:rPr>
          <w:rFonts w:ascii="Arial" w:eastAsia="Calibri" w:hAnsi="Arial" w:cs="Arial"/>
          <w:szCs w:val="22"/>
        </w:rPr>
        <w:t>Oliveira et al. (2020)</w:t>
      </w:r>
      <w:bookmarkEnd w:id="5"/>
      <w:r w:rsidRPr="00F23A18">
        <w:rPr>
          <w:rFonts w:ascii="Arial" w:eastAsia="Calibri" w:hAnsi="Arial" w:cs="Arial"/>
          <w:szCs w:val="22"/>
        </w:rPr>
        <w:t xml:space="preserve"> found the browning index in goat milk powder from 9.02 to 12.63. </w:t>
      </w:r>
      <w:bookmarkStart w:id="6" w:name="_Hlk134001247"/>
      <w:r w:rsidRPr="00F23A18">
        <w:rPr>
          <w:rFonts w:ascii="Arial" w:eastAsia="Calibri" w:hAnsi="Arial" w:cs="Arial"/>
          <w:szCs w:val="22"/>
        </w:rPr>
        <w:t>Al-</w:t>
      </w:r>
      <w:proofErr w:type="spellStart"/>
      <w:r w:rsidRPr="00F23A18">
        <w:rPr>
          <w:rFonts w:ascii="Arial" w:eastAsia="Calibri" w:hAnsi="Arial" w:cs="Arial"/>
          <w:szCs w:val="22"/>
        </w:rPr>
        <w:t>Hilphy</w:t>
      </w:r>
      <w:proofErr w:type="spellEnd"/>
      <w:r w:rsidRPr="00F23A18">
        <w:rPr>
          <w:rFonts w:ascii="Arial" w:eastAsia="Calibri" w:hAnsi="Arial" w:cs="Arial"/>
          <w:szCs w:val="22"/>
        </w:rPr>
        <w:t xml:space="preserve"> et al. (2022) </w:t>
      </w:r>
      <w:bookmarkEnd w:id="6"/>
      <w:r w:rsidRPr="00F23A18">
        <w:rPr>
          <w:rFonts w:ascii="Arial" w:eastAsia="Calibri" w:hAnsi="Arial" w:cs="Arial"/>
          <w:szCs w:val="22"/>
        </w:rPr>
        <w:t xml:space="preserve">observed a browning index of 18.79 to 20.77 in unconcentrated milk and 8.22 to 28.11 in concentrated milk. </w:t>
      </w:r>
    </w:p>
    <w:p w14:paraId="4006F46C" w14:textId="6AFBDF47" w:rsidR="00F23A18" w:rsidRPr="00F23A18" w:rsidRDefault="00F23A18" w:rsidP="00E80D3A">
      <w:pPr>
        <w:spacing w:line="480" w:lineRule="auto"/>
        <w:jc w:val="both"/>
        <w:rPr>
          <w:rFonts w:ascii="Arial" w:eastAsia="Calibri" w:hAnsi="Arial" w:cs="Arial"/>
          <w:szCs w:val="22"/>
        </w:rPr>
      </w:pPr>
      <w:r w:rsidRPr="00F23A18">
        <w:rPr>
          <w:rFonts w:ascii="Arial" w:eastAsia="Calibri" w:hAnsi="Arial" w:cs="Arial"/>
          <w:szCs w:val="22"/>
        </w:rPr>
        <w:t>The average value of the yellowness index in GMP1, GMP2 and COM was found 17.02, 19.75 and 31.23. The yellowness index in COM was found significantly (</w:t>
      </w:r>
      <w:r w:rsidR="00CB129A">
        <w:rPr>
          <w:rFonts w:ascii="Arial" w:eastAsia="Calibri" w:hAnsi="Arial" w:cs="Arial"/>
          <w:szCs w:val="22"/>
        </w:rPr>
        <w:t>P&lt;</w:t>
      </w:r>
      <w:r w:rsidRPr="00F23A18">
        <w:rPr>
          <w:rFonts w:ascii="Arial" w:eastAsia="Calibri" w:hAnsi="Arial" w:cs="Arial"/>
          <w:szCs w:val="22"/>
        </w:rPr>
        <w:t>0.05) higher than the goat milk powder. A non-significant (</w:t>
      </w:r>
      <w:r w:rsidR="00CB129A">
        <w:rPr>
          <w:rFonts w:ascii="Arial" w:eastAsia="Calibri" w:hAnsi="Arial" w:cs="Arial"/>
          <w:szCs w:val="22"/>
        </w:rPr>
        <w:t>P&gt;</w:t>
      </w:r>
      <w:r w:rsidRPr="00F23A18">
        <w:rPr>
          <w:rFonts w:ascii="Arial" w:eastAsia="Calibri" w:hAnsi="Arial" w:cs="Arial"/>
          <w:szCs w:val="22"/>
        </w:rPr>
        <w:t xml:space="preserve">0.05) difference was found between the goat milk powder samples. Yellowness index in GMP1 varied from 14.84 to 20.06 and in GMP2 18.62 to 21.44. Yellowness index varied from 29.63 to 32.61 in COM. Variation in yellowness index between goat and cow milk powders indicates the variation in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compounds responsible for yellow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such as carotenoid as well as riboflavin. The water-soluble pigment </w:t>
      </w:r>
      <w:proofErr w:type="spellStart"/>
      <w:r w:rsidRPr="00F23A18">
        <w:rPr>
          <w:rFonts w:ascii="Arial" w:eastAsia="Calibri" w:hAnsi="Arial" w:cs="Arial"/>
          <w:szCs w:val="22"/>
        </w:rPr>
        <w:t>lactoflavin</w:t>
      </w:r>
      <w:proofErr w:type="spellEnd"/>
      <w:r w:rsidRPr="00F23A18">
        <w:rPr>
          <w:rFonts w:ascii="Arial" w:eastAsia="Calibri" w:hAnsi="Arial" w:cs="Arial"/>
          <w:szCs w:val="22"/>
        </w:rPr>
        <w:t xml:space="preserve">, which imparts a yellow </w:t>
      </w:r>
      <w:proofErr w:type="spellStart"/>
      <w:r w:rsidRPr="00F23A18">
        <w:rPr>
          <w:rFonts w:ascii="Arial" w:eastAsia="Calibri" w:hAnsi="Arial" w:cs="Arial"/>
          <w:szCs w:val="22"/>
        </w:rPr>
        <w:t>colour</w:t>
      </w:r>
      <w:proofErr w:type="spellEnd"/>
      <w:r w:rsidRPr="00F23A18">
        <w:rPr>
          <w:rFonts w:ascii="Arial" w:eastAsia="Calibri" w:hAnsi="Arial" w:cs="Arial"/>
          <w:szCs w:val="22"/>
        </w:rPr>
        <w:t xml:space="preserve"> with green fluorescence to the milk generally known as riboflavin or vitamin B2 affects the yellowness of milk powder (Lee et al., 1998; Popov et al., 2008). According to Griffiths (2010) goat milk in contrast, contains no β-carotene only retinol and xanthophylls. Al-</w:t>
      </w:r>
      <w:proofErr w:type="spellStart"/>
      <w:r w:rsidRPr="00F23A18">
        <w:rPr>
          <w:rFonts w:ascii="Arial" w:eastAsia="Calibri" w:hAnsi="Arial" w:cs="Arial"/>
          <w:szCs w:val="22"/>
        </w:rPr>
        <w:t>Hilphy</w:t>
      </w:r>
      <w:proofErr w:type="spellEnd"/>
      <w:r w:rsidRPr="00F23A18">
        <w:rPr>
          <w:rFonts w:ascii="Arial" w:eastAsia="Calibri" w:hAnsi="Arial" w:cs="Arial"/>
          <w:szCs w:val="22"/>
        </w:rPr>
        <w:t xml:space="preserve"> et al. (2022) reported yellowness index in concentrated and unconcentrated milk 15.61 to 20.09 and 32.95 to 33.29 respectively. </w:t>
      </w:r>
    </w:p>
    <w:p w14:paraId="65DBA906" w14:textId="6DBCCF9C" w:rsidR="00F23A18" w:rsidRPr="00F23A18" w:rsidRDefault="00F23A18" w:rsidP="00E80D3A">
      <w:pPr>
        <w:spacing w:line="480" w:lineRule="auto"/>
        <w:jc w:val="both"/>
        <w:rPr>
          <w:rFonts w:ascii="Arial" w:eastAsia="Calibri" w:hAnsi="Arial" w:cs="Arial"/>
          <w:szCs w:val="22"/>
        </w:rPr>
      </w:pPr>
      <w:r w:rsidRPr="00F23A18">
        <w:rPr>
          <w:rFonts w:ascii="Arial" w:eastAsia="Calibri" w:hAnsi="Arial" w:cs="Arial"/>
          <w:szCs w:val="22"/>
        </w:rPr>
        <w:t>The cow milk powder was found significantly (</w:t>
      </w:r>
      <w:r w:rsidR="00CB129A">
        <w:rPr>
          <w:rFonts w:ascii="Arial" w:eastAsia="Calibri" w:hAnsi="Arial" w:cs="Arial"/>
          <w:szCs w:val="22"/>
        </w:rPr>
        <w:t>P&lt;</w:t>
      </w:r>
      <w:r w:rsidRPr="00F23A18">
        <w:rPr>
          <w:rFonts w:ascii="Arial" w:eastAsia="Calibri" w:hAnsi="Arial" w:cs="Arial"/>
          <w:szCs w:val="22"/>
        </w:rPr>
        <w:t>0.05) lower in the whiteness index than goat milk powders. The mean value of the whiteness index for samples COM, GMP1 and GMP2 were 77.85, 87.35 and 85.49 respectively. Variations in the whiteness index of goat and cow milk powders might be due to different time and temperature combinations for heat treatment processes. The whiteness index of milk powders is influenced by different parameters such as chemical reactions between the components, temperature of the inlet as well as outlet air, time of contact between air powder particles. Al-</w:t>
      </w:r>
      <w:proofErr w:type="spellStart"/>
      <w:r w:rsidRPr="00F23A18">
        <w:rPr>
          <w:rFonts w:ascii="Arial" w:eastAsia="Calibri" w:hAnsi="Arial" w:cs="Arial"/>
          <w:szCs w:val="22"/>
        </w:rPr>
        <w:t>Hilphy</w:t>
      </w:r>
      <w:proofErr w:type="spellEnd"/>
      <w:r w:rsidRPr="00F23A18">
        <w:rPr>
          <w:rFonts w:ascii="Arial" w:eastAsia="Calibri" w:hAnsi="Arial" w:cs="Arial"/>
          <w:szCs w:val="22"/>
        </w:rPr>
        <w:t xml:space="preserve"> et al. (2022) observed a whiteness index of 62.27 to 63.30 for unconcentrated milk and 66.41 to 74.26 for concentrated milk. </w:t>
      </w:r>
    </w:p>
    <w:p w14:paraId="3B6921B2" w14:textId="4E3C2644" w:rsidR="004C1966" w:rsidRPr="00F23A18" w:rsidRDefault="00F23A18" w:rsidP="00E80D3A">
      <w:pPr>
        <w:spacing w:line="480" w:lineRule="auto"/>
        <w:jc w:val="both"/>
        <w:rPr>
          <w:rFonts w:ascii="Arial" w:eastAsia="Calibri" w:hAnsi="Arial" w:cs="Arial"/>
          <w:szCs w:val="22"/>
        </w:rPr>
      </w:pPr>
      <w:r w:rsidRPr="00F23A18">
        <w:rPr>
          <w:rFonts w:ascii="Arial" w:eastAsia="Calibri" w:hAnsi="Arial" w:cs="Arial"/>
          <w:szCs w:val="22"/>
        </w:rPr>
        <w:t>The significant (</w:t>
      </w:r>
      <w:r w:rsidR="00CB129A">
        <w:rPr>
          <w:rFonts w:ascii="Arial" w:eastAsia="Calibri" w:hAnsi="Arial" w:cs="Arial"/>
          <w:szCs w:val="22"/>
        </w:rPr>
        <w:t>P&lt;</w:t>
      </w:r>
      <w:r w:rsidRPr="00F23A18">
        <w:rPr>
          <w:rFonts w:ascii="Arial" w:eastAsia="Calibri" w:hAnsi="Arial" w:cs="Arial"/>
          <w:szCs w:val="22"/>
        </w:rPr>
        <w:t>0.05) difference was observed in the C* value of all the powder samples. Cow milk powder was found significantly (</w:t>
      </w:r>
      <w:r w:rsidR="00CB129A">
        <w:rPr>
          <w:rFonts w:ascii="Arial" w:eastAsia="Calibri" w:hAnsi="Arial" w:cs="Arial"/>
          <w:szCs w:val="22"/>
        </w:rPr>
        <w:t>P&lt;</w:t>
      </w:r>
      <w:r w:rsidRPr="00F23A18">
        <w:rPr>
          <w:rFonts w:ascii="Arial" w:eastAsia="Calibri" w:hAnsi="Arial" w:cs="Arial"/>
          <w:szCs w:val="22"/>
        </w:rPr>
        <w:t xml:space="preserve">0.05) higher than both goat milk powders. The C* value was observed in GMP1 10.96, in GMP2 13.09 and 21.10. Moreover, this could be </w:t>
      </w:r>
      <w:r w:rsidRPr="00F23A18">
        <w:rPr>
          <w:rFonts w:ascii="Arial" w:eastAsia="Calibri" w:hAnsi="Arial" w:cs="Arial"/>
          <w:szCs w:val="22"/>
        </w:rPr>
        <w:lastRenderedPageBreak/>
        <w:t>due to higher yellowness and less lightness of cow milk powder. Al-</w:t>
      </w:r>
      <w:proofErr w:type="spellStart"/>
      <w:r w:rsidRPr="00F23A18">
        <w:rPr>
          <w:rFonts w:ascii="Arial" w:eastAsia="Calibri" w:hAnsi="Arial" w:cs="Arial"/>
          <w:szCs w:val="22"/>
        </w:rPr>
        <w:t>Hilphy</w:t>
      </w:r>
      <w:proofErr w:type="spellEnd"/>
      <w:r w:rsidRPr="00F23A18">
        <w:rPr>
          <w:rFonts w:ascii="Arial" w:eastAsia="Calibri" w:hAnsi="Arial" w:cs="Arial"/>
          <w:szCs w:val="22"/>
        </w:rPr>
        <w:t xml:space="preserve"> et al. (2022) observed C* values of 15.19 to 16.15 in unconcentrated milk whereas 7.20 to 20.12 in concentrated milk. </w:t>
      </w:r>
    </w:p>
    <w:p w14:paraId="2D2D06A6" w14:textId="5CD838C3" w:rsidR="004C1966" w:rsidRPr="00856EBC" w:rsidRDefault="004C1966" w:rsidP="00E80D3A">
      <w:pPr>
        <w:tabs>
          <w:tab w:val="left" w:pos="1080"/>
        </w:tabs>
        <w:spacing w:after="240"/>
        <w:jc w:val="both"/>
        <w:rPr>
          <w:rFonts w:ascii="Arial" w:hAnsi="Arial"/>
          <w:b/>
        </w:rPr>
      </w:pPr>
      <w:r>
        <w:rPr>
          <w:rFonts w:ascii="Arial" w:hAnsi="Arial"/>
          <w:b/>
        </w:rPr>
        <w:t>Table 3.</w:t>
      </w:r>
      <w:r>
        <w:rPr>
          <w:rFonts w:ascii="Arial" w:hAnsi="Arial"/>
          <w:b/>
        </w:rPr>
        <w:tab/>
      </w:r>
      <w:proofErr w:type="spellStart"/>
      <w:r w:rsidR="00F23A18" w:rsidRPr="00856EBC">
        <w:rPr>
          <w:rFonts w:ascii="Arial" w:hAnsi="Arial"/>
          <w:b/>
        </w:rPr>
        <w:t>Colour</w:t>
      </w:r>
      <w:proofErr w:type="spellEnd"/>
      <w:r w:rsidR="00F23A18" w:rsidRPr="00856EBC">
        <w:rPr>
          <w:rFonts w:ascii="Arial" w:hAnsi="Arial"/>
          <w:b/>
        </w:rPr>
        <w:t xml:space="preserve"> values of goat and cow milk powders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1035"/>
        <w:gridCol w:w="950"/>
        <w:gridCol w:w="1035"/>
        <w:gridCol w:w="1035"/>
        <w:gridCol w:w="1035"/>
        <w:gridCol w:w="1035"/>
        <w:gridCol w:w="1035"/>
      </w:tblGrid>
      <w:tr w:rsidR="00F23A18" w:rsidRPr="004C1966" w14:paraId="035F5873" w14:textId="77777777" w:rsidTr="00E80D3A">
        <w:tc>
          <w:tcPr>
            <w:tcW w:w="639" w:type="pct"/>
            <w:tcBorders>
              <w:top w:val="single" w:sz="4" w:space="0" w:color="auto"/>
              <w:bottom w:val="single" w:sz="4" w:space="0" w:color="auto"/>
            </w:tcBorders>
            <w:vAlign w:val="center"/>
          </w:tcPr>
          <w:p w14:paraId="3364D6C3" w14:textId="77777777" w:rsidR="00F23A18" w:rsidRPr="004C1966" w:rsidRDefault="00F23A18" w:rsidP="00ED53B7">
            <w:pPr>
              <w:spacing w:line="360" w:lineRule="auto"/>
              <w:jc w:val="center"/>
              <w:rPr>
                <w:rFonts w:ascii="Arial" w:hAnsi="Arial" w:cs="Arial"/>
                <w:sz w:val="18"/>
              </w:rPr>
            </w:pPr>
            <w:bookmarkStart w:id="7" w:name="_Hlk138778694"/>
            <w:r w:rsidRPr="004C1966">
              <w:rPr>
                <w:rFonts w:ascii="Arial" w:hAnsi="Arial" w:cs="Arial"/>
                <w:sz w:val="18"/>
              </w:rPr>
              <w:t>Parameters/</w:t>
            </w:r>
          </w:p>
          <w:p w14:paraId="3E8FC31E"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Sample</w:t>
            </w:r>
          </w:p>
        </w:tc>
        <w:tc>
          <w:tcPr>
            <w:tcW w:w="631" w:type="pct"/>
            <w:tcBorders>
              <w:top w:val="single" w:sz="4" w:space="0" w:color="auto"/>
              <w:bottom w:val="single" w:sz="4" w:space="0" w:color="auto"/>
            </w:tcBorders>
            <w:vAlign w:val="center"/>
          </w:tcPr>
          <w:p w14:paraId="2C3D2C4B"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L* value</w:t>
            </w:r>
          </w:p>
        </w:tc>
        <w:tc>
          <w:tcPr>
            <w:tcW w:w="579" w:type="pct"/>
            <w:tcBorders>
              <w:top w:val="single" w:sz="4" w:space="0" w:color="auto"/>
              <w:bottom w:val="single" w:sz="4" w:space="0" w:color="auto"/>
            </w:tcBorders>
            <w:vAlign w:val="center"/>
          </w:tcPr>
          <w:p w14:paraId="41D8FD48"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a* value</w:t>
            </w:r>
          </w:p>
        </w:tc>
        <w:tc>
          <w:tcPr>
            <w:tcW w:w="630" w:type="pct"/>
            <w:tcBorders>
              <w:top w:val="single" w:sz="4" w:space="0" w:color="auto"/>
              <w:bottom w:val="single" w:sz="4" w:space="0" w:color="auto"/>
            </w:tcBorders>
            <w:vAlign w:val="center"/>
          </w:tcPr>
          <w:p w14:paraId="3C798A4C"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b* value</w:t>
            </w:r>
          </w:p>
        </w:tc>
        <w:tc>
          <w:tcPr>
            <w:tcW w:w="630" w:type="pct"/>
            <w:tcBorders>
              <w:top w:val="single" w:sz="4" w:space="0" w:color="auto"/>
              <w:bottom w:val="single" w:sz="4" w:space="0" w:color="auto"/>
            </w:tcBorders>
            <w:vAlign w:val="center"/>
          </w:tcPr>
          <w:p w14:paraId="1DBB68F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C* value</w:t>
            </w:r>
          </w:p>
        </w:tc>
        <w:tc>
          <w:tcPr>
            <w:tcW w:w="630" w:type="pct"/>
            <w:tcBorders>
              <w:top w:val="single" w:sz="4" w:space="0" w:color="auto"/>
              <w:bottom w:val="single" w:sz="4" w:space="0" w:color="auto"/>
            </w:tcBorders>
            <w:vAlign w:val="center"/>
          </w:tcPr>
          <w:p w14:paraId="39B6A00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Browning index</w:t>
            </w:r>
          </w:p>
        </w:tc>
        <w:tc>
          <w:tcPr>
            <w:tcW w:w="630" w:type="pct"/>
            <w:tcBorders>
              <w:top w:val="single" w:sz="4" w:space="0" w:color="auto"/>
              <w:bottom w:val="single" w:sz="4" w:space="0" w:color="auto"/>
            </w:tcBorders>
            <w:vAlign w:val="center"/>
          </w:tcPr>
          <w:p w14:paraId="2E25ED48"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Yellowness index</w:t>
            </w:r>
          </w:p>
        </w:tc>
        <w:tc>
          <w:tcPr>
            <w:tcW w:w="630" w:type="pct"/>
            <w:tcBorders>
              <w:top w:val="single" w:sz="4" w:space="0" w:color="auto"/>
              <w:bottom w:val="single" w:sz="4" w:space="0" w:color="auto"/>
            </w:tcBorders>
            <w:vAlign w:val="center"/>
          </w:tcPr>
          <w:p w14:paraId="000CBA9A"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Whiteness index</w:t>
            </w:r>
          </w:p>
        </w:tc>
      </w:tr>
      <w:tr w:rsidR="00F23A18" w:rsidRPr="004C1966" w14:paraId="1B057CB1" w14:textId="77777777" w:rsidTr="00E80D3A">
        <w:tc>
          <w:tcPr>
            <w:tcW w:w="639" w:type="pct"/>
            <w:tcBorders>
              <w:top w:val="single" w:sz="4" w:space="0" w:color="auto"/>
            </w:tcBorders>
            <w:vAlign w:val="center"/>
          </w:tcPr>
          <w:p w14:paraId="7BD0F796"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GMP1</w:t>
            </w:r>
          </w:p>
        </w:tc>
        <w:tc>
          <w:tcPr>
            <w:tcW w:w="631" w:type="pct"/>
            <w:tcBorders>
              <w:top w:val="single" w:sz="4" w:space="0" w:color="auto"/>
            </w:tcBorders>
            <w:vAlign w:val="center"/>
          </w:tcPr>
          <w:p w14:paraId="1AB72BC0"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95.74±1.22</w:t>
            </w:r>
            <w:r w:rsidRPr="004C1966">
              <w:rPr>
                <w:rFonts w:ascii="Arial" w:hAnsi="Arial" w:cs="Arial"/>
                <w:sz w:val="18"/>
                <w:vertAlign w:val="superscript"/>
              </w:rPr>
              <w:t>b</w:t>
            </w:r>
          </w:p>
        </w:tc>
        <w:tc>
          <w:tcPr>
            <w:tcW w:w="579" w:type="pct"/>
            <w:tcBorders>
              <w:top w:val="single" w:sz="4" w:space="0" w:color="auto"/>
            </w:tcBorders>
            <w:vAlign w:val="center"/>
          </w:tcPr>
          <w:p w14:paraId="00162890" w14:textId="77777777" w:rsidR="00F23A18" w:rsidRPr="004C1966" w:rsidRDefault="004C1966" w:rsidP="00ED53B7">
            <w:pPr>
              <w:spacing w:line="360" w:lineRule="auto"/>
              <w:jc w:val="center"/>
              <w:rPr>
                <w:rFonts w:ascii="Arial" w:hAnsi="Arial" w:cs="Arial"/>
                <w:sz w:val="18"/>
              </w:rPr>
            </w:pPr>
            <w:r>
              <w:rPr>
                <w:rFonts w:ascii="Arial" w:hAnsi="Arial" w:cs="Arial"/>
                <w:sz w:val="18"/>
              </w:rPr>
              <w:t>-</w:t>
            </w:r>
            <w:r w:rsidR="00F23A18" w:rsidRPr="004C1966">
              <w:rPr>
                <w:rFonts w:ascii="Arial" w:hAnsi="Arial" w:cs="Arial"/>
                <w:sz w:val="18"/>
              </w:rPr>
              <w:t>3.25±0.12</w:t>
            </w:r>
            <w:r w:rsidR="00F23A18" w:rsidRPr="004C1966">
              <w:rPr>
                <w:rFonts w:ascii="Arial" w:hAnsi="Arial" w:cs="Arial"/>
                <w:sz w:val="18"/>
                <w:vertAlign w:val="superscript"/>
              </w:rPr>
              <w:t>b</w:t>
            </w:r>
          </w:p>
        </w:tc>
        <w:tc>
          <w:tcPr>
            <w:tcW w:w="630" w:type="pct"/>
            <w:tcBorders>
              <w:top w:val="single" w:sz="4" w:space="0" w:color="auto"/>
            </w:tcBorders>
            <w:vAlign w:val="center"/>
          </w:tcPr>
          <w:p w14:paraId="6D1EDE8C"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11.43±1.47</w:t>
            </w:r>
            <w:r w:rsidRPr="004C1966">
              <w:rPr>
                <w:rFonts w:ascii="Arial" w:hAnsi="Arial" w:cs="Arial"/>
                <w:sz w:val="18"/>
                <w:vertAlign w:val="superscript"/>
              </w:rPr>
              <w:t>a</w:t>
            </w:r>
          </w:p>
        </w:tc>
        <w:tc>
          <w:tcPr>
            <w:tcW w:w="630" w:type="pct"/>
            <w:tcBorders>
              <w:top w:val="single" w:sz="4" w:space="0" w:color="auto"/>
            </w:tcBorders>
            <w:vAlign w:val="center"/>
          </w:tcPr>
          <w:p w14:paraId="544C9094"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10.96±0.35</w:t>
            </w:r>
            <w:r w:rsidRPr="004C1966">
              <w:rPr>
                <w:rFonts w:ascii="Arial" w:hAnsi="Arial" w:cs="Arial"/>
                <w:sz w:val="18"/>
                <w:vertAlign w:val="superscript"/>
              </w:rPr>
              <w:t>a</w:t>
            </w:r>
          </w:p>
        </w:tc>
        <w:tc>
          <w:tcPr>
            <w:tcW w:w="630" w:type="pct"/>
            <w:tcBorders>
              <w:top w:val="single" w:sz="4" w:space="0" w:color="auto"/>
            </w:tcBorders>
            <w:vAlign w:val="center"/>
          </w:tcPr>
          <w:p w14:paraId="18535EA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9.81±1.76</w:t>
            </w:r>
            <w:r w:rsidRPr="004C1966">
              <w:rPr>
                <w:rFonts w:ascii="Arial" w:hAnsi="Arial" w:cs="Arial"/>
                <w:sz w:val="18"/>
                <w:vertAlign w:val="superscript"/>
              </w:rPr>
              <w:t>a</w:t>
            </w:r>
          </w:p>
        </w:tc>
        <w:tc>
          <w:tcPr>
            <w:tcW w:w="630" w:type="pct"/>
            <w:tcBorders>
              <w:top w:val="single" w:sz="4" w:space="0" w:color="auto"/>
            </w:tcBorders>
            <w:vAlign w:val="center"/>
          </w:tcPr>
          <w:p w14:paraId="5162DAD3"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17.07±2.43</w:t>
            </w:r>
            <w:r w:rsidRPr="004C1966">
              <w:rPr>
                <w:rFonts w:ascii="Arial" w:hAnsi="Arial" w:cs="Arial"/>
                <w:sz w:val="18"/>
                <w:vertAlign w:val="superscript"/>
              </w:rPr>
              <w:t>a</w:t>
            </w:r>
          </w:p>
        </w:tc>
        <w:tc>
          <w:tcPr>
            <w:tcW w:w="630" w:type="pct"/>
            <w:tcBorders>
              <w:top w:val="single" w:sz="4" w:space="0" w:color="auto"/>
            </w:tcBorders>
            <w:vAlign w:val="center"/>
          </w:tcPr>
          <w:p w14:paraId="5871A64B"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87.35±1.77</w:t>
            </w:r>
            <w:r w:rsidRPr="004C1966">
              <w:rPr>
                <w:rFonts w:ascii="Arial" w:hAnsi="Arial" w:cs="Arial"/>
                <w:sz w:val="18"/>
                <w:vertAlign w:val="superscript"/>
              </w:rPr>
              <w:t>b</w:t>
            </w:r>
          </w:p>
        </w:tc>
      </w:tr>
      <w:tr w:rsidR="00F23A18" w:rsidRPr="004C1966" w14:paraId="4EEE08E9" w14:textId="77777777" w:rsidTr="00E80D3A">
        <w:tc>
          <w:tcPr>
            <w:tcW w:w="639" w:type="pct"/>
            <w:vAlign w:val="center"/>
          </w:tcPr>
          <w:p w14:paraId="3C8D45ED"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GMP2</w:t>
            </w:r>
          </w:p>
        </w:tc>
        <w:tc>
          <w:tcPr>
            <w:tcW w:w="631" w:type="pct"/>
            <w:vAlign w:val="center"/>
          </w:tcPr>
          <w:p w14:paraId="12C074B6"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94.54±1.28</w:t>
            </w:r>
            <w:r w:rsidRPr="004C1966">
              <w:rPr>
                <w:rFonts w:ascii="Arial" w:hAnsi="Arial" w:cs="Arial"/>
                <w:sz w:val="18"/>
                <w:vertAlign w:val="superscript"/>
              </w:rPr>
              <w:t>b</w:t>
            </w:r>
          </w:p>
        </w:tc>
        <w:tc>
          <w:tcPr>
            <w:tcW w:w="579" w:type="pct"/>
            <w:vAlign w:val="center"/>
          </w:tcPr>
          <w:p w14:paraId="7C4A14E6"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-3.30±0.40</w:t>
            </w:r>
            <w:r w:rsidRPr="004C1966">
              <w:rPr>
                <w:rFonts w:ascii="Arial" w:hAnsi="Arial" w:cs="Arial"/>
                <w:sz w:val="18"/>
                <w:vertAlign w:val="superscript"/>
              </w:rPr>
              <w:t>b</w:t>
            </w:r>
          </w:p>
        </w:tc>
        <w:tc>
          <w:tcPr>
            <w:tcW w:w="630" w:type="pct"/>
            <w:vAlign w:val="center"/>
          </w:tcPr>
          <w:p w14:paraId="4110B0E5"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13.01±0.58</w:t>
            </w:r>
            <w:r w:rsidRPr="004C1966">
              <w:rPr>
                <w:rFonts w:ascii="Arial" w:hAnsi="Arial" w:cs="Arial"/>
                <w:sz w:val="18"/>
                <w:vertAlign w:val="superscript"/>
              </w:rPr>
              <w:t>b</w:t>
            </w:r>
          </w:p>
        </w:tc>
        <w:tc>
          <w:tcPr>
            <w:tcW w:w="630" w:type="pct"/>
            <w:vAlign w:val="center"/>
          </w:tcPr>
          <w:p w14:paraId="385F060D"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13.09±0.24</w:t>
            </w:r>
            <w:r w:rsidRPr="004C1966">
              <w:rPr>
                <w:rFonts w:ascii="Arial" w:hAnsi="Arial" w:cs="Arial"/>
                <w:sz w:val="18"/>
                <w:vertAlign w:val="superscript"/>
              </w:rPr>
              <w:t>b</w:t>
            </w:r>
          </w:p>
        </w:tc>
        <w:tc>
          <w:tcPr>
            <w:tcW w:w="630" w:type="pct"/>
            <w:vAlign w:val="center"/>
          </w:tcPr>
          <w:p w14:paraId="3077F7CA"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11.70±1.18</w:t>
            </w:r>
            <w:r w:rsidRPr="004C1966">
              <w:rPr>
                <w:rFonts w:ascii="Arial" w:hAnsi="Arial" w:cs="Arial"/>
                <w:sz w:val="18"/>
                <w:vertAlign w:val="superscript"/>
              </w:rPr>
              <w:t>a</w:t>
            </w:r>
          </w:p>
        </w:tc>
        <w:tc>
          <w:tcPr>
            <w:tcW w:w="630" w:type="pct"/>
            <w:vAlign w:val="center"/>
          </w:tcPr>
          <w:p w14:paraId="0569DCC6"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19.75±1.26</w:t>
            </w:r>
            <w:r w:rsidRPr="004C1966">
              <w:rPr>
                <w:rFonts w:ascii="Arial" w:hAnsi="Arial" w:cs="Arial"/>
                <w:sz w:val="18"/>
                <w:vertAlign w:val="superscript"/>
              </w:rPr>
              <w:t>a</w:t>
            </w:r>
          </w:p>
        </w:tc>
        <w:tc>
          <w:tcPr>
            <w:tcW w:w="630" w:type="pct"/>
            <w:vAlign w:val="center"/>
          </w:tcPr>
          <w:p w14:paraId="494749FB"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85.49±0.89</w:t>
            </w:r>
            <w:r w:rsidRPr="004C1966">
              <w:rPr>
                <w:rFonts w:ascii="Arial" w:hAnsi="Arial" w:cs="Arial"/>
                <w:sz w:val="18"/>
                <w:vertAlign w:val="superscript"/>
              </w:rPr>
              <w:t>b</w:t>
            </w:r>
          </w:p>
        </w:tc>
      </w:tr>
      <w:tr w:rsidR="00F23A18" w:rsidRPr="004C1966" w14:paraId="4C655560" w14:textId="77777777" w:rsidTr="00E80D3A">
        <w:tc>
          <w:tcPr>
            <w:tcW w:w="639" w:type="pct"/>
            <w:vAlign w:val="center"/>
          </w:tcPr>
          <w:p w14:paraId="1CD8AD9C"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COM</w:t>
            </w:r>
          </w:p>
        </w:tc>
        <w:tc>
          <w:tcPr>
            <w:tcW w:w="631" w:type="pct"/>
            <w:vAlign w:val="center"/>
          </w:tcPr>
          <w:p w14:paraId="3F8900C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91.19±0.34</w:t>
            </w:r>
            <w:r w:rsidRPr="004C1966">
              <w:rPr>
                <w:rFonts w:ascii="Arial" w:hAnsi="Arial" w:cs="Arial"/>
                <w:sz w:val="18"/>
                <w:vertAlign w:val="superscript"/>
              </w:rPr>
              <w:t>a</w:t>
            </w:r>
          </w:p>
        </w:tc>
        <w:tc>
          <w:tcPr>
            <w:tcW w:w="579" w:type="pct"/>
            <w:vAlign w:val="center"/>
          </w:tcPr>
          <w:p w14:paraId="05EFBA99"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-3.90±0.30</w:t>
            </w:r>
            <w:r w:rsidRPr="004C1966">
              <w:rPr>
                <w:rFonts w:ascii="Arial" w:hAnsi="Arial" w:cs="Arial"/>
                <w:sz w:val="18"/>
                <w:vertAlign w:val="superscript"/>
              </w:rPr>
              <w:t>a</w:t>
            </w:r>
          </w:p>
        </w:tc>
        <w:tc>
          <w:tcPr>
            <w:tcW w:w="630" w:type="pct"/>
            <w:vAlign w:val="center"/>
          </w:tcPr>
          <w:p w14:paraId="58D62D10"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19.94±0.65</w:t>
            </w:r>
            <w:r w:rsidRPr="004C1966">
              <w:rPr>
                <w:rFonts w:ascii="Arial" w:hAnsi="Arial" w:cs="Arial"/>
                <w:sz w:val="18"/>
                <w:vertAlign w:val="superscript"/>
              </w:rPr>
              <w:t>c</w:t>
            </w:r>
          </w:p>
        </w:tc>
        <w:tc>
          <w:tcPr>
            <w:tcW w:w="630" w:type="pct"/>
            <w:vAlign w:val="center"/>
          </w:tcPr>
          <w:p w14:paraId="2B8BA278"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21.10±0.56</w:t>
            </w:r>
            <w:r w:rsidRPr="004C1966">
              <w:rPr>
                <w:rFonts w:ascii="Arial" w:hAnsi="Arial" w:cs="Arial"/>
                <w:sz w:val="18"/>
                <w:vertAlign w:val="superscript"/>
              </w:rPr>
              <w:t>c</w:t>
            </w:r>
          </w:p>
        </w:tc>
        <w:tc>
          <w:tcPr>
            <w:tcW w:w="630" w:type="pct"/>
            <w:vAlign w:val="center"/>
          </w:tcPr>
          <w:p w14:paraId="26E49F66"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20.54±1.16</w:t>
            </w:r>
            <w:r w:rsidRPr="004C1966">
              <w:rPr>
                <w:rFonts w:ascii="Arial" w:hAnsi="Arial" w:cs="Arial"/>
                <w:sz w:val="18"/>
                <w:vertAlign w:val="superscript"/>
              </w:rPr>
              <w:t>b</w:t>
            </w:r>
          </w:p>
        </w:tc>
        <w:tc>
          <w:tcPr>
            <w:tcW w:w="630" w:type="pct"/>
            <w:vAlign w:val="center"/>
          </w:tcPr>
          <w:p w14:paraId="2BC3E2AC"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31.23±1.13</w:t>
            </w:r>
            <w:r w:rsidRPr="004C1966">
              <w:rPr>
                <w:rFonts w:ascii="Arial" w:hAnsi="Arial" w:cs="Arial"/>
                <w:sz w:val="18"/>
                <w:vertAlign w:val="superscript"/>
              </w:rPr>
              <w:t>b</w:t>
            </w:r>
          </w:p>
        </w:tc>
        <w:tc>
          <w:tcPr>
            <w:tcW w:w="630" w:type="pct"/>
            <w:vAlign w:val="center"/>
          </w:tcPr>
          <w:p w14:paraId="14DBB96D" w14:textId="77777777" w:rsidR="00F23A18" w:rsidRPr="004C1966" w:rsidRDefault="00F23A18" w:rsidP="00ED53B7">
            <w:pPr>
              <w:spacing w:line="360" w:lineRule="auto"/>
              <w:jc w:val="center"/>
              <w:rPr>
                <w:rFonts w:ascii="Arial" w:hAnsi="Arial" w:cs="Arial"/>
                <w:sz w:val="18"/>
                <w:vertAlign w:val="superscript"/>
              </w:rPr>
            </w:pPr>
            <w:r w:rsidRPr="004C1966">
              <w:rPr>
                <w:rFonts w:ascii="Arial" w:hAnsi="Arial" w:cs="Arial"/>
                <w:sz w:val="18"/>
              </w:rPr>
              <w:t>77.85±0.67</w:t>
            </w:r>
            <w:r w:rsidRPr="004C1966">
              <w:rPr>
                <w:rFonts w:ascii="Arial" w:hAnsi="Arial" w:cs="Arial"/>
                <w:sz w:val="18"/>
                <w:vertAlign w:val="superscript"/>
              </w:rPr>
              <w:t>a</w:t>
            </w:r>
          </w:p>
        </w:tc>
      </w:tr>
      <w:tr w:rsidR="00F23A18" w:rsidRPr="004C1966" w14:paraId="29C1028C" w14:textId="77777777" w:rsidTr="00E80D3A">
        <w:tc>
          <w:tcPr>
            <w:tcW w:w="639" w:type="pct"/>
            <w:vAlign w:val="center"/>
          </w:tcPr>
          <w:p w14:paraId="6689285A" w14:textId="77777777" w:rsidR="00F23A18" w:rsidRPr="004C1966" w:rsidRDefault="00F23A18" w:rsidP="00ED53B7">
            <w:pPr>
              <w:spacing w:line="360" w:lineRule="auto"/>
              <w:jc w:val="center"/>
              <w:rPr>
                <w:rFonts w:ascii="Arial" w:hAnsi="Arial" w:cs="Arial"/>
                <w:sz w:val="18"/>
              </w:rPr>
            </w:pPr>
            <w:proofErr w:type="spellStart"/>
            <w:r w:rsidRPr="004C1966">
              <w:rPr>
                <w:rFonts w:ascii="Arial" w:hAnsi="Arial" w:cs="Arial"/>
                <w:sz w:val="18"/>
              </w:rPr>
              <w:t>SEm</w:t>
            </w:r>
            <w:proofErr w:type="spellEnd"/>
          </w:p>
        </w:tc>
        <w:tc>
          <w:tcPr>
            <w:tcW w:w="631" w:type="pct"/>
            <w:vAlign w:val="center"/>
          </w:tcPr>
          <w:p w14:paraId="36DDF4CA"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0.52</w:t>
            </w:r>
          </w:p>
        </w:tc>
        <w:tc>
          <w:tcPr>
            <w:tcW w:w="579" w:type="pct"/>
            <w:vAlign w:val="center"/>
          </w:tcPr>
          <w:p w14:paraId="7C04B90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0.15</w:t>
            </w:r>
          </w:p>
        </w:tc>
        <w:tc>
          <w:tcPr>
            <w:tcW w:w="630" w:type="pct"/>
            <w:vAlign w:val="center"/>
          </w:tcPr>
          <w:p w14:paraId="5C3B44F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0.49</w:t>
            </w:r>
          </w:p>
        </w:tc>
        <w:tc>
          <w:tcPr>
            <w:tcW w:w="630" w:type="pct"/>
            <w:vAlign w:val="center"/>
          </w:tcPr>
          <w:p w14:paraId="68D1A8A5"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0.20</w:t>
            </w:r>
          </w:p>
        </w:tc>
        <w:tc>
          <w:tcPr>
            <w:tcW w:w="630" w:type="pct"/>
            <w:vAlign w:val="center"/>
          </w:tcPr>
          <w:p w14:paraId="4E3FB7E1"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0.70</w:t>
            </w:r>
          </w:p>
        </w:tc>
        <w:tc>
          <w:tcPr>
            <w:tcW w:w="630" w:type="pct"/>
            <w:vAlign w:val="center"/>
          </w:tcPr>
          <w:p w14:paraId="7D7E08D4"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0.85</w:t>
            </w:r>
          </w:p>
        </w:tc>
        <w:tc>
          <w:tcPr>
            <w:tcW w:w="630" w:type="pct"/>
            <w:vAlign w:val="center"/>
          </w:tcPr>
          <w:p w14:paraId="6725A1E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0.60</w:t>
            </w:r>
          </w:p>
        </w:tc>
      </w:tr>
      <w:tr w:rsidR="00F23A18" w:rsidRPr="004C1966" w14:paraId="2B8EBF09" w14:textId="77777777" w:rsidTr="00E80D3A">
        <w:tc>
          <w:tcPr>
            <w:tcW w:w="639" w:type="pct"/>
            <w:vAlign w:val="center"/>
          </w:tcPr>
          <w:p w14:paraId="6C8B705A"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CD</w:t>
            </w:r>
          </w:p>
        </w:tc>
        <w:tc>
          <w:tcPr>
            <w:tcW w:w="631" w:type="pct"/>
            <w:vAlign w:val="center"/>
          </w:tcPr>
          <w:p w14:paraId="3C620F14"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1.60</w:t>
            </w:r>
          </w:p>
        </w:tc>
        <w:tc>
          <w:tcPr>
            <w:tcW w:w="579" w:type="pct"/>
            <w:vAlign w:val="center"/>
          </w:tcPr>
          <w:p w14:paraId="18E938C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0.46</w:t>
            </w:r>
          </w:p>
        </w:tc>
        <w:tc>
          <w:tcPr>
            <w:tcW w:w="630" w:type="pct"/>
            <w:vAlign w:val="center"/>
          </w:tcPr>
          <w:p w14:paraId="4633DAD9"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1.52</w:t>
            </w:r>
          </w:p>
        </w:tc>
        <w:tc>
          <w:tcPr>
            <w:tcW w:w="630" w:type="pct"/>
            <w:vAlign w:val="center"/>
          </w:tcPr>
          <w:p w14:paraId="4E5F8548"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0.63</w:t>
            </w:r>
          </w:p>
        </w:tc>
        <w:tc>
          <w:tcPr>
            <w:tcW w:w="630" w:type="pct"/>
            <w:vAlign w:val="center"/>
          </w:tcPr>
          <w:p w14:paraId="4188FBD0"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2.15</w:t>
            </w:r>
          </w:p>
        </w:tc>
        <w:tc>
          <w:tcPr>
            <w:tcW w:w="630" w:type="pct"/>
            <w:vAlign w:val="center"/>
          </w:tcPr>
          <w:p w14:paraId="3F31408A"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2.63</w:t>
            </w:r>
          </w:p>
        </w:tc>
        <w:tc>
          <w:tcPr>
            <w:tcW w:w="630" w:type="pct"/>
            <w:vAlign w:val="center"/>
          </w:tcPr>
          <w:p w14:paraId="5F85D023"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1.86</w:t>
            </w:r>
          </w:p>
        </w:tc>
      </w:tr>
      <w:tr w:rsidR="00F23A18" w:rsidRPr="004C1966" w14:paraId="31798D38" w14:textId="77777777" w:rsidTr="00E80D3A">
        <w:tc>
          <w:tcPr>
            <w:tcW w:w="639" w:type="pct"/>
            <w:vAlign w:val="center"/>
          </w:tcPr>
          <w:p w14:paraId="1E437A76"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CV%</w:t>
            </w:r>
          </w:p>
        </w:tc>
        <w:tc>
          <w:tcPr>
            <w:tcW w:w="631" w:type="pct"/>
            <w:vAlign w:val="center"/>
          </w:tcPr>
          <w:p w14:paraId="1DBDD191"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1.24</w:t>
            </w:r>
          </w:p>
        </w:tc>
        <w:tc>
          <w:tcPr>
            <w:tcW w:w="579" w:type="pct"/>
            <w:vAlign w:val="center"/>
          </w:tcPr>
          <w:p w14:paraId="161D7335"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9.53</w:t>
            </w:r>
          </w:p>
        </w:tc>
        <w:tc>
          <w:tcPr>
            <w:tcW w:w="630" w:type="pct"/>
            <w:vAlign w:val="center"/>
          </w:tcPr>
          <w:p w14:paraId="02D96F55"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7.45</w:t>
            </w:r>
          </w:p>
        </w:tc>
        <w:tc>
          <w:tcPr>
            <w:tcW w:w="630" w:type="pct"/>
            <w:vAlign w:val="center"/>
          </w:tcPr>
          <w:p w14:paraId="6A90B065"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3.02</w:t>
            </w:r>
          </w:p>
        </w:tc>
        <w:tc>
          <w:tcPr>
            <w:tcW w:w="630" w:type="pct"/>
            <w:vAlign w:val="center"/>
          </w:tcPr>
          <w:p w14:paraId="4BCC0C74"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11.12</w:t>
            </w:r>
          </w:p>
        </w:tc>
        <w:tc>
          <w:tcPr>
            <w:tcW w:w="630" w:type="pct"/>
            <w:vAlign w:val="center"/>
          </w:tcPr>
          <w:p w14:paraId="6E068EFC"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8.42</w:t>
            </w:r>
          </w:p>
        </w:tc>
        <w:tc>
          <w:tcPr>
            <w:tcW w:w="630" w:type="pct"/>
            <w:vAlign w:val="center"/>
          </w:tcPr>
          <w:p w14:paraId="0CA85961"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1.62</w:t>
            </w:r>
          </w:p>
        </w:tc>
      </w:tr>
    </w:tbl>
    <w:bookmarkEnd w:id="7"/>
    <w:p w14:paraId="60E43F1E" w14:textId="0E1314DC" w:rsidR="00C44A4F" w:rsidRPr="004C2F3D" w:rsidRDefault="00C44A4F" w:rsidP="00856EBC">
      <w:pPr>
        <w:spacing w:line="360" w:lineRule="auto"/>
        <w:ind w:left="450" w:hanging="450"/>
        <w:jc w:val="both"/>
        <w:rPr>
          <w:rFonts w:ascii="Arial" w:hAnsi="Arial" w:cs="Arial"/>
          <w:i/>
          <w:sz w:val="18"/>
        </w:rPr>
      </w:pPr>
      <w:r w:rsidRPr="00C44A4F">
        <w:rPr>
          <w:rFonts w:ascii="Arial" w:hAnsi="Arial" w:cs="Arial"/>
          <w:i/>
          <w:sz w:val="18"/>
        </w:rPr>
        <w:t xml:space="preserve">*a-c: values with different letters between a row are significantly different at 5 % (i.e., </w:t>
      </w:r>
      <w:r w:rsidR="00CB129A">
        <w:rPr>
          <w:rFonts w:ascii="Arial" w:hAnsi="Arial" w:cs="Arial"/>
          <w:i/>
          <w:sz w:val="18"/>
        </w:rPr>
        <w:t>P&lt;</w:t>
      </w:r>
      <w:r w:rsidRPr="00C44A4F">
        <w:rPr>
          <w:rFonts w:ascii="Arial" w:hAnsi="Arial" w:cs="Arial"/>
          <w:i/>
          <w:sz w:val="18"/>
        </w:rPr>
        <w:t>0.05).</w:t>
      </w:r>
    </w:p>
    <w:p w14:paraId="1AE26BF7" w14:textId="789248F1" w:rsidR="00856EBC" w:rsidRPr="004C2F3D" w:rsidRDefault="00F23A18" w:rsidP="004C2F3D">
      <w:pPr>
        <w:pStyle w:val="Body"/>
        <w:rPr>
          <w:rFonts w:ascii="Arial" w:hAnsi="Arial" w:cs="Arial"/>
          <w:b/>
          <w:sz w:val="22"/>
        </w:rPr>
      </w:pPr>
      <w:r w:rsidRPr="00856EBC">
        <w:rPr>
          <w:rFonts w:ascii="Arial" w:hAnsi="Arial" w:cs="Arial"/>
          <w:b/>
          <w:sz w:val="22"/>
        </w:rPr>
        <w:t xml:space="preserve">3.2 Bulk density (tapped), Loose bulk density and Flowability of goat and cow milk powders </w:t>
      </w:r>
    </w:p>
    <w:p w14:paraId="7B549108" w14:textId="524F5CA8" w:rsidR="00F23A18" w:rsidRPr="00F23A18" w:rsidRDefault="00F23A18" w:rsidP="004C2F3D">
      <w:pPr>
        <w:spacing w:line="480" w:lineRule="auto"/>
        <w:jc w:val="both"/>
        <w:rPr>
          <w:rFonts w:ascii="Arial" w:eastAsia="Calibri" w:hAnsi="Arial" w:cs="Arial"/>
          <w:szCs w:val="22"/>
        </w:rPr>
      </w:pPr>
      <w:r w:rsidRPr="00F23A18">
        <w:rPr>
          <w:rFonts w:ascii="Arial" w:eastAsia="Calibri" w:hAnsi="Arial" w:cs="Arial"/>
          <w:szCs w:val="22"/>
        </w:rPr>
        <w:t>Bulk density is defined as the weight of milk powder per unit volume. The bulk density of cow milk powder was observed significantly higher (</w:t>
      </w:r>
      <w:r w:rsidR="00CB129A">
        <w:rPr>
          <w:rFonts w:ascii="Arial" w:eastAsia="Calibri" w:hAnsi="Arial" w:cs="Arial"/>
          <w:szCs w:val="22"/>
        </w:rPr>
        <w:t>P&lt;</w:t>
      </w:r>
      <w:r w:rsidRPr="00F23A18">
        <w:rPr>
          <w:rFonts w:ascii="Arial" w:eastAsia="Calibri" w:hAnsi="Arial" w:cs="Arial"/>
          <w:szCs w:val="22"/>
        </w:rPr>
        <w:t>0.05) than goat milk powders. The bulk density of both goat milk powder samples was found 0.39 g/ml whereas 0.49 g/ml was found in cow milk powder. The bulk density of GMP1 observed was from 0.31 to 0.46 g/ml whereas 0.30 to 0.45 g/ml was found in GMP2. The bulk density of COM ranged from 0.48 to 0.50 g/ml. The bulk density of milk powder is affected by particle size, occluded air and interstitial air of powder, denaturation of milk, feeding concentration, hot air temperature and packaging material used, etc. Reddy (2013) and Oliveira et al. (2020) reported bulk density of goat milk powder as 0.41 to 0.66 g/ml</w:t>
      </w:r>
      <w:bookmarkStart w:id="8" w:name="_Hlk134093946"/>
      <w:r w:rsidRPr="00F23A18">
        <w:rPr>
          <w:rFonts w:ascii="Arial" w:eastAsia="Calibri" w:hAnsi="Arial" w:cs="Arial"/>
          <w:szCs w:val="22"/>
        </w:rPr>
        <w:t xml:space="preserve">. Sulieman et al. (2014) reported bulk density of cow milk powder </w:t>
      </w:r>
      <w:r w:rsidRPr="00F23A18">
        <w:rPr>
          <w:rFonts w:ascii="Arial" w:eastAsia="Calibri" w:hAnsi="Arial" w:cs="Arial"/>
          <w:szCs w:val="22"/>
        </w:rPr>
        <w:lastRenderedPageBreak/>
        <w:t xml:space="preserve">of 0.43 to 0.51 g/ml. Pugliese et al. (2017) observed bulk density between 0.553 to 0.662 mg/ml. </w:t>
      </w:r>
      <w:bookmarkStart w:id="9" w:name="_Hlk134108395"/>
      <w:bookmarkEnd w:id="8"/>
    </w:p>
    <w:bookmarkEnd w:id="9"/>
    <w:p w14:paraId="764CE9D9" w14:textId="49C7D1BA" w:rsidR="00F23A18" w:rsidRPr="00F23A18" w:rsidRDefault="00F23A18" w:rsidP="004C2F3D">
      <w:pPr>
        <w:spacing w:line="480" w:lineRule="auto"/>
        <w:jc w:val="both"/>
        <w:rPr>
          <w:rFonts w:ascii="Arial" w:eastAsia="Calibri" w:hAnsi="Arial" w:cs="Arial"/>
          <w:szCs w:val="22"/>
        </w:rPr>
      </w:pPr>
      <w:r w:rsidRPr="00F23A18">
        <w:rPr>
          <w:rFonts w:ascii="Arial" w:eastAsia="Calibri" w:hAnsi="Arial" w:cs="Arial"/>
          <w:szCs w:val="22"/>
        </w:rPr>
        <w:t>The range of loose bulk density in GMP1 was 0.25 to 0.30 g/ml with a mean value of 0.28 g/ml and 0.26 to 0.30 g/ml with a mean value of 0.28 g/ml in GMP2.  Loose bulk density was observed between 0.36 and 0.49 g/ml with a mean value of 0.44 g/ml in COM. The loose bulk density of both goat milk powders was observed non-significantly (</w:t>
      </w:r>
      <w:r w:rsidR="00CB129A">
        <w:rPr>
          <w:rFonts w:ascii="Arial" w:eastAsia="Calibri" w:hAnsi="Arial" w:cs="Arial"/>
          <w:szCs w:val="22"/>
        </w:rPr>
        <w:t>P&gt;</w:t>
      </w:r>
      <w:r w:rsidRPr="00F23A18">
        <w:rPr>
          <w:rFonts w:ascii="Arial" w:eastAsia="Calibri" w:hAnsi="Arial" w:cs="Arial"/>
          <w:szCs w:val="22"/>
        </w:rPr>
        <w:t>0.05) different. The loose bulk density of cow milk powder was found significantly (</w:t>
      </w:r>
      <w:r w:rsidR="00CB129A">
        <w:rPr>
          <w:rFonts w:ascii="Arial" w:eastAsia="Calibri" w:hAnsi="Arial" w:cs="Arial"/>
          <w:szCs w:val="22"/>
        </w:rPr>
        <w:t>P&lt;</w:t>
      </w:r>
      <w:r w:rsidRPr="00F23A18">
        <w:rPr>
          <w:rFonts w:ascii="Arial" w:eastAsia="Calibri" w:hAnsi="Arial" w:cs="Arial"/>
          <w:szCs w:val="22"/>
        </w:rPr>
        <w:t xml:space="preserve">0.05) higher than goat milk powders. The variation between powders might be due to different processing parameters such as concentration of milk sample and different automizer used by a different manufacturer, particle size, occluded air content etc. Oliveira et al. (2020) and Reddy (2013) reported a loose bulk density of goat milk powder from 0.31 to 0.45 g/ml. Sulieman et al. (2014) reported a loose bulk density of 0.18 to 0.29 of cow milk powder. Loose bulk density in whole milk powder was reported between 0.396 to 0.480 mg/ml by Pugliese et al. (2017). </w:t>
      </w:r>
    </w:p>
    <w:p w14:paraId="7FB4131A" w14:textId="0EADFE2A" w:rsidR="00F23A18" w:rsidRPr="00F23A18" w:rsidRDefault="00F23A18" w:rsidP="004C2F3D">
      <w:pPr>
        <w:spacing w:line="480" w:lineRule="auto"/>
        <w:jc w:val="both"/>
        <w:rPr>
          <w:rFonts w:ascii="Arial" w:eastAsia="Calibri" w:hAnsi="Arial" w:cs="Arial"/>
          <w:szCs w:val="22"/>
        </w:rPr>
      </w:pPr>
      <w:r w:rsidRPr="00F23A18">
        <w:rPr>
          <w:rFonts w:ascii="Arial" w:eastAsia="Calibri" w:hAnsi="Arial" w:cs="Arial"/>
          <w:szCs w:val="22"/>
        </w:rPr>
        <w:t xml:space="preserve">The </w:t>
      </w:r>
      <w:proofErr w:type="spellStart"/>
      <w:r w:rsidRPr="00F23A18">
        <w:rPr>
          <w:rFonts w:ascii="Arial" w:eastAsia="Calibri" w:hAnsi="Arial" w:cs="Arial"/>
          <w:szCs w:val="22"/>
        </w:rPr>
        <w:t>Hausner</w:t>
      </w:r>
      <w:proofErr w:type="spellEnd"/>
      <w:r w:rsidRPr="00F23A18">
        <w:rPr>
          <w:rFonts w:ascii="Arial" w:eastAsia="Calibri" w:hAnsi="Arial" w:cs="Arial"/>
          <w:szCs w:val="22"/>
        </w:rPr>
        <w:t xml:space="preserve"> ratio of cow milk powder was observed significantly (</w:t>
      </w:r>
      <w:r w:rsidR="00CB129A">
        <w:rPr>
          <w:rFonts w:ascii="Arial" w:eastAsia="Calibri" w:hAnsi="Arial" w:cs="Arial"/>
          <w:szCs w:val="22"/>
        </w:rPr>
        <w:t>P&lt;</w:t>
      </w:r>
      <w:r w:rsidRPr="00F23A18">
        <w:rPr>
          <w:rFonts w:ascii="Arial" w:eastAsia="Calibri" w:hAnsi="Arial" w:cs="Arial"/>
          <w:szCs w:val="22"/>
        </w:rPr>
        <w:t xml:space="preserve">0.05) higher than both goat milk powder samples. The </w:t>
      </w:r>
      <w:proofErr w:type="spellStart"/>
      <w:r w:rsidRPr="00F23A18">
        <w:rPr>
          <w:rFonts w:ascii="Arial" w:eastAsia="Calibri" w:hAnsi="Arial" w:cs="Arial"/>
          <w:szCs w:val="22"/>
        </w:rPr>
        <w:t>Hausner</w:t>
      </w:r>
      <w:proofErr w:type="spellEnd"/>
      <w:r w:rsidRPr="00F23A18">
        <w:rPr>
          <w:rFonts w:ascii="Arial" w:eastAsia="Calibri" w:hAnsi="Arial" w:cs="Arial"/>
          <w:szCs w:val="22"/>
        </w:rPr>
        <w:t xml:space="preserve"> ratio of GMP1 and GMP2 was found 1.45 and 1.46 respectively, whereas 1.05 of COM. The </w:t>
      </w:r>
      <w:proofErr w:type="spellStart"/>
      <w:r w:rsidRPr="00F23A18">
        <w:rPr>
          <w:rFonts w:ascii="Arial" w:eastAsia="Calibri" w:hAnsi="Arial" w:cs="Arial"/>
          <w:szCs w:val="22"/>
        </w:rPr>
        <w:t>Hausner</w:t>
      </w:r>
      <w:proofErr w:type="spellEnd"/>
      <w:r w:rsidRPr="00F23A18">
        <w:rPr>
          <w:rFonts w:ascii="Arial" w:eastAsia="Calibri" w:hAnsi="Arial" w:cs="Arial"/>
          <w:szCs w:val="22"/>
        </w:rPr>
        <w:t xml:space="preserve"> ratio of GMP1 was found from 1.40 to 1.49 with a mean value of 1.45 whereas 1.42 to 1.50 with a mean value of 1.46 of GMP2. The </w:t>
      </w:r>
      <w:proofErr w:type="spellStart"/>
      <w:r w:rsidRPr="00F23A18">
        <w:rPr>
          <w:rFonts w:ascii="Arial" w:eastAsia="Calibri" w:hAnsi="Arial" w:cs="Arial"/>
          <w:szCs w:val="22"/>
        </w:rPr>
        <w:t>Hausner</w:t>
      </w:r>
      <w:proofErr w:type="spellEnd"/>
      <w:r w:rsidRPr="00F23A18">
        <w:rPr>
          <w:rFonts w:ascii="Arial" w:eastAsia="Calibri" w:hAnsi="Arial" w:cs="Arial"/>
          <w:szCs w:val="22"/>
        </w:rPr>
        <w:t xml:space="preserve"> ra</w:t>
      </w:r>
      <w:r w:rsidR="00A31BC0">
        <w:rPr>
          <w:rFonts w:ascii="Arial" w:eastAsia="Calibri" w:hAnsi="Arial" w:cs="Arial"/>
          <w:szCs w:val="22"/>
        </w:rPr>
        <w:t xml:space="preserve">tio of COM was observed between </w:t>
      </w:r>
      <w:r w:rsidRPr="00F23A18">
        <w:rPr>
          <w:rFonts w:ascii="Arial" w:eastAsia="Calibri" w:hAnsi="Arial" w:cs="Arial"/>
          <w:szCs w:val="22"/>
        </w:rPr>
        <w:t>1.03 to 1.07 with a mean value of 1.05. The variation between powders might be due to high surface fat composition, particle size and various processing treatments such as per cent concentration of milk sample (Kim et al., 2005). Powders that have larger particles size as well as less fines particles stand with good flowability because the large size particles have lower cohesiveness due to poor Van der Walls forces and less friction (</w:t>
      </w:r>
      <w:proofErr w:type="spellStart"/>
      <w:r w:rsidRPr="00F23A18">
        <w:rPr>
          <w:rFonts w:ascii="Arial" w:eastAsia="Calibri" w:hAnsi="Arial" w:cs="Arial"/>
          <w:szCs w:val="22"/>
        </w:rPr>
        <w:t>Ilari</w:t>
      </w:r>
      <w:proofErr w:type="spellEnd"/>
      <w:r w:rsidRPr="00F23A18">
        <w:rPr>
          <w:rFonts w:ascii="Arial" w:eastAsia="Calibri" w:hAnsi="Arial" w:cs="Arial"/>
          <w:szCs w:val="22"/>
        </w:rPr>
        <w:t xml:space="preserve"> and </w:t>
      </w:r>
      <w:proofErr w:type="spellStart"/>
      <w:r w:rsidRPr="00F23A18">
        <w:rPr>
          <w:rFonts w:ascii="Arial" w:eastAsia="Calibri" w:hAnsi="Arial" w:cs="Arial"/>
          <w:szCs w:val="22"/>
        </w:rPr>
        <w:t>Mekkaoui</w:t>
      </w:r>
      <w:proofErr w:type="spellEnd"/>
      <w:r w:rsidRPr="00F23A18">
        <w:rPr>
          <w:rFonts w:ascii="Arial" w:eastAsia="Calibri" w:hAnsi="Arial" w:cs="Arial"/>
          <w:szCs w:val="22"/>
        </w:rPr>
        <w:t xml:space="preserve"> 2005). The specification of </w:t>
      </w:r>
      <w:proofErr w:type="spellStart"/>
      <w:r w:rsidRPr="00F23A18">
        <w:rPr>
          <w:rFonts w:ascii="Arial" w:eastAsia="Calibri" w:hAnsi="Arial" w:cs="Arial"/>
          <w:szCs w:val="22"/>
        </w:rPr>
        <w:t>Hausner</w:t>
      </w:r>
      <w:proofErr w:type="spellEnd"/>
      <w:r w:rsidRPr="00F23A18">
        <w:rPr>
          <w:rFonts w:ascii="Arial" w:eastAsia="Calibri" w:hAnsi="Arial" w:cs="Arial"/>
          <w:szCs w:val="22"/>
        </w:rPr>
        <w:t xml:space="preserve"> ratio is given by European Pharmacopoeia, Council of Europe (2011). Reddy (2013) observed a </w:t>
      </w:r>
      <w:proofErr w:type="spellStart"/>
      <w:r w:rsidRPr="00F23A18">
        <w:rPr>
          <w:rFonts w:ascii="Arial" w:eastAsia="Calibri" w:hAnsi="Arial" w:cs="Arial"/>
          <w:szCs w:val="22"/>
        </w:rPr>
        <w:t>Hausner</w:t>
      </w:r>
      <w:proofErr w:type="spellEnd"/>
      <w:r w:rsidRPr="00F23A18">
        <w:rPr>
          <w:rFonts w:ascii="Arial" w:eastAsia="Calibri" w:hAnsi="Arial" w:cs="Arial"/>
          <w:szCs w:val="22"/>
        </w:rPr>
        <w:t xml:space="preserve"> ratio of 1.17 to 1.32 for goat milk powder. Sulieman et al. (2014) reported </w:t>
      </w:r>
      <w:proofErr w:type="spellStart"/>
      <w:r w:rsidRPr="00F23A18">
        <w:rPr>
          <w:rFonts w:ascii="Arial" w:eastAsia="Calibri" w:hAnsi="Arial" w:cs="Arial"/>
          <w:szCs w:val="22"/>
        </w:rPr>
        <w:t>Hausner</w:t>
      </w:r>
      <w:proofErr w:type="spellEnd"/>
      <w:r w:rsidRPr="00F23A18">
        <w:rPr>
          <w:rFonts w:ascii="Arial" w:eastAsia="Calibri" w:hAnsi="Arial" w:cs="Arial"/>
          <w:szCs w:val="22"/>
        </w:rPr>
        <w:t xml:space="preserve"> ratio for cow milk powder from 1.46 to 1.48. </w:t>
      </w:r>
      <w:bookmarkStart w:id="10" w:name="_Hlk134134133"/>
      <w:r w:rsidRPr="00F23A18">
        <w:rPr>
          <w:rFonts w:ascii="Arial" w:eastAsia="Calibri" w:hAnsi="Arial" w:cs="Arial"/>
          <w:szCs w:val="22"/>
        </w:rPr>
        <w:t xml:space="preserve">Pugliese et al. (2017) observed </w:t>
      </w:r>
      <w:proofErr w:type="spellStart"/>
      <w:r w:rsidRPr="00F23A18">
        <w:rPr>
          <w:rFonts w:ascii="Arial" w:eastAsia="Calibri" w:hAnsi="Arial" w:cs="Arial"/>
          <w:szCs w:val="22"/>
        </w:rPr>
        <w:t>Hausner</w:t>
      </w:r>
      <w:proofErr w:type="spellEnd"/>
      <w:r w:rsidRPr="00F23A18">
        <w:rPr>
          <w:rFonts w:ascii="Arial" w:eastAsia="Calibri" w:hAnsi="Arial" w:cs="Arial"/>
          <w:szCs w:val="22"/>
        </w:rPr>
        <w:t xml:space="preserve"> ratio of 1.38 to 1.41</w:t>
      </w:r>
      <w:bookmarkEnd w:id="10"/>
      <w:r w:rsidRPr="00F23A18">
        <w:rPr>
          <w:rFonts w:ascii="Arial" w:eastAsia="Calibri" w:hAnsi="Arial" w:cs="Arial"/>
          <w:szCs w:val="22"/>
        </w:rPr>
        <w:t xml:space="preserve"> for whole milk powders. The </w:t>
      </w:r>
      <w:proofErr w:type="spellStart"/>
      <w:r w:rsidRPr="00F23A18">
        <w:rPr>
          <w:rFonts w:ascii="Arial" w:eastAsia="Calibri" w:hAnsi="Arial" w:cs="Arial"/>
          <w:szCs w:val="22"/>
        </w:rPr>
        <w:t>Hausner</w:t>
      </w:r>
      <w:proofErr w:type="spellEnd"/>
      <w:r w:rsidRPr="00F23A18">
        <w:rPr>
          <w:rFonts w:ascii="Arial" w:eastAsia="Calibri" w:hAnsi="Arial" w:cs="Arial"/>
          <w:szCs w:val="22"/>
        </w:rPr>
        <w:t xml:space="preserve"> ratio of goat milk powder is 1.45 and 1.46 which </w:t>
      </w:r>
      <w:r w:rsidRPr="00F23A18">
        <w:rPr>
          <w:rFonts w:ascii="Arial" w:eastAsia="Calibri" w:hAnsi="Arial" w:cs="Arial"/>
          <w:szCs w:val="22"/>
        </w:rPr>
        <w:lastRenderedPageBreak/>
        <w:t>indicates that our powders flowability is comparably poor whereas the flowability of cow milk powder is excellent.</w:t>
      </w:r>
    </w:p>
    <w:p w14:paraId="56E18058" w14:textId="3ED1BE62" w:rsidR="00C44A4F" w:rsidRPr="00F23A18" w:rsidRDefault="00F23A18" w:rsidP="004C2F3D">
      <w:pPr>
        <w:spacing w:line="480" w:lineRule="auto"/>
        <w:jc w:val="both"/>
        <w:rPr>
          <w:rFonts w:ascii="Arial" w:eastAsia="Calibri" w:hAnsi="Arial" w:cs="Arial"/>
          <w:szCs w:val="22"/>
        </w:rPr>
      </w:pPr>
      <w:r w:rsidRPr="00F23A18">
        <w:rPr>
          <w:rFonts w:ascii="Arial" w:eastAsia="Calibri" w:hAnsi="Arial" w:cs="Arial"/>
          <w:szCs w:val="22"/>
        </w:rPr>
        <w:t xml:space="preserve">The average value of </w:t>
      </w:r>
      <w:proofErr w:type="spellStart"/>
      <w:r w:rsidRPr="00F23A18">
        <w:rPr>
          <w:rFonts w:ascii="Arial" w:eastAsia="Calibri" w:hAnsi="Arial" w:cs="Arial"/>
          <w:szCs w:val="22"/>
        </w:rPr>
        <w:t>Carr’s</w:t>
      </w:r>
      <w:proofErr w:type="spellEnd"/>
      <w:r w:rsidRPr="00F23A18">
        <w:rPr>
          <w:rFonts w:ascii="Arial" w:eastAsia="Calibri" w:hAnsi="Arial" w:cs="Arial"/>
          <w:szCs w:val="22"/>
        </w:rPr>
        <w:t xml:space="preserve"> index of GMP1, GMP2 and COM was found 31.05, 31.43 and 4.64 % respectively. </w:t>
      </w:r>
      <w:proofErr w:type="spellStart"/>
      <w:r w:rsidRPr="00F23A18">
        <w:rPr>
          <w:rFonts w:ascii="Arial" w:eastAsia="Calibri" w:hAnsi="Arial" w:cs="Arial"/>
          <w:szCs w:val="22"/>
        </w:rPr>
        <w:t>Carr’s</w:t>
      </w:r>
      <w:proofErr w:type="spellEnd"/>
      <w:r w:rsidRPr="00F23A18">
        <w:rPr>
          <w:rFonts w:ascii="Arial" w:eastAsia="Calibri" w:hAnsi="Arial" w:cs="Arial"/>
          <w:szCs w:val="22"/>
        </w:rPr>
        <w:t xml:space="preserve"> index of GMP1 was observed from 28.64 to 32.70, 29.46 to 32.07 of GMP2 and 3.44 to 6.25 per cent of COM. </w:t>
      </w:r>
      <w:proofErr w:type="spellStart"/>
      <w:r w:rsidRPr="00F23A18">
        <w:rPr>
          <w:rFonts w:ascii="Arial" w:eastAsia="Calibri" w:hAnsi="Arial" w:cs="Arial"/>
          <w:szCs w:val="22"/>
        </w:rPr>
        <w:t>Carr’s</w:t>
      </w:r>
      <w:proofErr w:type="spellEnd"/>
      <w:r w:rsidRPr="00F23A18">
        <w:rPr>
          <w:rFonts w:ascii="Arial" w:eastAsia="Calibri" w:hAnsi="Arial" w:cs="Arial"/>
          <w:szCs w:val="22"/>
        </w:rPr>
        <w:t xml:space="preserve"> index of sample COM was found significantly (</w:t>
      </w:r>
      <w:r w:rsidR="00CB129A">
        <w:rPr>
          <w:rFonts w:ascii="Arial" w:eastAsia="Calibri" w:hAnsi="Arial" w:cs="Arial"/>
          <w:szCs w:val="22"/>
        </w:rPr>
        <w:t>P&lt;</w:t>
      </w:r>
      <w:r w:rsidRPr="00F23A18">
        <w:rPr>
          <w:rFonts w:ascii="Arial" w:eastAsia="Calibri" w:hAnsi="Arial" w:cs="Arial"/>
          <w:szCs w:val="22"/>
        </w:rPr>
        <w:t xml:space="preserve">0.05) lowest compared to both goat milk powders. </w:t>
      </w:r>
      <w:proofErr w:type="spellStart"/>
      <w:r w:rsidRPr="00F23A18">
        <w:rPr>
          <w:rFonts w:ascii="Arial" w:eastAsia="Calibri" w:hAnsi="Arial" w:cs="Arial"/>
          <w:szCs w:val="22"/>
        </w:rPr>
        <w:t>Carr’s</w:t>
      </w:r>
      <w:proofErr w:type="spellEnd"/>
      <w:r w:rsidRPr="00F23A18">
        <w:rPr>
          <w:rFonts w:ascii="Arial" w:eastAsia="Calibri" w:hAnsi="Arial" w:cs="Arial"/>
          <w:szCs w:val="22"/>
        </w:rPr>
        <w:t xml:space="preserve"> index of goat and cow milk powders is affected by the size of particles, packaging material, </w:t>
      </w:r>
      <w:proofErr w:type="spellStart"/>
      <w:r w:rsidRPr="00F23A18">
        <w:rPr>
          <w:rFonts w:ascii="Arial" w:eastAsia="Calibri" w:hAnsi="Arial" w:cs="Arial"/>
          <w:szCs w:val="22"/>
        </w:rPr>
        <w:t>etc</w:t>
      </w:r>
      <w:proofErr w:type="spellEnd"/>
      <w:r w:rsidRPr="00F23A18">
        <w:rPr>
          <w:rFonts w:ascii="Arial" w:eastAsia="Calibri" w:hAnsi="Arial" w:cs="Arial"/>
          <w:szCs w:val="22"/>
        </w:rPr>
        <w:t xml:space="preserve"> (Kim et al., 2005; Reddy, 2013). The specification of </w:t>
      </w:r>
      <w:proofErr w:type="spellStart"/>
      <w:r w:rsidRPr="00F23A18">
        <w:rPr>
          <w:rFonts w:ascii="Arial" w:eastAsia="Calibri" w:hAnsi="Arial" w:cs="Arial"/>
          <w:szCs w:val="22"/>
        </w:rPr>
        <w:t>Carr’s</w:t>
      </w:r>
      <w:proofErr w:type="spellEnd"/>
      <w:r w:rsidRPr="00F23A18">
        <w:rPr>
          <w:rFonts w:ascii="Arial" w:eastAsia="Calibri" w:hAnsi="Arial" w:cs="Arial"/>
          <w:szCs w:val="22"/>
        </w:rPr>
        <w:t xml:space="preserve"> index is given by European Pharmacopoeia, Council of Europe (2011). Reddy (2013) reported </w:t>
      </w:r>
      <w:proofErr w:type="spellStart"/>
      <w:r w:rsidRPr="00F23A18">
        <w:rPr>
          <w:rFonts w:ascii="Arial" w:eastAsia="Calibri" w:hAnsi="Arial" w:cs="Arial"/>
          <w:szCs w:val="22"/>
        </w:rPr>
        <w:t>Carr’s</w:t>
      </w:r>
      <w:proofErr w:type="spellEnd"/>
      <w:r w:rsidRPr="00F23A18">
        <w:rPr>
          <w:rFonts w:ascii="Arial" w:eastAsia="Calibri" w:hAnsi="Arial" w:cs="Arial"/>
          <w:szCs w:val="22"/>
        </w:rPr>
        <w:t xml:space="preserve"> index 14.19 to 24.09 % for goat milk powder. Pugliese et al. (2017) reported </w:t>
      </w:r>
      <w:proofErr w:type="spellStart"/>
      <w:r w:rsidRPr="00F23A18">
        <w:rPr>
          <w:rFonts w:ascii="Arial" w:eastAsia="Calibri" w:hAnsi="Arial" w:cs="Arial"/>
          <w:szCs w:val="22"/>
        </w:rPr>
        <w:t>Carr’s</w:t>
      </w:r>
      <w:proofErr w:type="spellEnd"/>
      <w:r w:rsidRPr="00F23A18">
        <w:rPr>
          <w:rFonts w:ascii="Arial" w:eastAsia="Calibri" w:hAnsi="Arial" w:cs="Arial"/>
          <w:szCs w:val="22"/>
        </w:rPr>
        <w:t xml:space="preserve"> index for whole milk powders between 26.71 to 29.00 per cent. So, cow milk powder can be categorized as excellent flowable powder and both goat milk powder is having poor flowability.</w:t>
      </w:r>
    </w:p>
    <w:p w14:paraId="40D4A98A" w14:textId="7BE6824C" w:rsidR="004C1966" w:rsidRPr="004C2F3D" w:rsidRDefault="004C1966" w:rsidP="004C2F3D">
      <w:pPr>
        <w:tabs>
          <w:tab w:val="left" w:pos="1080"/>
        </w:tabs>
        <w:spacing w:after="240"/>
        <w:jc w:val="both"/>
        <w:rPr>
          <w:rFonts w:ascii="Arial" w:hAnsi="Arial"/>
          <w:b/>
        </w:rPr>
      </w:pPr>
      <w:r>
        <w:rPr>
          <w:rFonts w:ascii="Arial" w:hAnsi="Arial"/>
          <w:b/>
        </w:rPr>
        <w:t xml:space="preserve">Table </w:t>
      </w:r>
      <w:r w:rsidR="00F23A18" w:rsidRPr="00856EBC">
        <w:rPr>
          <w:rFonts w:ascii="Arial" w:hAnsi="Arial"/>
          <w:b/>
        </w:rPr>
        <w:t>4</w:t>
      </w:r>
      <w:r>
        <w:rPr>
          <w:rFonts w:ascii="Arial" w:hAnsi="Arial"/>
          <w:b/>
        </w:rPr>
        <w:t>.</w:t>
      </w:r>
      <w:r>
        <w:rPr>
          <w:rFonts w:ascii="Arial" w:hAnsi="Arial"/>
          <w:b/>
        </w:rPr>
        <w:tab/>
      </w:r>
      <w:r w:rsidR="00F23A18" w:rsidRPr="00856EBC">
        <w:rPr>
          <w:rFonts w:ascii="Arial" w:hAnsi="Arial"/>
          <w:b/>
        </w:rPr>
        <w:t xml:space="preserve"> Bulk density, Loose bulk density and Flowability of goat and cow milk powders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576"/>
        <w:gridCol w:w="1637"/>
        <w:gridCol w:w="1633"/>
        <w:gridCol w:w="1632"/>
      </w:tblGrid>
      <w:tr w:rsidR="00F23A18" w:rsidRPr="00F23A18" w14:paraId="39B7BABD" w14:textId="77777777" w:rsidTr="004C2F3D">
        <w:tc>
          <w:tcPr>
            <w:tcW w:w="1054" w:type="pct"/>
            <w:tcBorders>
              <w:top w:val="single" w:sz="4" w:space="0" w:color="auto"/>
              <w:bottom w:val="single" w:sz="4" w:space="0" w:color="auto"/>
            </w:tcBorders>
            <w:vAlign w:val="center"/>
          </w:tcPr>
          <w:p w14:paraId="3978DE24" w14:textId="77777777" w:rsidR="00F23A18" w:rsidRPr="00F23A18" w:rsidRDefault="00F23A18" w:rsidP="00C44A4F">
            <w:pPr>
              <w:jc w:val="center"/>
              <w:rPr>
                <w:rFonts w:ascii="Arial" w:hAnsi="Arial" w:cs="Arial"/>
                <w:sz w:val="20"/>
              </w:rPr>
            </w:pPr>
            <w:bookmarkStart w:id="11" w:name="_Hlk138778641"/>
            <w:r w:rsidRPr="00F23A18">
              <w:rPr>
                <w:rFonts w:ascii="Arial" w:hAnsi="Arial" w:cs="Arial"/>
                <w:sz w:val="20"/>
              </w:rPr>
              <w:t>Parameters/</w:t>
            </w:r>
          </w:p>
          <w:p w14:paraId="6CEECEBC" w14:textId="77777777" w:rsidR="00F23A18" w:rsidRPr="00F23A18" w:rsidRDefault="00F23A18" w:rsidP="00C44A4F">
            <w:pPr>
              <w:jc w:val="center"/>
              <w:rPr>
                <w:rFonts w:ascii="Arial" w:hAnsi="Arial" w:cs="Arial"/>
                <w:sz w:val="20"/>
              </w:rPr>
            </w:pPr>
            <w:r w:rsidRPr="00F23A18">
              <w:rPr>
                <w:rFonts w:ascii="Arial" w:hAnsi="Arial" w:cs="Arial"/>
                <w:sz w:val="20"/>
              </w:rPr>
              <w:t>Sample</w:t>
            </w:r>
          </w:p>
        </w:tc>
        <w:tc>
          <w:tcPr>
            <w:tcW w:w="960" w:type="pct"/>
            <w:tcBorders>
              <w:top w:val="single" w:sz="4" w:space="0" w:color="auto"/>
              <w:bottom w:val="single" w:sz="4" w:space="0" w:color="auto"/>
            </w:tcBorders>
            <w:vAlign w:val="center"/>
          </w:tcPr>
          <w:p w14:paraId="207E0353" w14:textId="77777777" w:rsidR="00F23A18" w:rsidRPr="00F23A18" w:rsidRDefault="00F23A18" w:rsidP="00C44A4F">
            <w:pPr>
              <w:jc w:val="center"/>
              <w:rPr>
                <w:rFonts w:ascii="Arial" w:hAnsi="Arial" w:cs="Arial"/>
                <w:sz w:val="20"/>
              </w:rPr>
            </w:pPr>
            <w:r w:rsidRPr="00F23A18">
              <w:rPr>
                <w:rFonts w:ascii="Arial" w:hAnsi="Arial" w:cs="Arial"/>
                <w:sz w:val="20"/>
              </w:rPr>
              <w:t>Bulk density (g/ml)</w:t>
            </w:r>
          </w:p>
        </w:tc>
        <w:tc>
          <w:tcPr>
            <w:tcW w:w="997" w:type="pct"/>
            <w:tcBorders>
              <w:top w:val="single" w:sz="4" w:space="0" w:color="auto"/>
              <w:bottom w:val="single" w:sz="4" w:space="0" w:color="auto"/>
            </w:tcBorders>
            <w:vAlign w:val="center"/>
          </w:tcPr>
          <w:p w14:paraId="1D5258E7" w14:textId="77777777" w:rsidR="00F23A18" w:rsidRPr="00F23A18" w:rsidRDefault="00F23A18" w:rsidP="00C44A4F">
            <w:pPr>
              <w:jc w:val="center"/>
              <w:rPr>
                <w:rFonts w:ascii="Arial" w:hAnsi="Arial" w:cs="Arial"/>
                <w:sz w:val="20"/>
              </w:rPr>
            </w:pPr>
            <w:r w:rsidRPr="00F23A18">
              <w:rPr>
                <w:rFonts w:ascii="Arial" w:hAnsi="Arial" w:cs="Arial"/>
                <w:sz w:val="20"/>
              </w:rPr>
              <w:t>Loose bulk density (g/ml)</w:t>
            </w:r>
          </w:p>
        </w:tc>
        <w:tc>
          <w:tcPr>
            <w:tcW w:w="995" w:type="pct"/>
            <w:tcBorders>
              <w:top w:val="single" w:sz="4" w:space="0" w:color="auto"/>
              <w:bottom w:val="single" w:sz="4" w:space="0" w:color="auto"/>
            </w:tcBorders>
            <w:vAlign w:val="center"/>
          </w:tcPr>
          <w:p w14:paraId="7B294FE9" w14:textId="77777777" w:rsidR="00F23A18" w:rsidRPr="00F23A18" w:rsidRDefault="00F23A18" w:rsidP="00C44A4F">
            <w:pPr>
              <w:jc w:val="center"/>
              <w:rPr>
                <w:rFonts w:ascii="Arial" w:hAnsi="Arial" w:cs="Arial"/>
                <w:sz w:val="20"/>
              </w:rPr>
            </w:pPr>
            <w:proofErr w:type="spellStart"/>
            <w:r w:rsidRPr="00F23A18">
              <w:rPr>
                <w:rFonts w:ascii="Arial" w:hAnsi="Arial" w:cs="Arial"/>
                <w:sz w:val="20"/>
              </w:rPr>
              <w:t>Hausner</w:t>
            </w:r>
            <w:proofErr w:type="spellEnd"/>
            <w:r w:rsidRPr="00F23A18">
              <w:rPr>
                <w:rFonts w:ascii="Arial" w:hAnsi="Arial" w:cs="Arial"/>
                <w:sz w:val="20"/>
              </w:rPr>
              <w:t xml:space="preserve"> ratio</w:t>
            </w:r>
          </w:p>
        </w:tc>
        <w:tc>
          <w:tcPr>
            <w:tcW w:w="994" w:type="pct"/>
            <w:tcBorders>
              <w:top w:val="single" w:sz="4" w:space="0" w:color="auto"/>
              <w:bottom w:val="single" w:sz="4" w:space="0" w:color="auto"/>
            </w:tcBorders>
            <w:vAlign w:val="center"/>
          </w:tcPr>
          <w:p w14:paraId="7AEB8E1C" w14:textId="77777777" w:rsidR="00F23A18" w:rsidRPr="00F23A18" w:rsidRDefault="00F23A18" w:rsidP="00C44A4F">
            <w:pPr>
              <w:jc w:val="center"/>
              <w:rPr>
                <w:rFonts w:ascii="Arial" w:hAnsi="Arial" w:cs="Arial"/>
                <w:sz w:val="20"/>
              </w:rPr>
            </w:pPr>
            <w:proofErr w:type="spellStart"/>
            <w:r w:rsidRPr="00F23A18">
              <w:rPr>
                <w:rFonts w:ascii="Arial" w:hAnsi="Arial" w:cs="Arial"/>
                <w:sz w:val="20"/>
              </w:rPr>
              <w:t>Carr’s</w:t>
            </w:r>
            <w:proofErr w:type="spellEnd"/>
            <w:r w:rsidRPr="00F23A18">
              <w:rPr>
                <w:rFonts w:ascii="Arial" w:hAnsi="Arial" w:cs="Arial"/>
                <w:sz w:val="20"/>
              </w:rPr>
              <w:t xml:space="preserve"> index (%)</w:t>
            </w:r>
          </w:p>
        </w:tc>
      </w:tr>
      <w:tr w:rsidR="00F23A18" w:rsidRPr="00F23A18" w14:paraId="0319406B" w14:textId="77777777" w:rsidTr="004C2F3D">
        <w:tc>
          <w:tcPr>
            <w:tcW w:w="1054" w:type="pct"/>
            <w:tcBorders>
              <w:top w:val="single" w:sz="4" w:space="0" w:color="auto"/>
            </w:tcBorders>
            <w:vAlign w:val="center"/>
          </w:tcPr>
          <w:p w14:paraId="5883B428" w14:textId="77777777" w:rsidR="00F23A18" w:rsidRPr="00F23A18" w:rsidRDefault="00F23A18" w:rsidP="00C44A4F">
            <w:pPr>
              <w:jc w:val="center"/>
              <w:rPr>
                <w:rFonts w:ascii="Arial" w:hAnsi="Arial" w:cs="Arial"/>
                <w:sz w:val="20"/>
              </w:rPr>
            </w:pPr>
            <w:r w:rsidRPr="00F23A18">
              <w:rPr>
                <w:rFonts w:ascii="Arial" w:hAnsi="Arial" w:cs="Arial"/>
                <w:sz w:val="20"/>
              </w:rPr>
              <w:t>GMP1</w:t>
            </w:r>
          </w:p>
        </w:tc>
        <w:tc>
          <w:tcPr>
            <w:tcW w:w="960" w:type="pct"/>
            <w:tcBorders>
              <w:top w:val="single" w:sz="4" w:space="0" w:color="auto"/>
            </w:tcBorders>
            <w:vAlign w:val="center"/>
          </w:tcPr>
          <w:p w14:paraId="4FA35805" w14:textId="77777777" w:rsidR="00F23A18" w:rsidRPr="00F23A18" w:rsidRDefault="00F23A18" w:rsidP="00C44A4F">
            <w:pPr>
              <w:jc w:val="center"/>
              <w:rPr>
                <w:rFonts w:ascii="Arial" w:hAnsi="Arial" w:cs="Arial"/>
                <w:sz w:val="20"/>
              </w:rPr>
            </w:pPr>
            <w:r w:rsidRPr="00F23A18">
              <w:rPr>
                <w:rFonts w:ascii="Arial" w:hAnsi="Arial" w:cs="Arial"/>
                <w:sz w:val="20"/>
              </w:rPr>
              <w:t>0.39±0.07a</w:t>
            </w:r>
          </w:p>
        </w:tc>
        <w:tc>
          <w:tcPr>
            <w:tcW w:w="997" w:type="pct"/>
            <w:tcBorders>
              <w:top w:val="single" w:sz="4" w:space="0" w:color="auto"/>
            </w:tcBorders>
            <w:vAlign w:val="center"/>
          </w:tcPr>
          <w:p w14:paraId="48748A76" w14:textId="77777777" w:rsidR="00F23A18" w:rsidRPr="00F23A18" w:rsidRDefault="00F23A18" w:rsidP="00C44A4F">
            <w:pPr>
              <w:jc w:val="center"/>
              <w:rPr>
                <w:rFonts w:ascii="Arial" w:hAnsi="Arial" w:cs="Arial"/>
                <w:sz w:val="20"/>
              </w:rPr>
            </w:pPr>
            <w:r w:rsidRPr="00F23A18">
              <w:rPr>
                <w:rFonts w:ascii="Arial" w:hAnsi="Arial" w:cs="Arial"/>
                <w:sz w:val="20"/>
              </w:rPr>
              <w:t>0.28±0.02a</w:t>
            </w:r>
          </w:p>
        </w:tc>
        <w:tc>
          <w:tcPr>
            <w:tcW w:w="995" w:type="pct"/>
            <w:tcBorders>
              <w:top w:val="single" w:sz="4" w:space="0" w:color="auto"/>
            </w:tcBorders>
            <w:vAlign w:val="center"/>
          </w:tcPr>
          <w:p w14:paraId="39F0B81E" w14:textId="77777777" w:rsidR="00F23A18" w:rsidRPr="00F23A18" w:rsidRDefault="00F23A18" w:rsidP="00C44A4F">
            <w:pPr>
              <w:jc w:val="center"/>
              <w:rPr>
                <w:rFonts w:ascii="Arial" w:hAnsi="Arial" w:cs="Arial"/>
                <w:sz w:val="20"/>
              </w:rPr>
            </w:pPr>
            <w:r w:rsidRPr="00F23A18">
              <w:rPr>
                <w:rFonts w:ascii="Arial" w:hAnsi="Arial" w:cs="Arial"/>
                <w:sz w:val="20"/>
              </w:rPr>
              <w:t>1.45±0.03b</w:t>
            </w:r>
          </w:p>
        </w:tc>
        <w:tc>
          <w:tcPr>
            <w:tcW w:w="994" w:type="pct"/>
            <w:tcBorders>
              <w:top w:val="single" w:sz="4" w:space="0" w:color="auto"/>
            </w:tcBorders>
            <w:vAlign w:val="center"/>
          </w:tcPr>
          <w:p w14:paraId="62D43C46" w14:textId="77777777" w:rsidR="00F23A18" w:rsidRPr="00F23A18" w:rsidRDefault="00F23A18" w:rsidP="00C44A4F">
            <w:pPr>
              <w:jc w:val="center"/>
              <w:rPr>
                <w:rFonts w:ascii="Arial" w:hAnsi="Arial" w:cs="Arial"/>
                <w:sz w:val="20"/>
              </w:rPr>
            </w:pPr>
            <w:r w:rsidRPr="00F23A18">
              <w:rPr>
                <w:rFonts w:ascii="Arial" w:hAnsi="Arial" w:cs="Arial"/>
                <w:sz w:val="20"/>
              </w:rPr>
              <w:t>31.05±1.39b</w:t>
            </w:r>
          </w:p>
        </w:tc>
      </w:tr>
      <w:tr w:rsidR="00F23A18" w:rsidRPr="00F23A18" w14:paraId="33210485" w14:textId="77777777" w:rsidTr="004C2F3D">
        <w:tc>
          <w:tcPr>
            <w:tcW w:w="1054" w:type="pct"/>
            <w:vAlign w:val="center"/>
          </w:tcPr>
          <w:p w14:paraId="7AC90D6D" w14:textId="77777777" w:rsidR="00F23A18" w:rsidRPr="00F23A18" w:rsidRDefault="00F23A18" w:rsidP="00C44A4F">
            <w:pPr>
              <w:jc w:val="center"/>
              <w:rPr>
                <w:rFonts w:ascii="Arial" w:hAnsi="Arial" w:cs="Arial"/>
                <w:sz w:val="20"/>
              </w:rPr>
            </w:pPr>
            <w:r w:rsidRPr="00F23A18">
              <w:rPr>
                <w:rFonts w:ascii="Arial" w:hAnsi="Arial" w:cs="Arial"/>
                <w:sz w:val="20"/>
              </w:rPr>
              <w:t>GMP2</w:t>
            </w:r>
          </w:p>
        </w:tc>
        <w:tc>
          <w:tcPr>
            <w:tcW w:w="960" w:type="pct"/>
            <w:vAlign w:val="center"/>
          </w:tcPr>
          <w:p w14:paraId="0E151686" w14:textId="77777777" w:rsidR="00F23A18" w:rsidRPr="00F23A18" w:rsidRDefault="00F23A18" w:rsidP="00C44A4F">
            <w:pPr>
              <w:jc w:val="center"/>
              <w:rPr>
                <w:rFonts w:ascii="Arial" w:hAnsi="Arial" w:cs="Arial"/>
                <w:sz w:val="20"/>
              </w:rPr>
            </w:pPr>
            <w:r w:rsidRPr="00F23A18">
              <w:rPr>
                <w:rFonts w:ascii="Arial" w:hAnsi="Arial" w:cs="Arial"/>
                <w:sz w:val="20"/>
              </w:rPr>
              <w:t>0.39±0.06a</w:t>
            </w:r>
          </w:p>
        </w:tc>
        <w:tc>
          <w:tcPr>
            <w:tcW w:w="997" w:type="pct"/>
            <w:vAlign w:val="center"/>
          </w:tcPr>
          <w:p w14:paraId="5A0DC9E7" w14:textId="77777777" w:rsidR="00F23A18" w:rsidRPr="00F23A18" w:rsidRDefault="00F23A18" w:rsidP="00C44A4F">
            <w:pPr>
              <w:jc w:val="center"/>
              <w:rPr>
                <w:rFonts w:ascii="Arial" w:hAnsi="Arial" w:cs="Arial"/>
                <w:sz w:val="20"/>
              </w:rPr>
            </w:pPr>
            <w:r w:rsidRPr="00F23A18">
              <w:rPr>
                <w:rFonts w:ascii="Arial" w:hAnsi="Arial" w:cs="Arial"/>
                <w:sz w:val="20"/>
              </w:rPr>
              <w:t>0.28±0.02a</w:t>
            </w:r>
          </w:p>
        </w:tc>
        <w:tc>
          <w:tcPr>
            <w:tcW w:w="995" w:type="pct"/>
            <w:vAlign w:val="center"/>
          </w:tcPr>
          <w:p w14:paraId="5E0777BC" w14:textId="77777777" w:rsidR="00F23A18" w:rsidRPr="00F23A18" w:rsidRDefault="00F23A18" w:rsidP="00C44A4F">
            <w:pPr>
              <w:jc w:val="center"/>
              <w:rPr>
                <w:rFonts w:ascii="Arial" w:hAnsi="Arial" w:cs="Arial"/>
                <w:sz w:val="20"/>
              </w:rPr>
            </w:pPr>
            <w:r w:rsidRPr="00F23A18">
              <w:rPr>
                <w:rFonts w:ascii="Arial" w:hAnsi="Arial" w:cs="Arial"/>
                <w:sz w:val="20"/>
              </w:rPr>
              <w:t>1.46±0.03b</w:t>
            </w:r>
          </w:p>
        </w:tc>
        <w:tc>
          <w:tcPr>
            <w:tcW w:w="994" w:type="pct"/>
            <w:vAlign w:val="center"/>
          </w:tcPr>
          <w:p w14:paraId="5F8958D0" w14:textId="77777777" w:rsidR="00F23A18" w:rsidRPr="00F23A18" w:rsidRDefault="00F23A18" w:rsidP="00C44A4F">
            <w:pPr>
              <w:jc w:val="center"/>
              <w:rPr>
                <w:rFonts w:ascii="Arial" w:hAnsi="Arial" w:cs="Arial"/>
                <w:sz w:val="20"/>
              </w:rPr>
            </w:pPr>
            <w:r w:rsidRPr="00F23A18">
              <w:rPr>
                <w:rFonts w:ascii="Arial" w:hAnsi="Arial" w:cs="Arial"/>
                <w:sz w:val="20"/>
              </w:rPr>
              <w:t>31.43±1.20b</w:t>
            </w:r>
          </w:p>
        </w:tc>
      </w:tr>
      <w:tr w:rsidR="00F23A18" w:rsidRPr="00F23A18" w14:paraId="5F25C5FA" w14:textId="77777777" w:rsidTr="004C2F3D">
        <w:tc>
          <w:tcPr>
            <w:tcW w:w="1054" w:type="pct"/>
            <w:vAlign w:val="center"/>
          </w:tcPr>
          <w:p w14:paraId="14B73DCF" w14:textId="77777777" w:rsidR="00F23A18" w:rsidRPr="00F23A18" w:rsidRDefault="00F23A18" w:rsidP="00C44A4F">
            <w:pPr>
              <w:jc w:val="center"/>
              <w:rPr>
                <w:rFonts w:ascii="Arial" w:hAnsi="Arial" w:cs="Arial"/>
                <w:sz w:val="20"/>
              </w:rPr>
            </w:pPr>
            <w:r w:rsidRPr="00F23A18">
              <w:rPr>
                <w:rFonts w:ascii="Arial" w:hAnsi="Arial" w:cs="Arial"/>
                <w:sz w:val="20"/>
              </w:rPr>
              <w:t>COM</w:t>
            </w:r>
          </w:p>
        </w:tc>
        <w:tc>
          <w:tcPr>
            <w:tcW w:w="960" w:type="pct"/>
            <w:vAlign w:val="center"/>
          </w:tcPr>
          <w:p w14:paraId="54CAD95B" w14:textId="77777777" w:rsidR="00F23A18" w:rsidRPr="00F23A18" w:rsidRDefault="00F23A18" w:rsidP="00C44A4F">
            <w:pPr>
              <w:jc w:val="center"/>
              <w:rPr>
                <w:rFonts w:ascii="Arial" w:hAnsi="Arial" w:cs="Arial"/>
                <w:sz w:val="20"/>
              </w:rPr>
            </w:pPr>
            <w:r w:rsidRPr="00F23A18">
              <w:rPr>
                <w:rFonts w:ascii="Arial" w:hAnsi="Arial" w:cs="Arial"/>
                <w:sz w:val="20"/>
              </w:rPr>
              <w:t>0.49±0.01b</w:t>
            </w:r>
          </w:p>
        </w:tc>
        <w:tc>
          <w:tcPr>
            <w:tcW w:w="997" w:type="pct"/>
            <w:vAlign w:val="center"/>
          </w:tcPr>
          <w:p w14:paraId="050169E1" w14:textId="77777777" w:rsidR="00F23A18" w:rsidRPr="00F23A18" w:rsidRDefault="00F23A18" w:rsidP="00C44A4F">
            <w:pPr>
              <w:jc w:val="center"/>
              <w:rPr>
                <w:rFonts w:ascii="Arial" w:hAnsi="Arial" w:cs="Arial"/>
                <w:sz w:val="20"/>
              </w:rPr>
            </w:pPr>
            <w:r w:rsidRPr="00F23A18">
              <w:rPr>
                <w:rFonts w:ascii="Arial" w:hAnsi="Arial" w:cs="Arial"/>
                <w:sz w:val="20"/>
              </w:rPr>
              <w:t>0.44±0.06b</w:t>
            </w:r>
          </w:p>
        </w:tc>
        <w:tc>
          <w:tcPr>
            <w:tcW w:w="995" w:type="pct"/>
            <w:vAlign w:val="center"/>
          </w:tcPr>
          <w:p w14:paraId="22478CD8" w14:textId="77777777" w:rsidR="00F23A18" w:rsidRPr="00F23A18" w:rsidRDefault="00F23A18" w:rsidP="00C44A4F">
            <w:pPr>
              <w:jc w:val="center"/>
              <w:rPr>
                <w:rFonts w:ascii="Arial" w:hAnsi="Arial" w:cs="Arial"/>
                <w:sz w:val="20"/>
              </w:rPr>
            </w:pPr>
            <w:r w:rsidRPr="00F23A18">
              <w:rPr>
                <w:rFonts w:ascii="Arial" w:hAnsi="Arial" w:cs="Arial"/>
                <w:sz w:val="20"/>
              </w:rPr>
              <w:t>1.05±0.01a</w:t>
            </w:r>
          </w:p>
        </w:tc>
        <w:tc>
          <w:tcPr>
            <w:tcW w:w="994" w:type="pct"/>
            <w:vAlign w:val="center"/>
          </w:tcPr>
          <w:p w14:paraId="2DF30579" w14:textId="77777777" w:rsidR="00F23A18" w:rsidRPr="00F23A18" w:rsidRDefault="00F23A18" w:rsidP="00C44A4F">
            <w:pPr>
              <w:jc w:val="center"/>
              <w:rPr>
                <w:rFonts w:ascii="Arial" w:hAnsi="Arial" w:cs="Arial"/>
                <w:sz w:val="20"/>
              </w:rPr>
            </w:pPr>
            <w:r w:rsidRPr="00F23A18">
              <w:rPr>
                <w:rFonts w:ascii="Arial" w:hAnsi="Arial" w:cs="Arial"/>
                <w:sz w:val="20"/>
              </w:rPr>
              <w:t>4.64±0.96a</w:t>
            </w:r>
          </w:p>
        </w:tc>
      </w:tr>
      <w:tr w:rsidR="00F23A18" w:rsidRPr="00F23A18" w14:paraId="62857A1C" w14:textId="77777777" w:rsidTr="004C2F3D">
        <w:tc>
          <w:tcPr>
            <w:tcW w:w="1054" w:type="pct"/>
            <w:vAlign w:val="center"/>
          </w:tcPr>
          <w:p w14:paraId="4728EB8D" w14:textId="77777777" w:rsidR="00F23A18" w:rsidRPr="00F23A18" w:rsidRDefault="00F23A18" w:rsidP="00C44A4F">
            <w:pPr>
              <w:jc w:val="center"/>
              <w:rPr>
                <w:rFonts w:ascii="Arial" w:hAnsi="Arial" w:cs="Arial"/>
                <w:sz w:val="20"/>
              </w:rPr>
            </w:pPr>
            <w:proofErr w:type="spellStart"/>
            <w:r w:rsidRPr="00F23A18">
              <w:rPr>
                <w:rFonts w:ascii="Arial" w:hAnsi="Arial" w:cs="Arial"/>
                <w:sz w:val="20"/>
              </w:rPr>
              <w:t>SEm</w:t>
            </w:r>
            <w:proofErr w:type="spellEnd"/>
          </w:p>
        </w:tc>
        <w:tc>
          <w:tcPr>
            <w:tcW w:w="960" w:type="pct"/>
            <w:vAlign w:val="center"/>
          </w:tcPr>
          <w:p w14:paraId="07E15100" w14:textId="77777777" w:rsidR="00F23A18" w:rsidRPr="00F23A18" w:rsidRDefault="00F23A18" w:rsidP="00C44A4F">
            <w:pPr>
              <w:jc w:val="center"/>
              <w:rPr>
                <w:rFonts w:ascii="Arial" w:hAnsi="Arial" w:cs="Arial"/>
                <w:sz w:val="20"/>
              </w:rPr>
            </w:pPr>
            <w:r w:rsidRPr="00F23A18">
              <w:rPr>
                <w:rFonts w:ascii="Arial" w:hAnsi="Arial" w:cs="Arial"/>
                <w:sz w:val="20"/>
              </w:rPr>
              <w:t>0.03</w:t>
            </w:r>
          </w:p>
        </w:tc>
        <w:tc>
          <w:tcPr>
            <w:tcW w:w="997" w:type="pct"/>
            <w:vAlign w:val="center"/>
          </w:tcPr>
          <w:p w14:paraId="69ED1921" w14:textId="77777777" w:rsidR="00F23A18" w:rsidRPr="00F23A18" w:rsidRDefault="00F23A18" w:rsidP="00C44A4F">
            <w:pPr>
              <w:jc w:val="center"/>
              <w:rPr>
                <w:rFonts w:ascii="Arial" w:hAnsi="Arial" w:cs="Arial"/>
                <w:sz w:val="20"/>
              </w:rPr>
            </w:pPr>
            <w:r w:rsidRPr="00F23A18">
              <w:rPr>
                <w:rFonts w:ascii="Arial" w:hAnsi="Arial" w:cs="Arial"/>
                <w:sz w:val="20"/>
              </w:rPr>
              <w:t>0.02</w:t>
            </w:r>
          </w:p>
        </w:tc>
        <w:tc>
          <w:tcPr>
            <w:tcW w:w="995" w:type="pct"/>
            <w:vAlign w:val="center"/>
          </w:tcPr>
          <w:p w14:paraId="47EA06AA" w14:textId="77777777" w:rsidR="00F23A18" w:rsidRPr="00F23A18" w:rsidRDefault="00F23A18" w:rsidP="00C44A4F">
            <w:pPr>
              <w:jc w:val="center"/>
              <w:rPr>
                <w:rFonts w:ascii="Arial" w:hAnsi="Arial" w:cs="Arial"/>
                <w:sz w:val="20"/>
              </w:rPr>
            </w:pPr>
            <w:r w:rsidRPr="00F23A18">
              <w:rPr>
                <w:rFonts w:ascii="Arial" w:hAnsi="Arial" w:cs="Arial"/>
                <w:sz w:val="20"/>
              </w:rPr>
              <w:t>0.01</w:t>
            </w:r>
          </w:p>
        </w:tc>
        <w:tc>
          <w:tcPr>
            <w:tcW w:w="994" w:type="pct"/>
            <w:vAlign w:val="center"/>
          </w:tcPr>
          <w:p w14:paraId="780E9560" w14:textId="77777777" w:rsidR="00F23A18" w:rsidRPr="00F23A18" w:rsidRDefault="00F23A18" w:rsidP="00C44A4F">
            <w:pPr>
              <w:jc w:val="center"/>
              <w:rPr>
                <w:rFonts w:ascii="Arial" w:hAnsi="Arial" w:cs="Arial"/>
                <w:sz w:val="20"/>
              </w:rPr>
            </w:pPr>
            <w:r w:rsidRPr="00F23A18">
              <w:rPr>
                <w:rFonts w:ascii="Arial" w:hAnsi="Arial" w:cs="Arial"/>
                <w:sz w:val="20"/>
              </w:rPr>
              <w:t>0.60</w:t>
            </w:r>
          </w:p>
        </w:tc>
      </w:tr>
      <w:tr w:rsidR="00F23A18" w:rsidRPr="00F23A18" w14:paraId="7395DF77" w14:textId="77777777" w:rsidTr="004C2F3D">
        <w:tc>
          <w:tcPr>
            <w:tcW w:w="1054" w:type="pct"/>
            <w:vAlign w:val="center"/>
          </w:tcPr>
          <w:p w14:paraId="35AA764A" w14:textId="77777777" w:rsidR="00F23A18" w:rsidRPr="00F23A18" w:rsidRDefault="00F23A18" w:rsidP="00C44A4F">
            <w:pPr>
              <w:jc w:val="center"/>
              <w:rPr>
                <w:rFonts w:ascii="Arial" w:hAnsi="Arial" w:cs="Arial"/>
                <w:sz w:val="20"/>
              </w:rPr>
            </w:pPr>
            <w:r w:rsidRPr="00F23A18">
              <w:rPr>
                <w:rFonts w:ascii="Arial" w:hAnsi="Arial" w:cs="Arial"/>
                <w:sz w:val="20"/>
              </w:rPr>
              <w:t>CD</w:t>
            </w:r>
          </w:p>
        </w:tc>
        <w:tc>
          <w:tcPr>
            <w:tcW w:w="960" w:type="pct"/>
            <w:vAlign w:val="center"/>
          </w:tcPr>
          <w:p w14:paraId="6788C0DC" w14:textId="77777777" w:rsidR="00F23A18" w:rsidRPr="00F23A18" w:rsidRDefault="00F23A18" w:rsidP="00C44A4F">
            <w:pPr>
              <w:jc w:val="center"/>
              <w:rPr>
                <w:rFonts w:ascii="Arial" w:hAnsi="Arial" w:cs="Arial"/>
                <w:sz w:val="20"/>
              </w:rPr>
            </w:pPr>
            <w:r w:rsidRPr="00F23A18">
              <w:rPr>
                <w:rFonts w:ascii="Arial" w:hAnsi="Arial" w:cs="Arial"/>
                <w:sz w:val="20"/>
              </w:rPr>
              <w:t>0.08</w:t>
            </w:r>
          </w:p>
        </w:tc>
        <w:tc>
          <w:tcPr>
            <w:tcW w:w="997" w:type="pct"/>
            <w:vAlign w:val="center"/>
          </w:tcPr>
          <w:p w14:paraId="045B98CF" w14:textId="77777777" w:rsidR="00F23A18" w:rsidRPr="00F23A18" w:rsidRDefault="00F23A18" w:rsidP="00C44A4F">
            <w:pPr>
              <w:jc w:val="center"/>
              <w:rPr>
                <w:rFonts w:ascii="Arial" w:hAnsi="Arial" w:cs="Arial"/>
                <w:sz w:val="20"/>
              </w:rPr>
            </w:pPr>
            <w:r w:rsidRPr="00F23A18">
              <w:rPr>
                <w:rFonts w:ascii="Arial" w:hAnsi="Arial" w:cs="Arial"/>
                <w:sz w:val="20"/>
              </w:rPr>
              <w:t>0.06</w:t>
            </w:r>
          </w:p>
        </w:tc>
        <w:tc>
          <w:tcPr>
            <w:tcW w:w="995" w:type="pct"/>
            <w:vAlign w:val="center"/>
          </w:tcPr>
          <w:p w14:paraId="4901EB5B" w14:textId="77777777" w:rsidR="00F23A18" w:rsidRPr="00F23A18" w:rsidRDefault="00F23A18" w:rsidP="00C44A4F">
            <w:pPr>
              <w:jc w:val="center"/>
              <w:rPr>
                <w:rFonts w:ascii="Arial" w:hAnsi="Arial" w:cs="Arial"/>
                <w:sz w:val="20"/>
              </w:rPr>
            </w:pPr>
            <w:r w:rsidRPr="00F23A18">
              <w:rPr>
                <w:rFonts w:ascii="Arial" w:hAnsi="Arial" w:cs="Arial"/>
                <w:sz w:val="20"/>
              </w:rPr>
              <w:t>0.04</w:t>
            </w:r>
          </w:p>
        </w:tc>
        <w:tc>
          <w:tcPr>
            <w:tcW w:w="994" w:type="pct"/>
            <w:vAlign w:val="center"/>
          </w:tcPr>
          <w:p w14:paraId="69AED7B3" w14:textId="77777777" w:rsidR="00F23A18" w:rsidRPr="00F23A18" w:rsidRDefault="00F23A18" w:rsidP="00C44A4F">
            <w:pPr>
              <w:jc w:val="center"/>
              <w:rPr>
                <w:rFonts w:ascii="Arial" w:hAnsi="Arial" w:cs="Arial"/>
                <w:sz w:val="20"/>
              </w:rPr>
            </w:pPr>
            <w:r w:rsidRPr="00F23A18">
              <w:rPr>
                <w:rFonts w:ascii="Arial" w:hAnsi="Arial" w:cs="Arial"/>
                <w:sz w:val="20"/>
              </w:rPr>
              <w:t>1.85</w:t>
            </w:r>
          </w:p>
        </w:tc>
      </w:tr>
      <w:tr w:rsidR="00F23A18" w:rsidRPr="00F23A18" w14:paraId="5F5734F2" w14:textId="77777777" w:rsidTr="004C2F3D">
        <w:tc>
          <w:tcPr>
            <w:tcW w:w="1054" w:type="pct"/>
            <w:vAlign w:val="center"/>
          </w:tcPr>
          <w:p w14:paraId="57AAD895" w14:textId="77777777" w:rsidR="00F23A18" w:rsidRPr="00F23A18" w:rsidRDefault="00F23A18" w:rsidP="00C44A4F">
            <w:pPr>
              <w:jc w:val="center"/>
              <w:rPr>
                <w:rFonts w:ascii="Arial" w:hAnsi="Arial" w:cs="Arial"/>
                <w:sz w:val="20"/>
              </w:rPr>
            </w:pPr>
            <w:r w:rsidRPr="00F23A18">
              <w:rPr>
                <w:rFonts w:ascii="Arial" w:hAnsi="Arial" w:cs="Arial"/>
                <w:sz w:val="20"/>
              </w:rPr>
              <w:t>CV%</w:t>
            </w:r>
          </w:p>
        </w:tc>
        <w:tc>
          <w:tcPr>
            <w:tcW w:w="960" w:type="pct"/>
            <w:vAlign w:val="center"/>
          </w:tcPr>
          <w:p w14:paraId="5043ABD0" w14:textId="77777777" w:rsidR="00F23A18" w:rsidRPr="00F23A18" w:rsidRDefault="00F23A18" w:rsidP="00C44A4F">
            <w:pPr>
              <w:jc w:val="center"/>
              <w:rPr>
                <w:rFonts w:ascii="Arial" w:hAnsi="Arial" w:cs="Arial"/>
                <w:sz w:val="20"/>
              </w:rPr>
            </w:pPr>
            <w:r w:rsidRPr="00F23A18">
              <w:rPr>
                <w:rFonts w:ascii="Arial" w:hAnsi="Arial" w:cs="Arial"/>
                <w:sz w:val="20"/>
              </w:rPr>
              <w:t>14.33</w:t>
            </w:r>
          </w:p>
        </w:tc>
        <w:tc>
          <w:tcPr>
            <w:tcW w:w="997" w:type="pct"/>
            <w:vAlign w:val="center"/>
          </w:tcPr>
          <w:p w14:paraId="4F2322AD" w14:textId="77777777" w:rsidR="00F23A18" w:rsidRPr="00F23A18" w:rsidRDefault="00F23A18" w:rsidP="00C44A4F">
            <w:pPr>
              <w:jc w:val="center"/>
              <w:rPr>
                <w:rFonts w:ascii="Arial" w:hAnsi="Arial" w:cs="Arial"/>
                <w:sz w:val="20"/>
              </w:rPr>
            </w:pPr>
            <w:r w:rsidRPr="00F23A18">
              <w:rPr>
                <w:rFonts w:ascii="Arial" w:hAnsi="Arial" w:cs="Arial"/>
                <w:sz w:val="20"/>
              </w:rPr>
              <w:t>12.34</w:t>
            </w:r>
          </w:p>
        </w:tc>
        <w:tc>
          <w:tcPr>
            <w:tcW w:w="995" w:type="pct"/>
            <w:vAlign w:val="center"/>
          </w:tcPr>
          <w:p w14:paraId="11F63811" w14:textId="77777777" w:rsidR="00F23A18" w:rsidRPr="00F23A18" w:rsidRDefault="00F23A18" w:rsidP="00C44A4F">
            <w:pPr>
              <w:jc w:val="center"/>
              <w:rPr>
                <w:rFonts w:ascii="Arial" w:hAnsi="Arial" w:cs="Arial"/>
                <w:sz w:val="20"/>
              </w:rPr>
            </w:pPr>
            <w:r w:rsidRPr="00F23A18">
              <w:rPr>
                <w:rFonts w:ascii="Arial" w:hAnsi="Arial" w:cs="Arial"/>
                <w:sz w:val="20"/>
              </w:rPr>
              <w:t>1.94</w:t>
            </w:r>
          </w:p>
        </w:tc>
        <w:tc>
          <w:tcPr>
            <w:tcW w:w="994" w:type="pct"/>
            <w:vAlign w:val="center"/>
          </w:tcPr>
          <w:p w14:paraId="2DD1A943" w14:textId="77777777" w:rsidR="00F23A18" w:rsidRPr="00F23A18" w:rsidRDefault="00F23A18" w:rsidP="00C44A4F">
            <w:pPr>
              <w:jc w:val="center"/>
              <w:rPr>
                <w:rFonts w:ascii="Arial" w:hAnsi="Arial" w:cs="Arial"/>
                <w:sz w:val="20"/>
              </w:rPr>
            </w:pPr>
            <w:r w:rsidRPr="00F23A18">
              <w:rPr>
                <w:rFonts w:ascii="Arial" w:hAnsi="Arial" w:cs="Arial"/>
                <w:sz w:val="20"/>
              </w:rPr>
              <w:t>5.99</w:t>
            </w:r>
          </w:p>
        </w:tc>
      </w:tr>
    </w:tbl>
    <w:bookmarkEnd w:id="11"/>
    <w:p w14:paraId="53724983" w14:textId="7A235FCE" w:rsidR="00C44A4F" w:rsidRPr="006D1B1D" w:rsidRDefault="00C44A4F" w:rsidP="00856EBC">
      <w:pPr>
        <w:spacing w:line="360" w:lineRule="auto"/>
        <w:rPr>
          <w:rFonts w:ascii="Arial" w:hAnsi="Arial" w:cs="Arial"/>
          <w:i/>
          <w:sz w:val="18"/>
        </w:rPr>
      </w:pPr>
      <w:r w:rsidRPr="00C44A4F">
        <w:rPr>
          <w:rFonts w:ascii="Arial" w:hAnsi="Arial" w:cs="Arial"/>
          <w:i/>
          <w:sz w:val="18"/>
        </w:rPr>
        <w:t xml:space="preserve">*a-c: values with different letters between a row are significantly different at 5 % (i.e., </w:t>
      </w:r>
      <w:r w:rsidR="00CB129A">
        <w:rPr>
          <w:rFonts w:ascii="Arial" w:hAnsi="Arial" w:cs="Arial"/>
          <w:i/>
          <w:sz w:val="18"/>
        </w:rPr>
        <w:t>P&lt;</w:t>
      </w:r>
      <w:r w:rsidRPr="00C44A4F">
        <w:rPr>
          <w:rFonts w:ascii="Arial" w:hAnsi="Arial" w:cs="Arial"/>
          <w:i/>
          <w:sz w:val="18"/>
        </w:rPr>
        <w:t>0.05).</w:t>
      </w:r>
    </w:p>
    <w:p w14:paraId="4A51EBDA" w14:textId="10392A88" w:rsidR="004C1966" w:rsidRPr="00856EBC" w:rsidRDefault="00F23A18" w:rsidP="006D1B1D">
      <w:pPr>
        <w:pStyle w:val="Body"/>
        <w:spacing w:before="240"/>
        <w:rPr>
          <w:rFonts w:ascii="Arial" w:hAnsi="Arial" w:cs="Arial"/>
          <w:b/>
          <w:sz w:val="22"/>
        </w:rPr>
      </w:pPr>
      <w:r w:rsidRPr="00856EBC">
        <w:rPr>
          <w:rFonts w:ascii="Arial" w:hAnsi="Arial" w:cs="Arial"/>
          <w:b/>
          <w:sz w:val="22"/>
        </w:rPr>
        <w:t>3.3 Water activity (aw) of goat and cow milk powders</w:t>
      </w:r>
    </w:p>
    <w:p w14:paraId="6625FEF0" w14:textId="66F10095" w:rsidR="00856EBC" w:rsidRPr="00F23A18" w:rsidRDefault="00F23A18" w:rsidP="000B247E">
      <w:pPr>
        <w:spacing w:line="480" w:lineRule="auto"/>
        <w:jc w:val="both"/>
        <w:rPr>
          <w:rFonts w:ascii="Arial" w:eastAsia="Calibri" w:hAnsi="Arial" w:cs="Arial"/>
          <w:szCs w:val="22"/>
        </w:rPr>
      </w:pPr>
      <w:r w:rsidRPr="00F23A18">
        <w:rPr>
          <w:rFonts w:ascii="Arial" w:eastAsia="Calibri" w:hAnsi="Arial" w:cs="Arial"/>
          <w:szCs w:val="22"/>
        </w:rPr>
        <w:t xml:space="preserve">The average water activity was observed 0.26 in GMP1, 0.23 in GMP2 and 0.18 in COM. The water activity varied from 0.21 to 0.32 in GMP1 from 0.22 to 0.24 in GMP2 samples. The water activity found from 0.17 to 0.21 in COM. The water activity of cow milk powder was found lowest compared to goat milk powder. The variation in the water activity between goat and cow milk powders might be due to heat treatment during processing and technology used by different manufacturers. The water activity of goat milk and cow milk powder is affected by relative humidity and temperature during storage, the interaction of milk components, hot air </w:t>
      </w:r>
      <w:r w:rsidRPr="00F23A18">
        <w:rPr>
          <w:rFonts w:ascii="Arial" w:eastAsia="Calibri" w:hAnsi="Arial" w:cs="Arial"/>
          <w:szCs w:val="22"/>
        </w:rPr>
        <w:lastRenderedPageBreak/>
        <w:t xml:space="preserve">temperature, design of drying chamber, storage conditions, contact time of hot air with the milk particles and packaging material </w:t>
      </w:r>
      <w:proofErr w:type="spellStart"/>
      <w:r w:rsidRPr="00F23A18">
        <w:rPr>
          <w:rFonts w:ascii="Arial" w:eastAsia="Calibri" w:hAnsi="Arial" w:cs="Arial"/>
          <w:szCs w:val="22"/>
        </w:rPr>
        <w:t>etc</w:t>
      </w:r>
      <w:proofErr w:type="spellEnd"/>
      <w:r w:rsidRPr="00F23A18">
        <w:rPr>
          <w:rFonts w:ascii="Arial" w:eastAsia="Calibri" w:hAnsi="Arial" w:cs="Arial"/>
          <w:szCs w:val="22"/>
        </w:rPr>
        <w:t xml:space="preserve"> (</w:t>
      </w:r>
      <w:proofErr w:type="spellStart"/>
      <w:r w:rsidRPr="00F23A18">
        <w:rPr>
          <w:rFonts w:ascii="Arial" w:eastAsia="Calibri" w:hAnsi="Arial" w:cs="Arial"/>
          <w:szCs w:val="22"/>
        </w:rPr>
        <w:t>Zainil</w:t>
      </w:r>
      <w:proofErr w:type="spellEnd"/>
      <w:r w:rsidRPr="00F23A18">
        <w:rPr>
          <w:rFonts w:ascii="Arial" w:eastAsia="Calibri" w:hAnsi="Arial" w:cs="Arial"/>
          <w:szCs w:val="22"/>
        </w:rPr>
        <w:t xml:space="preserve"> et al., 2019; </w:t>
      </w:r>
      <w:proofErr w:type="spellStart"/>
      <w:r w:rsidRPr="00F23A18">
        <w:rPr>
          <w:rFonts w:ascii="Arial" w:eastAsia="Calibri" w:hAnsi="Arial" w:cs="Arial"/>
          <w:szCs w:val="22"/>
        </w:rPr>
        <w:t>Verruck</w:t>
      </w:r>
      <w:proofErr w:type="spellEnd"/>
      <w:r w:rsidRPr="00F23A18">
        <w:rPr>
          <w:rFonts w:ascii="Arial" w:eastAsia="Calibri" w:hAnsi="Arial" w:cs="Arial"/>
          <w:szCs w:val="22"/>
        </w:rPr>
        <w:t xml:space="preserve"> et al., 2019). The water activity of 0.12 to 0.14 (Fonseca et al., 2011), 0.16 to 0.23 (Reddy, 2013), 0.251 to 0.268 (Davis et al., 2017) and 0.2 to 0.32 (Nascimento et al., 2019) were observed in goat milk powder by various workers. Sulieman et al. (2014) observed the water activity of spray dried cow milk powder from 0.229 to 0.255. Pugliese et al. (2017) reported 0.249 to 0.329 in whole milk powder. </w:t>
      </w:r>
    </w:p>
    <w:bookmarkEnd w:id="3"/>
    <w:p w14:paraId="02D8B7C8" w14:textId="704EE185" w:rsidR="00856EBC" w:rsidRPr="000B247E" w:rsidRDefault="00F23A18" w:rsidP="000B247E">
      <w:pPr>
        <w:pStyle w:val="Body"/>
        <w:rPr>
          <w:rFonts w:ascii="Arial" w:hAnsi="Arial" w:cs="Arial"/>
          <w:b/>
          <w:sz w:val="22"/>
        </w:rPr>
      </w:pPr>
      <w:r w:rsidRPr="00856EBC">
        <w:rPr>
          <w:rFonts w:ascii="Arial" w:hAnsi="Arial" w:cs="Arial"/>
          <w:b/>
          <w:sz w:val="22"/>
        </w:rPr>
        <w:t>3.4 Insolubility index of goat and cow milk powders</w:t>
      </w:r>
    </w:p>
    <w:p w14:paraId="1140AD58" w14:textId="22753839" w:rsidR="00856EBC" w:rsidRPr="00F23A18" w:rsidRDefault="00F23A18" w:rsidP="000B247E">
      <w:pPr>
        <w:spacing w:line="480" w:lineRule="auto"/>
        <w:jc w:val="both"/>
        <w:rPr>
          <w:rFonts w:ascii="Arial" w:eastAsia="Calibri" w:hAnsi="Arial" w:cs="Arial"/>
          <w:szCs w:val="22"/>
        </w:rPr>
      </w:pPr>
      <w:r w:rsidRPr="00F23A18">
        <w:rPr>
          <w:rFonts w:ascii="Arial" w:eastAsia="Calibri" w:hAnsi="Arial" w:cs="Arial"/>
          <w:szCs w:val="22"/>
        </w:rPr>
        <w:t>The average value of the insolubility index in samples GMP1, GMP2 and COM varied from 0.11 to 0.68 ml. Cow milk powder showed significantly (</w:t>
      </w:r>
      <w:r w:rsidR="00CB129A">
        <w:rPr>
          <w:rFonts w:ascii="Arial" w:eastAsia="Calibri" w:hAnsi="Arial" w:cs="Arial"/>
          <w:szCs w:val="22"/>
        </w:rPr>
        <w:t>P&lt;</w:t>
      </w:r>
      <w:r w:rsidRPr="00F23A18">
        <w:rPr>
          <w:rFonts w:ascii="Arial" w:eastAsia="Calibri" w:hAnsi="Arial" w:cs="Arial"/>
          <w:szCs w:val="22"/>
        </w:rPr>
        <w:t xml:space="preserve">0.05) highest insolubility index compared to goat milk powders. The insolubility index of GMP1 varied from 0.00 to 0.20 ml whereas 0.35 to 0.50 ml in GMP2. The insolubility index of COM varied from 0.30 to 1.00 ml. The insolubility index of milk powder is affected by the heat stability of raw milk, pre-treatment, environmental factors, denaturation of protein, hot air temperature, design of drying chamber, storage conditions, </w:t>
      </w:r>
      <w:proofErr w:type="spellStart"/>
      <w:r w:rsidRPr="00F23A18">
        <w:rPr>
          <w:rFonts w:ascii="Arial" w:eastAsia="Calibri" w:hAnsi="Arial" w:cs="Arial"/>
          <w:szCs w:val="22"/>
        </w:rPr>
        <w:t>etc</w:t>
      </w:r>
      <w:proofErr w:type="spellEnd"/>
      <w:r w:rsidRPr="00F23A18">
        <w:rPr>
          <w:rFonts w:ascii="Arial" w:eastAsia="Calibri" w:hAnsi="Arial" w:cs="Arial"/>
          <w:szCs w:val="22"/>
        </w:rPr>
        <w:t xml:space="preserve"> (Le et al., 2011; </w:t>
      </w:r>
      <w:proofErr w:type="spellStart"/>
      <w:r w:rsidRPr="00F23A18">
        <w:rPr>
          <w:rFonts w:ascii="Arial" w:eastAsia="Calibri" w:hAnsi="Arial" w:cs="Arial"/>
          <w:szCs w:val="22"/>
        </w:rPr>
        <w:t>Zainil</w:t>
      </w:r>
      <w:proofErr w:type="spellEnd"/>
      <w:r w:rsidRPr="00F23A18">
        <w:rPr>
          <w:rFonts w:ascii="Arial" w:eastAsia="Calibri" w:hAnsi="Arial" w:cs="Arial"/>
          <w:szCs w:val="22"/>
        </w:rPr>
        <w:t xml:space="preserve"> et al., 2019). According to some authors, the degree of insolubility is directly related to the fact that protein was carried into the fat layer and fat into the sediment layer in quantities. According to </w:t>
      </w:r>
      <w:proofErr w:type="spellStart"/>
      <w:r w:rsidRPr="00F23A18">
        <w:rPr>
          <w:rFonts w:ascii="Arial" w:eastAsia="Calibri" w:hAnsi="Arial" w:cs="Arial"/>
          <w:szCs w:val="22"/>
        </w:rPr>
        <w:t>Straatsma</w:t>
      </w:r>
      <w:proofErr w:type="spellEnd"/>
      <w:r w:rsidRPr="00F23A18">
        <w:rPr>
          <w:rFonts w:ascii="Arial" w:eastAsia="Calibri" w:hAnsi="Arial" w:cs="Arial"/>
          <w:szCs w:val="22"/>
        </w:rPr>
        <w:t xml:space="preserve"> et al. (1999) stated that the particle temperature is the major factor to influence insolubility index when their moisture content is between 10 and 30 per cent during spray drying and increase in the air temperature and the particle diameter responsible for the increase in insolubility index. Ta-ye et al. (2012) reported an insolubility index of less than 1 ml. Sulieman et al. (2014) studied spray-dried camel’s milk and cow’s milk powder and reported an insolubility index from 0.5 to 0.8 in cow milk powder. Pugliese et al. (2017) worked on physical characterization of whole dried milk powders and reported in insolubility index of 0.1 to 0.8 ml for whole milk powder. </w:t>
      </w:r>
      <w:proofErr w:type="spellStart"/>
      <w:r w:rsidRPr="00F23A18">
        <w:rPr>
          <w:rFonts w:ascii="Arial" w:eastAsia="Calibri" w:hAnsi="Arial" w:cs="Arial"/>
          <w:szCs w:val="22"/>
        </w:rPr>
        <w:t>Chudy</w:t>
      </w:r>
      <w:proofErr w:type="spellEnd"/>
      <w:r w:rsidRPr="00F23A18">
        <w:rPr>
          <w:rFonts w:ascii="Arial" w:eastAsia="Calibri" w:hAnsi="Arial" w:cs="Arial"/>
          <w:szCs w:val="22"/>
        </w:rPr>
        <w:t xml:space="preserve"> et al. (2015) reported insolubility index of 0.1 ml for cow milk powder. In our present study the insolubility index of milk powder varied from 0.11 to 0.68 ml which is between the reported values.</w:t>
      </w:r>
    </w:p>
    <w:p w14:paraId="28792171" w14:textId="52BA0EF2" w:rsidR="00856EBC" w:rsidRPr="00F23A18" w:rsidRDefault="00F23A18" w:rsidP="000B247E">
      <w:pPr>
        <w:spacing w:after="240" w:line="360" w:lineRule="auto"/>
        <w:rPr>
          <w:rFonts w:ascii="Arial" w:eastAsia="Calibri" w:hAnsi="Arial" w:cs="Arial"/>
          <w:szCs w:val="22"/>
        </w:rPr>
      </w:pPr>
      <w:r w:rsidRPr="00856EBC">
        <w:rPr>
          <w:rFonts w:ascii="Arial" w:hAnsi="Arial" w:cs="Arial"/>
          <w:b/>
          <w:sz w:val="22"/>
        </w:rPr>
        <w:lastRenderedPageBreak/>
        <w:t>3.5 Surface free fat of goat and cow milk powders</w:t>
      </w:r>
    </w:p>
    <w:p w14:paraId="33AA1331" w14:textId="457EEE1A" w:rsidR="00856EBC" w:rsidRPr="00F23A18" w:rsidRDefault="00F23A18" w:rsidP="0079535B">
      <w:pPr>
        <w:spacing w:line="480" w:lineRule="auto"/>
        <w:jc w:val="both"/>
        <w:rPr>
          <w:rFonts w:ascii="Arial" w:eastAsia="Calibri" w:hAnsi="Arial" w:cs="Arial"/>
          <w:szCs w:val="22"/>
        </w:rPr>
      </w:pPr>
      <w:bookmarkStart w:id="12" w:name="_Hlk136793163"/>
      <w:r w:rsidRPr="00F23A18">
        <w:rPr>
          <w:rFonts w:ascii="Arial" w:eastAsia="Calibri" w:hAnsi="Arial" w:cs="Arial"/>
          <w:szCs w:val="22"/>
        </w:rPr>
        <w:t>Surface free fat of cow milk powder was observed non-significant (</w:t>
      </w:r>
      <w:r w:rsidR="00CB129A">
        <w:rPr>
          <w:rFonts w:ascii="Arial" w:eastAsia="Calibri" w:hAnsi="Arial" w:cs="Arial"/>
          <w:szCs w:val="22"/>
        </w:rPr>
        <w:t>P&gt;</w:t>
      </w:r>
      <w:r w:rsidRPr="00F23A18">
        <w:rPr>
          <w:rFonts w:ascii="Arial" w:eastAsia="Calibri" w:hAnsi="Arial" w:cs="Arial"/>
          <w:szCs w:val="22"/>
        </w:rPr>
        <w:t>0.05) with GMP2.  GMP1 was found significantly (</w:t>
      </w:r>
      <w:r w:rsidR="00CB129A">
        <w:rPr>
          <w:rFonts w:ascii="Arial" w:eastAsia="Calibri" w:hAnsi="Arial" w:cs="Arial"/>
          <w:szCs w:val="22"/>
        </w:rPr>
        <w:t>P&lt;</w:t>
      </w:r>
      <w:r w:rsidRPr="00F23A18">
        <w:rPr>
          <w:rFonts w:ascii="Arial" w:eastAsia="Calibri" w:hAnsi="Arial" w:cs="Arial"/>
          <w:szCs w:val="22"/>
        </w:rPr>
        <w:t>0.05) lower than the GMP2 as well as COM</w:t>
      </w:r>
      <w:bookmarkEnd w:id="12"/>
      <w:r w:rsidRPr="00F23A18">
        <w:rPr>
          <w:rFonts w:ascii="Arial" w:eastAsia="Calibri" w:hAnsi="Arial" w:cs="Arial"/>
          <w:szCs w:val="22"/>
        </w:rPr>
        <w:t xml:space="preserve">. The range of surface free fat in GMP1 was 17.21 to 18.88 % and in GMP2 28.76 to 30.21 %. The surface free fat of COM ranged between 28.38 and 32.10 %. The variation observed in powder samples might be due to differences in particle size of each sample, an initial fat content of powders and the processing operations such as spray drying conditions. The surface free fat of COM was found 30.26 per cent. Surface free fat of goat and cow milk powders is influenced by particle size of the powder, hot air temperature, design of drying chamber, contact time of hot air with the milk particles and storage conditions, </w:t>
      </w:r>
      <w:proofErr w:type="spellStart"/>
      <w:r w:rsidRPr="00F23A18">
        <w:rPr>
          <w:rFonts w:ascii="Arial" w:eastAsia="Calibri" w:hAnsi="Arial" w:cs="Arial"/>
          <w:szCs w:val="22"/>
        </w:rPr>
        <w:t>etc</w:t>
      </w:r>
      <w:proofErr w:type="spellEnd"/>
      <w:r w:rsidRPr="00F23A18">
        <w:rPr>
          <w:rFonts w:ascii="Arial" w:eastAsia="Calibri" w:hAnsi="Arial" w:cs="Arial"/>
          <w:szCs w:val="22"/>
        </w:rPr>
        <w:t xml:space="preserve"> (Kim et al., 2005). According to the </w:t>
      </w:r>
      <w:proofErr w:type="spellStart"/>
      <w:r w:rsidRPr="00F23A18">
        <w:rPr>
          <w:rFonts w:ascii="Arial" w:eastAsia="Calibri" w:hAnsi="Arial" w:cs="Arial"/>
          <w:szCs w:val="22"/>
        </w:rPr>
        <w:t>Fournaise</w:t>
      </w:r>
      <w:proofErr w:type="spellEnd"/>
      <w:r w:rsidRPr="00F23A18">
        <w:rPr>
          <w:rFonts w:ascii="Arial" w:eastAsia="Calibri" w:hAnsi="Arial" w:cs="Arial"/>
          <w:szCs w:val="22"/>
        </w:rPr>
        <w:t xml:space="preserve"> et al. (2020) lipid content at the surface of powders made from aerated feed concentrates would be smaller than that of powders made from unaerated feed concentrates, as if lipids were encapsulated. </w:t>
      </w:r>
      <w:proofErr w:type="spellStart"/>
      <w:r w:rsidRPr="00F23A18">
        <w:rPr>
          <w:rFonts w:ascii="Arial" w:eastAsia="Calibri" w:hAnsi="Arial" w:cs="Arial"/>
          <w:szCs w:val="22"/>
        </w:rPr>
        <w:t>Vignolles</w:t>
      </w:r>
      <w:proofErr w:type="spellEnd"/>
      <w:r w:rsidRPr="00F23A18">
        <w:rPr>
          <w:rFonts w:ascii="Arial" w:eastAsia="Calibri" w:hAnsi="Arial" w:cs="Arial"/>
          <w:szCs w:val="22"/>
        </w:rPr>
        <w:t xml:space="preserve"> et al. (2010) and Li et al. (2013) were reported that the surface free fat value of commercial milk powder from 0.21 to 1.67 g/100 g. Ta-ye et al. (2012) was found surface free fat between 6.60 to 8.53 per cent. </w:t>
      </w:r>
      <w:proofErr w:type="spellStart"/>
      <w:r w:rsidRPr="00F23A18">
        <w:rPr>
          <w:rFonts w:ascii="Arial" w:eastAsia="Calibri" w:hAnsi="Arial" w:cs="Arial"/>
          <w:szCs w:val="22"/>
        </w:rPr>
        <w:t>Fournaise</w:t>
      </w:r>
      <w:proofErr w:type="spellEnd"/>
      <w:r w:rsidRPr="00F23A18">
        <w:rPr>
          <w:rFonts w:ascii="Arial" w:eastAsia="Calibri" w:hAnsi="Arial" w:cs="Arial"/>
          <w:szCs w:val="22"/>
        </w:rPr>
        <w:t xml:space="preserve"> et al. (2020) reported the surface fat 55 per cent on milk powder with 13.8 % fat content.</w:t>
      </w:r>
    </w:p>
    <w:p w14:paraId="3CAD7022" w14:textId="584B4451" w:rsidR="00856EBC" w:rsidRPr="0079535B" w:rsidRDefault="00F23A18" w:rsidP="0079535B">
      <w:pPr>
        <w:pStyle w:val="Body"/>
        <w:rPr>
          <w:rFonts w:ascii="Arial" w:hAnsi="Arial" w:cs="Arial"/>
          <w:b/>
          <w:sz w:val="22"/>
        </w:rPr>
      </w:pPr>
      <w:r w:rsidRPr="00856EBC">
        <w:rPr>
          <w:rFonts w:ascii="Arial" w:hAnsi="Arial" w:cs="Arial"/>
          <w:b/>
          <w:sz w:val="22"/>
        </w:rPr>
        <w:t>3.6 Occluded air of goat and cow milk powders</w:t>
      </w:r>
    </w:p>
    <w:p w14:paraId="587F1933" w14:textId="0FD08FFB" w:rsidR="00C44A4F" w:rsidRPr="00F23A18" w:rsidRDefault="00F23A18" w:rsidP="0079535B">
      <w:pPr>
        <w:pStyle w:val="Default"/>
        <w:spacing w:line="480" w:lineRule="auto"/>
        <w:jc w:val="both"/>
        <w:rPr>
          <w:rFonts w:ascii="Arial" w:hAnsi="Arial" w:cs="Arial"/>
          <w:color w:val="auto"/>
          <w:sz w:val="20"/>
          <w:szCs w:val="22"/>
          <w:lang w:val="en-US"/>
        </w:rPr>
      </w:pPr>
      <w:r w:rsidRPr="00F23A18">
        <w:rPr>
          <w:rFonts w:ascii="Arial" w:hAnsi="Arial" w:cs="Arial"/>
          <w:color w:val="auto"/>
          <w:sz w:val="20"/>
          <w:szCs w:val="22"/>
          <w:lang w:val="en-US"/>
        </w:rPr>
        <w:t>The cow milk powder was observed significantly (</w:t>
      </w:r>
      <w:r w:rsidR="00CB129A">
        <w:rPr>
          <w:rFonts w:ascii="Arial" w:hAnsi="Arial" w:cs="Arial"/>
          <w:color w:val="auto"/>
          <w:sz w:val="20"/>
          <w:szCs w:val="22"/>
          <w:lang w:val="en-US"/>
        </w:rPr>
        <w:t>P&lt;</w:t>
      </w:r>
      <w:r w:rsidRPr="00F23A18">
        <w:rPr>
          <w:rFonts w:ascii="Arial" w:hAnsi="Arial" w:cs="Arial"/>
          <w:color w:val="auto"/>
          <w:sz w:val="20"/>
          <w:szCs w:val="22"/>
          <w:lang w:val="en-US"/>
        </w:rPr>
        <w:t>0.05) higher in occluded air content than goat milk powders. The occluded air content in COM varied from 42.65 to 45.89 ml/100 g with an average value of 44.14 ml/ 100 g of powder. Occluded air content observed in GMP1 was from 11.73 to 15.02 ml/100 g and in GMP2 from 16.34 to 21.57 ml/ 100 g with an average value of 13.47 ml/100 g and 18.96 ml/100 g of powder respectively. The particle size as well as particle size distribution, whey protein composition, concentration of milk before drying, aeration during spray drying and different types of rotating wheels of atomizer might be the reason of variations in occluded air content. The amount of occluded air in the powder is influenced by the degree of whey protein denaturation (</w:t>
      </w:r>
      <w:proofErr w:type="spellStart"/>
      <w:r w:rsidRPr="00F23A18">
        <w:rPr>
          <w:rFonts w:ascii="Arial" w:hAnsi="Arial" w:cs="Arial"/>
          <w:color w:val="auto"/>
          <w:sz w:val="20"/>
          <w:szCs w:val="22"/>
          <w:lang w:val="en-US"/>
        </w:rPr>
        <w:t>Westergaard</w:t>
      </w:r>
      <w:proofErr w:type="spellEnd"/>
      <w:r w:rsidRPr="00F23A18">
        <w:rPr>
          <w:rFonts w:ascii="Arial" w:hAnsi="Arial" w:cs="Arial"/>
          <w:color w:val="auto"/>
          <w:sz w:val="20"/>
          <w:szCs w:val="22"/>
          <w:lang w:val="en-US"/>
        </w:rPr>
        <w:t xml:space="preserve">, 2004; </w:t>
      </w:r>
      <w:proofErr w:type="spellStart"/>
      <w:r w:rsidRPr="00F23A18">
        <w:rPr>
          <w:rFonts w:ascii="Arial" w:hAnsi="Arial" w:cs="Arial"/>
          <w:color w:val="auto"/>
          <w:sz w:val="20"/>
          <w:szCs w:val="22"/>
          <w:lang w:val="en-US"/>
        </w:rPr>
        <w:t>Gosta</w:t>
      </w:r>
      <w:proofErr w:type="spellEnd"/>
      <w:r w:rsidRPr="00F23A18">
        <w:rPr>
          <w:rFonts w:ascii="Arial" w:hAnsi="Arial" w:cs="Arial"/>
          <w:color w:val="auto"/>
          <w:sz w:val="20"/>
          <w:szCs w:val="22"/>
          <w:lang w:val="en-US"/>
        </w:rPr>
        <w:t xml:space="preserve">, 2015). The occluded air in milk powder was reported between 10 and 30 ml per 100 g of powder by </w:t>
      </w:r>
      <w:proofErr w:type="spellStart"/>
      <w:r w:rsidRPr="00F23A18">
        <w:rPr>
          <w:rFonts w:ascii="Arial" w:hAnsi="Arial" w:cs="Arial"/>
          <w:color w:val="auto"/>
          <w:sz w:val="20"/>
          <w:szCs w:val="22"/>
          <w:lang w:val="en-US"/>
        </w:rPr>
        <w:t>Gosta</w:t>
      </w:r>
      <w:proofErr w:type="spellEnd"/>
      <w:r w:rsidRPr="00F23A18">
        <w:rPr>
          <w:rFonts w:ascii="Arial" w:hAnsi="Arial" w:cs="Arial"/>
          <w:color w:val="auto"/>
          <w:sz w:val="20"/>
          <w:szCs w:val="22"/>
          <w:lang w:val="en-US"/>
        </w:rPr>
        <w:t xml:space="preserve"> </w:t>
      </w:r>
      <w:r w:rsidRPr="00F23A18">
        <w:rPr>
          <w:rFonts w:ascii="Arial" w:hAnsi="Arial" w:cs="Arial"/>
          <w:color w:val="auto"/>
          <w:sz w:val="20"/>
          <w:szCs w:val="22"/>
          <w:lang w:val="en-US"/>
        </w:rPr>
        <w:lastRenderedPageBreak/>
        <w:t xml:space="preserve">(2015). </w:t>
      </w:r>
      <w:proofErr w:type="spellStart"/>
      <w:r w:rsidRPr="00F23A18">
        <w:rPr>
          <w:rFonts w:ascii="Arial" w:hAnsi="Arial" w:cs="Arial"/>
          <w:color w:val="auto"/>
          <w:sz w:val="20"/>
          <w:szCs w:val="22"/>
          <w:lang w:val="en-US"/>
        </w:rPr>
        <w:t>Deshwal</w:t>
      </w:r>
      <w:proofErr w:type="spellEnd"/>
      <w:r w:rsidRPr="00F23A18">
        <w:rPr>
          <w:rFonts w:ascii="Arial" w:hAnsi="Arial" w:cs="Arial"/>
          <w:color w:val="auto"/>
          <w:sz w:val="20"/>
          <w:szCs w:val="22"/>
          <w:lang w:val="en-US"/>
        </w:rPr>
        <w:t xml:space="preserve"> et al. (2009) reported occluded air in camel whole milk powder 94.75 ml/100 g powder. </w:t>
      </w:r>
    </w:p>
    <w:p w14:paraId="3A5019B6" w14:textId="42E87D39" w:rsidR="00C44A4F" w:rsidRPr="00856EBC" w:rsidRDefault="00C44A4F" w:rsidP="0079535B">
      <w:pPr>
        <w:tabs>
          <w:tab w:val="left" w:pos="1080"/>
        </w:tabs>
        <w:spacing w:after="240"/>
        <w:jc w:val="both"/>
        <w:rPr>
          <w:rFonts w:ascii="Arial" w:hAnsi="Arial"/>
          <w:b/>
        </w:rPr>
      </w:pPr>
      <w:r>
        <w:rPr>
          <w:rFonts w:ascii="Arial" w:hAnsi="Arial"/>
          <w:b/>
        </w:rPr>
        <w:t>Table 5.</w:t>
      </w:r>
      <w:r>
        <w:rPr>
          <w:rFonts w:ascii="Arial" w:hAnsi="Arial"/>
          <w:b/>
        </w:rPr>
        <w:tab/>
      </w:r>
      <w:r w:rsidR="00F23A18" w:rsidRPr="00856EBC">
        <w:rPr>
          <w:rFonts w:ascii="Arial" w:hAnsi="Arial"/>
          <w:b/>
        </w:rPr>
        <w:t xml:space="preserve"> Water activity, Insolubility index, Surface free fat, O</w:t>
      </w:r>
      <w:r w:rsidR="00AC596C" w:rsidRPr="00856EBC">
        <w:rPr>
          <w:rFonts w:ascii="Arial" w:hAnsi="Arial"/>
          <w:b/>
        </w:rPr>
        <w:t xml:space="preserve">ccluded air content of goat and </w:t>
      </w:r>
      <w:r w:rsidR="00F23A18" w:rsidRPr="00856EBC">
        <w:rPr>
          <w:rFonts w:ascii="Arial" w:hAnsi="Arial"/>
          <w:b/>
        </w:rPr>
        <w:t>cow milk powder</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576"/>
        <w:gridCol w:w="1637"/>
        <w:gridCol w:w="1633"/>
        <w:gridCol w:w="1632"/>
      </w:tblGrid>
      <w:tr w:rsidR="00F23A18" w:rsidRPr="00F23A18" w14:paraId="01638A7E" w14:textId="77777777" w:rsidTr="0079535B">
        <w:tc>
          <w:tcPr>
            <w:tcW w:w="1054" w:type="pct"/>
            <w:tcBorders>
              <w:top w:val="single" w:sz="4" w:space="0" w:color="auto"/>
              <w:bottom w:val="single" w:sz="4" w:space="0" w:color="auto"/>
            </w:tcBorders>
            <w:vAlign w:val="center"/>
          </w:tcPr>
          <w:p w14:paraId="2DF7302A" w14:textId="77777777" w:rsidR="00F23A18" w:rsidRPr="00F23A18" w:rsidRDefault="00F23A18" w:rsidP="0079535B">
            <w:pPr>
              <w:spacing w:line="360" w:lineRule="auto"/>
              <w:jc w:val="center"/>
              <w:rPr>
                <w:rFonts w:ascii="Arial" w:hAnsi="Arial" w:cs="Arial"/>
                <w:sz w:val="20"/>
              </w:rPr>
            </w:pPr>
            <w:bookmarkStart w:id="13" w:name="_Hlk138778658"/>
            <w:r w:rsidRPr="00F23A18">
              <w:rPr>
                <w:rFonts w:ascii="Arial" w:hAnsi="Arial" w:cs="Arial"/>
                <w:sz w:val="20"/>
              </w:rPr>
              <w:t>Parameters/</w:t>
            </w:r>
          </w:p>
          <w:p w14:paraId="7EFF74F3"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Sample</w:t>
            </w:r>
          </w:p>
        </w:tc>
        <w:tc>
          <w:tcPr>
            <w:tcW w:w="960" w:type="pct"/>
            <w:tcBorders>
              <w:top w:val="single" w:sz="4" w:space="0" w:color="auto"/>
              <w:bottom w:val="single" w:sz="4" w:space="0" w:color="auto"/>
            </w:tcBorders>
            <w:vAlign w:val="center"/>
          </w:tcPr>
          <w:p w14:paraId="2936893D"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Water activity</w:t>
            </w:r>
          </w:p>
        </w:tc>
        <w:tc>
          <w:tcPr>
            <w:tcW w:w="997" w:type="pct"/>
            <w:tcBorders>
              <w:top w:val="single" w:sz="4" w:space="0" w:color="auto"/>
              <w:bottom w:val="single" w:sz="4" w:space="0" w:color="auto"/>
            </w:tcBorders>
            <w:vAlign w:val="center"/>
          </w:tcPr>
          <w:p w14:paraId="2C3B9F7C"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Insolubility index (ml)</w:t>
            </w:r>
          </w:p>
        </w:tc>
        <w:tc>
          <w:tcPr>
            <w:tcW w:w="995" w:type="pct"/>
            <w:tcBorders>
              <w:top w:val="single" w:sz="4" w:space="0" w:color="auto"/>
              <w:bottom w:val="single" w:sz="4" w:space="0" w:color="auto"/>
            </w:tcBorders>
            <w:vAlign w:val="center"/>
          </w:tcPr>
          <w:p w14:paraId="066225FA"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Surface free fat (%)</w:t>
            </w:r>
          </w:p>
        </w:tc>
        <w:tc>
          <w:tcPr>
            <w:tcW w:w="994" w:type="pct"/>
            <w:tcBorders>
              <w:top w:val="single" w:sz="4" w:space="0" w:color="auto"/>
              <w:bottom w:val="single" w:sz="4" w:space="0" w:color="auto"/>
            </w:tcBorders>
            <w:vAlign w:val="center"/>
          </w:tcPr>
          <w:p w14:paraId="7E5797B2"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Occluded air content (ml)</w:t>
            </w:r>
          </w:p>
        </w:tc>
      </w:tr>
      <w:tr w:rsidR="00F23A18" w:rsidRPr="00F23A18" w14:paraId="0884672C" w14:textId="77777777" w:rsidTr="0079535B">
        <w:tc>
          <w:tcPr>
            <w:tcW w:w="1054" w:type="pct"/>
            <w:tcBorders>
              <w:top w:val="single" w:sz="4" w:space="0" w:color="auto"/>
            </w:tcBorders>
            <w:vAlign w:val="center"/>
          </w:tcPr>
          <w:p w14:paraId="62C4BCF1"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GMP1</w:t>
            </w:r>
          </w:p>
        </w:tc>
        <w:tc>
          <w:tcPr>
            <w:tcW w:w="960" w:type="pct"/>
            <w:tcBorders>
              <w:top w:val="single" w:sz="4" w:space="0" w:color="auto"/>
            </w:tcBorders>
            <w:vAlign w:val="center"/>
          </w:tcPr>
          <w:p w14:paraId="30915A18"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0.26±0.06</w:t>
            </w:r>
            <w:r w:rsidRPr="004C1966">
              <w:rPr>
                <w:rFonts w:ascii="Arial" w:hAnsi="Arial" w:cs="Arial"/>
                <w:sz w:val="20"/>
                <w:vertAlign w:val="superscript"/>
              </w:rPr>
              <w:t>b</w:t>
            </w:r>
          </w:p>
        </w:tc>
        <w:tc>
          <w:tcPr>
            <w:tcW w:w="997" w:type="pct"/>
            <w:tcBorders>
              <w:top w:val="single" w:sz="4" w:space="0" w:color="auto"/>
            </w:tcBorders>
            <w:vAlign w:val="center"/>
          </w:tcPr>
          <w:p w14:paraId="533A2947"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0.11±0.07</w:t>
            </w:r>
            <w:r w:rsidRPr="004C1966">
              <w:rPr>
                <w:rFonts w:ascii="Arial" w:hAnsi="Arial" w:cs="Arial"/>
                <w:sz w:val="20"/>
                <w:vertAlign w:val="superscript"/>
              </w:rPr>
              <w:t>a</w:t>
            </w:r>
          </w:p>
        </w:tc>
        <w:tc>
          <w:tcPr>
            <w:tcW w:w="995" w:type="pct"/>
            <w:tcBorders>
              <w:top w:val="single" w:sz="4" w:space="0" w:color="auto"/>
            </w:tcBorders>
            <w:vAlign w:val="center"/>
          </w:tcPr>
          <w:p w14:paraId="794E6B78"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18.25±0.56</w:t>
            </w:r>
            <w:r w:rsidRPr="004C1966">
              <w:rPr>
                <w:rFonts w:ascii="Arial" w:hAnsi="Arial" w:cs="Arial"/>
                <w:sz w:val="20"/>
                <w:vertAlign w:val="superscript"/>
              </w:rPr>
              <w:t>a</w:t>
            </w:r>
          </w:p>
        </w:tc>
        <w:tc>
          <w:tcPr>
            <w:tcW w:w="994" w:type="pct"/>
            <w:tcBorders>
              <w:top w:val="single" w:sz="4" w:space="0" w:color="auto"/>
            </w:tcBorders>
            <w:vAlign w:val="center"/>
          </w:tcPr>
          <w:p w14:paraId="507DE343"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13.47±1.06</w:t>
            </w:r>
            <w:r w:rsidRPr="004C1966">
              <w:rPr>
                <w:rFonts w:ascii="Arial" w:hAnsi="Arial" w:cs="Arial"/>
                <w:sz w:val="20"/>
                <w:vertAlign w:val="superscript"/>
              </w:rPr>
              <w:t>a</w:t>
            </w:r>
          </w:p>
        </w:tc>
      </w:tr>
      <w:tr w:rsidR="00F23A18" w:rsidRPr="00F23A18" w14:paraId="7EB36873" w14:textId="77777777" w:rsidTr="0079535B">
        <w:tc>
          <w:tcPr>
            <w:tcW w:w="1054" w:type="pct"/>
            <w:vAlign w:val="center"/>
          </w:tcPr>
          <w:p w14:paraId="5A76B0B0"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GMP2</w:t>
            </w:r>
          </w:p>
        </w:tc>
        <w:tc>
          <w:tcPr>
            <w:tcW w:w="960" w:type="pct"/>
            <w:vAlign w:val="center"/>
          </w:tcPr>
          <w:p w14:paraId="16654880"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0.23±0.01</w:t>
            </w:r>
            <w:r w:rsidRPr="004C1966">
              <w:rPr>
                <w:rFonts w:ascii="Arial" w:hAnsi="Arial" w:cs="Arial"/>
                <w:sz w:val="20"/>
                <w:vertAlign w:val="superscript"/>
              </w:rPr>
              <w:t>ab</w:t>
            </w:r>
          </w:p>
        </w:tc>
        <w:tc>
          <w:tcPr>
            <w:tcW w:w="997" w:type="pct"/>
            <w:vAlign w:val="center"/>
          </w:tcPr>
          <w:p w14:paraId="469B13F1"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0.40±0.05</w:t>
            </w:r>
            <w:r w:rsidRPr="004C1966">
              <w:rPr>
                <w:rFonts w:ascii="Arial" w:hAnsi="Arial" w:cs="Arial"/>
                <w:sz w:val="20"/>
                <w:vertAlign w:val="superscript"/>
              </w:rPr>
              <w:t>b</w:t>
            </w:r>
          </w:p>
        </w:tc>
        <w:tc>
          <w:tcPr>
            <w:tcW w:w="995" w:type="pct"/>
            <w:vAlign w:val="center"/>
          </w:tcPr>
          <w:p w14:paraId="4658DC4B"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29.60±0.55</w:t>
            </w:r>
            <w:r w:rsidRPr="004C1966">
              <w:rPr>
                <w:rFonts w:ascii="Arial" w:hAnsi="Arial" w:cs="Arial"/>
                <w:sz w:val="20"/>
                <w:vertAlign w:val="superscript"/>
              </w:rPr>
              <w:t>b</w:t>
            </w:r>
          </w:p>
        </w:tc>
        <w:tc>
          <w:tcPr>
            <w:tcW w:w="994" w:type="pct"/>
            <w:vAlign w:val="center"/>
          </w:tcPr>
          <w:p w14:paraId="5A07F79F"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18.96±1.91</w:t>
            </w:r>
            <w:r w:rsidRPr="004C1966">
              <w:rPr>
                <w:rFonts w:ascii="Arial" w:hAnsi="Arial" w:cs="Arial"/>
                <w:sz w:val="20"/>
                <w:vertAlign w:val="superscript"/>
              </w:rPr>
              <w:t>b</w:t>
            </w:r>
          </w:p>
        </w:tc>
      </w:tr>
      <w:tr w:rsidR="00F23A18" w:rsidRPr="00F23A18" w14:paraId="46BAB2C2" w14:textId="77777777" w:rsidTr="0079535B">
        <w:tc>
          <w:tcPr>
            <w:tcW w:w="1054" w:type="pct"/>
            <w:vAlign w:val="center"/>
          </w:tcPr>
          <w:p w14:paraId="43BAEDE0"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COM</w:t>
            </w:r>
          </w:p>
        </w:tc>
        <w:tc>
          <w:tcPr>
            <w:tcW w:w="960" w:type="pct"/>
            <w:vAlign w:val="center"/>
          </w:tcPr>
          <w:p w14:paraId="75448C01"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0.18±0.01</w:t>
            </w:r>
            <w:r w:rsidRPr="004C1966">
              <w:rPr>
                <w:rFonts w:ascii="Arial" w:hAnsi="Arial" w:cs="Arial"/>
                <w:sz w:val="20"/>
                <w:vertAlign w:val="superscript"/>
              </w:rPr>
              <w:t>a</w:t>
            </w:r>
          </w:p>
        </w:tc>
        <w:tc>
          <w:tcPr>
            <w:tcW w:w="997" w:type="pct"/>
            <w:vAlign w:val="center"/>
          </w:tcPr>
          <w:p w14:paraId="61BBF633"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0.68±0.28</w:t>
            </w:r>
            <w:r w:rsidRPr="004C1966">
              <w:rPr>
                <w:rFonts w:ascii="Arial" w:hAnsi="Arial" w:cs="Arial"/>
                <w:sz w:val="20"/>
                <w:vertAlign w:val="superscript"/>
              </w:rPr>
              <w:t>c</w:t>
            </w:r>
          </w:p>
        </w:tc>
        <w:tc>
          <w:tcPr>
            <w:tcW w:w="995" w:type="pct"/>
            <w:vAlign w:val="center"/>
          </w:tcPr>
          <w:p w14:paraId="02E0FBD7"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30.26±1.41</w:t>
            </w:r>
            <w:r w:rsidRPr="004C1966">
              <w:rPr>
                <w:rFonts w:ascii="Arial" w:hAnsi="Arial" w:cs="Arial"/>
                <w:sz w:val="20"/>
                <w:vertAlign w:val="superscript"/>
              </w:rPr>
              <w:t>b</w:t>
            </w:r>
          </w:p>
        </w:tc>
        <w:tc>
          <w:tcPr>
            <w:tcW w:w="994" w:type="pct"/>
            <w:vAlign w:val="center"/>
          </w:tcPr>
          <w:p w14:paraId="0C2A1D82"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44.14±1.31</w:t>
            </w:r>
            <w:r w:rsidRPr="004C1966">
              <w:rPr>
                <w:rFonts w:ascii="Arial" w:hAnsi="Arial" w:cs="Arial"/>
                <w:sz w:val="20"/>
                <w:vertAlign w:val="superscript"/>
              </w:rPr>
              <w:t>c</w:t>
            </w:r>
          </w:p>
        </w:tc>
      </w:tr>
      <w:tr w:rsidR="00F23A18" w:rsidRPr="00F23A18" w14:paraId="7594D1DA" w14:textId="77777777" w:rsidTr="0079535B">
        <w:tc>
          <w:tcPr>
            <w:tcW w:w="1054" w:type="pct"/>
            <w:vAlign w:val="center"/>
          </w:tcPr>
          <w:p w14:paraId="0368A598" w14:textId="77777777" w:rsidR="00F23A18" w:rsidRPr="00F23A18" w:rsidRDefault="00F23A18" w:rsidP="0079535B">
            <w:pPr>
              <w:spacing w:line="360" w:lineRule="auto"/>
              <w:jc w:val="center"/>
              <w:rPr>
                <w:rFonts w:ascii="Arial" w:hAnsi="Arial" w:cs="Arial"/>
                <w:sz w:val="20"/>
              </w:rPr>
            </w:pPr>
            <w:proofErr w:type="spellStart"/>
            <w:r w:rsidRPr="00F23A18">
              <w:rPr>
                <w:rFonts w:ascii="Arial" w:hAnsi="Arial" w:cs="Arial"/>
                <w:sz w:val="20"/>
              </w:rPr>
              <w:t>SEm</w:t>
            </w:r>
            <w:proofErr w:type="spellEnd"/>
          </w:p>
        </w:tc>
        <w:tc>
          <w:tcPr>
            <w:tcW w:w="960" w:type="pct"/>
            <w:vAlign w:val="center"/>
          </w:tcPr>
          <w:p w14:paraId="60A57CB4"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0.02</w:t>
            </w:r>
          </w:p>
        </w:tc>
        <w:tc>
          <w:tcPr>
            <w:tcW w:w="997" w:type="pct"/>
            <w:vAlign w:val="center"/>
          </w:tcPr>
          <w:p w14:paraId="47ADDFFB"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0.08</w:t>
            </w:r>
          </w:p>
        </w:tc>
        <w:tc>
          <w:tcPr>
            <w:tcW w:w="995" w:type="pct"/>
            <w:vAlign w:val="center"/>
          </w:tcPr>
          <w:p w14:paraId="74766ACF"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0.47</w:t>
            </w:r>
          </w:p>
        </w:tc>
        <w:tc>
          <w:tcPr>
            <w:tcW w:w="994" w:type="pct"/>
            <w:vAlign w:val="center"/>
          </w:tcPr>
          <w:p w14:paraId="7DEC841A"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0.73</w:t>
            </w:r>
          </w:p>
        </w:tc>
      </w:tr>
      <w:tr w:rsidR="00F23A18" w:rsidRPr="00F23A18" w14:paraId="420A33AB" w14:textId="77777777" w:rsidTr="0079535B">
        <w:tc>
          <w:tcPr>
            <w:tcW w:w="1054" w:type="pct"/>
            <w:vAlign w:val="center"/>
          </w:tcPr>
          <w:p w14:paraId="69439480"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CD</w:t>
            </w:r>
          </w:p>
        </w:tc>
        <w:tc>
          <w:tcPr>
            <w:tcW w:w="960" w:type="pct"/>
            <w:vAlign w:val="center"/>
          </w:tcPr>
          <w:p w14:paraId="60A4D986"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0.05</w:t>
            </w:r>
          </w:p>
        </w:tc>
        <w:tc>
          <w:tcPr>
            <w:tcW w:w="997" w:type="pct"/>
            <w:vAlign w:val="center"/>
          </w:tcPr>
          <w:p w14:paraId="2F39E084"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0.26</w:t>
            </w:r>
          </w:p>
        </w:tc>
        <w:tc>
          <w:tcPr>
            <w:tcW w:w="995" w:type="pct"/>
            <w:vAlign w:val="center"/>
          </w:tcPr>
          <w:p w14:paraId="5A6704F0"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1.44</w:t>
            </w:r>
          </w:p>
        </w:tc>
        <w:tc>
          <w:tcPr>
            <w:tcW w:w="994" w:type="pct"/>
            <w:vAlign w:val="center"/>
          </w:tcPr>
          <w:p w14:paraId="3D3554FD"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2.26</w:t>
            </w:r>
          </w:p>
        </w:tc>
      </w:tr>
      <w:tr w:rsidR="00F23A18" w:rsidRPr="00F23A18" w14:paraId="6626E099" w14:textId="77777777" w:rsidTr="0079535B">
        <w:tc>
          <w:tcPr>
            <w:tcW w:w="1054" w:type="pct"/>
            <w:vAlign w:val="center"/>
          </w:tcPr>
          <w:p w14:paraId="1C6D0515"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CV%</w:t>
            </w:r>
          </w:p>
        </w:tc>
        <w:tc>
          <w:tcPr>
            <w:tcW w:w="960" w:type="pct"/>
            <w:vAlign w:val="center"/>
          </w:tcPr>
          <w:p w14:paraId="1D68C7EE"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16.62</w:t>
            </w:r>
          </w:p>
        </w:tc>
        <w:tc>
          <w:tcPr>
            <w:tcW w:w="997" w:type="pct"/>
            <w:vAlign w:val="center"/>
          </w:tcPr>
          <w:p w14:paraId="57CAAC02"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47.44</w:t>
            </w:r>
          </w:p>
        </w:tc>
        <w:tc>
          <w:tcPr>
            <w:tcW w:w="995" w:type="pct"/>
            <w:vAlign w:val="center"/>
          </w:tcPr>
          <w:p w14:paraId="1535AB8F"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4.00</w:t>
            </w:r>
          </w:p>
        </w:tc>
        <w:tc>
          <w:tcPr>
            <w:tcW w:w="994" w:type="pct"/>
            <w:vAlign w:val="center"/>
          </w:tcPr>
          <w:p w14:paraId="470356D4"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6.44</w:t>
            </w:r>
          </w:p>
        </w:tc>
      </w:tr>
    </w:tbl>
    <w:bookmarkEnd w:id="13"/>
    <w:p w14:paraId="538B525B" w14:textId="06201B3E" w:rsidR="00C44A4F" w:rsidRPr="00C44A4F" w:rsidRDefault="00C44A4F" w:rsidP="00856EBC">
      <w:pPr>
        <w:spacing w:line="360" w:lineRule="auto"/>
        <w:rPr>
          <w:rFonts w:ascii="Arial" w:hAnsi="Arial"/>
          <w:bCs/>
          <w:i/>
          <w:sz w:val="18"/>
          <w:szCs w:val="16"/>
        </w:rPr>
      </w:pPr>
      <w:r w:rsidRPr="00C44A4F">
        <w:rPr>
          <w:rFonts w:ascii="Arial" w:hAnsi="Arial"/>
          <w:bCs/>
          <w:i/>
          <w:sz w:val="18"/>
          <w:szCs w:val="16"/>
        </w:rPr>
        <w:t xml:space="preserve">*a-c: values with different letters between a row are significantly different at 5 % (i.e., </w:t>
      </w:r>
      <w:r w:rsidR="00CB129A">
        <w:rPr>
          <w:rFonts w:ascii="Arial" w:hAnsi="Arial"/>
          <w:bCs/>
          <w:i/>
          <w:sz w:val="18"/>
          <w:szCs w:val="16"/>
        </w:rPr>
        <w:t>P&lt;</w:t>
      </w:r>
      <w:r w:rsidRPr="00C44A4F">
        <w:rPr>
          <w:rFonts w:ascii="Arial" w:hAnsi="Arial"/>
          <w:bCs/>
          <w:i/>
          <w:sz w:val="18"/>
          <w:szCs w:val="16"/>
        </w:rPr>
        <w:t>0.05).</w:t>
      </w:r>
    </w:p>
    <w:p w14:paraId="0537AAD1" w14:textId="1E86EF3B" w:rsidR="00856EBC" w:rsidRPr="00856EBC" w:rsidRDefault="00F23A18" w:rsidP="00511BFC">
      <w:pPr>
        <w:pStyle w:val="Body"/>
        <w:spacing w:before="240"/>
        <w:rPr>
          <w:rFonts w:ascii="Arial" w:hAnsi="Arial" w:cs="Arial"/>
          <w:b/>
          <w:sz w:val="22"/>
        </w:rPr>
      </w:pPr>
      <w:r w:rsidRPr="00856EBC">
        <w:rPr>
          <w:rFonts w:ascii="Arial" w:hAnsi="Arial" w:cs="Arial"/>
          <w:b/>
          <w:sz w:val="22"/>
        </w:rPr>
        <w:t>3.7 Wettability of goat and cow milk powders</w:t>
      </w:r>
    </w:p>
    <w:p w14:paraId="08316190" w14:textId="768CE97C" w:rsidR="00790ADA" w:rsidRPr="006A3A17" w:rsidRDefault="00F23A18" w:rsidP="006A3A17">
      <w:pPr>
        <w:spacing w:line="480" w:lineRule="auto"/>
        <w:jc w:val="both"/>
        <w:rPr>
          <w:rFonts w:ascii="Arial" w:eastAsia="Calibri" w:hAnsi="Arial" w:cs="Arial"/>
          <w:szCs w:val="22"/>
        </w:rPr>
      </w:pPr>
      <w:r w:rsidRPr="00F23A18">
        <w:rPr>
          <w:rFonts w:ascii="Arial" w:eastAsia="Calibri" w:hAnsi="Arial" w:cs="Arial"/>
          <w:szCs w:val="22"/>
        </w:rPr>
        <w:t xml:space="preserve">The wettability of all the powder samples was observed for more than 30 min. The higher surface free fat in all the powder and fine particle size of goat milk powders might be the reason of this poor wettability. The wettability of milk powder is affected by the amount of free fat content, particle size, agglomeration </w:t>
      </w:r>
      <w:proofErr w:type="spellStart"/>
      <w:r w:rsidRPr="00F23A18">
        <w:rPr>
          <w:rFonts w:ascii="Arial" w:eastAsia="Calibri" w:hAnsi="Arial" w:cs="Arial"/>
          <w:szCs w:val="22"/>
        </w:rPr>
        <w:t>etc</w:t>
      </w:r>
      <w:proofErr w:type="spellEnd"/>
      <w:r w:rsidRPr="00F23A18">
        <w:rPr>
          <w:rFonts w:ascii="Arial" w:eastAsia="Calibri" w:hAnsi="Arial" w:cs="Arial"/>
          <w:szCs w:val="22"/>
        </w:rPr>
        <w:t xml:space="preserve"> (Reddy et al., 2014). Fonseca et al. (2011) reported the wettability of 6 min of whole goat milk powder. They also concluded the addition of lecithin decreased the wetting time of powdered milk. Reddy (2013) studied spray dried </w:t>
      </w:r>
      <w:proofErr w:type="spellStart"/>
      <w:r w:rsidRPr="00F23A18">
        <w:rPr>
          <w:rFonts w:ascii="Arial" w:eastAsia="Calibri" w:hAnsi="Arial" w:cs="Arial"/>
          <w:szCs w:val="22"/>
        </w:rPr>
        <w:t>Osmanabadi</w:t>
      </w:r>
      <w:proofErr w:type="spellEnd"/>
      <w:r w:rsidRPr="00F23A18">
        <w:rPr>
          <w:rFonts w:ascii="Arial" w:eastAsia="Calibri" w:hAnsi="Arial" w:cs="Arial"/>
          <w:szCs w:val="22"/>
        </w:rPr>
        <w:t xml:space="preserve"> goat milk powder and reported the wettability from 8 to 10 min. </w:t>
      </w:r>
      <w:proofErr w:type="spellStart"/>
      <w:r w:rsidRPr="00F23A18">
        <w:rPr>
          <w:rFonts w:ascii="Arial" w:eastAsia="Calibri" w:hAnsi="Arial" w:cs="Arial"/>
          <w:szCs w:val="22"/>
        </w:rPr>
        <w:t>Fournaise</w:t>
      </w:r>
      <w:proofErr w:type="spellEnd"/>
      <w:r w:rsidRPr="00F23A18">
        <w:rPr>
          <w:rFonts w:ascii="Arial" w:eastAsia="Calibri" w:hAnsi="Arial" w:cs="Arial"/>
          <w:szCs w:val="22"/>
        </w:rPr>
        <w:t xml:space="preserve"> et al. (2020) reported the wettability of more than 90 min for whole spray dried milk and concluded it as a poor </w:t>
      </w:r>
      <w:proofErr w:type="spellStart"/>
      <w:r w:rsidRPr="00F23A18">
        <w:rPr>
          <w:rFonts w:ascii="Arial" w:eastAsia="Calibri" w:hAnsi="Arial" w:cs="Arial"/>
          <w:szCs w:val="22"/>
        </w:rPr>
        <w:t>wettable</w:t>
      </w:r>
      <w:proofErr w:type="spellEnd"/>
      <w:r w:rsidRPr="00F23A18">
        <w:rPr>
          <w:rFonts w:ascii="Arial" w:eastAsia="Calibri" w:hAnsi="Arial" w:cs="Arial"/>
          <w:szCs w:val="22"/>
        </w:rPr>
        <w:t xml:space="preserve"> powder.  </w:t>
      </w:r>
    </w:p>
    <w:p w14:paraId="4E8296F4" w14:textId="7A36153B" w:rsidR="00790ADA" w:rsidRPr="00FB3A86" w:rsidRDefault="00000F8F" w:rsidP="006A3A17">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4856D0E4" w14:textId="43A5C981" w:rsidR="00860000" w:rsidRDefault="00C44A4F" w:rsidP="006A3A17">
      <w:pPr>
        <w:pStyle w:val="Body"/>
        <w:spacing w:after="0" w:line="480" w:lineRule="auto"/>
        <w:rPr>
          <w:rFonts w:ascii="Arial" w:hAnsi="Arial" w:cs="Arial"/>
        </w:rPr>
      </w:pPr>
      <w:r w:rsidRPr="00C44A4F">
        <w:rPr>
          <w:rFonts w:ascii="Arial" w:hAnsi="Arial" w:cs="Arial"/>
        </w:rPr>
        <w:t xml:space="preserve">Thus, from the study of goat as well as cow milk powder it was found that goat milk powder has brighter in </w:t>
      </w:r>
      <w:proofErr w:type="spellStart"/>
      <w:r w:rsidRPr="00C44A4F">
        <w:rPr>
          <w:rFonts w:ascii="Arial" w:hAnsi="Arial" w:cs="Arial"/>
        </w:rPr>
        <w:t>colour</w:t>
      </w:r>
      <w:proofErr w:type="spellEnd"/>
      <w:r w:rsidRPr="00C44A4F">
        <w:rPr>
          <w:rFonts w:ascii="Arial" w:hAnsi="Arial" w:cs="Arial"/>
        </w:rPr>
        <w:t xml:space="preserve"> whereas cow milk powder has more yellowish. The surface free fat and insolubility index in cow milk powder was also found higher than goat milk powder. The flowability of cow milk powder has also excellent compared goat milk powder. Physical properties of milk powders have significant impact on products formulation. The physical </w:t>
      </w:r>
      <w:r w:rsidRPr="00C44A4F">
        <w:rPr>
          <w:rFonts w:ascii="Arial" w:hAnsi="Arial" w:cs="Arial"/>
        </w:rPr>
        <w:lastRenderedPageBreak/>
        <w:t xml:space="preserve">properties of milk powder influenced by the various technological parameters used during production. Hence it is important to </w:t>
      </w:r>
      <w:proofErr w:type="spellStart"/>
      <w:r w:rsidRPr="00C44A4F">
        <w:rPr>
          <w:rFonts w:ascii="Arial" w:hAnsi="Arial" w:cs="Arial"/>
        </w:rPr>
        <w:t>analyse</w:t>
      </w:r>
      <w:proofErr w:type="spellEnd"/>
      <w:r w:rsidRPr="00C44A4F">
        <w:rPr>
          <w:rFonts w:ascii="Arial" w:hAnsi="Arial" w:cs="Arial"/>
        </w:rPr>
        <w:t xml:space="preserve"> the physical properties for various use and marketing.</w:t>
      </w:r>
    </w:p>
    <w:p w14:paraId="09FF47A0" w14:textId="409DA632" w:rsidR="00790ADA" w:rsidRPr="00FB3A86" w:rsidRDefault="00B01FCD" w:rsidP="006A3A17">
      <w:pPr>
        <w:pStyle w:val="ReferHead"/>
        <w:jc w:val="both"/>
        <w:rPr>
          <w:rFonts w:ascii="Arial" w:hAnsi="Arial" w:cs="Arial"/>
        </w:rPr>
      </w:pPr>
      <w:r w:rsidRPr="00FB3A86">
        <w:rPr>
          <w:rFonts w:ascii="Arial" w:hAnsi="Arial" w:cs="Arial"/>
        </w:rPr>
        <w:t>References</w:t>
      </w:r>
    </w:p>
    <w:p w14:paraId="216B8A10" w14:textId="4746620B" w:rsidR="001D0734" w:rsidRPr="001D0734" w:rsidRDefault="00C67BA5" w:rsidP="000E7ACE">
      <w:pPr>
        <w:pStyle w:val="Body"/>
        <w:spacing w:after="0" w:line="480" w:lineRule="auto"/>
        <w:rPr>
          <w:rFonts w:ascii="Arial" w:hAnsi="Arial" w:cs="Arial"/>
        </w:rPr>
      </w:pPr>
      <w:r w:rsidRPr="00C67BA5">
        <w:rPr>
          <w:rFonts w:ascii="Arial" w:hAnsi="Arial" w:cs="Arial"/>
        </w:rPr>
        <w:t>AOAC International. (2006). Official methods of analysis of AOAC International. AOAC International.</w:t>
      </w:r>
      <w:r>
        <w:rPr>
          <w:rFonts w:ascii="Arial" w:hAnsi="Arial" w:cs="Arial"/>
        </w:rPr>
        <w:t xml:space="preserve"> </w:t>
      </w:r>
    </w:p>
    <w:p w14:paraId="359C3F7C" w14:textId="2630A5A6" w:rsidR="001D0734" w:rsidRPr="001D0734" w:rsidRDefault="00C67BA5" w:rsidP="000E7ACE">
      <w:pPr>
        <w:pStyle w:val="Body"/>
        <w:spacing w:after="0" w:line="480" w:lineRule="auto"/>
        <w:rPr>
          <w:rFonts w:ascii="Arial" w:hAnsi="Arial" w:cs="Arial"/>
        </w:rPr>
      </w:pPr>
      <w:bookmarkStart w:id="14" w:name="_Hlk138410472"/>
      <w:r w:rsidRPr="00C67BA5">
        <w:rPr>
          <w:rFonts w:ascii="Arial" w:hAnsi="Arial" w:cs="Arial"/>
        </w:rPr>
        <w:t>Al-</w:t>
      </w:r>
      <w:proofErr w:type="spellStart"/>
      <w:r w:rsidRPr="00C67BA5">
        <w:rPr>
          <w:rFonts w:ascii="Arial" w:hAnsi="Arial" w:cs="Arial"/>
        </w:rPr>
        <w:t>Hilphy</w:t>
      </w:r>
      <w:proofErr w:type="spellEnd"/>
      <w:r w:rsidRPr="00C67BA5">
        <w:rPr>
          <w:rFonts w:ascii="Arial" w:hAnsi="Arial" w:cs="Arial"/>
        </w:rPr>
        <w:t>, A. R., Ali, H. I., Al-</w:t>
      </w:r>
      <w:proofErr w:type="spellStart"/>
      <w:r w:rsidRPr="00C67BA5">
        <w:rPr>
          <w:rFonts w:ascii="Arial" w:hAnsi="Arial" w:cs="Arial"/>
        </w:rPr>
        <w:t>IEssa</w:t>
      </w:r>
      <w:proofErr w:type="spellEnd"/>
      <w:r w:rsidRPr="00C67BA5">
        <w:rPr>
          <w:rFonts w:ascii="Arial" w:hAnsi="Arial" w:cs="Arial"/>
        </w:rPr>
        <w:t xml:space="preserve">, S. A., </w:t>
      </w:r>
      <w:proofErr w:type="spellStart"/>
      <w:r w:rsidRPr="00C67BA5">
        <w:rPr>
          <w:rFonts w:ascii="Arial" w:hAnsi="Arial" w:cs="Arial"/>
        </w:rPr>
        <w:t>Gavahian</w:t>
      </w:r>
      <w:proofErr w:type="spellEnd"/>
      <w:r w:rsidRPr="00C67BA5">
        <w:rPr>
          <w:rFonts w:ascii="Arial" w:hAnsi="Arial" w:cs="Arial"/>
        </w:rPr>
        <w:t>, M., &amp; Mousavi-</w:t>
      </w:r>
      <w:proofErr w:type="spellStart"/>
      <w:r w:rsidRPr="00C67BA5">
        <w:rPr>
          <w:rFonts w:ascii="Arial" w:hAnsi="Arial" w:cs="Arial"/>
        </w:rPr>
        <w:t>Khaneghah</w:t>
      </w:r>
      <w:proofErr w:type="spellEnd"/>
      <w:r w:rsidRPr="00C67BA5">
        <w:rPr>
          <w:rFonts w:ascii="Arial" w:hAnsi="Arial" w:cs="Arial"/>
        </w:rPr>
        <w:t xml:space="preserve">, A. (2022). Assessing compositional and quality parameters of unconcentrated and refractive window concentrated milk based on color components. Dairy, 3(2), 400-412. </w:t>
      </w:r>
      <w:hyperlink r:id="rId14" w:history="1">
        <w:r w:rsidRPr="00E02D93">
          <w:rPr>
            <w:rStyle w:val="Hyperlink"/>
            <w:rFonts w:ascii="Arial" w:hAnsi="Arial" w:cs="Arial"/>
          </w:rPr>
          <w:t>https://doi.org/10.3390/dairy3020030</w:t>
        </w:r>
      </w:hyperlink>
      <w:r>
        <w:rPr>
          <w:rFonts w:ascii="Arial" w:hAnsi="Arial" w:cs="Arial"/>
        </w:rPr>
        <w:t xml:space="preserve"> </w:t>
      </w:r>
      <w:r w:rsidR="001D0734" w:rsidRPr="001D0734">
        <w:rPr>
          <w:rFonts w:ascii="Arial" w:hAnsi="Arial" w:cs="Arial"/>
        </w:rPr>
        <w:t xml:space="preserve"> </w:t>
      </w:r>
    </w:p>
    <w:p w14:paraId="463C5050" w14:textId="4DCA08D6" w:rsidR="001D0734" w:rsidRPr="001D0734" w:rsidRDefault="001432CC" w:rsidP="000E7ACE">
      <w:pPr>
        <w:pStyle w:val="Body"/>
        <w:spacing w:after="0" w:line="480" w:lineRule="auto"/>
        <w:rPr>
          <w:rFonts w:ascii="Arial" w:hAnsi="Arial" w:cs="Arial"/>
        </w:rPr>
      </w:pPr>
      <w:proofErr w:type="spellStart"/>
      <w:r w:rsidRPr="001432CC">
        <w:rPr>
          <w:rFonts w:ascii="Arial" w:hAnsi="Arial" w:cs="Arial"/>
        </w:rPr>
        <w:t>Bosset</w:t>
      </w:r>
      <w:proofErr w:type="spellEnd"/>
      <w:r w:rsidRPr="001432CC">
        <w:rPr>
          <w:rFonts w:ascii="Arial" w:hAnsi="Arial" w:cs="Arial"/>
        </w:rPr>
        <w:t xml:space="preserve">, J. O., </w:t>
      </w:r>
      <w:proofErr w:type="spellStart"/>
      <w:r w:rsidRPr="001432CC">
        <w:rPr>
          <w:rFonts w:ascii="Arial" w:hAnsi="Arial" w:cs="Arial"/>
        </w:rPr>
        <w:t>Gallmann</w:t>
      </w:r>
      <w:proofErr w:type="spellEnd"/>
      <w:r w:rsidRPr="001432CC">
        <w:rPr>
          <w:rFonts w:ascii="Arial" w:hAnsi="Arial" w:cs="Arial"/>
        </w:rPr>
        <w:t xml:space="preserve">, P. U., &amp; </w:t>
      </w:r>
      <w:proofErr w:type="spellStart"/>
      <w:r w:rsidRPr="001432CC">
        <w:rPr>
          <w:rFonts w:ascii="Arial" w:hAnsi="Arial" w:cs="Arial"/>
        </w:rPr>
        <w:t>Sieber</w:t>
      </w:r>
      <w:proofErr w:type="spellEnd"/>
      <w:r w:rsidRPr="001432CC">
        <w:rPr>
          <w:rFonts w:ascii="Arial" w:hAnsi="Arial" w:cs="Arial"/>
        </w:rPr>
        <w:t xml:space="preserve">, R. (1994). Influence of light transmittance of packaging materials on the shelf-life of milk and dairy products — a review. Food Packaging and Preservation, pp. 222-268. </w:t>
      </w:r>
      <w:hyperlink r:id="rId15" w:history="1">
        <w:r w:rsidRPr="00E02D93">
          <w:rPr>
            <w:rStyle w:val="Hyperlink"/>
            <w:rFonts w:ascii="Arial" w:hAnsi="Arial" w:cs="Arial"/>
          </w:rPr>
          <w:t>https://doi.org/10.1007/978-1-4615-2173-0_13</w:t>
        </w:r>
      </w:hyperlink>
      <w:r>
        <w:rPr>
          <w:rFonts w:ascii="Arial" w:hAnsi="Arial" w:cs="Arial"/>
        </w:rPr>
        <w:t xml:space="preserve"> </w:t>
      </w:r>
      <w:r w:rsidR="001D0734" w:rsidRPr="001D0734">
        <w:rPr>
          <w:rFonts w:ascii="Arial" w:hAnsi="Arial" w:cs="Arial"/>
        </w:rPr>
        <w:t xml:space="preserve"> </w:t>
      </w:r>
    </w:p>
    <w:p w14:paraId="12E1E5DB" w14:textId="1BD893F8" w:rsidR="001D0734" w:rsidRPr="001D0734" w:rsidRDefault="00F91FDC" w:rsidP="000E7ACE">
      <w:pPr>
        <w:pStyle w:val="Body"/>
        <w:spacing w:after="0" w:line="480" w:lineRule="auto"/>
        <w:rPr>
          <w:rFonts w:ascii="Arial" w:hAnsi="Arial" w:cs="Arial"/>
        </w:rPr>
      </w:pPr>
      <w:r w:rsidRPr="00F91FDC">
        <w:rPr>
          <w:rFonts w:ascii="Arial" w:hAnsi="Arial" w:cs="Arial"/>
        </w:rPr>
        <w:t xml:space="preserve">Davis, B. I., Siddique, A., &amp; Park, Y. W. (2017). Effects of different storage time and temperature on physicochemical properties and fatty acid profiles of commercial powder goat milk products. Journal of Advances in Dairy Research, 5(4), 1-7. </w:t>
      </w:r>
      <w:hyperlink r:id="rId16" w:history="1">
        <w:r w:rsidRPr="00E02D93">
          <w:rPr>
            <w:rStyle w:val="Hyperlink"/>
            <w:rFonts w:ascii="Arial" w:hAnsi="Arial" w:cs="Arial"/>
          </w:rPr>
          <w:t>https://doi.org/10.4172/2329-888X.1000193</w:t>
        </w:r>
      </w:hyperlink>
      <w:r>
        <w:rPr>
          <w:rFonts w:ascii="Arial" w:hAnsi="Arial" w:cs="Arial"/>
        </w:rPr>
        <w:t xml:space="preserve"> </w:t>
      </w:r>
      <w:r w:rsidR="001D0734" w:rsidRPr="001D0734">
        <w:rPr>
          <w:rFonts w:ascii="Arial" w:hAnsi="Arial" w:cs="Arial"/>
        </w:rPr>
        <w:t xml:space="preserve"> </w:t>
      </w:r>
    </w:p>
    <w:p w14:paraId="7F3BBF66" w14:textId="19069B02" w:rsidR="001D0734" w:rsidRPr="001D0734" w:rsidRDefault="00F41D01" w:rsidP="000E7ACE">
      <w:pPr>
        <w:pStyle w:val="Body"/>
        <w:spacing w:after="0" w:line="480" w:lineRule="auto"/>
        <w:rPr>
          <w:rFonts w:ascii="Arial" w:hAnsi="Arial" w:cs="Arial"/>
        </w:rPr>
      </w:pPr>
      <w:r w:rsidRPr="00F41D01">
        <w:rPr>
          <w:rFonts w:ascii="Arial" w:hAnsi="Arial" w:cs="Arial"/>
        </w:rPr>
        <w:t xml:space="preserve">de Oliveira, A. H., Mata, M. E. R. M. C., Fortes, M., Duarte, M. E. M., </w:t>
      </w:r>
      <w:proofErr w:type="spellStart"/>
      <w:r w:rsidRPr="00F41D01">
        <w:rPr>
          <w:rFonts w:ascii="Arial" w:hAnsi="Arial" w:cs="Arial"/>
        </w:rPr>
        <w:t>Pasquali</w:t>
      </w:r>
      <w:proofErr w:type="spellEnd"/>
      <w:r w:rsidRPr="00F41D01">
        <w:rPr>
          <w:rFonts w:ascii="Arial" w:hAnsi="Arial" w:cs="Arial"/>
        </w:rPr>
        <w:t xml:space="preserve">, M., &amp; </w:t>
      </w:r>
      <w:proofErr w:type="spellStart"/>
      <w:r w:rsidRPr="00F41D01">
        <w:rPr>
          <w:rFonts w:ascii="Arial" w:hAnsi="Arial" w:cs="Arial"/>
        </w:rPr>
        <w:t>Lisboa</w:t>
      </w:r>
      <w:proofErr w:type="spellEnd"/>
      <w:r w:rsidRPr="00F41D01">
        <w:rPr>
          <w:rFonts w:ascii="Arial" w:hAnsi="Arial" w:cs="Arial"/>
        </w:rPr>
        <w:t xml:space="preserve">, H. M. (2020). Influence of spray drying conditions on the properties of whole goat milk. Drying Technology, 39(6), 726-737. </w:t>
      </w:r>
      <w:hyperlink r:id="rId17" w:history="1">
        <w:r w:rsidRPr="00E02D93">
          <w:rPr>
            <w:rStyle w:val="Hyperlink"/>
            <w:rFonts w:ascii="Arial" w:hAnsi="Arial" w:cs="Arial"/>
          </w:rPr>
          <w:t>https://doi.org/10.1080/07373937.2020.1714647</w:t>
        </w:r>
      </w:hyperlink>
      <w:r>
        <w:rPr>
          <w:rFonts w:ascii="Arial" w:hAnsi="Arial" w:cs="Arial"/>
        </w:rPr>
        <w:t xml:space="preserve"> </w:t>
      </w:r>
      <w:r w:rsidR="001D0734" w:rsidRPr="001D0734">
        <w:rPr>
          <w:rFonts w:ascii="Arial" w:hAnsi="Arial" w:cs="Arial"/>
        </w:rPr>
        <w:t xml:space="preserve"> </w:t>
      </w:r>
    </w:p>
    <w:p w14:paraId="322A98C7" w14:textId="3A04F512" w:rsidR="001D0734" w:rsidRPr="001D0734" w:rsidRDefault="00480173" w:rsidP="000E7ACE">
      <w:pPr>
        <w:pStyle w:val="Body"/>
        <w:spacing w:after="0" w:line="480" w:lineRule="auto"/>
        <w:rPr>
          <w:rFonts w:ascii="Arial" w:hAnsi="Arial" w:cs="Arial"/>
        </w:rPr>
      </w:pPr>
      <w:proofErr w:type="spellStart"/>
      <w:r w:rsidRPr="00480173">
        <w:rPr>
          <w:rFonts w:ascii="Arial" w:hAnsi="Arial" w:cs="Arial"/>
        </w:rPr>
        <w:t>Deshwal</w:t>
      </w:r>
      <w:proofErr w:type="spellEnd"/>
      <w:r w:rsidRPr="00480173">
        <w:rPr>
          <w:rFonts w:ascii="Arial" w:hAnsi="Arial" w:cs="Arial"/>
        </w:rPr>
        <w:t xml:space="preserve">, G. K., Singh, A. K., Kumar, D., &amp; Sharma, H. (2020). Effect of spray and freeze drying on </w:t>
      </w:r>
      <w:proofErr w:type="spellStart"/>
      <w:r w:rsidRPr="00480173">
        <w:rPr>
          <w:rFonts w:ascii="Arial" w:hAnsi="Arial" w:cs="Arial"/>
        </w:rPr>
        <w:t>physico</w:t>
      </w:r>
      <w:proofErr w:type="spellEnd"/>
      <w:r w:rsidRPr="00480173">
        <w:rPr>
          <w:rFonts w:ascii="Arial" w:hAnsi="Arial" w:cs="Arial"/>
        </w:rPr>
        <w:t xml:space="preserve">-chemical, functional, moisture sorption and morphological characteristics of camel milk powder. </w:t>
      </w:r>
      <w:proofErr w:type="spellStart"/>
      <w:r w:rsidRPr="00480173">
        <w:rPr>
          <w:rFonts w:ascii="Arial" w:hAnsi="Arial" w:cs="Arial"/>
        </w:rPr>
        <w:t>Lwt</w:t>
      </w:r>
      <w:proofErr w:type="spellEnd"/>
      <w:r w:rsidRPr="00480173">
        <w:rPr>
          <w:rFonts w:ascii="Arial" w:hAnsi="Arial" w:cs="Arial"/>
        </w:rPr>
        <w:t xml:space="preserve">, 134, 110117. </w:t>
      </w:r>
      <w:hyperlink r:id="rId18" w:history="1">
        <w:r w:rsidRPr="00E02D93">
          <w:rPr>
            <w:rStyle w:val="Hyperlink"/>
            <w:rFonts w:ascii="Arial" w:hAnsi="Arial" w:cs="Arial"/>
          </w:rPr>
          <w:t>https://doi.org/10.1016/j.lwt.2020.110117</w:t>
        </w:r>
      </w:hyperlink>
      <w:r>
        <w:rPr>
          <w:rFonts w:ascii="Arial" w:hAnsi="Arial" w:cs="Arial"/>
        </w:rPr>
        <w:t xml:space="preserve"> </w:t>
      </w:r>
      <w:r w:rsidR="001D0734" w:rsidRPr="001D0734">
        <w:rPr>
          <w:rFonts w:ascii="Arial" w:hAnsi="Arial" w:cs="Arial"/>
        </w:rPr>
        <w:t xml:space="preserve"> </w:t>
      </w:r>
    </w:p>
    <w:p w14:paraId="2733D35A" w14:textId="69DECF35" w:rsidR="001D0734" w:rsidRPr="001D0734" w:rsidRDefault="002E45B7" w:rsidP="000E7ACE">
      <w:pPr>
        <w:pStyle w:val="Body"/>
        <w:spacing w:after="0" w:line="480" w:lineRule="auto"/>
        <w:rPr>
          <w:rFonts w:ascii="Arial" w:hAnsi="Arial" w:cs="Arial"/>
        </w:rPr>
      </w:pPr>
      <w:proofErr w:type="spellStart"/>
      <w:r w:rsidRPr="002E45B7">
        <w:rPr>
          <w:rFonts w:ascii="Arial" w:hAnsi="Arial" w:cs="Arial"/>
        </w:rPr>
        <w:t>Elsara</w:t>
      </w:r>
      <w:proofErr w:type="spellEnd"/>
      <w:r w:rsidRPr="002E45B7">
        <w:rPr>
          <w:rFonts w:ascii="Arial" w:hAnsi="Arial" w:cs="Arial"/>
        </w:rPr>
        <w:t xml:space="preserve"> Tag </w:t>
      </w:r>
      <w:proofErr w:type="spellStart"/>
      <w:r w:rsidRPr="002E45B7">
        <w:rPr>
          <w:rFonts w:ascii="Arial" w:hAnsi="Arial" w:cs="Arial"/>
        </w:rPr>
        <w:t>Elsir</w:t>
      </w:r>
      <w:proofErr w:type="spellEnd"/>
      <w:r w:rsidRPr="002E45B7">
        <w:rPr>
          <w:rFonts w:ascii="Arial" w:hAnsi="Arial" w:cs="Arial"/>
        </w:rPr>
        <w:t xml:space="preserve">, A. (2009). Properties of milk powder made from the milk of cow, goat and camel (Doctoral dissertation, University of Khartoum). </w:t>
      </w:r>
      <w:hyperlink r:id="rId19" w:history="1">
        <w:r w:rsidRPr="00E02D93">
          <w:rPr>
            <w:rStyle w:val="Hyperlink"/>
            <w:rFonts w:ascii="Arial" w:hAnsi="Arial" w:cs="Arial"/>
          </w:rPr>
          <w:t>http://khartoumspace.uofk.edu/bitstream/handle/123456789/12941/Properties%20Of%20Mil</w:t>
        </w:r>
        <w:r w:rsidRPr="00E02D93">
          <w:rPr>
            <w:rStyle w:val="Hyperlink"/>
            <w:rFonts w:ascii="Arial" w:hAnsi="Arial" w:cs="Arial"/>
          </w:rPr>
          <w:lastRenderedPageBreak/>
          <w:t>k%20Powder%20Made%20From%20The%20Milk%20Of%20Cow,%20Goat%20And%20Camel.pdf?sequence=1&amp;&amp;isAllowed=y</w:t>
        </w:r>
      </w:hyperlink>
      <w:r>
        <w:rPr>
          <w:rFonts w:ascii="Arial" w:hAnsi="Arial" w:cs="Arial"/>
        </w:rPr>
        <w:t xml:space="preserve"> </w:t>
      </w:r>
    </w:p>
    <w:p w14:paraId="0A3FDAFF" w14:textId="6AEC1D9E" w:rsidR="001D0734" w:rsidRPr="001D0734" w:rsidRDefault="00F31FB0" w:rsidP="000E7ACE">
      <w:pPr>
        <w:pStyle w:val="Body"/>
        <w:spacing w:after="0" w:line="480" w:lineRule="auto"/>
        <w:rPr>
          <w:rFonts w:ascii="Arial" w:hAnsi="Arial" w:cs="Arial"/>
        </w:rPr>
      </w:pPr>
      <w:proofErr w:type="spellStart"/>
      <w:r w:rsidRPr="00F31FB0">
        <w:rPr>
          <w:rFonts w:ascii="Arial" w:hAnsi="Arial" w:cs="Arial"/>
        </w:rPr>
        <w:t>Felfoul</w:t>
      </w:r>
      <w:proofErr w:type="spellEnd"/>
      <w:r w:rsidRPr="00F31FB0">
        <w:rPr>
          <w:rFonts w:ascii="Arial" w:hAnsi="Arial" w:cs="Arial"/>
        </w:rPr>
        <w:t xml:space="preserve">, I., </w:t>
      </w:r>
      <w:proofErr w:type="spellStart"/>
      <w:r w:rsidRPr="00F31FB0">
        <w:rPr>
          <w:rFonts w:ascii="Arial" w:hAnsi="Arial" w:cs="Arial"/>
        </w:rPr>
        <w:t>Burgain</w:t>
      </w:r>
      <w:proofErr w:type="spellEnd"/>
      <w:r w:rsidRPr="00F31FB0">
        <w:rPr>
          <w:rFonts w:ascii="Arial" w:hAnsi="Arial" w:cs="Arial"/>
        </w:rPr>
        <w:t xml:space="preserve">, J., </w:t>
      </w:r>
      <w:proofErr w:type="spellStart"/>
      <w:r w:rsidRPr="00F31FB0">
        <w:rPr>
          <w:rFonts w:ascii="Arial" w:hAnsi="Arial" w:cs="Arial"/>
        </w:rPr>
        <w:t>Perroud</w:t>
      </w:r>
      <w:proofErr w:type="spellEnd"/>
      <w:r w:rsidRPr="00F31FB0">
        <w:rPr>
          <w:rFonts w:ascii="Arial" w:hAnsi="Arial" w:cs="Arial"/>
        </w:rPr>
        <w:t xml:space="preserve">, C., </w:t>
      </w:r>
      <w:proofErr w:type="spellStart"/>
      <w:r w:rsidRPr="00F31FB0">
        <w:rPr>
          <w:rFonts w:ascii="Arial" w:hAnsi="Arial" w:cs="Arial"/>
        </w:rPr>
        <w:t>Gaiani</w:t>
      </w:r>
      <w:proofErr w:type="spellEnd"/>
      <w:r w:rsidRPr="00F31FB0">
        <w:rPr>
          <w:rFonts w:ascii="Arial" w:hAnsi="Arial" w:cs="Arial"/>
        </w:rPr>
        <w:t xml:space="preserve">, C., </w:t>
      </w:r>
      <w:proofErr w:type="spellStart"/>
      <w:r w:rsidRPr="00F31FB0">
        <w:rPr>
          <w:rFonts w:ascii="Arial" w:hAnsi="Arial" w:cs="Arial"/>
        </w:rPr>
        <w:t>Scher</w:t>
      </w:r>
      <w:proofErr w:type="spellEnd"/>
      <w:r w:rsidRPr="00F31FB0">
        <w:rPr>
          <w:rFonts w:ascii="Arial" w:hAnsi="Arial" w:cs="Arial"/>
        </w:rPr>
        <w:t xml:space="preserve">, J., Attia, H., &amp; Petit, J. (2020). Impact of spray-drying conditions on physicochemical properties and rehydration ability of skim dromedary and cow's milk powders. Drying Technology, 40(3), 665-677. </w:t>
      </w:r>
      <w:hyperlink r:id="rId20" w:history="1">
        <w:r w:rsidRPr="00E02D93">
          <w:rPr>
            <w:rStyle w:val="Hyperlink"/>
            <w:rFonts w:ascii="Arial" w:hAnsi="Arial" w:cs="Arial"/>
          </w:rPr>
          <w:t>https://doi.org/10.1080/07373937.2020.1828448</w:t>
        </w:r>
      </w:hyperlink>
      <w:r>
        <w:rPr>
          <w:rFonts w:ascii="Arial" w:hAnsi="Arial" w:cs="Arial"/>
        </w:rPr>
        <w:t xml:space="preserve"> </w:t>
      </w:r>
      <w:r w:rsidR="001D0734" w:rsidRPr="001D0734">
        <w:rPr>
          <w:rFonts w:ascii="Arial" w:hAnsi="Arial" w:cs="Arial"/>
        </w:rPr>
        <w:t xml:space="preserve"> </w:t>
      </w:r>
    </w:p>
    <w:p w14:paraId="4EC11E0F" w14:textId="272F5D6C" w:rsidR="001D0734" w:rsidRPr="001D0734" w:rsidRDefault="00172700" w:rsidP="000E7ACE">
      <w:pPr>
        <w:pStyle w:val="Body"/>
        <w:spacing w:after="0" w:line="480" w:lineRule="auto"/>
        <w:rPr>
          <w:rFonts w:ascii="Arial" w:hAnsi="Arial" w:cs="Arial"/>
        </w:rPr>
      </w:pPr>
      <w:r w:rsidRPr="00172700">
        <w:rPr>
          <w:rFonts w:ascii="Arial" w:hAnsi="Arial" w:cs="Arial"/>
        </w:rPr>
        <w:t xml:space="preserve">Fonseca, C. R., Bento, M. S., Quintero, E. S., </w:t>
      </w:r>
      <w:proofErr w:type="spellStart"/>
      <w:r w:rsidRPr="00172700">
        <w:rPr>
          <w:rFonts w:ascii="Arial" w:hAnsi="Arial" w:cs="Arial"/>
        </w:rPr>
        <w:t>Gabas</w:t>
      </w:r>
      <w:proofErr w:type="spellEnd"/>
      <w:r w:rsidRPr="00172700">
        <w:rPr>
          <w:rFonts w:ascii="Arial" w:hAnsi="Arial" w:cs="Arial"/>
        </w:rPr>
        <w:t xml:space="preserve">, A. L., &amp; Oliveira, C. A. (2011). Physical properties of goat milk powder with soy lecithin added before spray drying. International Journal of Food Science &amp; Technology, 46(3), 608-611. </w:t>
      </w:r>
      <w:hyperlink r:id="rId21" w:history="1">
        <w:r w:rsidRPr="00E02D93">
          <w:rPr>
            <w:rStyle w:val="Hyperlink"/>
            <w:rFonts w:ascii="Arial" w:hAnsi="Arial" w:cs="Arial"/>
          </w:rPr>
          <w:t>https://doi.org/10.1111/j.1365-2621.2010.02527.x</w:t>
        </w:r>
      </w:hyperlink>
      <w:r>
        <w:rPr>
          <w:rFonts w:ascii="Arial" w:hAnsi="Arial" w:cs="Arial"/>
        </w:rPr>
        <w:t xml:space="preserve"> </w:t>
      </w:r>
      <w:r w:rsidR="001D0734" w:rsidRPr="001D0734">
        <w:rPr>
          <w:rFonts w:ascii="Arial" w:hAnsi="Arial" w:cs="Arial"/>
        </w:rPr>
        <w:t xml:space="preserve"> </w:t>
      </w:r>
    </w:p>
    <w:p w14:paraId="61AB12D8" w14:textId="0860A358" w:rsidR="001D0734" w:rsidRPr="001D0734" w:rsidRDefault="00A63AF3" w:rsidP="000E7ACE">
      <w:pPr>
        <w:pStyle w:val="Body"/>
        <w:spacing w:after="0" w:line="480" w:lineRule="auto"/>
        <w:rPr>
          <w:rFonts w:ascii="Arial" w:hAnsi="Arial" w:cs="Arial"/>
        </w:rPr>
      </w:pPr>
      <w:r w:rsidRPr="00A63AF3">
        <w:rPr>
          <w:rFonts w:ascii="Arial" w:hAnsi="Arial" w:cs="Arial"/>
        </w:rPr>
        <w:t xml:space="preserve">Fonseca, C. R., </w:t>
      </w:r>
      <w:proofErr w:type="spellStart"/>
      <w:r w:rsidRPr="00A63AF3">
        <w:rPr>
          <w:rFonts w:ascii="Arial" w:hAnsi="Arial" w:cs="Arial"/>
        </w:rPr>
        <w:t>Bordin</w:t>
      </w:r>
      <w:proofErr w:type="spellEnd"/>
      <w:r w:rsidRPr="00A63AF3">
        <w:rPr>
          <w:rFonts w:ascii="Arial" w:hAnsi="Arial" w:cs="Arial"/>
        </w:rPr>
        <w:t xml:space="preserve">, K., Fernandes, A. M., Rodrigues, C. E. C., </w:t>
      </w:r>
      <w:proofErr w:type="spellStart"/>
      <w:r w:rsidRPr="00A63AF3">
        <w:rPr>
          <w:rFonts w:ascii="Arial" w:hAnsi="Arial" w:cs="Arial"/>
        </w:rPr>
        <w:t>Corassin</w:t>
      </w:r>
      <w:proofErr w:type="spellEnd"/>
      <w:r w:rsidRPr="00A63AF3">
        <w:rPr>
          <w:rFonts w:ascii="Arial" w:hAnsi="Arial" w:cs="Arial"/>
        </w:rPr>
        <w:t xml:space="preserve">, C. H., Cruz, A. G., &amp; Oliveira, C. A. F. (2013). Storage of refrigerated raw goat milk affecting the quality of whole milk powder. Journal of Dairy Science, 96(7), 4716-4724. </w:t>
      </w:r>
      <w:hyperlink r:id="rId22" w:history="1">
        <w:r w:rsidRPr="00E02D93">
          <w:rPr>
            <w:rStyle w:val="Hyperlink"/>
            <w:rFonts w:ascii="Arial" w:hAnsi="Arial" w:cs="Arial"/>
          </w:rPr>
          <w:t>https://doi.org/10.3168/jds.2012-6120</w:t>
        </w:r>
      </w:hyperlink>
      <w:r>
        <w:rPr>
          <w:rFonts w:ascii="Arial" w:hAnsi="Arial" w:cs="Arial"/>
        </w:rPr>
        <w:t xml:space="preserve"> </w:t>
      </w:r>
      <w:r w:rsidR="001D0734" w:rsidRPr="001D0734">
        <w:rPr>
          <w:rFonts w:ascii="Arial" w:hAnsi="Arial" w:cs="Arial"/>
        </w:rPr>
        <w:t xml:space="preserve"> </w:t>
      </w:r>
    </w:p>
    <w:p w14:paraId="7AFEC9CC" w14:textId="34FA3E04" w:rsidR="001D0734" w:rsidRPr="001D0734" w:rsidRDefault="00C56719" w:rsidP="000E7ACE">
      <w:pPr>
        <w:pStyle w:val="Body"/>
        <w:spacing w:after="0" w:line="480" w:lineRule="auto"/>
        <w:rPr>
          <w:rFonts w:ascii="Arial" w:hAnsi="Arial" w:cs="Arial"/>
        </w:rPr>
      </w:pPr>
      <w:proofErr w:type="spellStart"/>
      <w:r w:rsidRPr="00C56719">
        <w:rPr>
          <w:rFonts w:ascii="Arial" w:hAnsi="Arial" w:cs="Arial"/>
        </w:rPr>
        <w:t>Fournaise</w:t>
      </w:r>
      <w:proofErr w:type="spellEnd"/>
      <w:r w:rsidRPr="00C56719">
        <w:rPr>
          <w:rFonts w:ascii="Arial" w:hAnsi="Arial" w:cs="Arial"/>
        </w:rPr>
        <w:t xml:space="preserve">, T., </w:t>
      </w:r>
      <w:proofErr w:type="spellStart"/>
      <w:r w:rsidRPr="00C56719">
        <w:rPr>
          <w:rFonts w:ascii="Arial" w:hAnsi="Arial" w:cs="Arial"/>
        </w:rPr>
        <w:t>Burgain</w:t>
      </w:r>
      <w:proofErr w:type="spellEnd"/>
      <w:r w:rsidRPr="00C56719">
        <w:rPr>
          <w:rFonts w:ascii="Arial" w:hAnsi="Arial" w:cs="Arial"/>
        </w:rPr>
        <w:t xml:space="preserve">, J., </w:t>
      </w:r>
      <w:proofErr w:type="spellStart"/>
      <w:r w:rsidRPr="00C56719">
        <w:rPr>
          <w:rFonts w:ascii="Arial" w:hAnsi="Arial" w:cs="Arial"/>
        </w:rPr>
        <w:t>Perroud</w:t>
      </w:r>
      <w:proofErr w:type="spellEnd"/>
      <w:r w:rsidRPr="00C56719">
        <w:rPr>
          <w:rFonts w:ascii="Arial" w:hAnsi="Arial" w:cs="Arial"/>
        </w:rPr>
        <w:t xml:space="preserve">, C., </w:t>
      </w:r>
      <w:proofErr w:type="spellStart"/>
      <w:r w:rsidRPr="00C56719">
        <w:rPr>
          <w:rFonts w:ascii="Arial" w:hAnsi="Arial" w:cs="Arial"/>
        </w:rPr>
        <w:t>Scher</w:t>
      </w:r>
      <w:proofErr w:type="spellEnd"/>
      <w:r w:rsidRPr="00C56719">
        <w:rPr>
          <w:rFonts w:ascii="Arial" w:hAnsi="Arial" w:cs="Arial"/>
        </w:rPr>
        <w:t xml:space="preserve">, J., </w:t>
      </w:r>
      <w:proofErr w:type="spellStart"/>
      <w:r w:rsidRPr="00C56719">
        <w:rPr>
          <w:rFonts w:ascii="Arial" w:hAnsi="Arial" w:cs="Arial"/>
        </w:rPr>
        <w:t>Gaiani</w:t>
      </w:r>
      <w:proofErr w:type="spellEnd"/>
      <w:r w:rsidRPr="00C56719">
        <w:rPr>
          <w:rFonts w:ascii="Arial" w:hAnsi="Arial" w:cs="Arial"/>
        </w:rPr>
        <w:t xml:space="preserve">, C., &amp; Petit, J. (2020). Impact of formulation on reconstitution and flowability of spray-dried milk powders. Powder technology, 372, 107-116. </w:t>
      </w:r>
      <w:hyperlink r:id="rId23" w:history="1">
        <w:r w:rsidRPr="00E02D93">
          <w:rPr>
            <w:rStyle w:val="Hyperlink"/>
            <w:rFonts w:ascii="Arial" w:hAnsi="Arial" w:cs="Arial"/>
          </w:rPr>
          <w:t>https://doi.org/10.1016/j.powtec.2020.05.085</w:t>
        </w:r>
      </w:hyperlink>
      <w:r>
        <w:rPr>
          <w:rFonts w:ascii="Arial" w:hAnsi="Arial" w:cs="Arial"/>
        </w:rPr>
        <w:t xml:space="preserve"> </w:t>
      </w:r>
      <w:r w:rsidR="001D0734" w:rsidRPr="001D0734">
        <w:rPr>
          <w:rFonts w:ascii="Arial" w:hAnsi="Arial" w:cs="Arial"/>
        </w:rPr>
        <w:t xml:space="preserve"> </w:t>
      </w:r>
    </w:p>
    <w:p w14:paraId="1B909571" w14:textId="39805E0A" w:rsidR="001D0734" w:rsidRPr="001D0734" w:rsidRDefault="005F692E" w:rsidP="000E7ACE">
      <w:pPr>
        <w:pStyle w:val="Body"/>
        <w:spacing w:after="0" w:line="480" w:lineRule="auto"/>
        <w:rPr>
          <w:rFonts w:ascii="Arial" w:hAnsi="Arial" w:cs="Arial"/>
        </w:rPr>
      </w:pPr>
      <w:r w:rsidRPr="005F692E">
        <w:rPr>
          <w:rFonts w:ascii="Arial" w:hAnsi="Arial" w:cs="Arial"/>
        </w:rPr>
        <w:t xml:space="preserve">GEA. (2005). Analytical Methods for Dry Milk Products. </w:t>
      </w:r>
      <w:hyperlink r:id="rId24" w:history="1">
        <w:r w:rsidRPr="00E02D93">
          <w:rPr>
            <w:rStyle w:val="Hyperlink"/>
            <w:rFonts w:ascii="Arial" w:hAnsi="Arial" w:cs="Arial"/>
          </w:rPr>
          <w:t>https://www.gea.com/en/products-and-services/dryers-and-particle-processing-plants/spray-dryers/efficiency-and-quality-in-spray-drying/analytical-methods-for-dry-milk-products.jsp</w:t>
        </w:r>
      </w:hyperlink>
      <w:r>
        <w:rPr>
          <w:rFonts w:ascii="Arial" w:hAnsi="Arial" w:cs="Arial"/>
        </w:rPr>
        <w:t xml:space="preserve"> </w:t>
      </w:r>
    </w:p>
    <w:p w14:paraId="14C1CD1F" w14:textId="04DBCF26" w:rsidR="001D0734" w:rsidRPr="001D0734" w:rsidRDefault="00E01952" w:rsidP="000E7ACE">
      <w:pPr>
        <w:pStyle w:val="Body"/>
        <w:spacing w:after="0" w:line="480" w:lineRule="auto"/>
        <w:rPr>
          <w:rFonts w:ascii="Arial" w:hAnsi="Arial" w:cs="Arial"/>
        </w:rPr>
      </w:pPr>
      <w:r w:rsidRPr="00E01952">
        <w:rPr>
          <w:rFonts w:ascii="Arial" w:hAnsi="Arial" w:cs="Arial"/>
        </w:rPr>
        <w:t xml:space="preserve">GEA. (2006). GEA Niro analytical methods. </w:t>
      </w:r>
      <w:hyperlink r:id="rId25" w:history="1">
        <w:r w:rsidRPr="00E02D93">
          <w:rPr>
            <w:rStyle w:val="Hyperlink"/>
            <w:rFonts w:ascii="Arial" w:hAnsi="Arial" w:cs="Arial"/>
          </w:rPr>
          <w:t>https://www.gea.com/en/products-and-solutions/dryers-and-particle-processing-plants/spray-dryers/efficiency-and-quality-in-spray-drying/analytical-methods-for-dry-milk-products.jsp</w:t>
        </w:r>
      </w:hyperlink>
      <w:r>
        <w:rPr>
          <w:rFonts w:ascii="Arial" w:hAnsi="Arial" w:cs="Arial"/>
        </w:rPr>
        <w:t xml:space="preserve"> </w:t>
      </w:r>
    </w:p>
    <w:p w14:paraId="69E6D329" w14:textId="340B8218" w:rsidR="001D0734" w:rsidRPr="001D0734" w:rsidRDefault="00940DE1" w:rsidP="000E7ACE">
      <w:pPr>
        <w:pStyle w:val="Body"/>
        <w:spacing w:after="0" w:line="480" w:lineRule="auto"/>
        <w:rPr>
          <w:rFonts w:ascii="Arial" w:hAnsi="Arial" w:cs="Arial"/>
        </w:rPr>
      </w:pPr>
      <w:r w:rsidRPr="00940DE1">
        <w:rPr>
          <w:rFonts w:ascii="Arial" w:hAnsi="Arial" w:cs="Arial"/>
        </w:rPr>
        <w:t xml:space="preserve">GEA. (2009). Analytical Methods for Dry Milk Products. </w:t>
      </w:r>
      <w:hyperlink r:id="rId26" w:history="1">
        <w:r w:rsidRPr="00E02D93">
          <w:rPr>
            <w:rStyle w:val="Hyperlink"/>
            <w:rFonts w:ascii="Arial" w:hAnsi="Arial" w:cs="Arial"/>
          </w:rPr>
          <w:t>https://www.gea.com/en/products/analytical-methods-dry-milk-products.jsp</w:t>
        </w:r>
      </w:hyperlink>
      <w:r>
        <w:rPr>
          <w:rFonts w:ascii="Arial" w:hAnsi="Arial" w:cs="Arial"/>
        </w:rPr>
        <w:t xml:space="preserve"> </w:t>
      </w:r>
    </w:p>
    <w:p w14:paraId="573FAEE0" w14:textId="05240D4E" w:rsidR="001D0734" w:rsidRPr="001D0734" w:rsidRDefault="00E13DD3" w:rsidP="000E7ACE">
      <w:pPr>
        <w:pStyle w:val="Body"/>
        <w:spacing w:after="0" w:line="480" w:lineRule="auto"/>
        <w:rPr>
          <w:rFonts w:ascii="Arial" w:hAnsi="Arial" w:cs="Arial"/>
        </w:rPr>
      </w:pPr>
      <w:proofErr w:type="spellStart"/>
      <w:r w:rsidRPr="00E13DD3">
        <w:rPr>
          <w:rFonts w:ascii="Arial" w:hAnsi="Arial" w:cs="Arial"/>
        </w:rPr>
        <w:lastRenderedPageBreak/>
        <w:t>Bylund</w:t>
      </w:r>
      <w:proofErr w:type="spellEnd"/>
      <w:r w:rsidRPr="00E13DD3">
        <w:rPr>
          <w:rFonts w:ascii="Arial" w:hAnsi="Arial" w:cs="Arial"/>
        </w:rPr>
        <w:t xml:space="preserve">, G. (2015). Milk powder. In *Dairy Processing Handbook* (3rd ed., pp. 361-373). Tetra Pak Processing System AB. </w:t>
      </w:r>
      <w:hyperlink r:id="rId27" w:history="1">
        <w:r w:rsidRPr="00E02D93">
          <w:rPr>
            <w:rStyle w:val="Hyperlink"/>
            <w:rFonts w:ascii="Arial" w:hAnsi="Arial" w:cs="Arial"/>
          </w:rPr>
          <w:t>https://www.tetrapak.com/solutions/processing/dairy-processing-handbook</w:t>
        </w:r>
      </w:hyperlink>
      <w:r>
        <w:rPr>
          <w:rFonts w:ascii="Arial" w:hAnsi="Arial" w:cs="Arial"/>
        </w:rPr>
        <w:t xml:space="preserve"> </w:t>
      </w:r>
    </w:p>
    <w:p w14:paraId="41249F31" w14:textId="2764EBBB" w:rsidR="001D0734" w:rsidRPr="001D0734" w:rsidRDefault="00154A38" w:rsidP="000E7ACE">
      <w:pPr>
        <w:pStyle w:val="Body"/>
        <w:spacing w:after="0" w:line="480" w:lineRule="auto"/>
        <w:rPr>
          <w:rFonts w:ascii="Arial" w:hAnsi="Arial" w:cs="Arial"/>
        </w:rPr>
      </w:pPr>
      <w:r w:rsidRPr="00154A38">
        <w:rPr>
          <w:rFonts w:ascii="Arial" w:hAnsi="Arial" w:cs="Arial"/>
        </w:rPr>
        <w:t xml:space="preserve">Griffiths, M. (Ed.). (2010). Improving the safety and quality of milk. Woodhead Publishing. </w:t>
      </w:r>
      <w:hyperlink r:id="rId28" w:history="1">
        <w:r w:rsidRPr="00E02D93">
          <w:rPr>
            <w:rStyle w:val="Hyperlink"/>
            <w:rFonts w:ascii="Arial" w:hAnsi="Arial" w:cs="Arial"/>
          </w:rPr>
          <w:t>https://www.elsevier.com/books/improving-the-safety-and-quality-of-milk/griffiths/978-1-84569-500-2</w:t>
        </w:r>
      </w:hyperlink>
      <w:r>
        <w:rPr>
          <w:rFonts w:ascii="Arial" w:hAnsi="Arial" w:cs="Arial"/>
        </w:rPr>
        <w:t xml:space="preserve"> </w:t>
      </w:r>
    </w:p>
    <w:p w14:paraId="34FBF025" w14:textId="21EBCDAD" w:rsidR="001D0734" w:rsidRPr="001D0734" w:rsidRDefault="00647227" w:rsidP="000E7ACE">
      <w:pPr>
        <w:pStyle w:val="Body"/>
        <w:spacing w:after="0" w:line="480" w:lineRule="auto"/>
        <w:rPr>
          <w:rFonts w:ascii="Arial" w:hAnsi="Arial" w:cs="Arial"/>
        </w:rPr>
      </w:pPr>
      <w:proofErr w:type="spellStart"/>
      <w:r w:rsidRPr="00647227">
        <w:rPr>
          <w:rFonts w:ascii="Arial" w:hAnsi="Arial" w:cs="Arial"/>
        </w:rPr>
        <w:t>Grigioni</w:t>
      </w:r>
      <w:proofErr w:type="spellEnd"/>
      <w:r w:rsidRPr="00647227">
        <w:rPr>
          <w:rFonts w:ascii="Arial" w:hAnsi="Arial" w:cs="Arial"/>
        </w:rPr>
        <w:t xml:space="preserve">, G., </w:t>
      </w:r>
      <w:proofErr w:type="spellStart"/>
      <w:r w:rsidRPr="00647227">
        <w:rPr>
          <w:rFonts w:ascii="Arial" w:hAnsi="Arial" w:cs="Arial"/>
        </w:rPr>
        <w:t>Biolatto</w:t>
      </w:r>
      <w:proofErr w:type="spellEnd"/>
      <w:r w:rsidRPr="00647227">
        <w:rPr>
          <w:rFonts w:ascii="Arial" w:hAnsi="Arial" w:cs="Arial"/>
        </w:rPr>
        <w:t xml:space="preserve">, A., </w:t>
      </w:r>
      <w:proofErr w:type="spellStart"/>
      <w:r w:rsidRPr="00647227">
        <w:rPr>
          <w:rFonts w:ascii="Arial" w:hAnsi="Arial" w:cs="Arial"/>
        </w:rPr>
        <w:t>Irurueta</w:t>
      </w:r>
      <w:proofErr w:type="spellEnd"/>
      <w:r w:rsidRPr="00647227">
        <w:rPr>
          <w:rFonts w:ascii="Arial" w:hAnsi="Arial" w:cs="Arial"/>
        </w:rPr>
        <w:t xml:space="preserve">, M., Sancho, A. M., </w:t>
      </w:r>
      <w:proofErr w:type="spellStart"/>
      <w:r w:rsidRPr="00647227">
        <w:rPr>
          <w:rFonts w:ascii="Arial" w:hAnsi="Arial" w:cs="Arial"/>
        </w:rPr>
        <w:t>Páez</w:t>
      </w:r>
      <w:proofErr w:type="spellEnd"/>
      <w:r w:rsidRPr="00647227">
        <w:rPr>
          <w:rFonts w:ascii="Arial" w:hAnsi="Arial" w:cs="Arial"/>
        </w:rPr>
        <w:t xml:space="preserve">, R., &amp; </w:t>
      </w:r>
      <w:proofErr w:type="spellStart"/>
      <w:r w:rsidRPr="00647227">
        <w:rPr>
          <w:rFonts w:ascii="Arial" w:hAnsi="Arial" w:cs="Arial"/>
        </w:rPr>
        <w:t>Pensel</w:t>
      </w:r>
      <w:proofErr w:type="spellEnd"/>
      <w:r w:rsidRPr="00647227">
        <w:rPr>
          <w:rFonts w:ascii="Arial" w:hAnsi="Arial" w:cs="Arial"/>
        </w:rPr>
        <w:t xml:space="preserve">, N. (2007). Color changes of milk powder due to heat treatments and season of manufacture. CYTA-Journal of Food, 5(5), 335-339. </w:t>
      </w:r>
      <w:hyperlink r:id="rId29" w:history="1">
        <w:r w:rsidRPr="00E02D93">
          <w:rPr>
            <w:rStyle w:val="Hyperlink"/>
            <w:rFonts w:ascii="Arial" w:hAnsi="Arial" w:cs="Arial"/>
          </w:rPr>
          <w:t>https://doi.org/10.1080/11358120709487709</w:t>
        </w:r>
      </w:hyperlink>
      <w:r>
        <w:rPr>
          <w:rFonts w:ascii="Arial" w:hAnsi="Arial" w:cs="Arial"/>
        </w:rPr>
        <w:t xml:space="preserve"> </w:t>
      </w:r>
    </w:p>
    <w:p w14:paraId="40389103" w14:textId="3BB1AB43" w:rsidR="001D0734" w:rsidRPr="001D0734" w:rsidRDefault="005237AC" w:rsidP="000E7ACE">
      <w:pPr>
        <w:pStyle w:val="Body"/>
        <w:spacing w:after="0" w:line="480" w:lineRule="auto"/>
        <w:rPr>
          <w:rFonts w:ascii="Arial" w:hAnsi="Arial" w:cs="Arial"/>
        </w:rPr>
      </w:pPr>
      <w:proofErr w:type="spellStart"/>
      <w:r w:rsidRPr="005237AC">
        <w:rPr>
          <w:rFonts w:ascii="Arial" w:hAnsi="Arial" w:cs="Arial"/>
        </w:rPr>
        <w:t>Haenlein</w:t>
      </w:r>
      <w:proofErr w:type="spellEnd"/>
      <w:r w:rsidRPr="005237AC">
        <w:rPr>
          <w:rFonts w:ascii="Arial" w:hAnsi="Arial" w:cs="Arial"/>
        </w:rPr>
        <w:t xml:space="preserve">, G. F. W. (2004). Goat milk in human nutrition. Small Ruminant Research. </w:t>
      </w:r>
      <w:hyperlink r:id="rId30" w:history="1">
        <w:r w:rsidRPr="00E02D93">
          <w:rPr>
            <w:rStyle w:val="Hyperlink"/>
            <w:rFonts w:ascii="Arial" w:hAnsi="Arial" w:cs="Arial"/>
          </w:rPr>
          <w:t>https://doi.org/10.1016/j.smallrumres.2003.08.010</w:t>
        </w:r>
      </w:hyperlink>
      <w:r>
        <w:rPr>
          <w:rFonts w:ascii="Arial" w:hAnsi="Arial" w:cs="Arial"/>
        </w:rPr>
        <w:t xml:space="preserve"> </w:t>
      </w:r>
      <w:r w:rsidR="001D0734" w:rsidRPr="001D0734">
        <w:rPr>
          <w:rFonts w:ascii="Arial" w:hAnsi="Arial" w:cs="Arial"/>
        </w:rPr>
        <w:t xml:space="preserve"> </w:t>
      </w:r>
    </w:p>
    <w:p w14:paraId="551FE433" w14:textId="11AC5B0F" w:rsidR="001D0734" w:rsidRPr="001D0734" w:rsidRDefault="00DD0A75" w:rsidP="000E7ACE">
      <w:pPr>
        <w:pStyle w:val="Body"/>
        <w:spacing w:after="0" w:line="480" w:lineRule="auto"/>
        <w:rPr>
          <w:rFonts w:ascii="Arial" w:hAnsi="Arial" w:cs="Arial"/>
        </w:rPr>
      </w:pPr>
      <w:proofErr w:type="spellStart"/>
      <w:r w:rsidRPr="00DD0A75">
        <w:rPr>
          <w:rFonts w:ascii="Arial" w:hAnsi="Arial" w:cs="Arial"/>
        </w:rPr>
        <w:t>Ilari</w:t>
      </w:r>
      <w:proofErr w:type="spellEnd"/>
      <w:r w:rsidRPr="00DD0A75">
        <w:rPr>
          <w:rFonts w:ascii="Arial" w:hAnsi="Arial" w:cs="Arial"/>
        </w:rPr>
        <w:t xml:space="preserve">, J. L., &amp; </w:t>
      </w:r>
      <w:proofErr w:type="spellStart"/>
      <w:r w:rsidRPr="00DD0A75">
        <w:rPr>
          <w:rFonts w:ascii="Arial" w:hAnsi="Arial" w:cs="Arial"/>
        </w:rPr>
        <w:t>Mekkaoui</w:t>
      </w:r>
      <w:proofErr w:type="spellEnd"/>
      <w:r w:rsidRPr="00DD0A75">
        <w:rPr>
          <w:rFonts w:ascii="Arial" w:hAnsi="Arial" w:cs="Arial"/>
        </w:rPr>
        <w:t xml:space="preserve">, L. (2005). Physical properties of constitutive size classes of spray-dried skim milk powder and their mixtures. Le Lait, 85(4-5), 279-294. </w:t>
      </w:r>
      <w:hyperlink r:id="rId31" w:history="1">
        <w:r w:rsidRPr="00E02D93">
          <w:rPr>
            <w:rStyle w:val="Hyperlink"/>
            <w:rFonts w:ascii="Arial" w:hAnsi="Arial" w:cs="Arial"/>
          </w:rPr>
          <w:t>https://doi.org/10.1051/lait:2005029</w:t>
        </w:r>
      </w:hyperlink>
      <w:r>
        <w:rPr>
          <w:rFonts w:ascii="Arial" w:hAnsi="Arial" w:cs="Arial"/>
        </w:rPr>
        <w:t xml:space="preserve"> </w:t>
      </w:r>
      <w:r w:rsidR="001D0734" w:rsidRPr="001D0734">
        <w:rPr>
          <w:rFonts w:ascii="Arial" w:hAnsi="Arial" w:cs="Arial"/>
        </w:rPr>
        <w:t xml:space="preserve"> </w:t>
      </w:r>
    </w:p>
    <w:p w14:paraId="438256A3" w14:textId="2464B5EB" w:rsidR="001D0734" w:rsidRPr="001D0734" w:rsidRDefault="0047032B" w:rsidP="000E7ACE">
      <w:pPr>
        <w:pStyle w:val="Body"/>
        <w:spacing w:after="0" w:line="480" w:lineRule="auto"/>
        <w:rPr>
          <w:rFonts w:ascii="Arial" w:hAnsi="Arial" w:cs="Arial"/>
        </w:rPr>
      </w:pPr>
      <w:r w:rsidRPr="0047032B">
        <w:rPr>
          <w:rFonts w:ascii="Arial" w:hAnsi="Arial" w:cs="Arial"/>
        </w:rPr>
        <w:t xml:space="preserve">Kim, E. H. J., Chen, X. D., &amp; Pearce, D. (2005). Effect of surface composition on the flowability of industrial spray-dried dairy powders. Colloids and Surfaces B: </w:t>
      </w:r>
      <w:proofErr w:type="spellStart"/>
      <w:r w:rsidRPr="0047032B">
        <w:rPr>
          <w:rFonts w:ascii="Arial" w:hAnsi="Arial" w:cs="Arial"/>
        </w:rPr>
        <w:t>Biointerfaces</w:t>
      </w:r>
      <w:proofErr w:type="spellEnd"/>
      <w:r w:rsidRPr="0047032B">
        <w:rPr>
          <w:rFonts w:ascii="Arial" w:hAnsi="Arial" w:cs="Arial"/>
        </w:rPr>
        <w:t xml:space="preserve">, 46(3), 182-187. </w:t>
      </w:r>
      <w:hyperlink r:id="rId32" w:history="1">
        <w:r w:rsidRPr="00E02D93">
          <w:rPr>
            <w:rStyle w:val="Hyperlink"/>
            <w:rFonts w:ascii="Arial" w:hAnsi="Arial" w:cs="Arial"/>
          </w:rPr>
          <w:t>https://doi.org/10.1016/j.colsurfb.2005.11.005</w:t>
        </w:r>
      </w:hyperlink>
      <w:r>
        <w:rPr>
          <w:rFonts w:ascii="Arial" w:hAnsi="Arial" w:cs="Arial"/>
        </w:rPr>
        <w:t xml:space="preserve"> </w:t>
      </w:r>
      <w:r w:rsidR="001D0734" w:rsidRPr="001D0734">
        <w:rPr>
          <w:rFonts w:ascii="Arial" w:hAnsi="Arial" w:cs="Arial"/>
        </w:rPr>
        <w:t xml:space="preserve"> </w:t>
      </w:r>
    </w:p>
    <w:p w14:paraId="7A428A72" w14:textId="28CD9D98" w:rsidR="001D0734" w:rsidRPr="001D0734" w:rsidRDefault="007A1969" w:rsidP="000E7ACE">
      <w:pPr>
        <w:pStyle w:val="Body"/>
        <w:spacing w:after="0" w:line="480" w:lineRule="auto"/>
        <w:rPr>
          <w:rFonts w:ascii="Arial" w:hAnsi="Arial" w:cs="Arial"/>
        </w:rPr>
      </w:pPr>
      <w:bookmarkStart w:id="15" w:name="_Hlk135386239"/>
      <w:r w:rsidRPr="007A1969">
        <w:rPr>
          <w:rFonts w:ascii="Arial" w:hAnsi="Arial" w:cs="Arial"/>
        </w:rPr>
        <w:t xml:space="preserve">Le, T. T., Bhandari, B., &amp; </w:t>
      </w:r>
      <w:proofErr w:type="spellStart"/>
      <w:r w:rsidRPr="007A1969">
        <w:rPr>
          <w:rFonts w:ascii="Arial" w:hAnsi="Arial" w:cs="Arial"/>
        </w:rPr>
        <w:t>Deeth</w:t>
      </w:r>
      <w:proofErr w:type="spellEnd"/>
      <w:r w:rsidRPr="007A1969">
        <w:rPr>
          <w:rFonts w:ascii="Arial" w:hAnsi="Arial" w:cs="Arial"/>
        </w:rPr>
        <w:t xml:space="preserve">, H. C. (2011). Chemical and physical changes in milk protein concentrate (MPC80) powder during storage. Journal of Agricultural and Food Chemistry, 59(10), 5465-5473. </w:t>
      </w:r>
      <w:hyperlink r:id="rId33" w:history="1">
        <w:r w:rsidRPr="00E02D93">
          <w:rPr>
            <w:rStyle w:val="Hyperlink"/>
            <w:rFonts w:ascii="Arial" w:hAnsi="Arial" w:cs="Arial"/>
          </w:rPr>
          <w:t>https://doi.org/10.1021/jf2003464</w:t>
        </w:r>
      </w:hyperlink>
      <w:r>
        <w:rPr>
          <w:rFonts w:ascii="Arial" w:hAnsi="Arial" w:cs="Arial"/>
        </w:rPr>
        <w:t xml:space="preserve"> </w:t>
      </w:r>
      <w:r w:rsidR="001D0734" w:rsidRPr="001D0734">
        <w:rPr>
          <w:rFonts w:ascii="Arial" w:hAnsi="Arial" w:cs="Arial"/>
        </w:rPr>
        <w:t xml:space="preserve"> </w:t>
      </w:r>
      <w:bookmarkEnd w:id="15"/>
    </w:p>
    <w:p w14:paraId="65C63272" w14:textId="77777777" w:rsidR="001D0734" w:rsidRPr="001D0734" w:rsidRDefault="001D0734" w:rsidP="000E7ACE">
      <w:pPr>
        <w:pStyle w:val="Body"/>
        <w:spacing w:after="0" w:line="480" w:lineRule="auto"/>
        <w:rPr>
          <w:rFonts w:ascii="Arial" w:hAnsi="Arial" w:cs="Arial"/>
        </w:rPr>
      </w:pPr>
      <w:r w:rsidRPr="001D0734">
        <w:rPr>
          <w:rFonts w:ascii="Arial" w:hAnsi="Arial" w:cs="Arial"/>
        </w:rPr>
        <w:t xml:space="preserve">Lee, K. H., Jung, M. Y., &amp; Kim, S. Y. (1998). Effects of ascorbic acid on the light-induced riboflavin degradation and color changes in milks. Journal of Agricultural and food chemistry, 46(2), 407-410. </w:t>
      </w:r>
      <w:hyperlink r:id="rId34" w:history="1">
        <w:r w:rsidRPr="001D0734">
          <w:rPr>
            <w:rFonts w:ascii="Arial" w:hAnsi="Arial" w:cs="Arial"/>
          </w:rPr>
          <w:t>https://doi.org/10.1021/jf9707086</w:t>
        </w:r>
      </w:hyperlink>
      <w:r w:rsidRPr="001D0734">
        <w:rPr>
          <w:rFonts w:ascii="Arial" w:hAnsi="Arial" w:cs="Arial"/>
        </w:rPr>
        <w:t xml:space="preserve"> </w:t>
      </w:r>
    </w:p>
    <w:p w14:paraId="7F8A2324" w14:textId="77777777" w:rsidR="001D0734" w:rsidRPr="001D0734" w:rsidRDefault="001D0734" w:rsidP="000E7ACE">
      <w:pPr>
        <w:pStyle w:val="Body"/>
        <w:spacing w:after="0" w:line="480" w:lineRule="auto"/>
        <w:rPr>
          <w:rFonts w:ascii="Arial" w:hAnsi="Arial" w:cs="Arial"/>
        </w:rPr>
      </w:pPr>
      <w:r w:rsidRPr="001D0734">
        <w:rPr>
          <w:rFonts w:ascii="Arial" w:hAnsi="Arial" w:cs="Arial"/>
        </w:rPr>
        <w:t xml:space="preserve">Li, Y. H., Wang, W. J., Guo, L., Shao, Z. P., &amp; Xu, X. J. (2019). Comparative study on the characteristics and oxidation stability of commercial milk powder during storage. Journal of dairy science, 102(10), 8785-8797. </w:t>
      </w:r>
      <w:hyperlink r:id="rId35" w:history="1">
        <w:r w:rsidRPr="001D0734">
          <w:rPr>
            <w:rFonts w:ascii="Arial" w:hAnsi="Arial" w:cs="Arial"/>
          </w:rPr>
          <w:t>https://doi.org/10.3168/jds.2018-16089</w:t>
        </w:r>
      </w:hyperlink>
      <w:r w:rsidRPr="001D0734">
        <w:rPr>
          <w:rFonts w:ascii="Arial" w:hAnsi="Arial" w:cs="Arial"/>
        </w:rPr>
        <w:t xml:space="preserve"> </w:t>
      </w:r>
    </w:p>
    <w:p w14:paraId="71731336" w14:textId="411884CC" w:rsidR="001D0734" w:rsidRPr="001D0734" w:rsidRDefault="00F968BC" w:rsidP="000E7ACE">
      <w:pPr>
        <w:pStyle w:val="Body"/>
        <w:spacing w:after="0" w:line="480" w:lineRule="auto"/>
        <w:rPr>
          <w:rFonts w:ascii="Arial" w:hAnsi="Arial" w:cs="Arial"/>
        </w:rPr>
      </w:pPr>
      <w:proofErr w:type="spellStart"/>
      <w:r w:rsidRPr="00F968BC">
        <w:rPr>
          <w:rFonts w:ascii="Arial" w:hAnsi="Arial" w:cs="Arial"/>
        </w:rPr>
        <w:lastRenderedPageBreak/>
        <w:t>Magan</w:t>
      </w:r>
      <w:proofErr w:type="spellEnd"/>
      <w:r w:rsidRPr="00F968BC">
        <w:rPr>
          <w:rFonts w:ascii="Arial" w:hAnsi="Arial" w:cs="Arial"/>
        </w:rPr>
        <w:t xml:space="preserve">, J. B., Tobin, J. T., O'Callaghan, T. F., Kelly, A. L., Fenelon, M. A., Hennessy, D., &amp; McCarthy, N. A. (2019). Physicochemical properties of whole milk powder derived from cows fed pasture or total mixed ration diets. Journal of Dairy Science, 102(11), 9611-9621. </w:t>
      </w:r>
      <w:hyperlink r:id="rId36" w:history="1">
        <w:r w:rsidRPr="00E02D93">
          <w:rPr>
            <w:rStyle w:val="Hyperlink"/>
            <w:rFonts w:ascii="Arial" w:hAnsi="Arial" w:cs="Arial"/>
          </w:rPr>
          <w:t>https://doi.org/10.3168/jds.2019-16415</w:t>
        </w:r>
      </w:hyperlink>
      <w:r>
        <w:rPr>
          <w:rFonts w:ascii="Arial" w:hAnsi="Arial" w:cs="Arial"/>
        </w:rPr>
        <w:t xml:space="preserve"> </w:t>
      </w:r>
      <w:r w:rsidR="001D0734" w:rsidRPr="001D0734">
        <w:rPr>
          <w:rFonts w:ascii="Arial" w:hAnsi="Arial" w:cs="Arial"/>
        </w:rPr>
        <w:t xml:space="preserve"> </w:t>
      </w:r>
    </w:p>
    <w:p w14:paraId="66B4F7A0" w14:textId="77777777" w:rsidR="001D0734" w:rsidRPr="001D0734" w:rsidRDefault="001D0734" w:rsidP="000E7ACE">
      <w:pPr>
        <w:pStyle w:val="Body"/>
        <w:spacing w:after="0" w:line="480" w:lineRule="auto"/>
        <w:rPr>
          <w:rFonts w:ascii="Arial" w:hAnsi="Arial" w:cs="Arial"/>
        </w:rPr>
      </w:pPr>
      <w:r w:rsidRPr="001D0734">
        <w:rPr>
          <w:rFonts w:ascii="Arial" w:hAnsi="Arial" w:cs="Arial"/>
        </w:rPr>
        <w:t xml:space="preserve">Milovanovic, B., </w:t>
      </w:r>
      <w:proofErr w:type="spellStart"/>
      <w:r w:rsidRPr="001D0734">
        <w:rPr>
          <w:rFonts w:ascii="Arial" w:hAnsi="Arial" w:cs="Arial"/>
        </w:rPr>
        <w:t>Djekic</w:t>
      </w:r>
      <w:proofErr w:type="spellEnd"/>
      <w:r w:rsidRPr="001D0734">
        <w:rPr>
          <w:rFonts w:ascii="Arial" w:hAnsi="Arial" w:cs="Arial"/>
        </w:rPr>
        <w:t xml:space="preserve">, I., </w:t>
      </w:r>
      <w:proofErr w:type="spellStart"/>
      <w:r w:rsidRPr="001D0734">
        <w:rPr>
          <w:rFonts w:ascii="Arial" w:hAnsi="Arial" w:cs="Arial"/>
        </w:rPr>
        <w:t>Miocinovic</w:t>
      </w:r>
      <w:proofErr w:type="spellEnd"/>
      <w:r w:rsidRPr="001D0734">
        <w:rPr>
          <w:rFonts w:ascii="Arial" w:hAnsi="Arial" w:cs="Arial"/>
        </w:rPr>
        <w:t xml:space="preserve">, J., Djordjevic, V., Lorenzo, J. M., Barba, F. J., &amp; </w:t>
      </w:r>
      <w:proofErr w:type="spellStart"/>
      <w:r w:rsidRPr="001D0734">
        <w:rPr>
          <w:rFonts w:ascii="Arial" w:hAnsi="Arial" w:cs="Arial"/>
        </w:rPr>
        <w:t>Tomasevic</w:t>
      </w:r>
      <w:proofErr w:type="spellEnd"/>
      <w:r w:rsidRPr="001D0734">
        <w:rPr>
          <w:rFonts w:ascii="Arial" w:hAnsi="Arial" w:cs="Arial"/>
        </w:rPr>
        <w:t xml:space="preserve">, I. (2020). What is the color of milk and dairy products and how is it measured. Foods, 9(11), 1629. </w:t>
      </w:r>
      <w:hyperlink r:id="rId37" w:history="1">
        <w:r w:rsidRPr="001D0734">
          <w:rPr>
            <w:rFonts w:ascii="Arial" w:hAnsi="Arial" w:cs="Arial"/>
          </w:rPr>
          <w:t>https://doi.org/10.3390/foods9111629</w:t>
        </w:r>
      </w:hyperlink>
      <w:r w:rsidRPr="001D0734">
        <w:rPr>
          <w:rFonts w:ascii="Arial" w:hAnsi="Arial" w:cs="Arial"/>
        </w:rPr>
        <w:t xml:space="preserve"> </w:t>
      </w:r>
    </w:p>
    <w:p w14:paraId="478C9C73" w14:textId="25E0BD43" w:rsidR="001D0734" w:rsidRPr="001D0734" w:rsidRDefault="00723AE5" w:rsidP="000E7ACE">
      <w:pPr>
        <w:pStyle w:val="Body"/>
        <w:spacing w:after="0" w:line="480" w:lineRule="auto"/>
        <w:rPr>
          <w:rFonts w:ascii="Arial" w:hAnsi="Arial" w:cs="Arial"/>
        </w:rPr>
      </w:pPr>
      <w:r w:rsidRPr="00723AE5">
        <w:rPr>
          <w:rFonts w:ascii="Arial" w:hAnsi="Arial" w:cs="Arial"/>
        </w:rPr>
        <w:t xml:space="preserve">Nascimento, A., Cavalcanti-Mata, M. E. R. M., Martins Duarte, M. E., </w:t>
      </w:r>
      <w:proofErr w:type="spellStart"/>
      <w:r w:rsidRPr="00723AE5">
        <w:rPr>
          <w:rFonts w:ascii="Arial" w:hAnsi="Arial" w:cs="Arial"/>
        </w:rPr>
        <w:t>Pasquali</w:t>
      </w:r>
      <w:proofErr w:type="spellEnd"/>
      <w:r w:rsidRPr="00723AE5">
        <w:rPr>
          <w:rFonts w:ascii="Arial" w:hAnsi="Arial" w:cs="Arial"/>
        </w:rPr>
        <w:t xml:space="preserve">, M., &amp; </w:t>
      </w:r>
      <w:proofErr w:type="spellStart"/>
      <w:r w:rsidRPr="00723AE5">
        <w:rPr>
          <w:rFonts w:ascii="Arial" w:hAnsi="Arial" w:cs="Arial"/>
        </w:rPr>
        <w:t>Lisboa</w:t>
      </w:r>
      <w:proofErr w:type="spellEnd"/>
      <w:r w:rsidRPr="00723AE5">
        <w:rPr>
          <w:rFonts w:ascii="Arial" w:hAnsi="Arial" w:cs="Arial"/>
        </w:rPr>
        <w:t xml:space="preserve">, H. M. (2019). Construction of a design space for goat milk powder production using moisture sorption isotherms. Journal of Food Process Engineering, 42(6), e13228. </w:t>
      </w:r>
      <w:hyperlink r:id="rId38" w:history="1">
        <w:r w:rsidRPr="00E02D93">
          <w:rPr>
            <w:rStyle w:val="Hyperlink"/>
            <w:rFonts w:ascii="Arial" w:hAnsi="Arial" w:cs="Arial"/>
          </w:rPr>
          <w:t>https://doi.org/10.1111/jfpe.13228</w:t>
        </w:r>
      </w:hyperlink>
      <w:r>
        <w:rPr>
          <w:rFonts w:ascii="Arial" w:hAnsi="Arial" w:cs="Arial"/>
        </w:rPr>
        <w:t xml:space="preserve"> </w:t>
      </w:r>
      <w:r w:rsidR="006C06CD">
        <w:rPr>
          <w:rFonts w:ascii="Arial" w:hAnsi="Arial" w:cs="Arial"/>
        </w:rPr>
        <w:tab/>
      </w:r>
      <w:r w:rsidR="001D0734" w:rsidRPr="001D0734">
        <w:rPr>
          <w:rFonts w:ascii="Arial" w:hAnsi="Arial" w:cs="Arial"/>
        </w:rPr>
        <w:t xml:space="preserve"> </w:t>
      </w:r>
    </w:p>
    <w:p w14:paraId="785AD41F" w14:textId="03F7884E" w:rsidR="001D0734" w:rsidRPr="001D0734" w:rsidRDefault="006C06CD" w:rsidP="000E7ACE">
      <w:pPr>
        <w:pStyle w:val="Body"/>
        <w:spacing w:after="0" w:line="480" w:lineRule="auto"/>
        <w:rPr>
          <w:rFonts w:ascii="Arial" w:hAnsi="Arial" w:cs="Arial"/>
        </w:rPr>
      </w:pPr>
      <w:r w:rsidRPr="006C06CD">
        <w:rPr>
          <w:rFonts w:ascii="Arial" w:hAnsi="Arial" w:cs="Arial"/>
        </w:rPr>
        <w:t>Popov-</w:t>
      </w:r>
      <w:proofErr w:type="spellStart"/>
      <w:r w:rsidRPr="006C06CD">
        <w:rPr>
          <w:rFonts w:ascii="Arial" w:hAnsi="Arial" w:cs="Arial"/>
        </w:rPr>
        <w:t>Raljić</w:t>
      </w:r>
      <w:proofErr w:type="spellEnd"/>
      <w:r w:rsidRPr="006C06CD">
        <w:rPr>
          <w:rFonts w:ascii="Arial" w:hAnsi="Arial" w:cs="Arial"/>
        </w:rPr>
        <w:t xml:space="preserve">, J. V., </w:t>
      </w:r>
      <w:proofErr w:type="spellStart"/>
      <w:r w:rsidRPr="006C06CD">
        <w:rPr>
          <w:rFonts w:ascii="Arial" w:hAnsi="Arial" w:cs="Arial"/>
        </w:rPr>
        <w:t>Lakić</w:t>
      </w:r>
      <w:proofErr w:type="spellEnd"/>
      <w:r w:rsidRPr="006C06CD">
        <w:rPr>
          <w:rFonts w:ascii="Arial" w:hAnsi="Arial" w:cs="Arial"/>
        </w:rPr>
        <w:t xml:space="preserve">, N. S., </w:t>
      </w:r>
      <w:proofErr w:type="spellStart"/>
      <w:r w:rsidRPr="006C06CD">
        <w:rPr>
          <w:rFonts w:ascii="Arial" w:hAnsi="Arial" w:cs="Arial"/>
        </w:rPr>
        <w:t>Laličić-Petronijević</w:t>
      </w:r>
      <w:proofErr w:type="spellEnd"/>
      <w:r w:rsidRPr="006C06CD">
        <w:rPr>
          <w:rFonts w:ascii="Arial" w:hAnsi="Arial" w:cs="Arial"/>
        </w:rPr>
        <w:t xml:space="preserve">, J. G., </w:t>
      </w:r>
      <w:proofErr w:type="spellStart"/>
      <w:r w:rsidRPr="006C06CD">
        <w:rPr>
          <w:rFonts w:ascii="Arial" w:hAnsi="Arial" w:cs="Arial"/>
        </w:rPr>
        <w:t>Barać</w:t>
      </w:r>
      <w:proofErr w:type="spellEnd"/>
      <w:r w:rsidRPr="006C06CD">
        <w:rPr>
          <w:rFonts w:ascii="Arial" w:hAnsi="Arial" w:cs="Arial"/>
        </w:rPr>
        <w:t xml:space="preserve">, M. B., &amp; </w:t>
      </w:r>
      <w:proofErr w:type="spellStart"/>
      <w:r w:rsidRPr="006C06CD">
        <w:rPr>
          <w:rFonts w:ascii="Arial" w:hAnsi="Arial" w:cs="Arial"/>
        </w:rPr>
        <w:t>Sikimić</w:t>
      </w:r>
      <w:proofErr w:type="spellEnd"/>
      <w:r w:rsidRPr="006C06CD">
        <w:rPr>
          <w:rFonts w:ascii="Arial" w:hAnsi="Arial" w:cs="Arial"/>
        </w:rPr>
        <w:t xml:space="preserve">, V. M. (2008). Color Changes of UHT Milk During Storage. Sensors, 8(9), 5961-5974. </w:t>
      </w:r>
      <w:hyperlink r:id="rId39" w:history="1">
        <w:r w:rsidRPr="00E02D93">
          <w:rPr>
            <w:rStyle w:val="Hyperlink"/>
            <w:rFonts w:ascii="Arial" w:hAnsi="Arial" w:cs="Arial"/>
          </w:rPr>
          <w:t>https://doi.org/10.3390/s8095961</w:t>
        </w:r>
      </w:hyperlink>
      <w:r>
        <w:rPr>
          <w:rFonts w:ascii="Arial" w:hAnsi="Arial" w:cs="Arial"/>
        </w:rPr>
        <w:t xml:space="preserve"> </w:t>
      </w:r>
      <w:r w:rsidR="001D0734" w:rsidRPr="001D0734">
        <w:rPr>
          <w:rFonts w:ascii="Arial" w:hAnsi="Arial" w:cs="Arial"/>
        </w:rPr>
        <w:t xml:space="preserve"> </w:t>
      </w:r>
    </w:p>
    <w:p w14:paraId="4F889C20" w14:textId="282B91E0" w:rsidR="001D0734" w:rsidRPr="001D0734" w:rsidRDefault="00B91B50" w:rsidP="000E7ACE">
      <w:pPr>
        <w:pStyle w:val="Body"/>
        <w:spacing w:after="0" w:line="480" w:lineRule="auto"/>
        <w:rPr>
          <w:rFonts w:ascii="Arial" w:hAnsi="Arial" w:cs="Arial"/>
        </w:rPr>
      </w:pPr>
      <w:r w:rsidRPr="00B91B50">
        <w:rPr>
          <w:rFonts w:ascii="Arial" w:hAnsi="Arial" w:cs="Arial"/>
        </w:rPr>
        <w:t xml:space="preserve">Public Health England. (2020). Determination of water activity in food. (FNES67 (2)) </w:t>
      </w:r>
      <w:hyperlink r:id="rId40" w:history="1">
        <w:r w:rsidRPr="00E02D93">
          <w:rPr>
            <w:rStyle w:val="Hyperlink"/>
            <w:rFonts w:ascii="Arial" w:hAnsi="Arial" w:cs="Arial"/>
          </w:rPr>
          <w:t>https://assets.publishing.service.gov.uk/government/uploads/system/uploads/attachment_data/file/864740/Determination_of_Water_Activity_in_Food__4_.pdf</w:t>
        </w:r>
      </w:hyperlink>
      <w:r>
        <w:rPr>
          <w:rFonts w:ascii="Arial" w:hAnsi="Arial" w:cs="Arial"/>
        </w:rPr>
        <w:t xml:space="preserve"> </w:t>
      </w:r>
      <w:r w:rsidR="00D91B1C">
        <w:rPr>
          <w:rFonts w:ascii="Arial" w:hAnsi="Arial" w:cs="Arial"/>
        </w:rPr>
        <w:tab/>
      </w:r>
      <w:r w:rsidR="001D0734" w:rsidRPr="001D0734">
        <w:rPr>
          <w:rFonts w:ascii="Arial" w:hAnsi="Arial" w:cs="Arial"/>
        </w:rPr>
        <w:t xml:space="preserve"> </w:t>
      </w:r>
    </w:p>
    <w:p w14:paraId="46DA62FF" w14:textId="588BCD9C" w:rsidR="001D0734" w:rsidRPr="001D0734" w:rsidRDefault="00D91B1C" w:rsidP="000E7ACE">
      <w:pPr>
        <w:pStyle w:val="Body"/>
        <w:spacing w:after="0" w:line="480" w:lineRule="auto"/>
        <w:rPr>
          <w:rFonts w:ascii="Arial" w:hAnsi="Arial" w:cs="Arial"/>
        </w:rPr>
      </w:pPr>
      <w:r w:rsidRPr="00D91B1C">
        <w:rPr>
          <w:rFonts w:ascii="Arial" w:hAnsi="Arial" w:cs="Arial"/>
        </w:rPr>
        <w:t xml:space="preserve">Pugliese, A., </w:t>
      </w:r>
      <w:proofErr w:type="spellStart"/>
      <w:r w:rsidRPr="00D91B1C">
        <w:rPr>
          <w:rFonts w:ascii="Arial" w:hAnsi="Arial" w:cs="Arial"/>
        </w:rPr>
        <w:t>Cabassi</w:t>
      </w:r>
      <w:proofErr w:type="spellEnd"/>
      <w:r w:rsidRPr="00D91B1C">
        <w:rPr>
          <w:rFonts w:ascii="Arial" w:hAnsi="Arial" w:cs="Arial"/>
        </w:rPr>
        <w:t xml:space="preserve">, G., </w:t>
      </w:r>
      <w:proofErr w:type="spellStart"/>
      <w:r w:rsidRPr="00D91B1C">
        <w:rPr>
          <w:rFonts w:ascii="Arial" w:hAnsi="Arial" w:cs="Arial"/>
        </w:rPr>
        <w:t>Chiavaro</w:t>
      </w:r>
      <w:proofErr w:type="spellEnd"/>
      <w:r w:rsidRPr="00D91B1C">
        <w:rPr>
          <w:rFonts w:ascii="Arial" w:hAnsi="Arial" w:cs="Arial"/>
        </w:rPr>
        <w:t xml:space="preserve">, E., </w:t>
      </w:r>
      <w:proofErr w:type="spellStart"/>
      <w:r w:rsidRPr="00D91B1C">
        <w:rPr>
          <w:rFonts w:ascii="Arial" w:hAnsi="Arial" w:cs="Arial"/>
        </w:rPr>
        <w:t>Paciulli</w:t>
      </w:r>
      <w:proofErr w:type="spellEnd"/>
      <w:r w:rsidRPr="00D91B1C">
        <w:rPr>
          <w:rFonts w:ascii="Arial" w:hAnsi="Arial" w:cs="Arial"/>
        </w:rPr>
        <w:t xml:space="preserve">, M., </w:t>
      </w:r>
      <w:proofErr w:type="spellStart"/>
      <w:r w:rsidRPr="00D91B1C">
        <w:rPr>
          <w:rFonts w:ascii="Arial" w:hAnsi="Arial" w:cs="Arial"/>
        </w:rPr>
        <w:t>Carini</w:t>
      </w:r>
      <w:proofErr w:type="spellEnd"/>
      <w:r w:rsidRPr="00D91B1C">
        <w:rPr>
          <w:rFonts w:ascii="Arial" w:hAnsi="Arial" w:cs="Arial"/>
        </w:rPr>
        <w:t xml:space="preserve">, E., &amp; </w:t>
      </w:r>
      <w:proofErr w:type="spellStart"/>
      <w:r w:rsidRPr="00D91B1C">
        <w:rPr>
          <w:rFonts w:ascii="Arial" w:hAnsi="Arial" w:cs="Arial"/>
        </w:rPr>
        <w:t>Mucchetti</w:t>
      </w:r>
      <w:proofErr w:type="spellEnd"/>
      <w:r w:rsidRPr="00D91B1C">
        <w:rPr>
          <w:rFonts w:ascii="Arial" w:hAnsi="Arial" w:cs="Arial"/>
        </w:rPr>
        <w:t xml:space="preserve">, G. (2017). Physical characterization of whole and skim dried milk powders. Journal of Food Science and Technology, 54, 3433-3442. </w:t>
      </w:r>
      <w:hyperlink r:id="rId41" w:history="1">
        <w:r w:rsidRPr="00E02D93">
          <w:rPr>
            <w:rStyle w:val="Hyperlink"/>
            <w:rFonts w:ascii="Arial" w:hAnsi="Arial" w:cs="Arial"/>
          </w:rPr>
          <w:t>https://doi.org/10.1007/s13197-017-2795-1</w:t>
        </w:r>
      </w:hyperlink>
      <w:r>
        <w:rPr>
          <w:rFonts w:ascii="Arial" w:hAnsi="Arial" w:cs="Arial"/>
        </w:rPr>
        <w:t xml:space="preserve"> </w:t>
      </w:r>
      <w:r w:rsidR="001D0734" w:rsidRPr="001D0734">
        <w:rPr>
          <w:rFonts w:ascii="Arial" w:hAnsi="Arial" w:cs="Arial"/>
        </w:rPr>
        <w:t xml:space="preserve"> </w:t>
      </w:r>
    </w:p>
    <w:p w14:paraId="4314B5A4" w14:textId="77777777" w:rsidR="001D0734" w:rsidRPr="001D0734" w:rsidRDefault="001D0734" w:rsidP="000E7ACE">
      <w:pPr>
        <w:pStyle w:val="Body"/>
        <w:spacing w:after="0" w:line="480" w:lineRule="auto"/>
        <w:rPr>
          <w:rFonts w:ascii="Arial" w:hAnsi="Arial" w:cs="Arial"/>
        </w:rPr>
      </w:pPr>
      <w:proofErr w:type="spellStart"/>
      <w:r w:rsidRPr="001D0734">
        <w:rPr>
          <w:rFonts w:ascii="Arial" w:hAnsi="Arial" w:cs="Arial"/>
        </w:rPr>
        <w:t>Purushotham</w:t>
      </w:r>
      <w:proofErr w:type="spellEnd"/>
      <w:r w:rsidRPr="001D0734">
        <w:rPr>
          <w:rFonts w:ascii="Arial" w:hAnsi="Arial" w:cs="Arial"/>
        </w:rPr>
        <w:t xml:space="preserve">, R (2016). Studies on sorption isotherms and storage life of spray dried goat milk powder [Doctoral dissertation, University of Agricultural Sciences]. </w:t>
      </w:r>
      <w:proofErr w:type="spellStart"/>
      <w:r w:rsidRPr="001D0734">
        <w:rPr>
          <w:rFonts w:ascii="Arial" w:hAnsi="Arial" w:cs="Arial"/>
        </w:rPr>
        <w:t>Raichur</w:t>
      </w:r>
      <w:proofErr w:type="spellEnd"/>
      <w:r w:rsidRPr="001D0734">
        <w:rPr>
          <w:rFonts w:ascii="Arial" w:hAnsi="Arial" w:cs="Arial"/>
        </w:rPr>
        <w:t xml:space="preserve"> - 584 104, India. </w:t>
      </w:r>
      <w:hyperlink r:id="rId42" w:history="1">
        <w:r w:rsidRPr="001D0734">
          <w:rPr>
            <w:rFonts w:ascii="Arial" w:hAnsi="Arial" w:cs="Arial"/>
          </w:rPr>
          <w:t>http://krishikosh.egranth.ac.in/handle/1/5810146603</w:t>
        </w:r>
      </w:hyperlink>
      <w:r w:rsidRPr="001D0734">
        <w:rPr>
          <w:rFonts w:ascii="Arial" w:hAnsi="Arial" w:cs="Arial"/>
        </w:rPr>
        <w:t xml:space="preserve"> </w:t>
      </w:r>
    </w:p>
    <w:p w14:paraId="0C8928BA" w14:textId="44B32AD6" w:rsidR="001D0734" w:rsidRPr="001D0734" w:rsidRDefault="00E86A9D" w:rsidP="000E7ACE">
      <w:pPr>
        <w:pStyle w:val="Body"/>
        <w:spacing w:after="0" w:line="480" w:lineRule="auto"/>
        <w:rPr>
          <w:rFonts w:ascii="Arial" w:hAnsi="Arial" w:cs="Arial"/>
        </w:rPr>
      </w:pPr>
      <w:r w:rsidRPr="00E86A9D">
        <w:rPr>
          <w:rFonts w:ascii="Arial" w:hAnsi="Arial" w:cs="Arial"/>
        </w:rPr>
        <w:t xml:space="preserve">Reddy, R. S., Ramachandra, C. T., </w:t>
      </w:r>
      <w:proofErr w:type="spellStart"/>
      <w:r w:rsidRPr="00E86A9D">
        <w:rPr>
          <w:rFonts w:ascii="Arial" w:hAnsi="Arial" w:cs="Arial"/>
        </w:rPr>
        <w:t>Hiregoudar</w:t>
      </w:r>
      <w:proofErr w:type="spellEnd"/>
      <w:r w:rsidRPr="00E86A9D">
        <w:rPr>
          <w:rFonts w:ascii="Arial" w:hAnsi="Arial" w:cs="Arial"/>
        </w:rPr>
        <w:t xml:space="preserve">, S., </w:t>
      </w:r>
      <w:proofErr w:type="spellStart"/>
      <w:r w:rsidRPr="00E86A9D">
        <w:rPr>
          <w:rFonts w:ascii="Arial" w:hAnsi="Arial" w:cs="Arial"/>
        </w:rPr>
        <w:t>Nidoni</w:t>
      </w:r>
      <w:proofErr w:type="spellEnd"/>
      <w:r w:rsidRPr="00E86A9D">
        <w:rPr>
          <w:rFonts w:ascii="Arial" w:hAnsi="Arial" w:cs="Arial"/>
        </w:rPr>
        <w:t xml:space="preserve">, U., Ram, J., &amp; </w:t>
      </w:r>
      <w:proofErr w:type="spellStart"/>
      <w:r w:rsidRPr="00E86A9D">
        <w:rPr>
          <w:rFonts w:ascii="Arial" w:hAnsi="Arial" w:cs="Arial"/>
        </w:rPr>
        <w:t>Kammar</w:t>
      </w:r>
      <w:proofErr w:type="spellEnd"/>
      <w:r w:rsidRPr="00E86A9D">
        <w:rPr>
          <w:rFonts w:ascii="Arial" w:hAnsi="Arial" w:cs="Arial"/>
        </w:rPr>
        <w:t xml:space="preserve">, M. (2014). Influence of processing conditions on functional and reconstitution properties of milk powder made from </w:t>
      </w:r>
      <w:proofErr w:type="spellStart"/>
      <w:r w:rsidRPr="00E86A9D">
        <w:rPr>
          <w:rFonts w:ascii="Arial" w:hAnsi="Arial" w:cs="Arial"/>
        </w:rPr>
        <w:t>Osmanabadi</w:t>
      </w:r>
      <w:proofErr w:type="spellEnd"/>
      <w:r w:rsidRPr="00E86A9D">
        <w:rPr>
          <w:rFonts w:ascii="Arial" w:hAnsi="Arial" w:cs="Arial"/>
        </w:rPr>
        <w:t xml:space="preserve"> goat milk by spray drying. Small Ruminant Research, 119(1-3), 130-137. </w:t>
      </w:r>
      <w:hyperlink r:id="rId43" w:history="1">
        <w:r w:rsidRPr="00E02D93">
          <w:rPr>
            <w:rStyle w:val="Hyperlink"/>
            <w:rFonts w:ascii="Arial" w:hAnsi="Arial" w:cs="Arial"/>
          </w:rPr>
          <w:t>https://doi.org/10.1016/j.smallrumres.2014.01.013</w:t>
        </w:r>
      </w:hyperlink>
      <w:r>
        <w:rPr>
          <w:rFonts w:ascii="Arial" w:hAnsi="Arial" w:cs="Arial"/>
        </w:rPr>
        <w:t xml:space="preserve"> </w:t>
      </w:r>
      <w:r w:rsidR="001D0734" w:rsidRPr="001D0734">
        <w:rPr>
          <w:rFonts w:ascii="Arial" w:hAnsi="Arial" w:cs="Arial"/>
        </w:rPr>
        <w:t xml:space="preserve"> </w:t>
      </w:r>
    </w:p>
    <w:p w14:paraId="04EC1A60" w14:textId="4F526CC3" w:rsidR="001D0734" w:rsidRPr="001D0734" w:rsidRDefault="00EF4DC2" w:rsidP="000E7ACE">
      <w:pPr>
        <w:pStyle w:val="Body"/>
        <w:spacing w:after="0" w:line="480" w:lineRule="auto"/>
        <w:rPr>
          <w:rFonts w:ascii="Arial" w:hAnsi="Arial" w:cs="Arial"/>
        </w:rPr>
      </w:pPr>
      <w:proofErr w:type="spellStart"/>
      <w:r w:rsidRPr="00EF4DC2">
        <w:rPr>
          <w:rFonts w:ascii="Arial" w:hAnsi="Arial" w:cs="Arial"/>
        </w:rPr>
        <w:lastRenderedPageBreak/>
        <w:t>Saikia</w:t>
      </w:r>
      <w:proofErr w:type="spellEnd"/>
      <w:r w:rsidRPr="00EF4DC2">
        <w:rPr>
          <w:rFonts w:ascii="Arial" w:hAnsi="Arial" w:cs="Arial"/>
        </w:rPr>
        <w:t xml:space="preserve">, D., </w:t>
      </w:r>
      <w:proofErr w:type="spellStart"/>
      <w:r w:rsidRPr="00EF4DC2">
        <w:rPr>
          <w:rFonts w:ascii="Arial" w:hAnsi="Arial" w:cs="Arial"/>
        </w:rPr>
        <w:t>Hassani</w:t>
      </w:r>
      <w:proofErr w:type="spellEnd"/>
      <w:r w:rsidRPr="00EF4DC2">
        <w:rPr>
          <w:rFonts w:ascii="Arial" w:hAnsi="Arial" w:cs="Arial"/>
        </w:rPr>
        <w:t xml:space="preserve">, M. I., &amp; </w:t>
      </w:r>
      <w:proofErr w:type="spellStart"/>
      <w:r w:rsidRPr="00EF4DC2">
        <w:rPr>
          <w:rFonts w:ascii="Arial" w:hAnsi="Arial" w:cs="Arial"/>
        </w:rPr>
        <w:t>Walia</w:t>
      </w:r>
      <w:proofErr w:type="spellEnd"/>
      <w:r w:rsidRPr="00EF4DC2">
        <w:rPr>
          <w:rFonts w:ascii="Arial" w:hAnsi="Arial" w:cs="Arial"/>
        </w:rPr>
        <w:t xml:space="preserve">, A. (2022). Review: Goat milk and its nutraceutical properties. International Journal of Applied Research. </w:t>
      </w:r>
      <w:hyperlink r:id="rId44" w:history="1">
        <w:r w:rsidRPr="00E02D93">
          <w:rPr>
            <w:rStyle w:val="Hyperlink"/>
            <w:rFonts w:ascii="Arial" w:hAnsi="Arial" w:cs="Arial"/>
          </w:rPr>
          <w:t>https://doi.org/10.22271/allresearch.2022.v8.i4b.9639</w:t>
        </w:r>
      </w:hyperlink>
      <w:r>
        <w:rPr>
          <w:rFonts w:ascii="Arial" w:hAnsi="Arial" w:cs="Arial"/>
        </w:rPr>
        <w:t xml:space="preserve"> </w:t>
      </w:r>
      <w:r w:rsidR="001D0734" w:rsidRPr="001D0734">
        <w:rPr>
          <w:rFonts w:ascii="Arial" w:hAnsi="Arial" w:cs="Arial"/>
        </w:rPr>
        <w:t xml:space="preserve"> </w:t>
      </w:r>
    </w:p>
    <w:p w14:paraId="70BC8E31" w14:textId="378E1888" w:rsidR="001D0734" w:rsidRPr="001D0734" w:rsidRDefault="004B0854" w:rsidP="000E7ACE">
      <w:pPr>
        <w:pStyle w:val="Body"/>
        <w:spacing w:after="0" w:line="480" w:lineRule="auto"/>
        <w:rPr>
          <w:rFonts w:ascii="Arial" w:hAnsi="Arial" w:cs="Arial"/>
        </w:rPr>
      </w:pPr>
      <w:r w:rsidRPr="004B0854">
        <w:rPr>
          <w:rFonts w:ascii="Arial" w:hAnsi="Arial" w:cs="Arial"/>
        </w:rPr>
        <w:t xml:space="preserve">Saw, H. Y., Davies, C. E., Paterson, A. H. J., &amp; Jones, J. R. (2015). Correlation between powder flow properties measured by shear testing and </w:t>
      </w:r>
      <w:proofErr w:type="spellStart"/>
      <w:r w:rsidRPr="004B0854">
        <w:rPr>
          <w:rFonts w:ascii="Arial" w:hAnsi="Arial" w:cs="Arial"/>
        </w:rPr>
        <w:t>Hausner</w:t>
      </w:r>
      <w:proofErr w:type="spellEnd"/>
      <w:r w:rsidRPr="004B0854">
        <w:rPr>
          <w:rFonts w:ascii="Arial" w:hAnsi="Arial" w:cs="Arial"/>
        </w:rPr>
        <w:t xml:space="preserve"> ratio. Procedia Engineering, 102, 218-225. </w:t>
      </w:r>
      <w:hyperlink r:id="rId45" w:history="1">
        <w:r w:rsidRPr="00E02D93">
          <w:rPr>
            <w:rStyle w:val="Hyperlink"/>
            <w:rFonts w:ascii="Arial" w:hAnsi="Arial" w:cs="Arial"/>
          </w:rPr>
          <w:t>https://doi.org/10.1016/j.proeng.2015.01.132</w:t>
        </w:r>
      </w:hyperlink>
      <w:r>
        <w:rPr>
          <w:rFonts w:ascii="Arial" w:hAnsi="Arial" w:cs="Arial"/>
        </w:rPr>
        <w:t xml:space="preserve"> </w:t>
      </w:r>
      <w:r w:rsidR="001D0734" w:rsidRPr="001D0734">
        <w:rPr>
          <w:rFonts w:ascii="Arial" w:hAnsi="Arial" w:cs="Arial"/>
        </w:rPr>
        <w:t xml:space="preserve"> </w:t>
      </w:r>
    </w:p>
    <w:p w14:paraId="0CA7EC48" w14:textId="0605B6C5" w:rsidR="001D0734" w:rsidRPr="001D0734" w:rsidRDefault="003E55AD" w:rsidP="000E7ACE">
      <w:pPr>
        <w:pStyle w:val="Body"/>
        <w:spacing w:after="0" w:line="480" w:lineRule="auto"/>
        <w:rPr>
          <w:rFonts w:ascii="Arial" w:hAnsi="Arial" w:cs="Arial"/>
        </w:rPr>
      </w:pPr>
      <w:proofErr w:type="spellStart"/>
      <w:r w:rsidRPr="003E55AD">
        <w:rPr>
          <w:rFonts w:ascii="Arial" w:hAnsi="Arial" w:cs="Arial"/>
        </w:rPr>
        <w:t>Shipar</w:t>
      </w:r>
      <w:proofErr w:type="spellEnd"/>
      <w:r w:rsidRPr="003E55AD">
        <w:rPr>
          <w:rFonts w:ascii="Arial" w:hAnsi="Arial" w:cs="Arial"/>
        </w:rPr>
        <w:t xml:space="preserve">, M. A. H., Wadhwa, A., Varughese, C., Kaur, N., &amp; </w:t>
      </w:r>
      <w:proofErr w:type="spellStart"/>
      <w:r w:rsidRPr="003E55AD">
        <w:rPr>
          <w:rFonts w:ascii="Arial" w:hAnsi="Arial" w:cs="Arial"/>
        </w:rPr>
        <w:t>Thayaparan</w:t>
      </w:r>
      <w:proofErr w:type="spellEnd"/>
      <w:r w:rsidRPr="003E55AD">
        <w:rPr>
          <w:rFonts w:ascii="Arial" w:hAnsi="Arial" w:cs="Arial"/>
        </w:rPr>
        <w:t xml:space="preserve">, N. (2013). Pharmaceutical coating project. Toronto Institute of Pharmaceutical Technology. </w:t>
      </w:r>
      <w:hyperlink r:id="rId46" w:history="1">
        <w:r w:rsidRPr="00E02D93">
          <w:rPr>
            <w:rStyle w:val="Hyperlink"/>
            <w:rFonts w:ascii="Arial" w:hAnsi="Arial" w:cs="Arial"/>
          </w:rPr>
          <w:t>https://www.researchgate.net/publication/309450000_PHARMACEUTICAL_COATING_PROJECT/fulltext/580f111108ae2d24b191121a/PHARMACEUTICAL-COATING-PROJECT.pdf</w:t>
        </w:r>
      </w:hyperlink>
      <w:r>
        <w:rPr>
          <w:rFonts w:ascii="Arial" w:hAnsi="Arial" w:cs="Arial"/>
        </w:rPr>
        <w:t xml:space="preserve"> </w:t>
      </w:r>
    </w:p>
    <w:p w14:paraId="21205103" w14:textId="77777777" w:rsidR="001D0734" w:rsidRPr="001D0734" w:rsidRDefault="001D0734" w:rsidP="000E7ACE">
      <w:pPr>
        <w:pStyle w:val="Body"/>
        <w:spacing w:after="0" w:line="480" w:lineRule="auto"/>
        <w:rPr>
          <w:rFonts w:ascii="Arial" w:hAnsi="Arial" w:cs="Arial"/>
        </w:rPr>
      </w:pPr>
      <w:r w:rsidRPr="001D0734">
        <w:rPr>
          <w:rFonts w:ascii="Arial" w:hAnsi="Arial" w:cs="Arial"/>
        </w:rPr>
        <w:t xml:space="preserve">Steel, R. G. D., &amp; Torrie, J. H. (1980). Principles and procedures of statistics, a biometrical approach (No. Ed. 2). McGraw-Hill </w:t>
      </w:r>
      <w:proofErr w:type="spellStart"/>
      <w:r w:rsidRPr="001D0734">
        <w:rPr>
          <w:rFonts w:ascii="Arial" w:hAnsi="Arial" w:cs="Arial"/>
        </w:rPr>
        <w:t>Kogakusha</w:t>
      </w:r>
      <w:proofErr w:type="spellEnd"/>
      <w:r w:rsidRPr="001D0734">
        <w:rPr>
          <w:rFonts w:ascii="Arial" w:hAnsi="Arial" w:cs="Arial"/>
        </w:rPr>
        <w:t>, Ltd.</w:t>
      </w:r>
    </w:p>
    <w:p w14:paraId="6FD0A52C" w14:textId="7AD0711E" w:rsidR="001D0734" w:rsidRPr="001D0734" w:rsidRDefault="00724AC8" w:rsidP="000E7ACE">
      <w:pPr>
        <w:pStyle w:val="Body"/>
        <w:spacing w:after="0" w:line="480" w:lineRule="auto"/>
        <w:rPr>
          <w:rFonts w:ascii="Arial" w:hAnsi="Arial" w:cs="Arial"/>
        </w:rPr>
      </w:pPr>
      <w:proofErr w:type="spellStart"/>
      <w:r w:rsidRPr="00724AC8">
        <w:rPr>
          <w:rFonts w:ascii="Arial" w:hAnsi="Arial" w:cs="Arial"/>
        </w:rPr>
        <w:t>Straatsma</w:t>
      </w:r>
      <w:proofErr w:type="spellEnd"/>
      <w:r w:rsidRPr="00724AC8">
        <w:rPr>
          <w:rFonts w:ascii="Arial" w:hAnsi="Arial" w:cs="Arial"/>
        </w:rPr>
        <w:t xml:space="preserve">, J., Van </w:t>
      </w:r>
      <w:proofErr w:type="spellStart"/>
      <w:r w:rsidRPr="00724AC8">
        <w:rPr>
          <w:rFonts w:ascii="Arial" w:hAnsi="Arial" w:cs="Arial"/>
        </w:rPr>
        <w:t>Houwelingen</w:t>
      </w:r>
      <w:proofErr w:type="spellEnd"/>
      <w:r w:rsidRPr="00724AC8">
        <w:rPr>
          <w:rFonts w:ascii="Arial" w:hAnsi="Arial" w:cs="Arial"/>
        </w:rPr>
        <w:t xml:space="preserve">, G., </w:t>
      </w:r>
      <w:proofErr w:type="spellStart"/>
      <w:r w:rsidRPr="00724AC8">
        <w:rPr>
          <w:rFonts w:ascii="Arial" w:hAnsi="Arial" w:cs="Arial"/>
        </w:rPr>
        <w:t>Steenbergen</w:t>
      </w:r>
      <w:proofErr w:type="spellEnd"/>
      <w:r w:rsidRPr="00724AC8">
        <w:rPr>
          <w:rFonts w:ascii="Arial" w:hAnsi="Arial" w:cs="Arial"/>
        </w:rPr>
        <w:t xml:space="preserve">, A. E., &amp; De Jong, P. (1999). Spray drying of food products: 2. Prediction of insolubility index. Journal of Food Engineering, 42(2), 73-77. </w:t>
      </w:r>
      <w:hyperlink r:id="rId47" w:history="1">
        <w:r w:rsidRPr="00E02D93">
          <w:rPr>
            <w:rStyle w:val="Hyperlink"/>
            <w:rFonts w:ascii="Arial" w:hAnsi="Arial" w:cs="Arial"/>
          </w:rPr>
          <w:t>https://doi.org/10.1016/S0260-8774(99)00108-9</w:t>
        </w:r>
      </w:hyperlink>
      <w:r>
        <w:rPr>
          <w:rFonts w:ascii="Arial" w:hAnsi="Arial" w:cs="Arial"/>
        </w:rPr>
        <w:t xml:space="preserve"> </w:t>
      </w:r>
      <w:r w:rsidR="001D0734" w:rsidRPr="001D0734">
        <w:rPr>
          <w:rFonts w:ascii="Arial" w:hAnsi="Arial" w:cs="Arial"/>
        </w:rPr>
        <w:t xml:space="preserve"> </w:t>
      </w:r>
    </w:p>
    <w:p w14:paraId="325D74F5" w14:textId="738448C0" w:rsidR="001D0734" w:rsidRPr="001D0734" w:rsidRDefault="00033C87" w:rsidP="000E7ACE">
      <w:pPr>
        <w:pStyle w:val="Body"/>
        <w:spacing w:after="0" w:line="480" w:lineRule="auto"/>
        <w:rPr>
          <w:rFonts w:ascii="Arial" w:hAnsi="Arial" w:cs="Arial"/>
        </w:rPr>
      </w:pPr>
      <w:r w:rsidRPr="00033C87">
        <w:rPr>
          <w:rFonts w:ascii="Arial" w:hAnsi="Arial" w:cs="Arial"/>
        </w:rPr>
        <w:t xml:space="preserve">Sulieman, A. M. E., </w:t>
      </w:r>
      <w:proofErr w:type="spellStart"/>
      <w:r w:rsidRPr="00033C87">
        <w:rPr>
          <w:rFonts w:ascii="Arial" w:hAnsi="Arial" w:cs="Arial"/>
        </w:rPr>
        <w:t>Elamin</w:t>
      </w:r>
      <w:proofErr w:type="spellEnd"/>
      <w:r w:rsidRPr="00033C87">
        <w:rPr>
          <w:rFonts w:ascii="Arial" w:hAnsi="Arial" w:cs="Arial"/>
        </w:rPr>
        <w:t xml:space="preserve">, O. M., </w:t>
      </w:r>
      <w:proofErr w:type="spellStart"/>
      <w:r w:rsidRPr="00033C87">
        <w:rPr>
          <w:rFonts w:ascii="Arial" w:hAnsi="Arial" w:cs="Arial"/>
        </w:rPr>
        <w:t>Elkhalifa</w:t>
      </w:r>
      <w:proofErr w:type="spellEnd"/>
      <w:r w:rsidRPr="00033C87">
        <w:rPr>
          <w:rFonts w:ascii="Arial" w:hAnsi="Arial" w:cs="Arial"/>
        </w:rPr>
        <w:t xml:space="preserve">, E. A., &amp; </w:t>
      </w:r>
      <w:proofErr w:type="spellStart"/>
      <w:r w:rsidRPr="00033C87">
        <w:rPr>
          <w:rFonts w:ascii="Arial" w:hAnsi="Arial" w:cs="Arial"/>
        </w:rPr>
        <w:t>Laleye</w:t>
      </w:r>
      <w:proofErr w:type="spellEnd"/>
      <w:r w:rsidRPr="00033C87">
        <w:rPr>
          <w:rFonts w:ascii="Arial" w:hAnsi="Arial" w:cs="Arial"/>
        </w:rPr>
        <w:t xml:space="preserve">, L. (2014). Comparison of physicochemical properties of spray-dried camel’s milk and cow’s milk powder. International Journal of Food Science and Nutrition Engineering, 4(1), 15-19. </w:t>
      </w:r>
      <w:hyperlink r:id="rId48" w:history="1">
        <w:r w:rsidRPr="00E02D93">
          <w:rPr>
            <w:rStyle w:val="Hyperlink"/>
            <w:rFonts w:ascii="Arial" w:hAnsi="Arial" w:cs="Arial"/>
          </w:rPr>
          <w:t>https://doi.org/10.5923/j.food.20140401.03</w:t>
        </w:r>
      </w:hyperlink>
      <w:r>
        <w:rPr>
          <w:rFonts w:ascii="Arial" w:hAnsi="Arial" w:cs="Arial"/>
        </w:rPr>
        <w:t xml:space="preserve"> </w:t>
      </w:r>
      <w:r w:rsidR="001D0734" w:rsidRPr="001D0734">
        <w:rPr>
          <w:rFonts w:ascii="Arial" w:hAnsi="Arial" w:cs="Arial"/>
        </w:rPr>
        <w:t xml:space="preserve"> </w:t>
      </w:r>
    </w:p>
    <w:p w14:paraId="465CAB1A" w14:textId="77777777" w:rsidR="001D0734" w:rsidRPr="001D0734" w:rsidRDefault="001D0734" w:rsidP="000E7ACE">
      <w:pPr>
        <w:pStyle w:val="Body"/>
        <w:spacing w:after="0" w:line="480" w:lineRule="auto"/>
        <w:rPr>
          <w:rFonts w:ascii="Arial" w:hAnsi="Arial" w:cs="Arial"/>
        </w:rPr>
      </w:pPr>
      <w:r w:rsidRPr="001D0734">
        <w:rPr>
          <w:rFonts w:ascii="Arial" w:hAnsi="Arial" w:cs="Arial"/>
        </w:rPr>
        <w:t xml:space="preserve">Ta-ye, N., </w:t>
      </w:r>
      <w:proofErr w:type="spellStart"/>
      <w:r w:rsidRPr="001D0734">
        <w:rPr>
          <w:rFonts w:ascii="Arial" w:hAnsi="Arial" w:cs="Arial"/>
        </w:rPr>
        <w:t>Sammawattana</w:t>
      </w:r>
      <w:proofErr w:type="spellEnd"/>
      <w:r w:rsidRPr="001D0734">
        <w:rPr>
          <w:rFonts w:ascii="Arial" w:hAnsi="Arial" w:cs="Arial"/>
        </w:rPr>
        <w:t xml:space="preserve">, T., &amp; </w:t>
      </w:r>
      <w:proofErr w:type="spellStart"/>
      <w:r w:rsidRPr="001D0734">
        <w:rPr>
          <w:rFonts w:ascii="Arial" w:hAnsi="Arial" w:cs="Arial"/>
        </w:rPr>
        <w:t>Pakdeechanuan</w:t>
      </w:r>
      <w:proofErr w:type="spellEnd"/>
      <w:r w:rsidRPr="001D0734">
        <w:rPr>
          <w:rFonts w:ascii="Arial" w:hAnsi="Arial" w:cs="Arial"/>
        </w:rPr>
        <w:t>, P. (2012). Chemical composition of goat milk and effect of spray drying conditions on qualities of goat milk powder. </w:t>
      </w:r>
      <w:proofErr w:type="spellStart"/>
      <w:r w:rsidRPr="001D0734">
        <w:rPr>
          <w:rFonts w:ascii="Arial" w:hAnsi="Arial" w:cs="Arial"/>
        </w:rPr>
        <w:t>Warasan</w:t>
      </w:r>
      <w:proofErr w:type="spellEnd"/>
      <w:r w:rsidRPr="001D0734">
        <w:rPr>
          <w:rFonts w:ascii="Arial" w:hAnsi="Arial" w:cs="Arial"/>
        </w:rPr>
        <w:t xml:space="preserve"> </w:t>
      </w:r>
      <w:proofErr w:type="spellStart"/>
      <w:r w:rsidRPr="001D0734">
        <w:rPr>
          <w:rFonts w:ascii="Arial" w:hAnsi="Arial" w:cs="Arial"/>
        </w:rPr>
        <w:t>Witthayasat</w:t>
      </w:r>
      <w:proofErr w:type="spellEnd"/>
      <w:r w:rsidRPr="001D0734">
        <w:rPr>
          <w:rFonts w:ascii="Arial" w:hAnsi="Arial" w:cs="Arial"/>
        </w:rPr>
        <w:t xml:space="preserve"> </w:t>
      </w:r>
      <w:proofErr w:type="spellStart"/>
      <w:r w:rsidRPr="001D0734">
        <w:rPr>
          <w:rFonts w:ascii="Arial" w:hAnsi="Arial" w:cs="Arial"/>
        </w:rPr>
        <w:t>Mokho</w:t>
      </w:r>
      <w:proofErr w:type="spellEnd"/>
      <w:r w:rsidRPr="001D0734">
        <w:rPr>
          <w:rFonts w:ascii="Arial" w:hAnsi="Arial" w:cs="Arial"/>
        </w:rPr>
        <w:t>.</w:t>
      </w:r>
    </w:p>
    <w:p w14:paraId="6C1CE4F3" w14:textId="77777777" w:rsidR="001D0734" w:rsidRPr="001D0734" w:rsidRDefault="001D0734" w:rsidP="000E7ACE">
      <w:pPr>
        <w:pStyle w:val="Body"/>
        <w:spacing w:after="0" w:line="480" w:lineRule="auto"/>
        <w:rPr>
          <w:rFonts w:ascii="Arial" w:hAnsi="Arial" w:cs="Arial"/>
        </w:rPr>
      </w:pPr>
      <w:r w:rsidRPr="001D0734">
        <w:rPr>
          <w:rFonts w:ascii="Arial" w:hAnsi="Arial" w:cs="Arial"/>
        </w:rPr>
        <w:t xml:space="preserve">Thomsen, M. K., </w:t>
      </w:r>
      <w:proofErr w:type="spellStart"/>
      <w:r w:rsidRPr="001D0734">
        <w:rPr>
          <w:rFonts w:ascii="Arial" w:hAnsi="Arial" w:cs="Arial"/>
        </w:rPr>
        <w:t>Lauridsen</w:t>
      </w:r>
      <w:proofErr w:type="spellEnd"/>
      <w:r w:rsidRPr="001D0734">
        <w:rPr>
          <w:rFonts w:ascii="Arial" w:hAnsi="Arial" w:cs="Arial"/>
        </w:rPr>
        <w:t xml:space="preserve">, L., </w:t>
      </w:r>
      <w:proofErr w:type="spellStart"/>
      <w:r w:rsidRPr="001D0734">
        <w:rPr>
          <w:rFonts w:ascii="Arial" w:hAnsi="Arial" w:cs="Arial"/>
        </w:rPr>
        <w:t>Skibsted</w:t>
      </w:r>
      <w:proofErr w:type="spellEnd"/>
      <w:r w:rsidRPr="001D0734">
        <w:rPr>
          <w:rFonts w:ascii="Arial" w:hAnsi="Arial" w:cs="Arial"/>
        </w:rPr>
        <w:t xml:space="preserve">, L. H., &amp; </w:t>
      </w:r>
      <w:proofErr w:type="spellStart"/>
      <w:r w:rsidRPr="001D0734">
        <w:rPr>
          <w:rFonts w:ascii="Arial" w:hAnsi="Arial" w:cs="Arial"/>
        </w:rPr>
        <w:t>Risbo</w:t>
      </w:r>
      <w:proofErr w:type="spellEnd"/>
      <w:r w:rsidRPr="001D0734">
        <w:rPr>
          <w:rFonts w:ascii="Arial" w:hAnsi="Arial" w:cs="Arial"/>
        </w:rPr>
        <w:t xml:space="preserve">, J. (2005). Temperature effect on lactose crystallization, Maillard reactions, and lipid oxidation in whole milk powder. Journal of agricultural and food chemistry, 53(18), 7082-7090. </w:t>
      </w:r>
      <w:hyperlink r:id="rId49" w:history="1">
        <w:r w:rsidRPr="001D0734">
          <w:rPr>
            <w:rFonts w:ascii="Arial" w:hAnsi="Arial" w:cs="Arial"/>
          </w:rPr>
          <w:t>https://doi.org/10.1021/jf050862p</w:t>
        </w:r>
      </w:hyperlink>
      <w:r w:rsidRPr="001D0734">
        <w:rPr>
          <w:rFonts w:ascii="Arial" w:hAnsi="Arial" w:cs="Arial"/>
        </w:rPr>
        <w:t xml:space="preserve"> </w:t>
      </w:r>
    </w:p>
    <w:p w14:paraId="2B883CAF" w14:textId="77777777" w:rsidR="001D0734" w:rsidRPr="001D0734" w:rsidRDefault="001D0734" w:rsidP="000E7ACE">
      <w:pPr>
        <w:pStyle w:val="Body"/>
        <w:spacing w:after="0" w:line="480" w:lineRule="auto"/>
        <w:rPr>
          <w:rFonts w:ascii="Arial" w:hAnsi="Arial" w:cs="Arial"/>
        </w:rPr>
      </w:pPr>
      <w:proofErr w:type="spellStart"/>
      <w:r w:rsidRPr="001D0734">
        <w:rPr>
          <w:rFonts w:ascii="Arial" w:hAnsi="Arial" w:cs="Arial"/>
        </w:rPr>
        <w:t>Verruck</w:t>
      </w:r>
      <w:proofErr w:type="spellEnd"/>
      <w:r w:rsidRPr="001D0734">
        <w:rPr>
          <w:rFonts w:ascii="Arial" w:hAnsi="Arial" w:cs="Arial"/>
        </w:rPr>
        <w:t xml:space="preserve">, S., de Liz, G. R., Dias, C. O., </w:t>
      </w:r>
      <w:proofErr w:type="spellStart"/>
      <w:r w:rsidRPr="001D0734">
        <w:rPr>
          <w:rFonts w:ascii="Arial" w:hAnsi="Arial" w:cs="Arial"/>
        </w:rPr>
        <w:t>Amboni</w:t>
      </w:r>
      <w:proofErr w:type="spellEnd"/>
      <w:r w:rsidRPr="001D0734">
        <w:rPr>
          <w:rFonts w:ascii="Arial" w:hAnsi="Arial" w:cs="Arial"/>
        </w:rPr>
        <w:t xml:space="preserve">, R. D. D. M. C., &amp; </w:t>
      </w:r>
      <w:proofErr w:type="spellStart"/>
      <w:r w:rsidRPr="001D0734">
        <w:rPr>
          <w:rFonts w:ascii="Arial" w:hAnsi="Arial" w:cs="Arial"/>
        </w:rPr>
        <w:t>Prudencio</w:t>
      </w:r>
      <w:proofErr w:type="spellEnd"/>
      <w:r w:rsidRPr="001D0734">
        <w:rPr>
          <w:rFonts w:ascii="Arial" w:hAnsi="Arial" w:cs="Arial"/>
        </w:rPr>
        <w:t xml:space="preserve">, E. S. (2019). Effect of full-fat goat's milk and prebiotics use on Bifidobacterium BB-12 survival and on the </w:t>
      </w:r>
      <w:r w:rsidRPr="001D0734">
        <w:rPr>
          <w:rFonts w:ascii="Arial" w:hAnsi="Arial" w:cs="Arial"/>
        </w:rPr>
        <w:lastRenderedPageBreak/>
        <w:t xml:space="preserve">physical properties of spray-dried powders under storage conditions. Food Research International, 119, 643-652. </w:t>
      </w:r>
      <w:hyperlink r:id="rId50" w:history="1">
        <w:r w:rsidRPr="001D0734">
          <w:rPr>
            <w:rFonts w:ascii="Arial" w:hAnsi="Arial" w:cs="Arial"/>
          </w:rPr>
          <w:t>https://doi.org/10.1016/j.foodres.2018.10.042</w:t>
        </w:r>
      </w:hyperlink>
      <w:r w:rsidRPr="001D0734">
        <w:rPr>
          <w:rFonts w:ascii="Arial" w:hAnsi="Arial" w:cs="Arial"/>
        </w:rPr>
        <w:t xml:space="preserve"> </w:t>
      </w:r>
    </w:p>
    <w:p w14:paraId="248CC989" w14:textId="77777777" w:rsidR="001D0734" w:rsidRPr="001D0734" w:rsidRDefault="001D0734" w:rsidP="000E7ACE">
      <w:pPr>
        <w:pStyle w:val="Body"/>
        <w:spacing w:after="0" w:line="480" w:lineRule="auto"/>
        <w:rPr>
          <w:rFonts w:ascii="Arial" w:hAnsi="Arial" w:cs="Arial"/>
        </w:rPr>
      </w:pPr>
      <w:proofErr w:type="spellStart"/>
      <w:r w:rsidRPr="001D0734">
        <w:rPr>
          <w:rFonts w:ascii="Arial" w:hAnsi="Arial" w:cs="Arial"/>
        </w:rPr>
        <w:t>Walstra</w:t>
      </w:r>
      <w:proofErr w:type="spellEnd"/>
      <w:r w:rsidRPr="001D0734">
        <w:rPr>
          <w:rFonts w:ascii="Arial" w:hAnsi="Arial" w:cs="Arial"/>
        </w:rPr>
        <w:t xml:space="preserve">, P., </w:t>
      </w:r>
      <w:proofErr w:type="spellStart"/>
      <w:r w:rsidRPr="001D0734">
        <w:rPr>
          <w:rFonts w:ascii="Arial" w:hAnsi="Arial" w:cs="Arial"/>
        </w:rPr>
        <w:t>Geurts</w:t>
      </w:r>
      <w:proofErr w:type="spellEnd"/>
      <w:r w:rsidRPr="001D0734">
        <w:rPr>
          <w:rFonts w:ascii="Arial" w:hAnsi="Arial" w:cs="Arial"/>
        </w:rPr>
        <w:t xml:space="preserve">, T. J., </w:t>
      </w:r>
      <w:proofErr w:type="spellStart"/>
      <w:r w:rsidRPr="001D0734">
        <w:rPr>
          <w:rFonts w:ascii="Arial" w:hAnsi="Arial" w:cs="Arial"/>
        </w:rPr>
        <w:t>Noomen</w:t>
      </w:r>
      <w:proofErr w:type="spellEnd"/>
      <w:r w:rsidRPr="001D0734">
        <w:rPr>
          <w:rFonts w:ascii="Arial" w:hAnsi="Arial" w:cs="Arial"/>
        </w:rPr>
        <w:t xml:space="preserve">, A., </w:t>
      </w:r>
      <w:proofErr w:type="spellStart"/>
      <w:r w:rsidRPr="001D0734">
        <w:rPr>
          <w:rFonts w:ascii="Arial" w:hAnsi="Arial" w:cs="Arial"/>
        </w:rPr>
        <w:t>Jellema</w:t>
      </w:r>
      <w:proofErr w:type="spellEnd"/>
      <w:r w:rsidRPr="001D0734">
        <w:rPr>
          <w:rFonts w:ascii="Arial" w:hAnsi="Arial" w:cs="Arial"/>
        </w:rPr>
        <w:t xml:space="preserve">, A., &amp; Van </w:t>
      </w:r>
      <w:proofErr w:type="spellStart"/>
      <w:r w:rsidRPr="001D0734">
        <w:rPr>
          <w:rFonts w:ascii="Arial" w:hAnsi="Arial" w:cs="Arial"/>
        </w:rPr>
        <w:t>Boekel</w:t>
      </w:r>
      <w:proofErr w:type="spellEnd"/>
      <w:r w:rsidRPr="001D0734">
        <w:rPr>
          <w:rFonts w:ascii="Arial" w:hAnsi="Arial" w:cs="Arial"/>
        </w:rPr>
        <w:t>, M. A. J. S. (2005). Milk Composition, structure, and properties. In Dairy Technology: Principles of Milk Properties and Processes (pp. 1-24). Marcel Dekker Inc., New York, NY.</w:t>
      </w:r>
    </w:p>
    <w:p w14:paraId="481C5CF1" w14:textId="77777777" w:rsidR="001D0734" w:rsidRPr="001D0734" w:rsidRDefault="001D0734" w:rsidP="000E7ACE">
      <w:pPr>
        <w:pStyle w:val="Body"/>
        <w:spacing w:after="0" w:line="480" w:lineRule="auto"/>
        <w:rPr>
          <w:rFonts w:ascii="Arial" w:hAnsi="Arial" w:cs="Arial"/>
        </w:rPr>
      </w:pPr>
      <w:proofErr w:type="spellStart"/>
      <w:r w:rsidRPr="001D0734">
        <w:rPr>
          <w:rFonts w:ascii="Arial" w:hAnsi="Arial" w:cs="Arial"/>
        </w:rPr>
        <w:t>Westergaard</w:t>
      </w:r>
      <w:proofErr w:type="spellEnd"/>
      <w:r w:rsidRPr="001D0734">
        <w:rPr>
          <w:rFonts w:ascii="Arial" w:hAnsi="Arial" w:cs="Arial"/>
        </w:rPr>
        <w:t>, V., (2004). Milk Powder Technology: Evaporation and Spray Drying: 5th ed. Niro A/S, Copenhagen, Denmark</w:t>
      </w:r>
    </w:p>
    <w:p w14:paraId="03267108" w14:textId="77777777" w:rsidR="001D0734" w:rsidRPr="001D0734" w:rsidRDefault="001D0734" w:rsidP="000E7ACE">
      <w:pPr>
        <w:pStyle w:val="Body"/>
        <w:spacing w:after="0" w:line="480" w:lineRule="auto"/>
        <w:rPr>
          <w:rFonts w:ascii="Arial" w:hAnsi="Arial" w:cs="Arial"/>
        </w:rPr>
      </w:pPr>
      <w:proofErr w:type="spellStart"/>
      <w:r w:rsidRPr="001D0734">
        <w:rPr>
          <w:rFonts w:ascii="Arial" w:hAnsi="Arial" w:cs="Arial"/>
        </w:rPr>
        <w:t>Zainil</w:t>
      </w:r>
      <w:proofErr w:type="spellEnd"/>
      <w:r w:rsidRPr="001D0734">
        <w:rPr>
          <w:rFonts w:ascii="Arial" w:hAnsi="Arial" w:cs="Arial"/>
        </w:rPr>
        <w:t xml:space="preserve">, H. M., &amp; Xiang, L. J. (2019). Effect of spray drying temperature differences on the gross nutritional composition and solubility and </w:t>
      </w:r>
      <w:proofErr w:type="spellStart"/>
      <w:r w:rsidRPr="001D0734">
        <w:rPr>
          <w:rFonts w:ascii="Arial" w:hAnsi="Arial" w:cs="Arial"/>
        </w:rPr>
        <w:t>sinkability</w:t>
      </w:r>
      <w:proofErr w:type="spellEnd"/>
      <w:r w:rsidRPr="001D0734">
        <w:rPr>
          <w:rFonts w:ascii="Arial" w:hAnsi="Arial" w:cs="Arial"/>
        </w:rPr>
        <w:t xml:space="preserve"> of goat milk powder: Spray dried goat milk powder. Journal of the Bangladesh Agricultural University, 17(2), 206-210.</w:t>
      </w:r>
    </w:p>
    <w:p w14:paraId="74CAED76" w14:textId="77777777" w:rsidR="004D4277" w:rsidRPr="001D0734" w:rsidRDefault="001D0734" w:rsidP="000E7ACE">
      <w:pPr>
        <w:pStyle w:val="Body"/>
        <w:spacing w:after="0" w:line="480" w:lineRule="auto"/>
        <w:rPr>
          <w:rFonts w:ascii="Arial" w:hAnsi="Arial" w:cs="Arial"/>
        </w:rPr>
        <w:sectPr w:rsidR="004D4277" w:rsidRPr="001D0734" w:rsidSect="00014059">
          <w:headerReference w:type="even" r:id="rId51"/>
          <w:headerReference w:type="default" r:id="rId52"/>
          <w:footerReference w:type="default" r:id="rId53"/>
          <w:headerReference w:type="first" r:id="rId54"/>
          <w:type w:val="continuous"/>
          <w:pgSz w:w="12240" w:h="15840"/>
          <w:pgMar w:top="1440" w:right="2016" w:bottom="2016" w:left="2016" w:header="720" w:footer="1123" w:gutter="0"/>
          <w:cols w:space="720"/>
          <w:docGrid w:linePitch="272"/>
        </w:sectPr>
      </w:pPr>
      <w:bookmarkStart w:id="16" w:name="_Hlk142466608"/>
      <w:proofErr w:type="spellStart"/>
      <w:r w:rsidRPr="001D0734">
        <w:rPr>
          <w:rFonts w:ascii="Arial" w:hAnsi="Arial" w:cs="Arial"/>
        </w:rPr>
        <w:t>Vignolles</w:t>
      </w:r>
      <w:bookmarkEnd w:id="16"/>
      <w:proofErr w:type="spellEnd"/>
      <w:r w:rsidRPr="001D0734">
        <w:rPr>
          <w:rFonts w:ascii="Arial" w:hAnsi="Arial" w:cs="Arial"/>
        </w:rPr>
        <w:t xml:space="preserve">, M. L., Lopez, C., Le </w:t>
      </w:r>
      <w:proofErr w:type="spellStart"/>
      <w:r w:rsidRPr="001D0734">
        <w:rPr>
          <w:rFonts w:ascii="Arial" w:hAnsi="Arial" w:cs="Arial"/>
        </w:rPr>
        <w:t>Floch-Fouéré</w:t>
      </w:r>
      <w:proofErr w:type="spellEnd"/>
      <w:r w:rsidRPr="001D0734">
        <w:rPr>
          <w:rFonts w:ascii="Arial" w:hAnsi="Arial" w:cs="Arial"/>
        </w:rPr>
        <w:t xml:space="preserve">, C., Ehrhardt, J. J., </w:t>
      </w:r>
      <w:proofErr w:type="spellStart"/>
      <w:r w:rsidRPr="001D0734">
        <w:rPr>
          <w:rFonts w:ascii="Arial" w:hAnsi="Arial" w:cs="Arial"/>
        </w:rPr>
        <w:t>Méjean</w:t>
      </w:r>
      <w:proofErr w:type="spellEnd"/>
      <w:r w:rsidRPr="001D0734">
        <w:rPr>
          <w:rFonts w:ascii="Arial" w:hAnsi="Arial" w:cs="Arial"/>
        </w:rPr>
        <w:t xml:space="preserve">, S., </w:t>
      </w:r>
      <w:proofErr w:type="spellStart"/>
      <w:r w:rsidRPr="001D0734">
        <w:rPr>
          <w:rFonts w:ascii="Arial" w:hAnsi="Arial" w:cs="Arial"/>
        </w:rPr>
        <w:t>Jeantet</w:t>
      </w:r>
      <w:proofErr w:type="spellEnd"/>
      <w:r w:rsidRPr="001D0734">
        <w:rPr>
          <w:rFonts w:ascii="Arial" w:hAnsi="Arial" w:cs="Arial"/>
        </w:rPr>
        <w:t xml:space="preserve">, R., &amp; Schuck, P. (2010). Fat supramolecular structure in fat-filled dairy powders: A tool to adjust spray-drying temperatures. Dairy science &amp; technology, 90(2-3), 287-300. </w:t>
      </w:r>
      <w:hyperlink r:id="rId55" w:history="1">
        <w:r w:rsidRPr="001D0734">
          <w:rPr>
            <w:rFonts w:ascii="Arial" w:hAnsi="Arial" w:cs="Arial"/>
          </w:rPr>
          <w:t>https://doi.org/10.1051/dst/2009057</w:t>
        </w:r>
      </w:hyperlink>
      <w:bookmarkEnd w:id="14"/>
    </w:p>
    <w:p w14:paraId="2804B27F" w14:textId="77777777" w:rsidR="00856EBC" w:rsidRPr="00FB3A86" w:rsidRDefault="00856EBC">
      <w:pPr>
        <w:pStyle w:val="Appendix"/>
        <w:spacing w:after="0"/>
        <w:jc w:val="both"/>
        <w:rPr>
          <w:rFonts w:ascii="Arial" w:hAnsi="Arial" w:cs="Arial"/>
          <w:b w:val="0"/>
        </w:rPr>
      </w:pPr>
    </w:p>
    <w:sectPr w:rsidR="00856EBC" w:rsidRPr="00FB3A86" w:rsidSect="0001405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C3153" w14:textId="77777777" w:rsidR="00361A86" w:rsidRDefault="00361A86" w:rsidP="00C37E61">
      <w:r>
        <w:separator/>
      </w:r>
    </w:p>
  </w:endnote>
  <w:endnote w:type="continuationSeparator" w:id="0">
    <w:p w14:paraId="2FD57C74" w14:textId="77777777" w:rsidR="00361A86" w:rsidRDefault="00361A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file">
    <w:altName w:val="Cambria"/>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27E80" w14:textId="77777777" w:rsidR="00014059" w:rsidRDefault="00014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32B8" w14:textId="77777777" w:rsidR="00014059" w:rsidRDefault="00014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4429" w14:textId="77777777" w:rsidR="00F23A18" w:rsidRDefault="00F23A18">
    <w:pPr>
      <w:pStyle w:val="Footer"/>
      <w:rPr>
        <w:rFonts w:ascii="Arial" w:hAnsi="Arial" w:cs="Arial"/>
        <w:sz w:val="16"/>
      </w:rPr>
    </w:pPr>
  </w:p>
  <w:p w14:paraId="4B2EAEE9" w14:textId="77777777" w:rsidR="00F23A18" w:rsidRDefault="00F23A1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8F90E90" w14:textId="77777777" w:rsidR="00F23A18" w:rsidRDefault="00F23A18">
    <w:pPr>
      <w:pStyle w:val="Footer"/>
      <w:rPr>
        <w:rFonts w:ascii="Arial" w:hAnsi="Arial" w:cs="Arial"/>
        <w:sz w:val="16"/>
      </w:rPr>
    </w:pPr>
  </w:p>
  <w:p w14:paraId="65B0960F" w14:textId="77777777" w:rsidR="00F23A18" w:rsidRPr="009E048A" w:rsidRDefault="00F23A1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F65D" w14:textId="77777777" w:rsidR="00F23A18" w:rsidRPr="00C37E61" w:rsidRDefault="00F23A1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43F5C" w14:textId="77777777" w:rsidR="00361A86" w:rsidRDefault="00361A86" w:rsidP="00C37E61">
      <w:r>
        <w:separator/>
      </w:r>
    </w:p>
  </w:footnote>
  <w:footnote w:type="continuationSeparator" w:id="0">
    <w:p w14:paraId="79C15F7A" w14:textId="77777777" w:rsidR="00361A86" w:rsidRDefault="00361A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765E" w14:textId="4CC44A0D" w:rsidR="00014059" w:rsidRDefault="00014059">
    <w:pPr>
      <w:pStyle w:val="Header"/>
    </w:pPr>
    <w:r>
      <w:rPr>
        <w:noProof/>
      </w:rPr>
      <w:pict w14:anchorId="1622B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233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BF84" w14:textId="24B6B7D5" w:rsidR="00014059" w:rsidRDefault="00014059">
    <w:pPr>
      <w:pStyle w:val="Header"/>
    </w:pPr>
    <w:r>
      <w:rPr>
        <w:noProof/>
      </w:rPr>
      <w:pict w14:anchorId="630A7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233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5137B" w14:textId="38AF03F0" w:rsidR="00F23A18" w:rsidRPr="00296529" w:rsidRDefault="00014059" w:rsidP="00296529">
    <w:pPr>
      <w:ind w:left="2160"/>
      <w:jc w:val="center"/>
      <w:rPr>
        <w:rFonts w:ascii="Times New Roman" w:eastAsia="Calibri" w:hAnsi="Times New Roman"/>
        <w:i/>
        <w:sz w:val="18"/>
        <w:szCs w:val="22"/>
      </w:rPr>
    </w:pPr>
    <w:r>
      <w:rPr>
        <w:noProof/>
      </w:rPr>
      <w:pict w14:anchorId="4B7A9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233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691A51" w14:textId="77777777" w:rsidR="00F23A18" w:rsidRPr="00296529" w:rsidRDefault="00F23A1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D237DF4" w14:textId="77777777" w:rsidR="00F23A18" w:rsidRPr="00296529" w:rsidRDefault="00F23A1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A3BC08" w14:textId="77777777" w:rsidR="00F23A18" w:rsidRPr="00296529" w:rsidRDefault="00F23A1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712FD6" w14:textId="77777777" w:rsidR="00F23A18" w:rsidRDefault="00F23A1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44EFAC" w14:textId="77777777" w:rsidR="00F23A18" w:rsidRDefault="00F23A1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AB6589" w14:textId="77777777" w:rsidR="00F23A18" w:rsidRDefault="00F23A1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B4F96" w14:textId="241FB21A" w:rsidR="00014059" w:rsidRDefault="00014059">
    <w:pPr>
      <w:pStyle w:val="Header"/>
    </w:pPr>
    <w:r>
      <w:rPr>
        <w:noProof/>
      </w:rPr>
      <w:pict w14:anchorId="3A31D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233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2FAB" w14:textId="1B269BDF" w:rsidR="00014059" w:rsidRDefault="00014059">
    <w:pPr>
      <w:pStyle w:val="Header"/>
    </w:pPr>
    <w:r>
      <w:rPr>
        <w:noProof/>
      </w:rPr>
      <w:pict w14:anchorId="0B56C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233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D761" w14:textId="669DDD5D" w:rsidR="00014059" w:rsidRDefault="00014059">
    <w:pPr>
      <w:pStyle w:val="Header"/>
    </w:pPr>
    <w:r>
      <w:rPr>
        <w:noProof/>
      </w:rPr>
      <w:pict w14:anchorId="1D51C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233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474B5E"/>
    <w:multiLevelType w:val="hybridMultilevel"/>
    <w:tmpl w:val="132015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059"/>
    <w:rsid w:val="00030174"/>
    <w:rsid w:val="00033C87"/>
    <w:rsid w:val="0004579C"/>
    <w:rsid w:val="00066BEF"/>
    <w:rsid w:val="000A47FA"/>
    <w:rsid w:val="000A65D3"/>
    <w:rsid w:val="000B1E33"/>
    <w:rsid w:val="000B247E"/>
    <w:rsid w:val="000D689F"/>
    <w:rsid w:val="000E4678"/>
    <w:rsid w:val="000E7ACE"/>
    <w:rsid w:val="000E7B7B"/>
    <w:rsid w:val="000E7D62"/>
    <w:rsid w:val="00103357"/>
    <w:rsid w:val="00123C9F"/>
    <w:rsid w:val="00126190"/>
    <w:rsid w:val="00130F17"/>
    <w:rsid w:val="001320BF"/>
    <w:rsid w:val="001432CC"/>
    <w:rsid w:val="00144A3D"/>
    <w:rsid w:val="0014552F"/>
    <w:rsid w:val="00154A38"/>
    <w:rsid w:val="00163BC4"/>
    <w:rsid w:val="00172700"/>
    <w:rsid w:val="00191062"/>
    <w:rsid w:val="00192B72"/>
    <w:rsid w:val="001A29D8"/>
    <w:rsid w:val="001A5CAA"/>
    <w:rsid w:val="001B0427"/>
    <w:rsid w:val="001D0734"/>
    <w:rsid w:val="001D3A51"/>
    <w:rsid w:val="001E10D2"/>
    <w:rsid w:val="001E25B4"/>
    <w:rsid w:val="001E44FE"/>
    <w:rsid w:val="00200595"/>
    <w:rsid w:val="00204835"/>
    <w:rsid w:val="00225728"/>
    <w:rsid w:val="00231920"/>
    <w:rsid w:val="0023195C"/>
    <w:rsid w:val="0024282C"/>
    <w:rsid w:val="002460DC"/>
    <w:rsid w:val="00250985"/>
    <w:rsid w:val="002556F6"/>
    <w:rsid w:val="0027127C"/>
    <w:rsid w:val="00283105"/>
    <w:rsid w:val="00284C4C"/>
    <w:rsid w:val="00287E68"/>
    <w:rsid w:val="00296529"/>
    <w:rsid w:val="002B27FB"/>
    <w:rsid w:val="002B685A"/>
    <w:rsid w:val="002C57D2"/>
    <w:rsid w:val="002E0D56"/>
    <w:rsid w:val="002E45B7"/>
    <w:rsid w:val="00315186"/>
    <w:rsid w:val="00322C06"/>
    <w:rsid w:val="0033343E"/>
    <w:rsid w:val="003512C2"/>
    <w:rsid w:val="003542A3"/>
    <w:rsid w:val="00361A86"/>
    <w:rsid w:val="00371FB6"/>
    <w:rsid w:val="003763C1"/>
    <w:rsid w:val="00376BBE"/>
    <w:rsid w:val="0039224F"/>
    <w:rsid w:val="003A43A4"/>
    <w:rsid w:val="003A7E18"/>
    <w:rsid w:val="003C4C86"/>
    <w:rsid w:val="003C6258"/>
    <w:rsid w:val="003E2904"/>
    <w:rsid w:val="003E55AD"/>
    <w:rsid w:val="003E63B4"/>
    <w:rsid w:val="00401927"/>
    <w:rsid w:val="0041027F"/>
    <w:rsid w:val="00412475"/>
    <w:rsid w:val="0041446C"/>
    <w:rsid w:val="00423789"/>
    <w:rsid w:val="00440F43"/>
    <w:rsid w:val="00441B6F"/>
    <w:rsid w:val="00446221"/>
    <w:rsid w:val="00450E62"/>
    <w:rsid w:val="004539DB"/>
    <w:rsid w:val="0047032B"/>
    <w:rsid w:val="00471A80"/>
    <w:rsid w:val="00480173"/>
    <w:rsid w:val="004B0854"/>
    <w:rsid w:val="004C1966"/>
    <w:rsid w:val="004C2F3D"/>
    <w:rsid w:val="004D305E"/>
    <w:rsid w:val="004D4277"/>
    <w:rsid w:val="004D4785"/>
    <w:rsid w:val="00501EC2"/>
    <w:rsid w:val="00502516"/>
    <w:rsid w:val="00505F06"/>
    <w:rsid w:val="00506828"/>
    <w:rsid w:val="00511BFC"/>
    <w:rsid w:val="005237AC"/>
    <w:rsid w:val="00523B84"/>
    <w:rsid w:val="0053056E"/>
    <w:rsid w:val="0055379F"/>
    <w:rsid w:val="00554FDA"/>
    <w:rsid w:val="005656A7"/>
    <w:rsid w:val="005911AE"/>
    <w:rsid w:val="005C784C"/>
    <w:rsid w:val="005D17F6"/>
    <w:rsid w:val="005E5539"/>
    <w:rsid w:val="005F2E23"/>
    <w:rsid w:val="005F692E"/>
    <w:rsid w:val="00602BF5"/>
    <w:rsid w:val="00617FDD"/>
    <w:rsid w:val="00633614"/>
    <w:rsid w:val="00633F68"/>
    <w:rsid w:val="00636EB2"/>
    <w:rsid w:val="006375B8"/>
    <w:rsid w:val="00647227"/>
    <w:rsid w:val="0066510A"/>
    <w:rsid w:val="00673F9F"/>
    <w:rsid w:val="00685D1E"/>
    <w:rsid w:val="00686953"/>
    <w:rsid w:val="00687DEA"/>
    <w:rsid w:val="00687E67"/>
    <w:rsid w:val="00690EFE"/>
    <w:rsid w:val="006967F7"/>
    <w:rsid w:val="006A250C"/>
    <w:rsid w:val="006A3A17"/>
    <w:rsid w:val="006B21D3"/>
    <w:rsid w:val="006B57D0"/>
    <w:rsid w:val="006C06CD"/>
    <w:rsid w:val="006C4101"/>
    <w:rsid w:val="006D1B1D"/>
    <w:rsid w:val="006D30FF"/>
    <w:rsid w:val="006D6940"/>
    <w:rsid w:val="006F11EC"/>
    <w:rsid w:val="0070082C"/>
    <w:rsid w:val="00723AE5"/>
    <w:rsid w:val="00724AC8"/>
    <w:rsid w:val="007369E6"/>
    <w:rsid w:val="00746E59"/>
    <w:rsid w:val="00754C9A"/>
    <w:rsid w:val="0075599A"/>
    <w:rsid w:val="00761D52"/>
    <w:rsid w:val="0077749E"/>
    <w:rsid w:val="00790ADA"/>
    <w:rsid w:val="0079535B"/>
    <w:rsid w:val="007A1969"/>
    <w:rsid w:val="007D2288"/>
    <w:rsid w:val="007E088F"/>
    <w:rsid w:val="007F3663"/>
    <w:rsid w:val="007F7B32"/>
    <w:rsid w:val="00804BC2"/>
    <w:rsid w:val="0081431A"/>
    <w:rsid w:val="00827EE2"/>
    <w:rsid w:val="0083216F"/>
    <w:rsid w:val="00856EBC"/>
    <w:rsid w:val="00860000"/>
    <w:rsid w:val="00863BD3"/>
    <w:rsid w:val="008641ED"/>
    <w:rsid w:val="00866D66"/>
    <w:rsid w:val="008671C6"/>
    <w:rsid w:val="00875803"/>
    <w:rsid w:val="008B459E"/>
    <w:rsid w:val="008E13AE"/>
    <w:rsid w:val="008E1506"/>
    <w:rsid w:val="008E1B5E"/>
    <w:rsid w:val="008E710C"/>
    <w:rsid w:val="008F69D6"/>
    <w:rsid w:val="00902823"/>
    <w:rsid w:val="00915CA6"/>
    <w:rsid w:val="00927834"/>
    <w:rsid w:val="00940DE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BC0"/>
    <w:rsid w:val="00A347C0"/>
    <w:rsid w:val="00A51431"/>
    <w:rsid w:val="00A539AD"/>
    <w:rsid w:val="00A63AF3"/>
    <w:rsid w:val="00A94063"/>
    <w:rsid w:val="00AA6219"/>
    <w:rsid w:val="00AA74E0"/>
    <w:rsid w:val="00AB703F"/>
    <w:rsid w:val="00AC596C"/>
    <w:rsid w:val="00AC6BB8"/>
    <w:rsid w:val="00AE008F"/>
    <w:rsid w:val="00B01FCD"/>
    <w:rsid w:val="00B1776C"/>
    <w:rsid w:val="00B52583"/>
    <w:rsid w:val="00B52896"/>
    <w:rsid w:val="00B91B50"/>
    <w:rsid w:val="00B95236"/>
    <w:rsid w:val="00B96BD9"/>
    <w:rsid w:val="00BA1B01"/>
    <w:rsid w:val="00BA2641"/>
    <w:rsid w:val="00BB37AA"/>
    <w:rsid w:val="00BC53A0"/>
    <w:rsid w:val="00BD3D6D"/>
    <w:rsid w:val="00BE62AD"/>
    <w:rsid w:val="00BF121F"/>
    <w:rsid w:val="00BF1F80"/>
    <w:rsid w:val="00C166EF"/>
    <w:rsid w:val="00C17EB0"/>
    <w:rsid w:val="00C27F5F"/>
    <w:rsid w:val="00C30A0F"/>
    <w:rsid w:val="00C35375"/>
    <w:rsid w:val="00C37E61"/>
    <w:rsid w:val="00C44A4F"/>
    <w:rsid w:val="00C56719"/>
    <w:rsid w:val="00C67BA5"/>
    <w:rsid w:val="00C70F1B"/>
    <w:rsid w:val="00C71A47"/>
    <w:rsid w:val="00C7464C"/>
    <w:rsid w:val="00C85588"/>
    <w:rsid w:val="00CA345F"/>
    <w:rsid w:val="00CB129A"/>
    <w:rsid w:val="00CD6755"/>
    <w:rsid w:val="00CD6856"/>
    <w:rsid w:val="00CE0089"/>
    <w:rsid w:val="00CE793C"/>
    <w:rsid w:val="00CF193C"/>
    <w:rsid w:val="00CF794C"/>
    <w:rsid w:val="00D173F1"/>
    <w:rsid w:val="00D74CB0"/>
    <w:rsid w:val="00D8295D"/>
    <w:rsid w:val="00D91B1C"/>
    <w:rsid w:val="00DC2A65"/>
    <w:rsid w:val="00DD0A75"/>
    <w:rsid w:val="00DE15F0"/>
    <w:rsid w:val="00DE5663"/>
    <w:rsid w:val="00DE78AA"/>
    <w:rsid w:val="00E01952"/>
    <w:rsid w:val="00E053D0"/>
    <w:rsid w:val="00E13DD3"/>
    <w:rsid w:val="00E15994"/>
    <w:rsid w:val="00E3114E"/>
    <w:rsid w:val="00E31A70"/>
    <w:rsid w:val="00E35B02"/>
    <w:rsid w:val="00E66496"/>
    <w:rsid w:val="00E66B35"/>
    <w:rsid w:val="00E66E10"/>
    <w:rsid w:val="00E769F6"/>
    <w:rsid w:val="00E80D3A"/>
    <w:rsid w:val="00E8407C"/>
    <w:rsid w:val="00E84F3C"/>
    <w:rsid w:val="00E86A9D"/>
    <w:rsid w:val="00E94892"/>
    <w:rsid w:val="00EA012C"/>
    <w:rsid w:val="00EC6A55"/>
    <w:rsid w:val="00ED0288"/>
    <w:rsid w:val="00ED53B7"/>
    <w:rsid w:val="00EE52CB"/>
    <w:rsid w:val="00EF4DC2"/>
    <w:rsid w:val="00EF581D"/>
    <w:rsid w:val="00EF7FD8"/>
    <w:rsid w:val="00F06F59"/>
    <w:rsid w:val="00F17988"/>
    <w:rsid w:val="00F23A18"/>
    <w:rsid w:val="00F31FB0"/>
    <w:rsid w:val="00F41D01"/>
    <w:rsid w:val="00F469F0"/>
    <w:rsid w:val="00F53273"/>
    <w:rsid w:val="00F755E4"/>
    <w:rsid w:val="00F77D02"/>
    <w:rsid w:val="00F91FDC"/>
    <w:rsid w:val="00F968BC"/>
    <w:rsid w:val="00FB3A86"/>
    <w:rsid w:val="00FD36C8"/>
    <w:rsid w:val="00FE4D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A1204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F23A18"/>
    <w:pPr>
      <w:autoSpaceDE w:val="0"/>
      <w:autoSpaceDN w:val="0"/>
      <w:adjustRightInd w:val="0"/>
    </w:pPr>
    <w:rPr>
      <w:rFonts w:ascii="Profile" w:eastAsia="Calibri" w:hAnsi="Profile" w:cs="Profile"/>
      <w:color w:val="000000"/>
      <w:sz w:val="24"/>
      <w:szCs w:val="24"/>
      <w:lang w:val="en-IN"/>
    </w:rPr>
  </w:style>
  <w:style w:type="paragraph" w:styleId="ListParagraph">
    <w:name w:val="List Paragraph"/>
    <w:basedOn w:val="Normal"/>
    <w:uiPriority w:val="34"/>
    <w:qFormat/>
    <w:rsid w:val="00F23A18"/>
    <w:pPr>
      <w:spacing w:after="160" w:line="300" w:lineRule="auto"/>
      <w:ind w:left="720"/>
      <w:contextualSpacing/>
    </w:pPr>
    <w:rPr>
      <w:rFonts w:ascii="Calibri" w:hAnsi="Calibri"/>
      <w:sz w:val="21"/>
      <w:szCs w:val="21"/>
      <w:lang w:val="en-IN" w:eastAsia="en-IN"/>
    </w:rPr>
  </w:style>
  <w:style w:type="paragraph" w:customStyle="1" w:styleId="dx-doi">
    <w:name w:val="dx-doi"/>
    <w:basedOn w:val="Normal"/>
    <w:rsid w:val="001D0734"/>
    <w:pPr>
      <w:spacing w:before="100" w:beforeAutospacing="1" w:after="100" w:afterAutospacing="1"/>
    </w:pPr>
    <w:rPr>
      <w:rFonts w:ascii="Times New Roman" w:hAnsi="Times New Roman"/>
      <w:sz w:val="24"/>
      <w:szCs w:val="24"/>
      <w:lang w:val="en-IN" w:eastAsia="en-IN"/>
    </w:rPr>
  </w:style>
  <w:style w:type="character" w:styleId="UnresolvedMention">
    <w:name w:val="Unresolved Mention"/>
    <w:basedOn w:val="DefaultParagraphFont"/>
    <w:uiPriority w:val="99"/>
    <w:semiHidden/>
    <w:unhideWhenUsed/>
    <w:rsid w:val="00145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lwt.2020.110117" TargetMode="External"/><Relationship Id="rId26" Type="http://schemas.openxmlformats.org/officeDocument/2006/relationships/hyperlink" Target="https://www.gea.com/en/products/analytical-methods-dry-milk-products.jsp" TargetMode="External"/><Relationship Id="rId39" Type="http://schemas.openxmlformats.org/officeDocument/2006/relationships/hyperlink" Target="https://doi.org/10.3390/s8095961" TargetMode="External"/><Relationship Id="rId21" Type="http://schemas.openxmlformats.org/officeDocument/2006/relationships/hyperlink" Target="https://doi.org/10.1111/j.1365-2621.2010.02527.x" TargetMode="External"/><Relationship Id="rId34" Type="http://schemas.openxmlformats.org/officeDocument/2006/relationships/hyperlink" Target="https://doi.org/10.1021/jf9707086" TargetMode="External"/><Relationship Id="rId42" Type="http://schemas.openxmlformats.org/officeDocument/2006/relationships/hyperlink" Target="http://krishikosh.egranth.ac.in/handle/1/5810146603" TargetMode="External"/><Relationship Id="rId47" Type="http://schemas.openxmlformats.org/officeDocument/2006/relationships/hyperlink" Target="https://doi.org/10.1016/S0260-8774(99)00108-9" TargetMode="External"/><Relationship Id="rId50" Type="http://schemas.openxmlformats.org/officeDocument/2006/relationships/hyperlink" Target="https://doi.org/10.1016/j.foodres.2018.10.042" TargetMode="External"/><Relationship Id="rId55" Type="http://schemas.openxmlformats.org/officeDocument/2006/relationships/hyperlink" Target="https://doi.org/10.1051/dst/200905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172/2329-888X.1000193" TargetMode="External"/><Relationship Id="rId29" Type="http://schemas.openxmlformats.org/officeDocument/2006/relationships/hyperlink" Target="https://doi.org/10.1080/11358120709487709" TargetMode="External"/><Relationship Id="rId11" Type="http://schemas.openxmlformats.org/officeDocument/2006/relationships/footer" Target="footer2.xml"/><Relationship Id="rId24" Type="http://schemas.openxmlformats.org/officeDocument/2006/relationships/hyperlink" Target="https://www.gea.com/en/products-and-services/dryers-and-particle-processing-plants/spray-dryers/efficiency-and-quality-in-spray-drying/analytical-methods-for-dry-milk-products.jsp" TargetMode="External"/><Relationship Id="rId32" Type="http://schemas.openxmlformats.org/officeDocument/2006/relationships/hyperlink" Target="https://doi.org/10.1016/j.colsurfb.2005.11.005" TargetMode="External"/><Relationship Id="rId37" Type="http://schemas.openxmlformats.org/officeDocument/2006/relationships/hyperlink" Target="https://doi.org/10.3390/foods9111629" TargetMode="External"/><Relationship Id="rId40" Type="http://schemas.openxmlformats.org/officeDocument/2006/relationships/hyperlink" Target="https://assets.publishing.service.gov.uk/government/uploads/system/uploads/attachment_data/file/864740/Determination_of_Water_Activity_in_Food__4_.pdf" TargetMode="External"/><Relationship Id="rId45" Type="http://schemas.openxmlformats.org/officeDocument/2006/relationships/hyperlink" Target="https://doi.org/10.1016/j.proeng.2015.01.132" TargetMode="External"/><Relationship Id="rId53"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hyperlink" Target="http://khartoumspace.uofk.edu/bitstream/handle/123456789/12941/Properties%20Of%20Milk%20Powder%20Made%20From%20The%20Milk%20Of%20Cow,%20Goat%20And%20Camel.pdf?sequence=1&amp;&amp;isAllowed=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dairy3020030" TargetMode="External"/><Relationship Id="rId22" Type="http://schemas.openxmlformats.org/officeDocument/2006/relationships/hyperlink" Target="https://doi.org/10.3168/jds.2012-6120" TargetMode="External"/><Relationship Id="rId27" Type="http://schemas.openxmlformats.org/officeDocument/2006/relationships/hyperlink" Target="https://www.tetrapak.com/solutions/processing/dairy-processing-handbook" TargetMode="External"/><Relationship Id="rId30" Type="http://schemas.openxmlformats.org/officeDocument/2006/relationships/hyperlink" Target="https://doi.org/10.1016/j.smallrumres.2003.08.010" TargetMode="External"/><Relationship Id="rId35" Type="http://schemas.openxmlformats.org/officeDocument/2006/relationships/hyperlink" Target="https://doi.org/10.3168/jds.2018-16089" TargetMode="External"/><Relationship Id="rId43" Type="http://schemas.openxmlformats.org/officeDocument/2006/relationships/hyperlink" Target="https://doi.org/10.1016/j.smallrumres.2014.01.013" TargetMode="External"/><Relationship Id="rId48" Type="http://schemas.openxmlformats.org/officeDocument/2006/relationships/hyperlink" Target="https://doi.org/10.5923/j.food.20140401.03"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07373937.2020.1714647" TargetMode="External"/><Relationship Id="rId25" Type="http://schemas.openxmlformats.org/officeDocument/2006/relationships/hyperlink" Target="https://www.gea.com/en/products-and-solutions/dryers-and-particle-processing-plants/spray-dryers/efficiency-and-quality-in-spray-drying/analytical-methods-for-dry-milk-products.jsp" TargetMode="External"/><Relationship Id="rId33" Type="http://schemas.openxmlformats.org/officeDocument/2006/relationships/hyperlink" Target="https://doi.org/10.1021/jf2003464" TargetMode="External"/><Relationship Id="rId38" Type="http://schemas.openxmlformats.org/officeDocument/2006/relationships/hyperlink" Target="https://doi.org/10.1111/jfpe.13228" TargetMode="External"/><Relationship Id="rId46" Type="http://schemas.openxmlformats.org/officeDocument/2006/relationships/hyperlink" Target="https://www.researchgate.net/publication/309450000_PHARMACEUTICAL_COATING_PROJECT/fulltext/580f111108ae2d24b191121a/PHARMACEUTICAL-COATING-PROJECT.pdf" TargetMode="External"/><Relationship Id="rId20" Type="http://schemas.openxmlformats.org/officeDocument/2006/relationships/hyperlink" Target="https://doi.org/10.1080/07373937.2020.1828448" TargetMode="External"/><Relationship Id="rId41" Type="http://schemas.openxmlformats.org/officeDocument/2006/relationships/hyperlink" Target="https://doi.org/10.1007/s13197-017-2795-1"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978-1-4615-2173-0_13" TargetMode="External"/><Relationship Id="rId23" Type="http://schemas.openxmlformats.org/officeDocument/2006/relationships/hyperlink" Target="https://doi.org/10.1016/j.powtec.2020.05.085" TargetMode="External"/><Relationship Id="rId28" Type="http://schemas.openxmlformats.org/officeDocument/2006/relationships/hyperlink" Target="https://www.elsevier.com/books/improving-the-safety-and-quality-of-milk/griffiths/978-1-84569-500-2" TargetMode="External"/><Relationship Id="rId36" Type="http://schemas.openxmlformats.org/officeDocument/2006/relationships/hyperlink" Target="https://doi.org/10.3168/jds.2019-16415" TargetMode="External"/><Relationship Id="rId49" Type="http://schemas.openxmlformats.org/officeDocument/2006/relationships/hyperlink" Target="https://doi.org/10.1021/jf050862p"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1051/lait:2005029" TargetMode="External"/><Relationship Id="rId44" Type="http://schemas.openxmlformats.org/officeDocument/2006/relationships/hyperlink" Target="https://doi.org/10.22271/allresearch.2022.v8.i4b.9639" TargetMode="External"/><Relationship Id="rId5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EC36F-C711-4B0C-B94E-EA9862E2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21</Pages>
  <Words>6849</Words>
  <Characters>39041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45799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cp:revision>
  <cp:lastPrinted>1999-07-06T11:00:00Z</cp:lastPrinted>
  <dcterms:created xsi:type="dcterms:W3CDTF">2025-12-27T16:35:00Z</dcterms:created>
  <dcterms:modified xsi:type="dcterms:W3CDTF">2025-12-29T11:09:00Z</dcterms:modified>
</cp:coreProperties>
</file>