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279DCB" w14:textId="77777777" w:rsidR="008059F4" w:rsidRDefault="008059F4">
      <w:pPr>
        <w:jc w:val="both"/>
        <w:rPr>
          <w:rFonts w:ascii="Times New Roman" w:eastAsia="Times New Roman" w:hAnsi="Times New Roman" w:cs="Times New Roman"/>
          <w:b/>
          <w:bCs/>
          <w:color w:val="000000"/>
        </w:rPr>
      </w:pPr>
    </w:p>
    <w:p w14:paraId="39DD80DD" w14:textId="77777777" w:rsidR="008059F4" w:rsidRDefault="00654302">
      <w:pPr>
        <w:spacing w:before="280" w:after="28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Monetary Policy Uncertainty and U.S. Banking Stability: An Integrative Literature Review</w:t>
      </w:r>
    </w:p>
    <w:p w14:paraId="7423209B" w14:textId="77777777" w:rsidR="00541CAC" w:rsidRDefault="00541CAC">
      <w:pPr>
        <w:spacing w:before="280" w:after="280" w:line="240" w:lineRule="auto"/>
        <w:jc w:val="both"/>
        <w:rPr>
          <w:rFonts w:ascii="Times New Roman" w:eastAsia="Times New Roman" w:hAnsi="Times New Roman" w:cs="Times New Roman"/>
          <w:b/>
          <w:bCs/>
          <w:color w:val="000000"/>
        </w:rPr>
      </w:pPr>
    </w:p>
    <w:p w14:paraId="706C2467" w14:textId="77777777" w:rsidR="008059F4" w:rsidRDefault="008059F4">
      <w:pPr>
        <w:spacing w:before="280" w:after="280" w:line="240" w:lineRule="auto"/>
        <w:jc w:val="both"/>
        <w:rPr>
          <w:rFonts w:ascii="Times New Roman" w:eastAsia="Times New Roman" w:hAnsi="Times New Roman" w:cs="Times New Roman"/>
        </w:rPr>
      </w:pPr>
      <w:bookmarkStart w:id="0" w:name="_GoBack"/>
      <w:bookmarkEnd w:id="0"/>
    </w:p>
    <w:p w14:paraId="7FBD7F32" w14:textId="77777777" w:rsidR="008059F4" w:rsidRDefault="00654302">
      <w:pPr>
        <w:pStyle w:val="Heading1"/>
        <w:spacing w:before="0" w:after="24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Abstract</w:t>
      </w:r>
    </w:p>
    <w:p w14:paraId="23C5A411" w14:textId="77777777" w:rsidR="008059F4" w:rsidRDefault="00654302">
      <w:pPr>
        <w:jc w:val="both"/>
        <w:rPr>
          <w:rFonts w:ascii="Times New Roman" w:eastAsia="Times New Roman" w:hAnsi="Times New Roman" w:cs="Times New Roman"/>
        </w:rPr>
      </w:pPr>
      <w:r>
        <w:rPr>
          <w:rFonts w:ascii="Times New Roman" w:eastAsia="Times New Roman" w:hAnsi="Times New Roman" w:cs="Times New Roman"/>
        </w:rPr>
        <w:t>This study examines the impact of Monetary Policy Uncertainty</w:t>
      </w:r>
      <w:r>
        <w:rPr>
          <w:rFonts w:ascii="Times New Roman" w:eastAsia="Times New Roman" w:hAnsi="Times New Roman" w:cs="Times New Roman"/>
          <w:b/>
          <w:bCs/>
        </w:rPr>
        <w:t xml:space="preserve"> (</w:t>
      </w:r>
      <w:r>
        <w:rPr>
          <w:rFonts w:ascii="Times New Roman" w:eastAsia="Times New Roman" w:hAnsi="Times New Roman" w:cs="Times New Roman"/>
        </w:rPr>
        <w:t>MPU) on the U.S. banking system through credit supply, liquidity pressures, and capital adequacy in order to understand how policy uncertainty can also affect the banking sector. In an integrative literature review over the period from 2010 to 2025, we exp</w:t>
      </w:r>
      <w:r>
        <w:rPr>
          <w:rFonts w:ascii="Times New Roman" w:eastAsia="Times New Roman" w:hAnsi="Times New Roman" w:cs="Times New Roman"/>
        </w:rPr>
        <w:t>lore how MPU affects key banking stability features and show that EPU constrains credit availability and reduces loan performance in uncertain times, such as when the Global Financial Crisis and COVID-19 were particularly uncertain.</w:t>
      </w:r>
    </w:p>
    <w:p w14:paraId="7033E03D" w14:textId="77777777" w:rsidR="008059F4" w:rsidRDefault="00654302">
      <w:pPr>
        <w:jc w:val="both"/>
        <w:rPr>
          <w:rFonts w:ascii="Times New Roman" w:eastAsia="Times New Roman" w:hAnsi="Times New Roman" w:cs="Times New Roman"/>
        </w:rPr>
      </w:pPr>
      <w:r>
        <w:rPr>
          <w:rFonts w:ascii="Times New Roman" w:eastAsia="Times New Roman" w:hAnsi="Times New Roman" w:cs="Times New Roman"/>
        </w:rPr>
        <w:t>The results show that M</w:t>
      </w:r>
      <w:r>
        <w:rPr>
          <w:rFonts w:ascii="Times New Roman" w:eastAsia="Times New Roman" w:hAnsi="Times New Roman" w:cs="Times New Roman"/>
        </w:rPr>
        <w:t>PU deprives credit supply, resulting in tight lending conditions and reduced loan performance as banks become risk-averse. As banks do not want to maintain capital reserves than lend, liquidity pressures increase, further exacerbated by a decline in liquid</w:t>
      </w:r>
      <w:r>
        <w:rPr>
          <w:rFonts w:ascii="Times New Roman" w:eastAsia="Times New Roman" w:hAnsi="Times New Roman" w:cs="Times New Roman"/>
        </w:rPr>
        <w:t xml:space="preserve">ity pressure. AI and machine learning (ML) models have been useful for predicting bank distress, but there are still concerns about the privacy and interpretation of the AI models. There is no </w:t>
      </w:r>
      <w:proofErr w:type="spellStart"/>
      <w:r>
        <w:rPr>
          <w:rFonts w:ascii="Times New Roman" w:eastAsia="Times New Roman" w:hAnsi="Times New Roman" w:cs="Times New Roman"/>
        </w:rPr>
        <w:t>explanationable</w:t>
      </w:r>
      <w:proofErr w:type="spellEnd"/>
      <w:r>
        <w:rPr>
          <w:rFonts w:ascii="Times New Roman" w:eastAsia="Times New Roman" w:hAnsi="Times New Roman" w:cs="Times New Roman"/>
        </w:rPr>
        <w:t xml:space="preserve"> AI on stress testing in which it can be utilize</w:t>
      </w:r>
      <w:r>
        <w:rPr>
          <w:rFonts w:ascii="Times New Roman" w:eastAsia="Times New Roman" w:hAnsi="Times New Roman" w:cs="Times New Roman"/>
        </w:rPr>
        <w:t>d in real-time policy decisions, where regulators need to know how AI is thinking about their decisions. The real-time news and social media content data and predictive models of forecasting models remain unseen in the banking stability literature, potenti</w:t>
      </w:r>
      <w:r>
        <w:rPr>
          <w:rFonts w:ascii="Times New Roman" w:eastAsia="Times New Roman" w:hAnsi="Times New Roman" w:cs="Times New Roman"/>
        </w:rPr>
        <w:t xml:space="preserve">ally giving deeper insights into market sentiment and potential risks. </w:t>
      </w:r>
    </w:p>
    <w:p w14:paraId="112E699E" w14:textId="77777777" w:rsidR="008059F4" w:rsidRDefault="00654302">
      <w:pPr>
        <w:jc w:val="both"/>
        <w:rPr>
          <w:rFonts w:ascii="Times New Roman" w:eastAsia="Times New Roman" w:hAnsi="Times New Roman" w:cs="Times New Roman"/>
        </w:rPr>
      </w:pPr>
      <w:r>
        <w:rPr>
          <w:rFonts w:ascii="Times New Roman" w:eastAsia="Times New Roman" w:hAnsi="Times New Roman" w:cs="Times New Roman"/>
        </w:rPr>
        <w:t>Based on the findings, the study suggests that the adoption of AI-based forecasting practices into regulatory policies could help build predictive capacity and enable more informed dec</w:t>
      </w:r>
      <w:r>
        <w:rPr>
          <w:rFonts w:ascii="Times New Roman" w:eastAsia="Times New Roman" w:hAnsi="Times New Roman" w:cs="Times New Roman"/>
        </w:rPr>
        <w:t>isions that will contribute to resilience in financial systems. In addition, future research should focus on improving transparency and real-time macro-micro linkages, to allow dynamic AI systems that inform regulatory processes, for prediction accuracy an</w:t>
      </w:r>
      <w:r>
        <w:rPr>
          <w:rFonts w:ascii="Times New Roman" w:eastAsia="Times New Roman" w:hAnsi="Times New Roman" w:cs="Times New Roman"/>
        </w:rPr>
        <w:t>d overall banking stability.</w:t>
      </w:r>
    </w:p>
    <w:p w14:paraId="3C9683C7" w14:textId="77777777" w:rsidR="008059F4" w:rsidRDefault="008059F4">
      <w:pPr>
        <w:rPr>
          <w:rFonts w:ascii="Times New Roman" w:eastAsia="Times New Roman" w:hAnsi="Times New Roman" w:cs="Times New Roman"/>
        </w:rPr>
      </w:pPr>
    </w:p>
    <w:p w14:paraId="754A37AA" w14:textId="77777777" w:rsidR="008059F4" w:rsidRDefault="00654302">
      <w:pPr>
        <w:rPr>
          <w:rFonts w:ascii="Times New Roman" w:eastAsia="Times New Roman" w:hAnsi="Times New Roman" w:cs="Times New Roman"/>
        </w:rPr>
      </w:pPr>
      <w:r>
        <w:rPr>
          <w:rFonts w:ascii="Times New Roman" w:eastAsia="Times New Roman" w:hAnsi="Times New Roman" w:cs="Times New Roman"/>
          <w:b/>
          <w:bCs/>
        </w:rPr>
        <w:t>Keywords</w:t>
      </w:r>
      <w:r>
        <w:rPr>
          <w:rFonts w:ascii="Times New Roman" w:eastAsia="Times New Roman" w:hAnsi="Times New Roman" w:cs="Times New Roman"/>
        </w:rPr>
        <w:t xml:space="preserve">: Monetary Policy Uncertainty (MPU), </w:t>
      </w:r>
      <w:r>
        <w:rPr>
          <w:rFonts w:ascii="Times New Roman" w:eastAsia="Times New Roman" w:hAnsi="Times New Roman" w:cs="Times New Roman"/>
          <w:color w:val="000000"/>
        </w:rPr>
        <w:t xml:space="preserve">Banking Stability, </w:t>
      </w:r>
      <w:r>
        <w:rPr>
          <w:rFonts w:ascii="Times New Roman" w:eastAsia="Times New Roman" w:hAnsi="Times New Roman" w:cs="Times New Roman"/>
          <w:b/>
          <w:bCs/>
        </w:rPr>
        <w:t>Stress-</w:t>
      </w:r>
      <w:r>
        <w:rPr>
          <w:rFonts w:ascii="Times New Roman" w:eastAsia="Times New Roman" w:hAnsi="Times New Roman" w:cs="Times New Roman"/>
        </w:rPr>
        <w:t>Testing Simulations, Natural Language Processing (NLP</w:t>
      </w:r>
      <w:r>
        <w:rPr>
          <w:rFonts w:ascii="Times New Roman" w:eastAsia="Times New Roman" w:hAnsi="Times New Roman" w:cs="Times New Roman"/>
          <w:b/>
          <w:bCs/>
        </w:rPr>
        <w:t xml:space="preserve">), </w:t>
      </w:r>
      <w:r>
        <w:rPr>
          <w:rFonts w:ascii="Times New Roman" w:eastAsia="Times New Roman" w:hAnsi="Times New Roman" w:cs="Times New Roman"/>
        </w:rPr>
        <w:t>AI, ML, U.S.</w:t>
      </w:r>
    </w:p>
    <w:p w14:paraId="6683364D" w14:textId="77777777" w:rsidR="008059F4" w:rsidRDefault="008059F4">
      <w:pPr>
        <w:rPr>
          <w:rFonts w:ascii="Times New Roman" w:eastAsia="Times New Roman" w:hAnsi="Times New Roman" w:cs="Times New Roman"/>
        </w:rPr>
      </w:pPr>
    </w:p>
    <w:p w14:paraId="52C716F1" w14:textId="77777777" w:rsidR="008059F4" w:rsidRDefault="00654302">
      <w:pPr>
        <w:spacing w:before="280" w:after="28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1. Introduction</w:t>
      </w:r>
    </w:p>
    <w:p w14:paraId="3AC7F5C4"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bookmarkStart w:id="1" w:name="_6gqy7frhmx3m" w:colFirst="0" w:colLast="0"/>
      <w:bookmarkEnd w:id="1"/>
      <w:r>
        <w:rPr>
          <w:rFonts w:ascii="Times New Roman" w:eastAsia="Times New Roman" w:hAnsi="Times New Roman" w:cs="Times New Roman"/>
          <w:color w:val="000000"/>
        </w:rPr>
        <w:t xml:space="preserve">Monetary Policy Uncertainty (MPU) has emerged as a critical </w:t>
      </w:r>
      <w:r>
        <w:rPr>
          <w:rFonts w:ascii="Times New Roman" w:eastAsia="Times New Roman" w:hAnsi="Times New Roman" w:cs="Times New Roman"/>
          <w:color w:val="000000"/>
        </w:rPr>
        <w:t xml:space="preserve">determinant of financial and banking stability in the post-crisis and post-pandemic economic environment. MPU refers to the </w:t>
      </w:r>
      <w:r>
        <w:rPr>
          <w:rFonts w:ascii="Times New Roman" w:eastAsia="Times New Roman" w:hAnsi="Times New Roman" w:cs="Times New Roman"/>
          <w:color w:val="000000"/>
        </w:rPr>
        <w:lastRenderedPageBreak/>
        <w:t>unpredictability surrounding the direction, timing, and magnitude of central bank actions such as interest rate adjustments, balance</w:t>
      </w:r>
      <w:r>
        <w:rPr>
          <w:rFonts w:ascii="Times New Roman" w:eastAsia="Times New Roman" w:hAnsi="Times New Roman" w:cs="Times New Roman"/>
          <w:color w:val="000000"/>
        </w:rPr>
        <w:t xml:space="preserve"> sheet policies, and communication strategies that influence economic expectations and financial decisions (Tang &amp; Yang, 2024; Arshad et al., 2024). It captures both the objective volatility of policy instruments and the subjective uncertainty perceived by</w:t>
      </w:r>
      <w:r>
        <w:rPr>
          <w:rFonts w:ascii="Times New Roman" w:eastAsia="Times New Roman" w:hAnsi="Times New Roman" w:cs="Times New Roman"/>
          <w:color w:val="000000"/>
        </w:rPr>
        <w:t xml:space="preserve"> markets and institutions regarding future monetary paths. Elevated MPU alters market risk perceptions, influences asset valuations, and modifies interbank liquidity flows, ultimately affecting the capacity of financial institutions to maintain stability (</w:t>
      </w:r>
      <w:r>
        <w:rPr>
          <w:rFonts w:ascii="Times New Roman" w:eastAsia="Times New Roman" w:hAnsi="Times New Roman" w:cs="Times New Roman"/>
          <w:color w:val="000000"/>
        </w:rPr>
        <w:t>Dong et al., 2025).</w:t>
      </w:r>
    </w:p>
    <w:p w14:paraId="242C2E5B"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 contrast</w:t>
      </w:r>
      <w:r>
        <w:rPr>
          <w:rFonts w:ascii="Times New Roman" w:eastAsia="Times New Roman" w:hAnsi="Times New Roman" w:cs="Times New Roman"/>
          <w:b/>
          <w:bCs/>
          <w:color w:val="000000"/>
        </w:rPr>
        <w:t>, banking stability</w:t>
      </w:r>
      <w:r>
        <w:rPr>
          <w:rFonts w:ascii="Times New Roman" w:eastAsia="Times New Roman" w:hAnsi="Times New Roman" w:cs="Times New Roman"/>
          <w:color w:val="000000"/>
        </w:rPr>
        <w:t xml:space="preserve"> denotes the resilience of the banking system its ability to maintain solvency, liquidity, and credit supply without triggering systemic disruptions. A stable banking system can absorb shocks and continue t</w:t>
      </w:r>
      <w:r>
        <w:rPr>
          <w:rFonts w:ascii="Times New Roman" w:eastAsia="Times New Roman" w:hAnsi="Times New Roman" w:cs="Times New Roman"/>
          <w:color w:val="000000"/>
        </w:rPr>
        <w:t>o intermediate funds efficiently, even under periods of macroeconomic stress. However, under heightened MPU, banks may face increased funding costs, tightening credit conditions, and growing risk aversion, amplifying vulnerabilities in credit, capital, and</w:t>
      </w:r>
      <w:r>
        <w:rPr>
          <w:rFonts w:ascii="Times New Roman" w:eastAsia="Times New Roman" w:hAnsi="Times New Roman" w:cs="Times New Roman"/>
          <w:color w:val="000000"/>
        </w:rPr>
        <w:t xml:space="preserve"> liquidity positions (Younis et al., 2024).</w:t>
      </w:r>
    </w:p>
    <w:p w14:paraId="4DFB1DD8" w14:textId="77777777" w:rsidR="008059F4" w:rsidRDefault="00654302">
      <w:pPr>
        <w:pStyle w:val="Heading3"/>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1.1. Post-crisis and Post-pandemic Relevance</w:t>
      </w:r>
    </w:p>
    <w:p w14:paraId="35B4B791"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t>The post-crisis and post-pandemic landscape of the U.S. economy has amplified the relevance of MPU to banking stability. Following the Global Financial Crisis (GFC) of</w:t>
      </w:r>
      <w:r>
        <w:rPr>
          <w:rFonts w:ascii="Times New Roman" w:eastAsia="Times New Roman" w:hAnsi="Times New Roman" w:cs="Times New Roman"/>
          <w:color w:val="000000"/>
        </w:rPr>
        <w:t xml:space="preserve"> 2008–2009 and successive rounds of quantitative easing (QE), the Federal Reserve’s evolving policy signals ranging from balance sheet normalization to rate adjustments heightened market sensitivity to communication ambiguity. This sensitivity intensified </w:t>
      </w:r>
      <w:r>
        <w:rPr>
          <w:rFonts w:ascii="Times New Roman" w:eastAsia="Times New Roman" w:hAnsi="Times New Roman" w:cs="Times New Roman"/>
          <w:color w:val="000000"/>
        </w:rPr>
        <w:t>after the COVID-19 pandemic, as massive fiscal stimulus, inflationary pressures, and rapid interest rate normalization created elevated uncertainty about the future stance of monetary policy (Arshad et al., 2024). The global inflation surge, supply-chain d</w:t>
      </w:r>
      <w:r>
        <w:rPr>
          <w:rFonts w:ascii="Times New Roman" w:eastAsia="Times New Roman" w:hAnsi="Times New Roman" w:cs="Times New Roman"/>
          <w:color w:val="000000"/>
        </w:rPr>
        <w:t xml:space="preserve">isruptions, and geopolitical tensions such as the Russia–Ukraine conflict further reshaped investor expectations and speculative </w:t>
      </w:r>
      <w:proofErr w:type="spellStart"/>
      <w:r>
        <w:rPr>
          <w:rFonts w:ascii="Times New Roman" w:eastAsia="Times New Roman" w:hAnsi="Times New Roman" w:cs="Times New Roman"/>
          <w:color w:val="000000"/>
        </w:rPr>
        <w:t>behaviors</w:t>
      </w:r>
      <w:proofErr w:type="spellEnd"/>
      <w:r>
        <w:rPr>
          <w:rFonts w:ascii="Times New Roman" w:eastAsia="Times New Roman" w:hAnsi="Times New Roman" w:cs="Times New Roman"/>
          <w:color w:val="000000"/>
        </w:rPr>
        <w:t xml:space="preserve"> across markets (</w:t>
      </w:r>
      <w:proofErr w:type="spellStart"/>
      <w:r>
        <w:rPr>
          <w:rFonts w:ascii="Times New Roman" w:eastAsia="Times New Roman" w:hAnsi="Times New Roman" w:cs="Times New Roman"/>
          <w:color w:val="000000"/>
        </w:rPr>
        <w:t>Belhoula</w:t>
      </w:r>
      <w:proofErr w:type="spellEnd"/>
      <w:r>
        <w:rPr>
          <w:rFonts w:ascii="Times New Roman" w:eastAsia="Times New Roman" w:hAnsi="Times New Roman" w:cs="Times New Roman"/>
          <w:color w:val="000000"/>
        </w:rPr>
        <w:t xml:space="preserve"> et al., 2024a; Wang et al., 2024b).</w:t>
      </w:r>
    </w:p>
    <w:p w14:paraId="70F3162E"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Dong et al. (2025) observed that during these episodes, </w:t>
      </w:r>
      <w:r>
        <w:rPr>
          <w:rFonts w:ascii="Times New Roman" w:eastAsia="Times New Roman" w:hAnsi="Times New Roman" w:cs="Times New Roman"/>
          <w:color w:val="000000"/>
        </w:rPr>
        <w:t>short-term policy and geopolitical uncertainties intensified risk spillovers and dynamic linkages across financial systems, demonstrating how uncertainty-driven shocks propagate through global and domestic channels. In the U.S. context, these dynamics affe</w:t>
      </w:r>
      <w:r>
        <w:rPr>
          <w:rFonts w:ascii="Times New Roman" w:eastAsia="Times New Roman" w:hAnsi="Times New Roman" w:cs="Times New Roman"/>
          <w:color w:val="000000"/>
        </w:rPr>
        <w:t>ct banks directly by altering credit demand, funding conditions, and liquidity management strategies. Tang and Yang (2024) similarly noted that heightened policy uncertainty constrains corporate investment, reducing firms’ capital expenditures and indirect</w:t>
      </w:r>
      <w:r>
        <w:rPr>
          <w:rFonts w:ascii="Times New Roman" w:eastAsia="Times New Roman" w:hAnsi="Times New Roman" w:cs="Times New Roman"/>
          <w:color w:val="000000"/>
        </w:rPr>
        <w:t>ly weakening banks’ asset quality and lending portfolios. Thus, in the post-pandemic period, the stability of U.S. banking institutions depends increasingly on how effectively monetary authorities manage and communicate their policy stance under complex an</w:t>
      </w:r>
      <w:r>
        <w:rPr>
          <w:rFonts w:ascii="Times New Roman" w:eastAsia="Times New Roman" w:hAnsi="Times New Roman" w:cs="Times New Roman"/>
          <w:color w:val="000000"/>
        </w:rPr>
        <w:t>d rapidly evolving macroeconomic conditions.</w:t>
      </w:r>
    </w:p>
    <w:p w14:paraId="38A6E11E" w14:textId="77777777" w:rsidR="008059F4" w:rsidRDefault="00654302">
      <w:pPr>
        <w:pStyle w:val="Heading3"/>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1.2. Previous Empirical Inconsistencies</w:t>
      </w:r>
    </w:p>
    <w:p w14:paraId="7516FFDB"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t>Despite substantial empirical investigation, findings on the relationship between MPU and financial stability remain inconsistent. Several studies argue that elevated poli</w:t>
      </w:r>
      <w:r>
        <w:rPr>
          <w:rFonts w:ascii="Times New Roman" w:eastAsia="Times New Roman" w:hAnsi="Times New Roman" w:cs="Times New Roman"/>
          <w:color w:val="000000"/>
        </w:rPr>
        <w:t xml:space="preserve">cy uncertainty amplifies systemic risk and connectedness across financial markets, particularly under stress conditions (Aysan et al., 2024; Niu et al., 2024). Others, however, report that its short-term effects </w:t>
      </w:r>
      <w:r>
        <w:rPr>
          <w:rFonts w:ascii="Times New Roman" w:eastAsia="Times New Roman" w:hAnsi="Times New Roman" w:cs="Times New Roman"/>
          <w:color w:val="000000"/>
        </w:rPr>
        <w:lastRenderedPageBreak/>
        <w:t>can be dampened or fragmented by countercycl</w:t>
      </w:r>
      <w:r>
        <w:rPr>
          <w:rFonts w:ascii="Times New Roman" w:eastAsia="Times New Roman" w:hAnsi="Times New Roman" w:cs="Times New Roman"/>
          <w:color w:val="000000"/>
        </w:rPr>
        <w:t>ical policy interventions and market adjustments (Dong et al., 2025).</w:t>
      </w:r>
    </w:p>
    <w:p w14:paraId="0E626B19"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t>For example, Tang and Yang (2024) found that MPU was negatively related to corporate financial risk in China, operating through the investment channel where heightened uncertainty discou</w:t>
      </w:r>
      <w:r>
        <w:rPr>
          <w:rFonts w:ascii="Times New Roman" w:eastAsia="Times New Roman" w:hAnsi="Times New Roman" w:cs="Times New Roman"/>
          <w:color w:val="000000"/>
        </w:rPr>
        <w:t>rages risky long-term projects. Conversely, Arshad et al. (2024) demonstrated that U.S. MPU exerted a heterogeneous, quantile-dependent impact on Asian stock markets, implying that the strength and direction of effects vary across economic regimes. Dong et</w:t>
      </w:r>
      <w:r>
        <w:rPr>
          <w:rFonts w:ascii="Times New Roman" w:eastAsia="Times New Roman" w:hAnsi="Times New Roman" w:cs="Times New Roman"/>
          <w:color w:val="000000"/>
        </w:rPr>
        <w:t xml:space="preserve"> al. (2025) further revealed that MPU can inhibit short-term connectedness while stimulating long-term systemic integration, highlighting its asymmetric and nonlinear influence on financial systems.</w:t>
      </w:r>
    </w:p>
    <w:p w14:paraId="70B35F58"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t>These mixed findings underscore the contextual and method</w:t>
      </w:r>
      <w:r>
        <w:rPr>
          <w:rFonts w:ascii="Times New Roman" w:eastAsia="Times New Roman" w:hAnsi="Times New Roman" w:cs="Times New Roman"/>
          <w:color w:val="000000"/>
        </w:rPr>
        <w:t>ological diversity in MPU research. Variations across economies, time horizons, and sectors, coupled with differing econometric frameworks ranging from VAR and BVAR to quantile-on-quantile regression complicate the establishment of a consistent causal narr</w:t>
      </w:r>
      <w:r>
        <w:rPr>
          <w:rFonts w:ascii="Times New Roman" w:eastAsia="Times New Roman" w:hAnsi="Times New Roman" w:cs="Times New Roman"/>
          <w:color w:val="000000"/>
        </w:rPr>
        <w:t>ative. Consequently, the precise mechanisms through which MPU influences U.S. banking stability, particularly via credit, liquidity, and capital adequacy channels, remain insufficiently synthesized.</w:t>
      </w:r>
    </w:p>
    <w:p w14:paraId="2C5D94D4" w14:textId="77777777" w:rsidR="008059F4" w:rsidRDefault="00654302">
      <w:pPr>
        <w:pStyle w:val="Heading3"/>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1.3. Theoretical Dimensions and Transmission Channels</w:t>
      </w:r>
    </w:p>
    <w:p w14:paraId="1D23452F"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Emp</w:t>
      </w:r>
      <w:r>
        <w:rPr>
          <w:rFonts w:ascii="Times New Roman" w:eastAsia="Times New Roman" w:hAnsi="Times New Roman" w:cs="Times New Roman"/>
          <w:color w:val="000000"/>
        </w:rPr>
        <w:t>irical and theoretical evidence suggests that MPU affects banking stability through multiple, interdependent channels. During periods of heightened uncertainty, banks tend to hoard liquidity, curtail lending, and adopt conservative capital policies, amplif</w:t>
      </w:r>
      <w:r>
        <w:rPr>
          <w:rFonts w:ascii="Times New Roman" w:eastAsia="Times New Roman" w:hAnsi="Times New Roman" w:cs="Times New Roman"/>
          <w:color w:val="000000"/>
        </w:rPr>
        <w:t>ying short-term liquidity risk (Dong et al., 2025; Younis et al., 2024). Simultaneously, declines in market confidence and fluctuating asset valuations elevate capital adequacy pressures, while credit supply contractions transmit stress to the real economy</w:t>
      </w:r>
      <w:r>
        <w:rPr>
          <w:rFonts w:ascii="Times New Roman" w:eastAsia="Times New Roman" w:hAnsi="Times New Roman" w:cs="Times New Roman"/>
          <w:color w:val="000000"/>
        </w:rPr>
        <w:t>. Conversely, rising consumer and investor confidence measured by indices such as the Consumer Confidence Index (CCI) can moderate these destabilizing effects by realigning expectations with fundamentals (Liu et al., 2025; Zhang et al., 2023).</w:t>
      </w:r>
    </w:p>
    <w:p w14:paraId="6D21F071"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This duality mirrors patterns observed in cross-market contagion studies, where MPU operates as a systemic driver: destabilizing short-term equilibrium while promoting long-term synchronization among financial institutions. In banking systems, this manifes</w:t>
      </w:r>
      <w:r>
        <w:rPr>
          <w:rFonts w:ascii="Times New Roman" w:eastAsia="Times New Roman" w:hAnsi="Times New Roman" w:cs="Times New Roman"/>
          <w:color w:val="000000"/>
        </w:rPr>
        <w:t xml:space="preserve">ts as asymmetric responses temporary fragmentation in liquidity conditions followed by coordinated adjustments in capital and lending </w:t>
      </w:r>
      <w:proofErr w:type="spellStart"/>
      <w:r>
        <w:rPr>
          <w:rFonts w:ascii="Times New Roman" w:eastAsia="Times New Roman" w:hAnsi="Times New Roman" w:cs="Times New Roman"/>
          <w:color w:val="000000"/>
        </w:rPr>
        <w:t>behaviors</w:t>
      </w:r>
      <w:proofErr w:type="spellEnd"/>
      <w:r>
        <w:rPr>
          <w:rFonts w:ascii="Times New Roman" w:eastAsia="Times New Roman" w:hAnsi="Times New Roman" w:cs="Times New Roman"/>
          <w:color w:val="000000"/>
        </w:rPr>
        <w:t xml:space="preserve"> as uncertainty persists.</w:t>
      </w:r>
    </w:p>
    <w:p w14:paraId="4A120D1F" w14:textId="77777777" w:rsidR="008059F4" w:rsidRDefault="00654302">
      <w:pPr>
        <w:pStyle w:val="Heading3"/>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1.4. The Value of an Integrative Literature Review</w:t>
      </w:r>
    </w:p>
    <w:p w14:paraId="318E31A8"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t>Given the complexity and multidimens</w:t>
      </w:r>
      <w:r>
        <w:rPr>
          <w:rFonts w:ascii="Times New Roman" w:eastAsia="Times New Roman" w:hAnsi="Times New Roman" w:cs="Times New Roman"/>
          <w:color w:val="000000"/>
        </w:rPr>
        <w:t>ional nature of MPU’s impact, an integrative literature review provides a structured framework for synthesizing cross-method evidence and identifying unifying theoretical insights. Unlike narrative reviews, integrative reviews merge findings from econometr</w:t>
      </w:r>
      <w:r>
        <w:rPr>
          <w:rFonts w:ascii="Times New Roman" w:eastAsia="Times New Roman" w:hAnsi="Times New Roman" w:cs="Times New Roman"/>
          <w:color w:val="000000"/>
        </w:rPr>
        <w:t xml:space="preserve">ic, AI-assisted, and hybrid </w:t>
      </w:r>
      <w:proofErr w:type="spellStart"/>
      <w:r>
        <w:rPr>
          <w:rFonts w:ascii="Times New Roman" w:eastAsia="Times New Roman" w:hAnsi="Times New Roman" w:cs="Times New Roman"/>
          <w:color w:val="000000"/>
        </w:rPr>
        <w:t>modeling</w:t>
      </w:r>
      <w:proofErr w:type="spellEnd"/>
      <w:r>
        <w:rPr>
          <w:rFonts w:ascii="Times New Roman" w:eastAsia="Times New Roman" w:hAnsi="Times New Roman" w:cs="Times New Roman"/>
          <w:color w:val="000000"/>
        </w:rPr>
        <w:t xml:space="preserve"> studies to develop a holistic understanding of evolving research trends. Traditional econometric approaches such as VAR, DSGE, and BVAR models have been instrumental in quantifying macro-financial linkages. However, rec</w:t>
      </w:r>
      <w:r>
        <w:rPr>
          <w:rFonts w:ascii="Times New Roman" w:eastAsia="Times New Roman" w:hAnsi="Times New Roman" w:cs="Times New Roman"/>
          <w:color w:val="000000"/>
        </w:rPr>
        <w:t>ent innovations in quantile-based, time-varying, and AI-enhanced models have improved the capacity to capture nonlinear and asymmetric effects of policy uncertainty (Dong et al., 2025; Liu et al., 2025).</w:t>
      </w:r>
    </w:p>
    <w:p w14:paraId="3713DA3D"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By adopting Mendes, Silveira, and Galvão’s (2008) in</w:t>
      </w:r>
      <w:r>
        <w:rPr>
          <w:rFonts w:ascii="Times New Roman" w:eastAsia="Times New Roman" w:hAnsi="Times New Roman" w:cs="Times New Roman"/>
          <w:color w:val="000000"/>
        </w:rPr>
        <w:t>tegrative framework, this review ensures methodological inclusivity, transparency, and thematic synthesis. Such an approach is particularly valuable in a policy environment where uncertainty interacts dynamically with data-driven insights and regulatory de</w:t>
      </w:r>
      <w:r>
        <w:rPr>
          <w:rFonts w:ascii="Times New Roman" w:eastAsia="Times New Roman" w:hAnsi="Times New Roman" w:cs="Times New Roman"/>
          <w:color w:val="000000"/>
        </w:rPr>
        <w:t>cision-making. Integrative reviews not only map methodological evolution but also reveal areas where AI and machine learning tools can enhance predictive accuracy in banking stress testing and risk management.</w:t>
      </w:r>
    </w:p>
    <w:p w14:paraId="0FA838B2" w14:textId="77777777" w:rsidR="008059F4" w:rsidRDefault="00654302">
      <w:pPr>
        <w:pStyle w:val="Heading3"/>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1.5. Research Objectives and Guiding Questions</w:t>
      </w:r>
    </w:p>
    <w:p w14:paraId="4393B2AC"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Accordingly, this paper conducts an integrative literature review to examine how monetary policy uncertainty influences U.S. banking stability. Drawing on data-driven and empirical evidence from 2010 to 2025, it synthesizes research across quantitative mo</w:t>
      </w:r>
      <w:r>
        <w:rPr>
          <w:rFonts w:ascii="Times New Roman" w:eastAsia="Times New Roman" w:hAnsi="Times New Roman" w:cs="Times New Roman"/>
          <w:color w:val="000000"/>
        </w:rPr>
        <w:t>dels, AI-based forecasting, and policy analyses. The review is guided by the following questions:</w:t>
      </w:r>
    </w:p>
    <w:p w14:paraId="143A3832" w14:textId="77777777" w:rsidR="008059F4" w:rsidRDefault="00654302">
      <w:pPr>
        <w:ind w:left="720"/>
        <w:rPr>
          <w:rFonts w:ascii="Times New Roman" w:eastAsia="Times New Roman" w:hAnsi="Times New Roman" w:cs="Times New Roman"/>
        </w:rPr>
      </w:pPr>
      <w:r>
        <w:rPr>
          <w:rFonts w:ascii="Times New Roman" w:eastAsia="Times New Roman" w:hAnsi="Times New Roman" w:cs="Times New Roman"/>
        </w:rPr>
        <w:t>RQ1: What models and empirical methods have been used to assess the impact of monetary policy uncertainty on U.S. banking stability?</w:t>
      </w:r>
    </w:p>
    <w:p w14:paraId="188A8320" w14:textId="77777777" w:rsidR="008059F4" w:rsidRDefault="00654302">
      <w:pPr>
        <w:ind w:left="720"/>
        <w:rPr>
          <w:rFonts w:ascii="Times New Roman" w:eastAsia="Times New Roman" w:hAnsi="Times New Roman" w:cs="Times New Roman"/>
        </w:rPr>
      </w:pPr>
      <w:r>
        <w:rPr>
          <w:rFonts w:ascii="Times New Roman" w:eastAsia="Times New Roman" w:hAnsi="Times New Roman" w:cs="Times New Roman"/>
        </w:rPr>
        <w:t>RQ2: What aspects of bank</w:t>
      </w:r>
      <w:r>
        <w:rPr>
          <w:rFonts w:ascii="Times New Roman" w:eastAsia="Times New Roman" w:hAnsi="Times New Roman" w:cs="Times New Roman"/>
        </w:rPr>
        <w:t>ing stability credit supply, liquidity risk, or capital adequacy are most affected by MPU?</w:t>
      </w:r>
    </w:p>
    <w:p w14:paraId="14D51581" w14:textId="77777777" w:rsidR="008059F4" w:rsidRDefault="00654302">
      <w:pPr>
        <w:ind w:left="720"/>
        <w:rPr>
          <w:rFonts w:ascii="Times New Roman" w:eastAsia="Times New Roman" w:hAnsi="Times New Roman" w:cs="Times New Roman"/>
        </w:rPr>
      </w:pPr>
      <w:r>
        <w:rPr>
          <w:rFonts w:ascii="Times New Roman" w:eastAsia="Times New Roman" w:hAnsi="Times New Roman" w:cs="Times New Roman"/>
        </w:rPr>
        <w:t>RQ3: How do AI and advanced analytics contribute to forecasting and stress testing under uncertainty?</w:t>
      </w:r>
    </w:p>
    <w:p w14:paraId="4DA6B627" w14:textId="77777777" w:rsidR="008059F4" w:rsidRDefault="00654302">
      <w:pPr>
        <w:ind w:left="720"/>
        <w:rPr>
          <w:rFonts w:ascii="Times New Roman" w:eastAsia="Times New Roman" w:hAnsi="Times New Roman" w:cs="Times New Roman"/>
          <w:color w:val="000000"/>
        </w:rPr>
      </w:pPr>
      <w:r>
        <w:rPr>
          <w:rFonts w:ascii="Times New Roman" w:eastAsia="Times New Roman" w:hAnsi="Times New Roman" w:cs="Times New Roman"/>
        </w:rPr>
        <w:t>RQ4: What gaps remain in integrating real-time data and AI-driv</w:t>
      </w:r>
      <w:r>
        <w:rPr>
          <w:rFonts w:ascii="Times New Roman" w:eastAsia="Times New Roman" w:hAnsi="Times New Roman" w:cs="Times New Roman"/>
        </w:rPr>
        <w:t>en approaches into banking stability research</w:t>
      </w:r>
      <w:r>
        <w:rPr>
          <w:rFonts w:ascii="Times New Roman" w:eastAsia="Times New Roman" w:hAnsi="Times New Roman" w:cs="Times New Roman"/>
          <w:color w:val="000000"/>
        </w:rPr>
        <w:t>?</w:t>
      </w:r>
    </w:p>
    <w:p w14:paraId="0FA6CA2A"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Through these questions, the paper aims to integrate fragmented empirical findings and conceptual insights, contributing to the development of a unified, data-driven understanding of how MPU shapes systemic ba</w:t>
      </w:r>
      <w:r>
        <w:rPr>
          <w:rFonts w:ascii="Times New Roman" w:eastAsia="Times New Roman" w:hAnsi="Times New Roman" w:cs="Times New Roman"/>
          <w:color w:val="000000"/>
        </w:rPr>
        <w:t>nking resilience and macroprudential policy design in the U.S.</w:t>
      </w:r>
    </w:p>
    <w:p w14:paraId="0CA6787D" w14:textId="77777777" w:rsidR="008059F4" w:rsidRDefault="00654302">
      <w:pPr>
        <w:spacing w:before="280" w:after="28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2. Materials and Methods</w:t>
      </w:r>
    </w:p>
    <w:p w14:paraId="696914F8" w14:textId="77777777" w:rsidR="008059F4" w:rsidRDefault="00654302">
      <w:pPr>
        <w:numPr>
          <w:ilvl w:val="0"/>
          <w:numId w:val="5"/>
        </w:numPr>
        <w:spacing w:before="280" w:after="0" w:line="240" w:lineRule="auto"/>
        <w:jc w:val="both"/>
        <w:rPr>
          <w:color w:val="000000"/>
        </w:rPr>
      </w:pPr>
      <w:r>
        <w:rPr>
          <w:rFonts w:ascii="Times New Roman" w:eastAsia="Times New Roman" w:hAnsi="Times New Roman" w:cs="Times New Roman"/>
          <w:color w:val="000000"/>
        </w:rPr>
        <w:t xml:space="preserve">Identify this as an </w:t>
      </w:r>
      <w:r>
        <w:rPr>
          <w:rFonts w:ascii="Times New Roman" w:eastAsia="Times New Roman" w:hAnsi="Times New Roman" w:cs="Times New Roman"/>
          <w:i/>
          <w:iCs/>
          <w:color w:val="000000"/>
        </w:rPr>
        <w:t>integrative literature review</w:t>
      </w:r>
      <w:r>
        <w:rPr>
          <w:rFonts w:ascii="Times New Roman" w:eastAsia="Times New Roman" w:hAnsi="Times New Roman" w:cs="Times New Roman"/>
          <w:color w:val="000000"/>
        </w:rPr>
        <w:t xml:space="preserve"> following a modified Mendes, Silveira &amp; Galvão (2008) framework.</w:t>
      </w:r>
    </w:p>
    <w:p w14:paraId="7F566BD2" w14:textId="77777777" w:rsidR="008059F4" w:rsidRDefault="00654302">
      <w:pPr>
        <w:numPr>
          <w:ilvl w:val="0"/>
          <w:numId w:val="5"/>
        </w:numPr>
        <w:spacing w:after="0" w:line="240" w:lineRule="auto"/>
        <w:jc w:val="both"/>
        <w:rPr>
          <w:color w:val="000000"/>
        </w:rPr>
      </w:pPr>
      <w:r>
        <w:rPr>
          <w:rFonts w:ascii="Times New Roman" w:eastAsia="Times New Roman" w:hAnsi="Times New Roman" w:cs="Times New Roman"/>
          <w:color w:val="000000"/>
        </w:rPr>
        <w:t xml:space="preserve">Databases: </w:t>
      </w:r>
      <w:proofErr w:type="spellStart"/>
      <w:r>
        <w:rPr>
          <w:rFonts w:ascii="Times New Roman" w:eastAsia="Times New Roman" w:hAnsi="Times New Roman" w:cs="Times New Roman"/>
          <w:color w:val="000000"/>
        </w:rPr>
        <w:t>EconLit</w:t>
      </w:r>
      <w:proofErr w:type="spellEnd"/>
      <w:r>
        <w:rPr>
          <w:rFonts w:ascii="Times New Roman" w:eastAsia="Times New Roman" w:hAnsi="Times New Roman" w:cs="Times New Roman"/>
          <w:color w:val="000000"/>
        </w:rPr>
        <w:t xml:space="preserve">, Scopus, SSRN, ScienceDirect, </w:t>
      </w:r>
      <w:r>
        <w:rPr>
          <w:rFonts w:ascii="Times New Roman" w:eastAsia="Times New Roman" w:hAnsi="Times New Roman" w:cs="Times New Roman"/>
          <w:color w:val="000000"/>
        </w:rPr>
        <w:t>JSTOR.</w:t>
      </w:r>
    </w:p>
    <w:p w14:paraId="31734F8D" w14:textId="77777777" w:rsidR="008059F4" w:rsidRDefault="00654302">
      <w:pPr>
        <w:numPr>
          <w:ilvl w:val="0"/>
          <w:numId w:val="5"/>
        </w:numPr>
        <w:spacing w:after="0" w:line="240" w:lineRule="auto"/>
        <w:jc w:val="both"/>
        <w:rPr>
          <w:color w:val="000000"/>
        </w:rPr>
      </w:pPr>
      <w:r>
        <w:rPr>
          <w:rFonts w:ascii="Times New Roman" w:eastAsia="Times New Roman" w:hAnsi="Times New Roman" w:cs="Times New Roman"/>
          <w:color w:val="000000"/>
        </w:rPr>
        <w:t>Search terms: “Monetary policy uncertainty,” “banking stability,” “U.S. banks,” “credit risk,” “AI models,” “forecasting,” etc.</w:t>
      </w:r>
    </w:p>
    <w:p w14:paraId="2FBF9C3B" w14:textId="77777777" w:rsidR="008059F4" w:rsidRDefault="00654302">
      <w:pPr>
        <w:numPr>
          <w:ilvl w:val="0"/>
          <w:numId w:val="5"/>
        </w:numPr>
        <w:spacing w:after="0" w:line="240" w:lineRule="auto"/>
        <w:jc w:val="both"/>
        <w:rPr>
          <w:color w:val="000000"/>
        </w:rPr>
      </w:pPr>
      <w:r>
        <w:rPr>
          <w:rFonts w:ascii="Times New Roman" w:eastAsia="Times New Roman" w:hAnsi="Times New Roman" w:cs="Times New Roman"/>
          <w:color w:val="000000"/>
        </w:rPr>
        <w:t>Period: 2010–2025.</w:t>
      </w:r>
    </w:p>
    <w:p w14:paraId="64D94C43" w14:textId="77777777" w:rsidR="008059F4" w:rsidRDefault="00654302">
      <w:pPr>
        <w:numPr>
          <w:ilvl w:val="0"/>
          <w:numId w:val="5"/>
        </w:numPr>
        <w:spacing w:after="0" w:line="240" w:lineRule="auto"/>
        <w:jc w:val="both"/>
        <w:rPr>
          <w:color w:val="000000"/>
        </w:rPr>
      </w:pPr>
      <w:r>
        <w:rPr>
          <w:rFonts w:ascii="Times New Roman" w:eastAsia="Times New Roman" w:hAnsi="Times New Roman" w:cs="Times New Roman"/>
          <w:color w:val="000000"/>
        </w:rPr>
        <w:t>Inclusion criteria: Peer-reviewed studies focusing on U.S. context or cross-country with U.S. data; En</w:t>
      </w:r>
      <w:r>
        <w:rPr>
          <w:rFonts w:ascii="Times New Roman" w:eastAsia="Times New Roman" w:hAnsi="Times New Roman" w:cs="Times New Roman"/>
          <w:color w:val="000000"/>
        </w:rPr>
        <w:t>glish language; full-text available.</w:t>
      </w:r>
    </w:p>
    <w:p w14:paraId="7F4F9574" w14:textId="77777777" w:rsidR="008059F4" w:rsidRDefault="00654302">
      <w:pPr>
        <w:numPr>
          <w:ilvl w:val="0"/>
          <w:numId w:val="5"/>
        </w:numPr>
        <w:spacing w:after="0" w:line="240" w:lineRule="auto"/>
        <w:jc w:val="both"/>
        <w:rPr>
          <w:color w:val="000000"/>
        </w:rPr>
      </w:pPr>
      <w:r>
        <w:rPr>
          <w:rFonts w:ascii="Times New Roman" w:eastAsia="Times New Roman" w:hAnsi="Times New Roman" w:cs="Times New Roman"/>
          <w:color w:val="000000"/>
        </w:rPr>
        <w:t>Exclusion criteria: Editorials, non-peer-reviewed reports, duplicate data.</w:t>
      </w:r>
    </w:p>
    <w:p w14:paraId="2B2591A8" w14:textId="77777777" w:rsidR="008059F4" w:rsidRDefault="00654302">
      <w:pPr>
        <w:numPr>
          <w:ilvl w:val="0"/>
          <w:numId w:val="5"/>
        </w:numPr>
        <w:spacing w:after="280" w:line="240" w:lineRule="auto"/>
        <w:jc w:val="both"/>
        <w:rPr>
          <w:color w:val="000000"/>
        </w:rPr>
      </w:pPr>
      <w:r>
        <w:rPr>
          <w:rFonts w:ascii="Times New Roman" w:eastAsia="Times New Roman" w:hAnsi="Times New Roman" w:cs="Times New Roman"/>
          <w:color w:val="000000"/>
        </w:rPr>
        <w:t>Analysis: Thematic categorization into four domains (matching RQs).</w:t>
      </w:r>
    </w:p>
    <w:p w14:paraId="657765D3" w14:textId="77777777" w:rsidR="008059F4" w:rsidRDefault="00654302">
      <w:pPr>
        <w:pStyle w:val="Heading3"/>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2.1. Review Design</w:t>
      </w:r>
    </w:p>
    <w:p w14:paraId="308A36D4"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study adopts an integrative literature review (ILR) </w:t>
      </w:r>
      <w:r>
        <w:rPr>
          <w:rFonts w:ascii="Times New Roman" w:eastAsia="Times New Roman" w:hAnsi="Times New Roman" w:cs="Times New Roman"/>
          <w:color w:val="000000"/>
        </w:rPr>
        <w:t xml:space="preserve">approach, following a modified version of the framework proposed by Mendes, Silveira, and Galvão (2008). The integrative review method is particularly suited for synthesizing research that spans multiple methodological traditions, </w:t>
      </w:r>
      <w:r>
        <w:rPr>
          <w:rFonts w:ascii="Times New Roman" w:eastAsia="Times New Roman" w:hAnsi="Times New Roman" w:cs="Times New Roman"/>
          <w:color w:val="000000"/>
        </w:rPr>
        <w:lastRenderedPageBreak/>
        <w:t>combining empirical, theo</w:t>
      </w:r>
      <w:r>
        <w:rPr>
          <w:rFonts w:ascii="Times New Roman" w:eastAsia="Times New Roman" w:hAnsi="Times New Roman" w:cs="Times New Roman"/>
          <w:color w:val="000000"/>
        </w:rPr>
        <w:t>retical, and analytical insights to produce a comprehensive understanding of a complex topic. In contrast to traditional narrative or systematic reviews, the ILR approach allows the integration of both quantitative and qualitative evidence, enabling the id</w:t>
      </w:r>
      <w:r>
        <w:rPr>
          <w:rFonts w:ascii="Times New Roman" w:eastAsia="Times New Roman" w:hAnsi="Times New Roman" w:cs="Times New Roman"/>
          <w:color w:val="000000"/>
        </w:rPr>
        <w:t>entification of conceptual patterns, methodological trends, and knowledge gaps across diverse study types.</w:t>
      </w:r>
    </w:p>
    <w:p w14:paraId="4166416D"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t>The modified Mendes et al. (2008) framework applied in this study comprises four key stages: (1) problem identification and research question formula</w:t>
      </w:r>
      <w:r>
        <w:rPr>
          <w:rFonts w:ascii="Times New Roman" w:eastAsia="Times New Roman" w:hAnsi="Times New Roman" w:cs="Times New Roman"/>
          <w:color w:val="000000"/>
        </w:rPr>
        <w:t>tion; (2) literature search and data selection; (3) critical evaluation and data extraction; and (4) synthesis and thematic categorization. This structured yet flexible framework facilitates the systematic assessment of evolving research domains where inte</w:t>
      </w:r>
      <w:r>
        <w:rPr>
          <w:rFonts w:ascii="Times New Roman" w:eastAsia="Times New Roman" w:hAnsi="Times New Roman" w:cs="Times New Roman"/>
          <w:color w:val="000000"/>
        </w:rPr>
        <w:t>rdisciplinary and data-driven approaches are central such as monetary policy uncertainty (MPU) and banking stability.</w:t>
      </w:r>
    </w:p>
    <w:p w14:paraId="0AE8C758" w14:textId="77777777" w:rsidR="008059F4" w:rsidRDefault="00654302">
      <w:pPr>
        <w:pStyle w:val="Heading3"/>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2.2. Search Strategy and Data Sources</w:t>
      </w:r>
    </w:p>
    <w:p w14:paraId="1F343F28"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comprehensive search was conducted across five major academic databases: </w:t>
      </w:r>
      <w:proofErr w:type="spellStart"/>
      <w:r>
        <w:rPr>
          <w:rFonts w:ascii="Times New Roman" w:eastAsia="Times New Roman" w:hAnsi="Times New Roman" w:cs="Times New Roman"/>
          <w:color w:val="000000"/>
        </w:rPr>
        <w:t>EconLit</w:t>
      </w:r>
      <w:proofErr w:type="spellEnd"/>
      <w:r>
        <w:rPr>
          <w:rFonts w:ascii="Times New Roman" w:eastAsia="Times New Roman" w:hAnsi="Times New Roman" w:cs="Times New Roman"/>
          <w:color w:val="000000"/>
        </w:rPr>
        <w:t>, Scopus, SSRN, Sc</w:t>
      </w:r>
      <w:r>
        <w:rPr>
          <w:rFonts w:ascii="Times New Roman" w:eastAsia="Times New Roman" w:hAnsi="Times New Roman" w:cs="Times New Roman"/>
          <w:color w:val="000000"/>
        </w:rPr>
        <w:t>ienceDirect, and JSTOR. These databases were selected for their extensive coverage of peer-reviewed journals in economics, finance, and data science. The literature search targeted studies published between 2010 and 2025, capturing both post-crisis and pos</w:t>
      </w:r>
      <w:r>
        <w:rPr>
          <w:rFonts w:ascii="Times New Roman" w:eastAsia="Times New Roman" w:hAnsi="Times New Roman" w:cs="Times New Roman"/>
          <w:color w:val="000000"/>
        </w:rPr>
        <w:t>t-pandemic research phases relevant to U.S. monetary policy and banking stability.</w:t>
      </w:r>
    </w:p>
    <w:p w14:paraId="3267A03F"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t>To ensure relevance and inclusivity, a combination of Boolean operators and thematic descriptors was employed. Search terms included: “monetary policy uncertainty,” “banking</w:t>
      </w:r>
      <w:r>
        <w:rPr>
          <w:rFonts w:ascii="Times New Roman" w:eastAsia="Times New Roman" w:hAnsi="Times New Roman" w:cs="Times New Roman"/>
          <w:color w:val="000000"/>
        </w:rPr>
        <w:t xml:space="preserve"> stability,” “U.S. banks,” “credit risk,” “liquidity risk,” “capital adequacy,” “AI forecasting,” “machine learning,” “stress testing,” and “financial connectedness.” These terms were combined in various forms (e.g., “monetary policy uncertainty” AND “bank</w:t>
      </w:r>
      <w:r>
        <w:rPr>
          <w:rFonts w:ascii="Times New Roman" w:eastAsia="Times New Roman" w:hAnsi="Times New Roman" w:cs="Times New Roman"/>
          <w:color w:val="000000"/>
        </w:rPr>
        <w:t>ing stability;” “AI models” AND “financial risk”) to ensure coverage of both macro-financial and data-driven research streams.</w:t>
      </w:r>
    </w:p>
    <w:p w14:paraId="4C7B6C00" w14:textId="77777777" w:rsidR="008059F4" w:rsidRDefault="00654302">
      <w:pPr>
        <w:pStyle w:val="Heading3"/>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2.3. Inclusion and Exclusion Criteria</w:t>
      </w:r>
    </w:p>
    <w:p w14:paraId="35EB110B"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following inclusion criteria were applied to the literature selection process:</w:t>
      </w:r>
    </w:p>
    <w:p w14:paraId="15F9B30F" w14:textId="77777777" w:rsidR="008059F4" w:rsidRDefault="00654302">
      <w:pPr>
        <w:numPr>
          <w:ilvl w:val="0"/>
          <w:numId w:val="3"/>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rPr>
        <w:t xml:space="preserve">Publication Type: Peer-reviewed journal articles, conference proceedings, and book chapters presenting empirical or </w:t>
      </w:r>
      <w:proofErr w:type="spellStart"/>
      <w:r>
        <w:rPr>
          <w:rFonts w:ascii="Times New Roman" w:eastAsia="Times New Roman" w:hAnsi="Times New Roman" w:cs="Times New Roman"/>
          <w:color w:val="000000"/>
        </w:rPr>
        <w:t>modeling</w:t>
      </w:r>
      <w:proofErr w:type="spellEnd"/>
      <w:r>
        <w:rPr>
          <w:rFonts w:ascii="Times New Roman" w:eastAsia="Times New Roman" w:hAnsi="Times New Roman" w:cs="Times New Roman"/>
          <w:color w:val="000000"/>
        </w:rPr>
        <w:t xml:space="preserve"> analyses.</w:t>
      </w:r>
    </w:p>
    <w:p w14:paraId="2756F4AF" w14:textId="77777777" w:rsidR="008059F4" w:rsidRDefault="00654302">
      <w:pPr>
        <w:numPr>
          <w:ilvl w:val="0"/>
          <w:numId w:val="3"/>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rPr>
        <w:t>Context: Studies focused on the U.S. financial system, or cross-country analyses that explicitly include U.S. data.</w:t>
      </w:r>
    </w:p>
    <w:p w14:paraId="4DF593D2" w14:textId="77777777" w:rsidR="008059F4" w:rsidRDefault="00654302">
      <w:pPr>
        <w:numPr>
          <w:ilvl w:val="0"/>
          <w:numId w:val="3"/>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rPr>
        <w:t>Langu</w:t>
      </w:r>
      <w:r>
        <w:rPr>
          <w:rFonts w:ascii="Times New Roman" w:eastAsia="Times New Roman" w:hAnsi="Times New Roman" w:cs="Times New Roman"/>
          <w:color w:val="000000"/>
        </w:rPr>
        <w:t>age: English-language publications only.</w:t>
      </w:r>
    </w:p>
    <w:p w14:paraId="6134CC9C" w14:textId="77777777" w:rsidR="008059F4" w:rsidRDefault="00654302">
      <w:pPr>
        <w:numPr>
          <w:ilvl w:val="0"/>
          <w:numId w:val="3"/>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rPr>
        <w:t>Availability: Full-text accessible through institutional databases or open-access repositories.</w:t>
      </w:r>
    </w:p>
    <w:p w14:paraId="419A5709" w14:textId="77777777" w:rsidR="008059F4" w:rsidRDefault="00654302">
      <w:pPr>
        <w:numPr>
          <w:ilvl w:val="0"/>
          <w:numId w:val="3"/>
        </w:numPr>
        <w:pBdr>
          <w:top w:val="nil"/>
          <w:left w:val="nil"/>
          <w:bottom w:val="nil"/>
          <w:right w:val="nil"/>
          <w:between w:val="nil"/>
        </w:pBdr>
        <w:jc w:val="both"/>
        <w:rPr>
          <w:color w:val="000000"/>
        </w:rPr>
      </w:pPr>
      <w:r>
        <w:rPr>
          <w:rFonts w:ascii="Times New Roman" w:eastAsia="Times New Roman" w:hAnsi="Times New Roman" w:cs="Times New Roman"/>
          <w:color w:val="000000"/>
        </w:rPr>
        <w:t>Relevance: Research addressing monetary policy uncertainty and its implications for banking stability, risk transmissio</w:t>
      </w:r>
      <w:r>
        <w:rPr>
          <w:rFonts w:ascii="Times New Roman" w:eastAsia="Times New Roman" w:hAnsi="Times New Roman" w:cs="Times New Roman"/>
          <w:color w:val="000000"/>
        </w:rPr>
        <w:t>n, or financial connectedness.</w:t>
      </w:r>
    </w:p>
    <w:p w14:paraId="5909D05B" w14:textId="77777777" w:rsidR="008059F4" w:rsidRDefault="00654302">
      <w:pP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The exclusion criteria comprised:</w:t>
      </w:r>
    </w:p>
    <w:p w14:paraId="688B15F6" w14:textId="77777777" w:rsidR="008059F4" w:rsidRDefault="00654302">
      <w:pPr>
        <w:numPr>
          <w:ilvl w:val="0"/>
          <w:numId w:val="1"/>
        </w:numPr>
        <w:pBdr>
          <w:top w:val="nil"/>
          <w:left w:val="nil"/>
          <w:bottom w:val="nil"/>
          <w:right w:val="nil"/>
          <w:between w:val="nil"/>
        </w:pBdr>
        <w:spacing w:line="240" w:lineRule="auto"/>
        <w:jc w:val="both"/>
        <w:rPr>
          <w:color w:val="000000"/>
        </w:rPr>
      </w:pPr>
      <w:r>
        <w:rPr>
          <w:rFonts w:ascii="Times New Roman" w:eastAsia="Times New Roman" w:hAnsi="Times New Roman" w:cs="Times New Roman"/>
          <w:color w:val="000000"/>
        </w:rPr>
        <w:t>Editorials, commentaries, policy notes, or non-peer-reviewed reports.</w:t>
      </w:r>
    </w:p>
    <w:p w14:paraId="3AD67594" w14:textId="77777777" w:rsidR="008059F4" w:rsidRDefault="00654302">
      <w:pPr>
        <w:numPr>
          <w:ilvl w:val="0"/>
          <w:numId w:val="1"/>
        </w:numPr>
        <w:pBdr>
          <w:top w:val="nil"/>
          <w:left w:val="nil"/>
          <w:bottom w:val="nil"/>
          <w:right w:val="nil"/>
          <w:between w:val="nil"/>
        </w:pBdr>
        <w:spacing w:line="240" w:lineRule="auto"/>
        <w:jc w:val="both"/>
        <w:rPr>
          <w:color w:val="000000"/>
        </w:rPr>
      </w:pPr>
      <w:r>
        <w:rPr>
          <w:rFonts w:ascii="Times New Roman" w:eastAsia="Times New Roman" w:hAnsi="Times New Roman" w:cs="Times New Roman"/>
          <w:color w:val="000000"/>
        </w:rPr>
        <w:lastRenderedPageBreak/>
        <w:t>Duplicate publications or overlapping datasets.</w:t>
      </w:r>
    </w:p>
    <w:p w14:paraId="5069883B" w14:textId="77777777" w:rsidR="008059F4" w:rsidRDefault="00654302">
      <w:pPr>
        <w:numPr>
          <w:ilvl w:val="0"/>
          <w:numId w:val="1"/>
        </w:numPr>
        <w:pBdr>
          <w:top w:val="nil"/>
          <w:left w:val="nil"/>
          <w:bottom w:val="nil"/>
          <w:right w:val="nil"/>
          <w:between w:val="nil"/>
        </w:pBdr>
        <w:spacing w:line="240" w:lineRule="auto"/>
        <w:jc w:val="both"/>
        <w:rPr>
          <w:color w:val="000000"/>
        </w:rPr>
      </w:pPr>
      <w:r>
        <w:rPr>
          <w:rFonts w:ascii="Times New Roman" w:eastAsia="Times New Roman" w:hAnsi="Times New Roman" w:cs="Times New Roman"/>
          <w:color w:val="000000"/>
        </w:rPr>
        <w:t>Studies focusing exclusively on fiscal or political uncertainty without e</w:t>
      </w:r>
      <w:r>
        <w:rPr>
          <w:rFonts w:ascii="Times New Roman" w:eastAsia="Times New Roman" w:hAnsi="Times New Roman" w:cs="Times New Roman"/>
          <w:color w:val="000000"/>
        </w:rPr>
        <w:t>xplicit monetary policy components.</w:t>
      </w:r>
    </w:p>
    <w:p w14:paraId="7B9C14A0" w14:textId="77777777" w:rsidR="008059F4" w:rsidRDefault="00654302">
      <w:pPr>
        <w:numPr>
          <w:ilvl w:val="0"/>
          <w:numId w:val="1"/>
        </w:numPr>
        <w:pBdr>
          <w:top w:val="nil"/>
          <w:left w:val="nil"/>
          <w:bottom w:val="nil"/>
          <w:right w:val="nil"/>
          <w:between w:val="nil"/>
        </w:pBdr>
        <w:spacing w:line="240" w:lineRule="auto"/>
        <w:jc w:val="both"/>
        <w:rPr>
          <w:color w:val="000000"/>
        </w:rPr>
      </w:pPr>
      <w:r>
        <w:rPr>
          <w:rFonts w:ascii="Times New Roman" w:eastAsia="Times New Roman" w:hAnsi="Times New Roman" w:cs="Times New Roman"/>
          <w:color w:val="000000"/>
        </w:rPr>
        <w:t>Works lacking clear methodological or empirical grounding.</w:t>
      </w:r>
    </w:p>
    <w:p w14:paraId="2DD02C1F"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three-step filtering process was applied: (1) title and abstract screening; (2) full-text review; and (3) verification of relevance and methodological rigor. </w:t>
      </w:r>
      <w:r>
        <w:rPr>
          <w:rFonts w:ascii="Times New Roman" w:eastAsia="Times New Roman" w:hAnsi="Times New Roman" w:cs="Times New Roman"/>
          <w:color w:val="000000"/>
        </w:rPr>
        <w:t>Reference lists of selected studies were also examined to identify additional sources not captured in the initial database search (snowballing method).</w:t>
      </w:r>
    </w:p>
    <w:p w14:paraId="26396D9E" w14:textId="77777777" w:rsidR="008059F4" w:rsidRDefault="00654302">
      <w:pPr>
        <w:pStyle w:val="Heading3"/>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2.4. Data Extraction and Thematic Categorization</w:t>
      </w:r>
    </w:p>
    <w:p w14:paraId="042EFD66"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Each included study was systematically reviewed using a</w:t>
      </w:r>
      <w:r>
        <w:rPr>
          <w:rFonts w:ascii="Times New Roman" w:eastAsia="Times New Roman" w:hAnsi="Times New Roman" w:cs="Times New Roman"/>
          <w:color w:val="000000"/>
        </w:rPr>
        <w:t xml:space="preserve"> structured data extraction matrix capturing:</w:t>
      </w:r>
    </w:p>
    <w:p w14:paraId="19BBF1F9" w14:textId="77777777" w:rsidR="008059F4" w:rsidRDefault="00654302">
      <w:pPr>
        <w:numPr>
          <w:ilvl w:val="0"/>
          <w:numId w:val="4"/>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rPr>
        <w:t>Author(s), Year, and Publication Source</w:t>
      </w:r>
    </w:p>
    <w:p w14:paraId="5A3E8E9C" w14:textId="77777777" w:rsidR="008059F4" w:rsidRDefault="00654302">
      <w:pPr>
        <w:numPr>
          <w:ilvl w:val="0"/>
          <w:numId w:val="4"/>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rPr>
        <w:t>Objective and Research Focus</w:t>
      </w:r>
    </w:p>
    <w:p w14:paraId="2CF1D682" w14:textId="77777777" w:rsidR="008059F4" w:rsidRDefault="00654302">
      <w:pPr>
        <w:numPr>
          <w:ilvl w:val="0"/>
          <w:numId w:val="4"/>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rPr>
        <w:t>Data and Methodological Framework (e.g., VAR, QVAR, DSGE, ML models)</w:t>
      </w:r>
    </w:p>
    <w:p w14:paraId="54BEF8EA" w14:textId="77777777" w:rsidR="008059F4" w:rsidRDefault="00654302">
      <w:pPr>
        <w:numPr>
          <w:ilvl w:val="0"/>
          <w:numId w:val="4"/>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rPr>
        <w:t>Key Findings and Theoretical Contributions</w:t>
      </w:r>
    </w:p>
    <w:p w14:paraId="3D6011FC" w14:textId="77777777" w:rsidR="008059F4" w:rsidRDefault="00654302">
      <w:pPr>
        <w:numPr>
          <w:ilvl w:val="0"/>
          <w:numId w:val="4"/>
        </w:numPr>
        <w:pBdr>
          <w:top w:val="nil"/>
          <w:left w:val="nil"/>
          <w:bottom w:val="nil"/>
          <w:right w:val="nil"/>
          <w:between w:val="nil"/>
        </w:pBdr>
        <w:jc w:val="both"/>
        <w:rPr>
          <w:color w:val="000000"/>
        </w:rPr>
      </w:pPr>
      <w:r>
        <w:rPr>
          <w:rFonts w:ascii="Times New Roman" w:eastAsia="Times New Roman" w:hAnsi="Times New Roman" w:cs="Times New Roman"/>
          <w:color w:val="000000"/>
        </w:rPr>
        <w:t>Relevance to Banking Stabilit</w:t>
      </w:r>
      <w:r>
        <w:rPr>
          <w:rFonts w:ascii="Times New Roman" w:eastAsia="Times New Roman" w:hAnsi="Times New Roman" w:cs="Times New Roman"/>
          <w:color w:val="000000"/>
        </w:rPr>
        <w:t>y Dimensions (credit, liquidity, capital)</w:t>
      </w:r>
    </w:p>
    <w:p w14:paraId="299EB662"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t>Following data extraction, the studies were thematically classified according to the four research questions (RQs) guiding this review. Thematic synthesis was conducted using iterative coding, allowing emerging sub</w:t>
      </w:r>
      <w:r>
        <w:rPr>
          <w:rFonts w:ascii="Times New Roman" w:eastAsia="Times New Roman" w:hAnsi="Times New Roman" w:cs="Times New Roman"/>
          <w:color w:val="000000"/>
        </w:rPr>
        <w:t>themes to be aligned with predefined conceptual domains.</w:t>
      </w:r>
    </w:p>
    <w:p w14:paraId="48C78C2B"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analysis was thus organized into four domains corresponding to the review’s guiding questions:</w:t>
      </w:r>
    </w:p>
    <w:p w14:paraId="2A591ACD" w14:textId="77777777" w:rsidR="008059F4" w:rsidRDefault="00654302">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Empirical Models and Methods (RQ1): Capturing econometric and AI-based approaches to assessing MPU </w:t>
      </w:r>
      <w:r>
        <w:rPr>
          <w:rFonts w:ascii="Times New Roman" w:eastAsia="Times New Roman" w:hAnsi="Times New Roman" w:cs="Times New Roman"/>
          <w:color w:val="000000"/>
        </w:rPr>
        <w:t>and financial stability linkages.</w:t>
      </w:r>
    </w:p>
    <w:p w14:paraId="3765E165" w14:textId="77777777" w:rsidR="008059F4" w:rsidRDefault="00654302">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Dimensions of Banking Stability Affected (RQ2): Mapping evidence on credit, liquidity, and capital channels under monetary uncertainty.</w:t>
      </w:r>
    </w:p>
    <w:p w14:paraId="5A84BF00" w14:textId="77777777" w:rsidR="008059F4" w:rsidRDefault="00654302">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AI and Advanced Analytics (RQ3): Synthesizing studies applying artificial intelligence</w:t>
      </w:r>
      <w:r>
        <w:rPr>
          <w:rFonts w:ascii="Times New Roman" w:eastAsia="Times New Roman" w:hAnsi="Times New Roman" w:cs="Times New Roman"/>
          <w:color w:val="000000"/>
        </w:rPr>
        <w:t>, machine learning, or big data for risk forecasting and stress testing.</w:t>
      </w:r>
    </w:p>
    <w:p w14:paraId="31A03EA3" w14:textId="77777777" w:rsidR="008059F4" w:rsidRDefault="00654302">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Gaps and Future Research (RQ4): Identifying limitations in existing studies, particularly regarding real-time data integration, explainable AI, and macroprudential applications.</w:t>
      </w:r>
    </w:p>
    <w:p w14:paraId="6B8FD2AC" w14:textId="77777777" w:rsidR="008059F4" w:rsidRDefault="00654302">
      <w:pPr>
        <w:pStyle w:val="Heading3"/>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2.5. </w:t>
      </w:r>
      <w:r>
        <w:rPr>
          <w:rFonts w:ascii="Times New Roman" w:eastAsia="Times New Roman" w:hAnsi="Times New Roman" w:cs="Times New Roman"/>
          <w:b/>
          <w:bCs/>
          <w:color w:val="000000"/>
        </w:rPr>
        <w:t>Quality Assurance and Analytical Rigor</w:t>
      </w:r>
    </w:p>
    <w:p w14:paraId="0791FA10"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To ensure validity and reliability, each study was assessed on three criteria: methodological transparency, data adequacy, and relevance to the review’s conceptual focus. Studies employing recognized econometric or AI</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modeling</w:t>
      </w:r>
      <w:proofErr w:type="spellEnd"/>
      <w:r>
        <w:rPr>
          <w:rFonts w:ascii="Times New Roman" w:eastAsia="Times New Roman" w:hAnsi="Times New Roman" w:cs="Times New Roman"/>
          <w:color w:val="000000"/>
        </w:rPr>
        <w:t xml:space="preserve"> standards (e.g., VAR-family, quantile-on-quantile regression, neural networks, ensemble forecasting) were prioritized. Consistency checks were performed by cross-verifying thematic codes against study findings. The synthesis followed the PRISMA-b</w:t>
      </w:r>
      <w:r>
        <w:rPr>
          <w:rFonts w:ascii="Times New Roman" w:eastAsia="Times New Roman" w:hAnsi="Times New Roman" w:cs="Times New Roman"/>
          <w:color w:val="000000"/>
        </w:rPr>
        <w:t>ased logic of transparency ensuring replicability in study selection and data categorization while maintaining the interpretive flexibility characteristic of integrative reviews.</w:t>
      </w:r>
    </w:p>
    <w:p w14:paraId="0632E8BF" w14:textId="77777777" w:rsidR="008059F4" w:rsidRDefault="00654302">
      <w:pPr>
        <w:spacing w:before="280" w:after="28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3. Results and Discussion</w:t>
      </w:r>
    </w:p>
    <w:p w14:paraId="6A178BF3" w14:textId="77777777" w:rsidR="008059F4" w:rsidRDefault="00654302">
      <w:pPr>
        <w:spacing w:before="280" w:after="280" w:line="240" w:lineRule="auto"/>
        <w:jc w:val="both"/>
        <w:rPr>
          <w:rFonts w:ascii="Times New Roman" w:eastAsia="Times New Roman" w:hAnsi="Times New Roman" w:cs="Times New Roman"/>
          <w:i/>
          <w:iCs/>
          <w:color w:val="000000"/>
        </w:rPr>
      </w:pPr>
      <w:r>
        <w:rPr>
          <w:rFonts w:ascii="Times New Roman" w:eastAsia="Times New Roman" w:hAnsi="Times New Roman" w:cs="Times New Roman"/>
          <w:b/>
          <w:bCs/>
          <w:color w:val="000000"/>
        </w:rPr>
        <w:t>Table 1. Summary of Key Reviewed Studies</w:t>
      </w:r>
      <w:r>
        <w:rPr>
          <w:rFonts w:ascii="Times New Roman" w:eastAsia="Times New Roman" w:hAnsi="Times New Roman" w:cs="Times New Roman"/>
          <w:color w:val="000000"/>
        </w:rPr>
        <w:t xml:space="preserve"> Columns: </w:t>
      </w:r>
      <w:r>
        <w:rPr>
          <w:rFonts w:ascii="Times New Roman" w:eastAsia="Times New Roman" w:hAnsi="Times New Roman" w:cs="Times New Roman"/>
          <w:i/>
          <w:iCs/>
          <w:color w:val="000000"/>
        </w:rPr>
        <w:t>A</w:t>
      </w:r>
      <w:r>
        <w:rPr>
          <w:rFonts w:ascii="Times New Roman" w:eastAsia="Times New Roman" w:hAnsi="Times New Roman" w:cs="Times New Roman"/>
          <w:i/>
          <w:iCs/>
          <w:color w:val="000000"/>
        </w:rPr>
        <w:t>uthor, Year, Data/Model, Objective, Method, Main Findings.</w:t>
      </w:r>
    </w:p>
    <w:tbl>
      <w:tblPr>
        <w:tblStyle w:val="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9"/>
        <w:gridCol w:w="765"/>
        <w:gridCol w:w="1643"/>
        <w:gridCol w:w="1655"/>
        <w:gridCol w:w="1618"/>
        <w:gridCol w:w="1680"/>
      </w:tblGrid>
      <w:tr w:rsidR="008059F4" w14:paraId="50FAA8D7" w14:textId="77777777">
        <w:tc>
          <w:tcPr>
            <w:tcW w:w="1989" w:type="dxa"/>
          </w:tcPr>
          <w:p w14:paraId="2460DBB2" w14:textId="77777777" w:rsidR="008059F4" w:rsidRDefault="00654302">
            <w:pPr>
              <w:spacing w:after="160" w:line="259" w:lineRule="auto"/>
              <w:rPr>
                <w:rFonts w:ascii="Times New Roman" w:eastAsia="Times New Roman" w:hAnsi="Times New Roman" w:cs="Times New Roman"/>
                <w:b/>
                <w:bCs/>
              </w:rPr>
            </w:pPr>
            <w:r>
              <w:rPr>
                <w:rFonts w:ascii="Times New Roman" w:eastAsia="Times New Roman" w:hAnsi="Times New Roman" w:cs="Times New Roman"/>
                <w:b/>
                <w:bCs/>
              </w:rPr>
              <w:t>Author(s)</w:t>
            </w:r>
          </w:p>
        </w:tc>
        <w:tc>
          <w:tcPr>
            <w:tcW w:w="765" w:type="dxa"/>
          </w:tcPr>
          <w:p w14:paraId="32D8FD27" w14:textId="77777777" w:rsidR="008059F4" w:rsidRDefault="00654302">
            <w:pPr>
              <w:spacing w:after="160" w:line="259" w:lineRule="auto"/>
              <w:rPr>
                <w:rFonts w:ascii="Times New Roman" w:eastAsia="Times New Roman" w:hAnsi="Times New Roman" w:cs="Times New Roman"/>
                <w:b/>
                <w:bCs/>
              </w:rPr>
            </w:pPr>
            <w:r>
              <w:rPr>
                <w:rFonts w:ascii="Times New Roman" w:eastAsia="Times New Roman" w:hAnsi="Times New Roman" w:cs="Times New Roman"/>
                <w:b/>
                <w:bCs/>
              </w:rPr>
              <w:t>Year</w:t>
            </w:r>
          </w:p>
        </w:tc>
        <w:tc>
          <w:tcPr>
            <w:tcW w:w="1643" w:type="dxa"/>
          </w:tcPr>
          <w:p w14:paraId="49749191" w14:textId="77777777" w:rsidR="008059F4" w:rsidRDefault="00654302">
            <w:pPr>
              <w:spacing w:after="160" w:line="259" w:lineRule="auto"/>
              <w:rPr>
                <w:rFonts w:ascii="Times New Roman" w:eastAsia="Times New Roman" w:hAnsi="Times New Roman" w:cs="Times New Roman"/>
                <w:b/>
                <w:bCs/>
              </w:rPr>
            </w:pPr>
            <w:r>
              <w:rPr>
                <w:rFonts w:ascii="Times New Roman" w:eastAsia="Times New Roman" w:hAnsi="Times New Roman" w:cs="Times New Roman"/>
                <w:b/>
                <w:bCs/>
              </w:rPr>
              <w:t>Data/Model</w:t>
            </w:r>
          </w:p>
        </w:tc>
        <w:tc>
          <w:tcPr>
            <w:tcW w:w="1655" w:type="dxa"/>
          </w:tcPr>
          <w:p w14:paraId="18013DB2" w14:textId="77777777" w:rsidR="008059F4" w:rsidRDefault="00654302">
            <w:pPr>
              <w:spacing w:after="160" w:line="259" w:lineRule="auto"/>
              <w:rPr>
                <w:rFonts w:ascii="Times New Roman" w:eastAsia="Times New Roman" w:hAnsi="Times New Roman" w:cs="Times New Roman"/>
                <w:b/>
                <w:bCs/>
              </w:rPr>
            </w:pPr>
            <w:r>
              <w:rPr>
                <w:rFonts w:ascii="Times New Roman" w:eastAsia="Times New Roman" w:hAnsi="Times New Roman" w:cs="Times New Roman"/>
                <w:b/>
                <w:bCs/>
              </w:rPr>
              <w:t>Objective</w:t>
            </w:r>
          </w:p>
        </w:tc>
        <w:tc>
          <w:tcPr>
            <w:tcW w:w="1618" w:type="dxa"/>
          </w:tcPr>
          <w:p w14:paraId="02A89D3A" w14:textId="77777777" w:rsidR="008059F4" w:rsidRDefault="00654302">
            <w:pPr>
              <w:spacing w:after="160" w:line="259" w:lineRule="auto"/>
              <w:rPr>
                <w:rFonts w:ascii="Times New Roman" w:eastAsia="Times New Roman" w:hAnsi="Times New Roman" w:cs="Times New Roman"/>
                <w:b/>
                <w:bCs/>
              </w:rPr>
            </w:pPr>
            <w:r>
              <w:rPr>
                <w:rFonts w:ascii="Times New Roman" w:eastAsia="Times New Roman" w:hAnsi="Times New Roman" w:cs="Times New Roman"/>
                <w:b/>
                <w:bCs/>
              </w:rPr>
              <w:t>Method</w:t>
            </w:r>
          </w:p>
        </w:tc>
        <w:tc>
          <w:tcPr>
            <w:tcW w:w="1680" w:type="dxa"/>
          </w:tcPr>
          <w:p w14:paraId="19A45918" w14:textId="77777777" w:rsidR="008059F4" w:rsidRDefault="00654302">
            <w:pPr>
              <w:spacing w:after="160" w:line="259" w:lineRule="auto"/>
              <w:rPr>
                <w:rFonts w:ascii="Times New Roman" w:eastAsia="Times New Roman" w:hAnsi="Times New Roman" w:cs="Times New Roman"/>
                <w:b/>
                <w:bCs/>
              </w:rPr>
            </w:pPr>
            <w:r>
              <w:rPr>
                <w:rFonts w:ascii="Times New Roman" w:eastAsia="Times New Roman" w:hAnsi="Times New Roman" w:cs="Times New Roman"/>
                <w:b/>
                <w:bCs/>
              </w:rPr>
              <w:t>Main Findings</w:t>
            </w:r>
          </w:p>
        </w:tc>
      </w:tr>
      <w:tr w:rsidR="008059F4" w14:paraId="735F2A3B" w14:textId="77777777">
        <w:tc>
          <w:tcPr>
            <w:tcW w:w="1989" w:type="dxa"/>
          </w:tcPr>
          <w:p w14:paraId="3B2C16A6" w14:textId="77777777" w:rsidR="008059F4" w:rsidRDefault="00654302">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Evgenidis</w:t>
            </w:r>
            <w:proofErr w:type="spellEnd"/>
          </w:p>
        </w:tc>
        <w:tc>
          <w:tcPr>
            <w:tcW w:w="765" w:type="dxa"/>
          </w:tcPr>
          <w:p w14:paraId="256DB047"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2020</w:t>
            </w:r>
          </w:p>
        </w:tc>
        <w:tc>
          <w:tcPr>
            <w:tcW w:w="1643" w:type="dxa"/>
          </w:tcPr>
          <w:p w14:paraId="7C1062B0"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Euro Area data; SVAR</w:t>
            </w:r>
          </w:p>
        </w:tc>
        <w:tc>
          <w:tcPr>
            <w:tcW w:w="1655" w:type="dxa"/>
          </w:tcPr>
          <w:p w14:paraId="1BA70468"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Assess impact of unconventional monetary policy on financial stability</w:t>
            </w:r>
          </w:p>
        </w:tc>
        <w:tc>
          <w:tcPr>
            <w:tcW w:w="1618" w:type="dxa"/>
          </w:tcPr>
          <w:p w14:paraId="7160D708"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Structural Vector Autoregressive</w:t>
            </w:r>
            <w:r>
              <w:rPr>
                <w:rFonts w:ascii="Times New Roman" w:eastAsia="Times New Roman" w:hAnsi="Times New Roman" w:cs="Times New Roman"/>
              </w:rPr>
              <w:t xml:space="preserve"> Model (VAR)</w:t>
            </w:r>
          </w:p>
        </w:tc>
        <w:tc>
          <w:tcPr>
            <w:tcW w:w="1680" w:type="dxa"/>
          </w:tcPr>
          <w:p w14:paraId="2B263229"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Liquidity injections mitigate short-term instability but increase medium-term risk-taking</w:t>
            </w:r>
          </w:p>
        </w:tc>
      </w:tr>
      <w:tr w:rsidR="008059F4" w14:paraId="1656911B" w14:textId="77777777">
        <w:tc>
          <w:tcPr>
            <w:tcW w:w="1989" w:type="dxa"/>
          </w:tcPr>
          <w:p w14:paraId="24E40362"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Lamers et al.</w:t>
            </w:r>
          </w:p>
        </w:tc>
        <w:tc>
          <w:tcPr>
            <w:tcW w:w="765" w:type="dxa"/>
          </w:tcPr>
          <w:p w14:paraId="5A629A72"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2019</w:t>
            </w:r>
          </w:p>
        </w:tc>
        <w:tc>
          <w:tcPr>
            <w:tcW w:w="1643" w:type="dxa"/>
          </w:tcPr>
          <w:p w14:paraId="13CBEB12"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Panel data; VAR</w:t>
            </w:r>
          </w:p>
        </w:tc>
        <w:tc>
          <w:tcPr>
            <w:tcW w:w="1655" w:type="dxa"/>
          </w:tcPr>
          <w:p w14:paraId="1105DB59"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Examine trade-off between monetary accommodation and bank stability</w:t>
            </w:r>
          </w:p>
        </w:tc>
        <w:tc>
          <w:tcPr>
            <w:tcW w:w="1618" w:type="dxa"/>
          </w:tcPr>
          <w:p w14:paraId="28BC9596"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Panel VAR</w:t>
            </w:r>
          </w:p>
        </w:tc>
        <w:tc>
          <w:tcPr>
            <w:tcW w:w="1680" w:type="dxa"/>
          </w:tcPr>
          <w:p w14:paraId="65C3746E"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Expansionary policy improves liquidity </w:t>
            </w:r>
            <w:r>
              <w:rPr>
                <w:rFonts w:ascii="Times New Roman" w:eastAsia="Times New Roman" w:hAnsi="Times New Roman" w:cs="Times New Roman"/>
              </w:rPr>
              <w:t>short-term but erodes solvency over time</w:t>
            </w:r>
          </w:p>
        </w:tc>
      </w:tr>
      <w:tr w:rsidR="008059F4" w14:paraId="4A29814F" w14:textId="77777777">
        <w:tc>
          <w:tcPr>
            <w:tcW w:w="1989" w:type="dxa"/>
          </w:tcPr>
          <w:p w14:paraId="120976ED" w14:textId="77777777" w:rsidR="008059F4" w:rsidRDefault="00654302">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Chukwukelo</w:t>
            </w:r>
            <w:proofErr w:type="spellEnd"/>
            <w:r>
              <w:rPr>
                <w:rFonts w:ascii="Times New Roman" w:eastAsia="Times New Roman" w:hAnsi="Times New Roman" w:cs="Times New Roman"/>
              </w:rPr>
              <w:t xml:space="preserve"> et al.</w:t>
            </w:r>
          </w:p>
        </w:tc>
        <w:tc>
          <w:tcPr>
            <w:tcW w:w="765" w:type="dxa"/>
          </w:tcPr>
          <w:p w14:paraId="10242BD5"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2025</w:t>
            </w:r>
          </w:p>
        </w:tc>
        <w:tc>
          <w:tcPr>
            <w:tcW w:w="1643" w:type="dxa"/>
          </w:tcPr>
          <w:p w14:paraId="56B233AA"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Global commodity price and financial data; BVAR</w:t>
            </w:r>
          </w:p>
        </w:tc>
        <w:tc>
          <w:tcPr>
            <w:tcW w:w="1655" w:type="dxa"/>
          </w:tcPr>
          <w:p w14:paraId="0D74DDD2"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Examine how domestic macroeconomic variables respond to global shocks.</w:t>
            </w:r>
          </w:p>
        </w:tc>
        <w:tc>
          <w:tcPr>
            <w:tcW w:w="1618" w:type="dxa"/>
          </w:tcPr>
          <w:p w14:paraId="576E8BB1"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Bayesian VAR</w:t>
            </w:r>
          </w:p>
        </w:tc>
        <w:tc>
          <w:tcPr>
            <w:tcW w:w="1680" w:type="dxa"/>
          </w:tcPr>
          <w:p w14:paraId="46F1ED4D"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Exchange rate and inflation are highly sensitive to global </w:t>
            </w:r>
            <w:r>
              <w:rPr>
                <w:rFonts w:ascii="Times New Roman" w:eastAsia="Times New Roman" w:hAnsi="Times New Roman" w:cs="Times New Roman"/>
              </w:rPr>
              <w:t>commodity fluctuations. The BVAR model provides better predictive accuracy than traditional VAR approaches</w:t>
            </w:r>
          </w:p>
        </w:tc>
      </w:tr>
      <w:tr w:rsidR="008059F4" w14:paraId="0C8DE199" w14:textId="77777777">
        <w:tc>
          <w:tcPr>
            <w:tcW w:w="1989" w:type="dxa"/>
          </w:tcPr>
          <w:p w14:paraId="3552817A"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Afonso &amp; Sousa</w:t>
            </w:r>
            <w:r>
              <w:rPr>
                <w:rFonts w:ascii="Times New Roman" w:eastAsia="Times New Roman" w:hAnsi="Times New Roman" w:cs="Times New Roman"/>
                <w:color w:val="000000"/>
              </w:rPr>
              <w:t xml:space="preserve"> (2012)</w:t>
            </w:r>
          </w:p>
        </w:tc>
        <w:tc>
          <w:tcPr>
            <w:tcW w:w="765" w:type="dxa"/>
          </w:tcPr>
          <w:p w14:paraId="393DEDA0"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2021</w:t>
            </w:r>
          </w:p>
        </w:tc>
        <w:tc>
          <w:tcPr>
            <w:tcW w:w="1643" w:type="dxa"/>
          </w:tcPr>
          <w:p w14:paraId="17D1F7D5"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Global Data (US, UK, Germany)</w:t>
            </w:r>
          </w:p>
        </w:tc>
        <w:tc>
          <w:tcPr>
            <w:tcW w:w="1655" w:type="dxa"/>
          </w:tcPr>
          <w:p w14:paraId="6D1D5EA6"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To investigate the macroeconomic effects of fiscal policy shocks, including their impact on</w:t>
            </w:r>
            <w:r>
              <w:rPr>
                <w:rFonts w:ascii="Times New Roman" w:eastAsia="Times New Roman" w:hAnsi="Times New Roman" w:cs="Times New Roman"/>
              </w:rPr>
              <w:t xml:space="preserve"> GDP, asset markets, and debt dynamics.</w:t>
            </w:r>
          </w:p>
        </w:tc>
        <w:tc>
          <w:tcPr>
            <w:tcW w:w="1618" w:type="dxa"/>
          </w:tcPr>
          <w:p w14:paraId="1AC4EFF5"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Bayesian Structural VAR (B-SVAR) approach</w:t>
            </w:r>
          </w:p>
        </w:tc>
        <w:tc>
          <w:tcPr>
            <w:tcW w:w="1680" w:type="dxa"/>
          </w:tcPr>
          <w:p w14:paraId="103641FB"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Government spending shocks: small positive effect on GDP, crowding-out effects on private sector, positive effect on housing prices, negative effect on stock prices</w:t>
            </w:r>
          </w:p>
        </w:tc>
      </w:tr>
      <w:tr w:rsidR="008059F4" w14:paraId="5E9012A6" w14:textId="77777777">
        <w:tc>
          <w:tcPr>
            <w:tcW w:w="1989" w:type="dxa"/>
          </w:tcPr>
          <w:p w14:paraId="3A1472E3"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lastRenderedPageBreak/>
              <w:t xml:space="preserve">Bekaert </w:t>
            </w:r>
            <w:r>
              <w:rPr>
                <w:rFonts w:ascii="Times New Roman" w:eastAsia="Times New Roman" w:hAnsi="Times New Roman" w:cs="Times New Roman"/>
              </w:rPr>
              <w:t>et al.</w:t>
            </w:r>
          </w:p>
        </w:tc>
        <w:tc>
          <w:tcPr>
            <w:tcW w:w="765" w:type="dxa"/>
          </w:tcPr>
          <w:p w14:paraId="3D88532B"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2013</w:t>
            </w:r>
          </w:p>
        </w:tc>
        <w:tc>
          <w:tcPr>
            <w:tcW w:w="1643" w:type="dxa"/>
          </w:tcPr>
          <w:p w14:paraId="31EB7742"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DSGE model</w:t>
            </w:r>
          </w:p>
        </w:tc>
        <w:tc>
          <w:tcPr>
            <w:tcW w:w="1655" w:type="dxa"/>
          </w:tcPr>
          <w:p w14:paraId="314AE243"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Analyse risk, uncertainty and monetary policy rules. </w:t>
            </w:r>
          </w:p>
        </w:tc>
        <w:tc>
          <w:tcPr>
            <w:tcW w:w="1618" w:type="dxa"/>
          </w:tcPr>
          <w:p w14:paraId="20D70287"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Dynamic Stochastic General Equilibrium Model (DSGE)</w:t>
            </w:r>
          </w:p>
        </w:tc>
        <w:tc>
          <w:tcPr>
            <w:tcW w:w="1680" w:type="dxa"/>
          </w:tcPr>
          <w:p w14:paraId="7388B4E1"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MPU propagates through credit spreads and weakens central bank credibility</w:t>
            </w:r>
          </w:p>
        </w:tc>
      </w:tr>
      <w:tr w:rsidR="008059F4" w14:paraId="455ED4DD" w14:textId="77777777">
        <w:tc>
          <w:tcPr>
            <w:tcW w:w="1989" w:type="dxa"/>
          </w:tcPr>
          <w:p w14:paraId="58284E55" w14:textId="77777777" w:rsidR="008059F4" w:rsidRDefault="0065430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rPr>
              <w:t>Fernández-Villaverde et al</w:t>
            </w:r>
          </w:p>
        </w:tc>
        <w:tc>
          <w:tcPr>
            <w:tcW w:w="765" w:type="dxa"/>
          </w:tcPr>
          <w:p w14:paraId="1D51FF87"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2015</w:t>
            </w:r>
          </w:p>
        </w:tc>
        <w:tc>
          <w:tcPr>
            <w:tcW w:w="1643" w:type="dxa"/>
          </w:tcPr>
          <w:p w14:paraId="6DC4A00D"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 DSGE</w:t>
            </w:r>
          </w:p>
        </w:tc>
        <w:tc>
          <w:tcPr>
            <w:tcW w:w="1655" w:type="dxa"/>
          </w:tcPr>
          <w:p w14:paraId="2B3D13E7" w14:textId="77777777" w:rsidR="008059F4" w:rsidRDefault="00654302">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Analyze</w:t>
            </w:r>
            <w:proofErr w:type="spellEnd"/>
            <w:r>
              <w:rPr>
                <w:rFonts w:ascii="Times New Roman" w:eastAsia="Times New Roman" w:hAnsi="Times New Roman" w:cs="Times New Roman"/>
              </w:rPr>
              <w:t xml:space="preserve"> how uncertainty shocks in fiscal policy (taxes, spending) affect macroeconomic activity and financial conditions</w:t>
            </w:r>
          </w:p>
        </w:tc>
        <w:tc>
          <w:tcPr>
            <w:tcW w:w="1618" w:type="dxa"/>
          </w:tcPr>
          <w:p w14:paraId="61313E16"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DSGE</w:t>
            </w:r>
          </w:p>
        </w:tc>
        <w:tc>
          <w:tcPr>
            <w:tcW w:w="1680" w:type="dxa"/>
          </w:tcPr>
          <w:p w14:paraId="3927C289"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Fiscal policy uncertainty shocks generate large and persistent declines in output and investment.</w:t>
            </w:r>
          </w:p>
        </w:tc>
      </w:tr>
      <w:tr w:rsidR="008059F4" w14:paraId="2BDC744B" w14:textId="77777777">
        <w:tc>
          <w:tcPr>
            <w:tcW w:w="1989" w:type="dxa"/>
          </w:tcPr>
          <w:p w14:paraId="62190CFB" w14:textId="77777777" w:rsidR="008059F4" w:rsidRDefault="00654302">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Laeven</w:t>
            </w:r>
            <w:proofErr w:type="spellEnd"/>
            <w:r>
              <w:rPr>
                <w:rFonts w:ascii="Times New Roman" w:eastAsia="Times New Roman" w:hAnsi="Times New Roman" w:cs="Times New Roman"/>
              </w:rPr>
              <w:t xml:space="preserve"> et al., 2022</w:t>
            </w:r>
          </w:p>
        </w:tc>
        <w:tc>
          <w:tcPr>
            <w:tcW w:w="765" w:type="dxa"/>
          </w:tcPr>
          <w:p w14:paraId="7613EC32"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2022</w:t>
            </w:r>
          </w:p>
        </w:tc>
        <w:tc>
          <w:tcPr>
            <w:tcW w:w="1643" w:type="dxa"/>
          </w:tcPr>
          <w:p w14:paraId="75593365"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Theoretical m</w:t>
            </w:r>
            <w:r>
              <w:rPr>
                <w:rFonts w:ascii="Times New Roman" w:eastAsia="Times New Roman" w:hAnsi="Times New Roman" w:cs="Times New Roman"/>
              </w:rPr>
              <w:t>odel; Empirical evidence from ECB research task force</w:t>
            </w:r>
          </w:p>
        </w:tc>
        <w:tc>
          <w:tcPr>
            <w:tcW w:w="1655" w:type="dxa"/>
          </w:tcPr>
          <w:p w14:paraId="7A15A5FF"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Analyse trade-offs and spillovers between monetary policy and macroprudential policy, and their combined effects on financial stability and economic growth.</w:t>
            </w:r>
          </w:p>
        </w:tc>
        <w:tc>
          <w:tcPr>
            <w:tcW w:w="1618" w:type="dxa"/>
          </w:tcPr>
          <w:p w14:paraId="2B8E0EAA"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DSGE</w:t>
            </w:r>
          </w:p>
        </w:tc>
        <w:tc>
          <w:tcPr>
            <w:tcW w:w="1680" w:type="dxa"/>
          </w:tcPr>
          <w:p w14:paraId="03D5604F"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Monetary policy supports credit supply b</w:t>
            </w:r>
            <w:r>
              <w:rPr>
                <w:rFonts w:ascii="Times New Roman" w:eastAsia="Times New Roman" w:hAnsi="Times New Roman" w:cs="Times New Roman"/>
              </w:rPr>
              <w:t>ut can increase financial stability risks. Macroprudential policy effectively limits systemic risk but may shorten economic expansions by restricting credit to productive activities</w:t>
            </w:r>
          </w:p>
        </w:tc>
      </w:tr>
      <w:tr w:rsidR="008059F4" w14:paraId="588CF6B7" w14:textId="77777777">
        <w:tc>
          <w:tcPr>
            <w:tcW w:w="1989" w:type="dxa"/>
          </w:tcPr>
          <w:p w14:paraId="43662090"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Monje et al.</w:t>
            </w:r>
          </w:p>
        </w:tc>
        <w:tc>
          <w:tcPr>
            <w:tcW w:w="765" w:type="dxa"/>
          </w:tcPr>
          <w:p w14:paraId="3FFBFA72"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2025</w:t>
            </w:r>
          </w:p>
        </w:tc>
        <w:tc>
          <w:tcPr>
            <w:tcW w:w="1643" w:type="dxa"/>
          </w:tcPr>
          <w:p w14:paraId="40C3C1DA"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Global financial markets; ML</w:t>
            </w:r>
          </w:p>
        </w:tc>
        <w:tc>
          <w:tcPr>
            <w:tcW w:w="1655" w:type="dxa"/>
          </w:tcPr>
          <w:p w14:paraId="30F0AB40"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Assess AI-based stress </w:t>
            </w:r>
            <w:r>
              <w:rPr>
                <w:rFonts w:ascii="Times New Roman" w:eastAsia="Times New Roman" w:hAnsi="Times New Roman" w:cs="Times New Roman"/>
              </w:rPr>
              <w:t>testing under uncertainty</w:t>
            </w:r>
          </w:p>
        </w:tc>
        <w:tc>
          <w:tcPr>
            <w:tcW w:w="1618" w:type="dxa"/>
          </w:tcPr>
          <w:p w14:paraId="1BE69509"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ML &amp; AI-based stress testing</w:t>
            </w:r>
          </w:p>
        </w:tc>
        <w:tc>
          <w:tcPr>
            <w:tcW w:w="1680" w:type="dxa"/>
          </w:tcPr>
          <w:p w14:paraId="77F04B7D"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AI enhances early-warning signals for credit and liquidity deterioration</w:t>
            </w:r>
          </w:p>
        </w:tc>
      </w:tr>
      <w:tr w:rsidR="008059F4" w14:paraId="4E3CCF70" w14:textId="77777777">
        <w:tc>
          <w:tcPr>
            <w:tcW w:w="1989" w:type="dxa"/>
          </w:tcPr>
          <w:p w14:paraId="32E1B182"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Yeo et al</w:t>
            </w:r>
          </w:p>
        </w:tc>
        <w:tc>
          <w:tcPr>
            <w:tcW w:w="765" w:type="dxa"/>
          </w:tcPr>
          <w:p w14:paraId="176398B4"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2025</w:t>
            </w:r>
          </w:p>
        </w:tc>
        <w:tc>
          <w:tcPr>
            <w:tcW w:w="1643" w:type="dxa"/>
          </w:tcPr>
          <w:p w14:paraId="62E5E803"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Conceptual analysis</w:t>
            </w:r>
          </w:p>
        </w:tc>
        <w:tc>
          <w:tcPr>
            <w:tcW w:w="1655" w:type="dxa"/>
          </w:tcPr>
          <w:p w14:paraId="2902A4E4"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Evaluate explainability in AI for financial supervision</w:t>
            </w:r>
          </w:p>
        </w:tc>
        <w:tc>
          <w:tcPr>
            <w:tcW w:w="1618" w:type="dxa"/>
          </w:tcPr>
          <w:p w14:paraId="657C8496"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XAI frameworks</w:t>
            </w:r>
          </w:p>
        </w:tc>
        <w:tc>
          <w:tcPr>
            <w:tcW w:w="1680" w:type="dxa"/>
          </w:tcPr>
          <w:p w14:paraId="74F74C73"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Lack of interpretabil</w:t>
            </w:r>
            <w:r>
              <w:rPr>
                <w:rFonts w:ascii="Times New Roman" w:eastAsia="Times New Roman" w:hAnsi="Times New Roman" w:cs="Times New Roman"/>
              </w:rPr>
              <w:t>ity in ML models hinders regulatory adoption</w:t>
            </w:r>
          </w:p>
        </w:tc>
      </w:tr>
      <w:tr w:rsidR="008059F4" w14:paraId="4A2E18EB" w14:textId="77777777">
        <w:tc>
          <w:tcPr>
            <w:tcW w:w="1989" w:type="dxa"/>
          </w:tcPr>
          <w:p w14:paraId="0DEED8AD"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lastRenderedPageBreak/>
              <w:t>Baker et al.</w:t>
            </w:r>
          </w:p>
        </w:tc>
        <w:tc>
          <w:tcPr>
            <w:tcW w:w="765" w:type="dxa"/>
          </w:tcPr>
          <w:p w14:paraId="1EFB2849"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2016</w:t>
            </w:r>
          </w:p>
        </w:tc>
        <w:tc>
          <w:tcPr>
            <w:tcW w:w="1643" w:type="dxa"/>
          </w:tcPr>
          <w:p w14:paraId="24453E48"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News-based EPU index</w:t>
            </w:r>
          </w:p>
        </w:tc>
        <w:tc>
          <w:tcPr>
            <w:tcW w:w="1655" w:type="dxa"/>
          </w:tcPr>
          <w:p w14:paraId="0F7307C2"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Develop EPU index using NLP</w:t>
            </w:r>
          </w:p>
        </w:tc>
        <w:tc>
          <w:tcPr>
            <w:tcW w:w="1618" w:type="dxa"/>
          </w:tcPr>
          <w:p w14:paraId="4AFD4869"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NLP/Text Mining</w:t>
            </w:r>
          </w:p>
        </w:tc>
        <w:tc>
          <w:tcPr>
            <w:tcW w:w="1680" w:type="dxa"/>
          </w:tcPr>
          <w:p w14:paraId="71CFC10E"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EPU index captures spikes in uncertainty; correlates with lending and market volatility</w:t>
            </w:r>
          </w:p>
        </w:tc>
      </w:tr>
      <w:tr w:rsidR="008059F4" w14:paraId="3C8F84C7" w14:textId="77777777">
        <w:tc>
          <w:tcPr>
            <w:tcW w:w="1989" w:type="dxa"/>
          </w:tcPr>
          <w:p w14:paraId="657EB953"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Hamdi &amp; Hassen</w:t>
            </w:r>
          </w:p>
        </w:tc>
        <w:tc>
          <w:tcPr>
            <w:tcW w:w="765" w:type="dxa"/>
          </w:tcPr>
          <w:p w14:paraId="499889B5"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2021</w:t>
            </w:r>
          </w:p>
        </w:tc>
        <w:tc>
          <w:tcPr>
            <w:tcW w:w="1643" w:type="dxa"/>
          </w:tcPr>
          <w:p w14:paraId="7BE7B573"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Tunisian banks; </w:t>
            </w:r>
            <w:r>
              <w:rPr>
                <w:rFonts w:ascii="Times New Roman" w:eastAsia="Times New Roman" w:hAnsi="Times New Roman" w:cs="Times New Roman"/>
              </w:rPr>
              <w:t>EPU data</w:t>
            </w:r>
          </w:p>
        </w:tc>
        <w:tc>
          <w:tcPr>
            <w:tcW w:w="1655" w:type="dxa"/>
          </w:tcPr>
          <w:p w14:paraId="0328EEAC"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Examine EPU’s effect on credit risk and loan performance</w:t>
            </w:r>
          </w:p>
        </w:tc>
        <w:tc>
          <w:tcPr>
            <w:tcW w:w="1618" w:type="dxa"/>
          </w:tcPr>
          <w:p w14:paraId="5458F38E"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Panel regression</w:t>
            </w:r>
          </w:p>
        </w:tc>
        <w:tc>
          <w:tcPr>
            <w:tcW w:w="1680" w:type="dxa"/>
          </w:tcPr>
          <w:p w14:paraId="73847BD5"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EPU increases credit risk and reduces loan performance, especially in state-owned banks</w:t>
            </w:r>
          </w:p>
        </w:tc>
      </w:tr>
      <w:tr w:rsidR="008059F4" w14:paraId="771A4627" w14:textId="77777777">
        <w:tc>
          <w:tcPr>
            <w:tcW w:w="1989" w:type="dxa"/>
          </w:tcPr>
          <w:p w14:paraId="68E59D6F"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Bordo et al.</w:t>
            </w:r>
          </w:p>
        </w:tc>
        <w:tc>
          <w:tcPr>
            <w:tcW w:w="765" w:type="dxa"/>
          </w:tcPr>
          <w:p w14:paraId="4BD58EAE"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2016</w:t>
            </w:r>
          </w:p>
        </w:tc>
        <w:tc>
          <w:tcPr>
            <w:tcW w:w="1643" w:type="dxa"/>
          </w:tcPr>
          <w:p w14:paraId="5ACF7D81"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U.S. bank-level data</w:t>
            </w:r>
          </w:p>
        </w:tc>
        <w:tc>
          <w:tcPr>
            <w:tcW w:w="1655" w:type="dxa"/>
          </w:tcPr>
          <w:p w14:paraId="650EA4F6" w14:textId="77777777" w:rsidR="008059F4" w:rsidRDefault="00654302">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Analyze</w:t>
            </w:r>
            <w:proofErr w:type="spellEnd"/>
            <w:r>
              <w:rPr>
                <w:rFonts w:ascii="Times New Roman" w:eastAsia="Times New Roman" w:hAnsi="Times New Roman" w:cs="Times New Roman"/>
              </w:rPr>
              <w:t xml:space="preserve"> EPU’s effect on credit channel</w:t>
            </w:r>
          </w:p>
        </w:tc>
        <w:tc>
          <w:tcPr>
            <w:tcW w:w="1618" w:type="dxa"/>
          </w:tcPr>
          <w:p w14:paraId="7DDB6F2B"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Panel </w:t>
            </w:r>
            <w:r>
              <w:rPr>
                <w:rFonts w:ascii="Times New Roman" w:eastAsia="Times New Roman" w:hAnsi="Times New Roman" w:cs="Times New Roman"/>
              </w:rPr>
              <w:t>data analysis</w:t>
            </w:r>
          </w:p>
        </w:tc>
        <w:tc>
          <w:tcPr>
            <w:tcW w:w="1680" w:type="dxa"/>
          </w:tcPr>
          <w:p w14:paraId="6644C3D9"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EPU reduces credit supply and increases bank risk aversion</w:t>
            </w:r>
          </w:p>
        </w:tc>
      </w:tr>
      <w:tr w:rsidR="008059F4" w14:paraId="29EBC96A" w14:textId="77777777">
        <w:tc>
          <w:tcPr>
            <w:tcW w:w="1989" w:type="dxa"/>
          </w:tcPr>
          <w:p w14:paraId="46023CB4"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Chen et al.</w:t>
            </w:r>
          </w:p>
        </w:tc>
        <w:tc>
          <w:tcPr>
            <w:tcW w:w="765" w:type="dxa"/>
          </w:tcPr>
          <w:p w14:paraId="5EDFAD04"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2018</w:t>
            </w:r>
          </w:p>
        </w:tc>
        <w:tc>
          <w:tcPr>
            <w:tcW w:w="1643" w:type="dxa"/>
          </w:tcPr>
          <w:p w14:paraId="45FD544F"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Chinese banks; EPU data</w:t>
            </w:r>
          </w:p>
        </w:tc>
        <w:tc>
          <w:tcPr>
            <w:tcW w:w="1655" w:type="dxa"/>
          </w:tcPr>
          <w:p w14:paraId="22983D15"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Study EPU’s impact on bank risk and lending </w:t>
            </w:r>
            <w:proofErr w:type="spellStart"/>
            <w:r>
              <w:rPr>
                <w:rFonts w:ascii="Times New Roman" w:eastAsia="Times New Roman" w:hAnsi="Times New Roman" w:cs="Times New Roman"/>
              </w:rPr>
              <w:t>behavious</w:t>
            </w:r>
            <w:proofErr w:type="spellEnd"/>
          </w:p>
        </w:tc>
        <w:tc>
          <w:tcPr>
            <w:tcW w:w="1618" w:type="dxa"/>
          </w:tcPr>
          <w:p w14:paraId="456C1510"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Panel regression</w:t>
            </w:r>
          </w:p>
        </w:tc>
        <w:tc>
          <w:tcPr>
            <w:tcW w:w="1680" w:type="dxa"/>
          </w:tcPr>
          <w:p w14:paraId="5E70D6C2"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EPU raises credit risk and NPLs; banks tighten lending under </w:t>
            </w:r>
            <w:r>
              <w:rPr>
                <w:rFonts w:ascii="Times New Roman" w:eastAsia="Times New Roman" w:hAnsi="Times New Roman" w:cs="Times New Roman"/>
              </w:rPr>
              <w:t>uncertainty</w:t>
            </w:r>
          </w:p>
        </w:tc>
      </w:tr>
      <w:tr w:rsidR="008059F4" w14:paraId="53C05815" w14:textId="77777777">
        <w:tc>
          <w:tcPr>
            <w:tcW w:w="1989" w:type="dxa"/>
          </w:tcPr>
          <w:p w14:paraId="559AA16D"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Berger et al.</w:t>
            </w:r>
          </w:p>
        </w:tc>
        <w:tc>
          <w:tcPr>
            <w:tcW w:w="765" w:type="dxa"/>
          </w:tcPr>
          <w:p w14:paraId="282FBC19"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2024</w:t>
            </w:r>
          </w:p>
        </w:tc>
        <w:tc>
          <w:tcPr>
            <w:tcW w:w="1643" w:type="dxa"/>
          </w:tcPr>
          <w:p w14:paraId="4A4FDB54"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Global Government Guarantees; liquidity data</w:t>
            </w:r>
          </w:p>
        </w:tc>
        <w:tc>
          <w:tcPr>
            <w:tcW w:w="1655" w:type="dxa"/>
          </w:tcPr>
          <w:p w14:paraId="749E13F5"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Investigate EPU and liquidity hoarding</w:t>
            </w:r>
          </w:p>
        </w:tc>
        <w:tc>
          <w:tcPr>
            <w:tcW w:w="1618" w:type="dxa"/>
          </w:tcPr>
          <w:p w14:paraId="6F70942A"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Regression analysis</w:t>
            </w:r>
          </w:p>
        </w:tc>
        <w:tc>
          <w:tcPr>
            <w:tcW w:w="1680" w:type="dxa"/>
          </w:tcPr>
          <w:p w14:paraId="4CF0FA54"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Banks with low liquidity hoard more under EPU; peer-bank spillovers intensify hoarding</w:t>
            </w:r>
          </w:p>
        </w:tc>
      </w:tr>
      <w:tr w:rsidR="008059F4" w14:paraId="55719792" w14:textId="77777777">
        <w:tc>
          <w:tcPr>
            <w:tcW w:w="1989" w:type="dxa"/>
          </w:tcPr>
          <w:p w14:paraId="1500093B"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Berger et al.</w:t>
            </w:r>
          </w:p>
        </w:tc>
        <w:tc>
          <w:tcPr>
            <w:tcW w:w="765" w:type="dxa"/>
          </w:tcPr>
          <w:p w14:paraId="3D6EC99E"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2022</w:t>
            </w:r>
          </w:p>
        </w:tc>
        <w:tc>
          <w:tcPr>
            <w:tcW w:w="1643" w:type="dxa"/>
          </w:tcPr>
          <w:p w14:paraId="5E397A2E"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U.S. banks; </w:t>
            </w:r>
            <w:r>
              <w:rPr>
                <w:rFonts w:ascii="Times New Roman" w:eastAsia="Times New Roman" w:hAnsi="Times New Roman" w:cs="Times New Roman"/>
              </w:rPr>
              <w:t>extended liquidity data</w:t>
            </w:r>
          </w:p>
        </w:tc>
        <w:tc>
          <w:tcPr>
            <w:tcW w:w="1655" w:type="dxa"/>
          </w:tcPr>
          <w:p w14:paraId="5E1110FF"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Confirm EPU’s role in liquidity hoarding</w:t>
            </w:r>
          </w:p>
        </w:tc>
        <w:tc>
          <w:tcPr>
            <w:tcW w:w="1618" w:type="dxa"/>
          </w:tcPr>
          <w:p w14:paraId="4FC6021E"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Empirical analysis</w:t>
            </w:r>
          </w:p>
        </w:tc>
        <w:tc>
          <w:tcPr>
            <w:tcW w:w="1680" w:type="dxa"/>
          </w:tcPr>
          <w:p w14:paraId="7A4C1FEC"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EPU drives asset, liability, and off-balance-sheet hoarding</w:t>
            </w:r>
          </w:p>
        </w:tc>
      </w:tr>
      <w:tr w:rsidR="008059F4" w14:paraId="073BFA1B" w14:textId="77777777">
        <w:tc>
          <w:tcPr>
            <w:tcW w:w="1989" w:type="dxa"/>
          </w:tcPr>
          <w:p w14:paraId="01D0992E"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Miranda-Agrippino, S., &amp; Rey</w:t>
            </w:r>
          </w:p>
        </w:tc>
        <w:tc>
          <w:tcPr>
            <w:tcW w:w="765" w:type="dxa"/>
          </w:tcPr>
          <w:p w14:paraId="3A9124B8"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2020</w:t>
            </w:r>
          </w:p>
        </w:tc>
        <w:tc>
          <w:tcPr>
            <w:tcW w:w="1643" w:type="dxa"/>
          </w:tcPr>
          <w:p w14:paraId="6D3A8AB9"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Monthly global financial data (1980–2010)</w:t>
            </w:r>
          </w:p>
        </w:tc>
        <w:tc>
          <w:tcPr>
            <w:tcW w:w="1655" w:type="dxa"/>
          </w:tcPr>
          <w:p w14:paraId="79E8D0EB"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Analyse how U.S. monetary policy sh</w:t>
            </w:r>
            <w:r>
              <w:rPr>
                <w:rFonts w:ascii="Times New Roman" w:eastAsia="Times New Roman" w:hAnsi="Times New Roman" w:cs="Times New Roman"/>
              </w:rPr>
              <w:t xml:space="preserve">ocks transmit internationally via the “Global Financial Cycle,” </w:t>
            </w:r>
            <w:r>
              <w:rPr>
                <w:rFonts w:ascii="Times New Roman" w:eastAsia="Times New Roman" w:hAnsi="Times New Roman" w:cs="Times New Roman"/>
              </w:rPr>
              <w:lastRenderedPageBreak/>
              <w:t>affecting asset prices, credit flows, and leverage worldwide.</w:t>
            </w:r>
          </w:p>
        </w:tc>
        <w:tc>
          <w:tcPr>
            <w:tcW w:w="1618" w:type="dxa"/>
          </w:tcPr>
          <w:p w14:paraId="73A3AEFE"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lastRenderedPageBreak/>
              <w:t>Estimate a Bayesian VAR including U.S. and global variables</w:t>
            </w:r>
          </w:p>
        </w:tc>
        <w:tc>
          <w:tcPr>
            <w:tcW w:w="1680" w:type="dxa"/>
          </w:tcPr>
          <w:p w14:paraId="697D4E91"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U.S. monetary policy is a key driver of the Global Financial Cycle, ch</w:t>
            </w:r>
            <w:r>
              <w:rPr>
                <w:rFonts w:ascii="Times New Roman" w:eastAsia="Times New Roman" w:hAnsi="Times New Roman" w:cs="Times New Roman"/>
              </w:rPr>
              <w:t xml:space="preserve">allenging the idea that flexible </w:t>
            </w:r>
            <w:r>
              <w:rPr>
                <w:rFonts w:ascii="Times New Roman" w:eastAsia="Times New Roman" w:hAnsi="Times New Roman" w:cs="Times New Roman"/>
              </w:rPr>
              <w:lastRenderedPageBreak/>
              <w:t>exchange rates guarantee monetary independence.</w:t>
            </w:r>
          </w:p>
        </w:tc>
      </w:tr>
      <w:tr w:rsidR="008059F4" w14:paraId="403EF000" w14:textId="77777777">
        <w:tc>
          <w:tcPr>
            <w:tcW w:w="1989" w:type="dxa"/>
          </w:tcPr>
          <w:p w14:paraId="22F680BA"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lastRenderedPageBreak/>
              <w:t>Davydov et al.</w:t>
            </w:r>
          </w:p>
        </w:tc>
        <w:tc>
          <w:tcPr>
            <w:tcW w:w="765" w:type="dxa"/>
          </w:tcPr>
          <w:p w14:paraId="65B52BC5"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2024</w:t>
            </w:r>
          </w:p>
        </w:tc>
        <w:tc>
          <w:tcPr>
            <w:tcW w:w="1643" w:type="dxa"/>
          </w:tcPr>
          <w:p w14:paraId="725D1A5A"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Bank governance data</w:t>
            </w:r>
          </w:p>
        </w:tc>
        <w:tc>
          <w:tcPr>
            <w:tcW w:w="1655" w:type="dxa"/>
          </w:tcPr>
          <w:p w14:paraId="78C8DD36"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Assess board diversity’s role in liquidity hoarding</w:t>
            </w:r>
          </w:p>
        </w:tc>
        <w:tc>
          <w:tcPr>
            <w:tcW w:w="1618" w:type="dxa"/>
          </w:tcPr>
          <w:p w14:paraId="4CDB5DD2"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Panel regression</w:t>
            </w:r>
          </w:p>
        </w:tc>
        <w:tc>
          <w:tcPr>
            <w:tcW w:w="1680" w:type="dxa"/>
          </w:tcPr>
          <w:p w14:paraId="16AB2F36"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Gender-diverse boards mitigate liquidity hoarding under EPU</w:t>
            </w:r>
          </w:p>
        </w:tc>
      </w:tr>
      <w:tr w:rsidR="008059F4" w14:paraId="59D111C7" w14:textId="77777777">
        <w:tc>
          <w:tcPr>
            <w:tcW w:w="1989" w:type="dxa"/>
          </w:tcPr>
          <w:p w14:paraId="498A117B" w14:textId="77777777" w:rsidR="008059F4" w:rsidRDefault="00654302">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Ndubueze</w:t>
            </w:r>
            <w:proofErr w:type="spellEnd"/>
          </w:p>
        </w:tc>
        <w:tc>
          <w:tcPr>
            <w:tcW w:w="765" w:type="dxa"/>
          </w:tcPr>
          <w:p w14:paraId="50CD8196"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2025</w:t>
            </w:r>
          </w:p>
        </w:tc>
        <w:tc>
          <w:tcPr>
            <w:tcW w:w="1643" w:type="dxa"/>
          </w:tcPr>
          <w:p w14:paraId="76F13287"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UK banks; Capital Adequacy Ratios (CAR) data</w:t>
            </w:r>
          </w:p>
        </w:tc>
        <w:tc>
          <w:tcPr>
            <w:tcW w:w="1655" w:type="dxa"/>
          </w:tcPr>
          <w:p w14:paraId="1E2C597C"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Examine CAR’s role in risk-taking</w:t>
            </w:r>
          </w:p>
        </w:tc>
        <w:tc>
          <w:tcPr>
            <w:tcW w:w="1618" w:type="dxa"/>
          </w:tcPr>
          <w:p w14:paraId="2671A804"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Panel regression</w:t>
            </w:r>
          </w:p>
        </w:tc>
        <w:tc>
          <w:tcPr>
            <w:tcW w:w="1680" w:type="dxa"/>
          </w:tcPr>
          <w:p w14:paraId="71475D3E"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Higher CAR reduces risk-taking; Basel III enhances resilience</w:t>
            </w:r>
          </w:p>
        </w:tc>
      </w:tr>
      <w:tr w:rsidR="008059F4" w14:paraId="41639DEE" w14:textId="77777777">
        <w:tc>
          <w:tcPr>
            <w:tcW w:w="1989" w:type="dxa"/>
          </w:tcPr>
          <w:p w14:paraId="44A3DBAE"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Nguyen et al.</w:t>
            </w:r>
          </w:p>
        </w:tc>
        <w:tc>
          <w:tcPr>
            <w:tcW w:w="765" w:type="dxa"/>
          </w:tcPr>
          <w:p w14:paraId="5D2F7AA0"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2024</w:t>
            </w:r>
          </w:p>
        </w:tc>
        <w:tc>
          <w:tcPr>
            <w:tcW w:w="1643" w:type="dxa"/>
          </w:tcPr>
          <w:p w14:paraId="018032DB"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Global banks; EPU &amp; CAR data</w:t>
            </w:r>
          </w:p>
        </w:tc>
        <w:tc>
          <w:tcPr>
            <w:tcW w:w="1655" w:type="dxa"/>
          </w:tcPr>
          <w:p w14:paraId="2E2BB029" w14:textId="77777777" w:rsidR="008059F4" w:rsidRDefault="00654302">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Analyze</w:t>
            </w:r>
            <w:proofErr w:type="spellEnd"/>
            <w:r>
              <w:rPr>
                <w:rFonts w:ascii="Times New Roman" w:eastAsia="Times New Roman" w:hAnsi="Times New Roman" w:cs="Times New Roman"/>
              </w:rPr>
              <w:t xml:space="preserve"> MPU’s effect on risk-taking</w:t>
            </w:r>
          </w:p>
        </w:tc>
        <w:tc>
          <w:tcPr>
            <w:tcW w:w="1618" w:type="dxa"/>
          </w:tcPr>
          <w:p w14:paraId="5D11DC00"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Quantile regression</w:t>
            </w:r>
          </w:p>
        </w:tc>
        <w:tc>
          <w:tcPr>
            <w:tcW w:w="1680" w:type="dxa"/>
          </w:tcPr>
          <w:p w14:paraId="1131DFCE"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MPU induces aggressive risk-taking under volatile conditions</w:t>
            </w:r>
          </w:p>
        </w:tc>
      </w:tr>
      <w:tr w:rsidR="008059F4" w14:paraId="2239CB21" w14:textId="77777777">
        <w:tc>
          <w:tcPr>
            <w:tcW w:w="1989" w:type="dxa"/>
          </w:tcPr>
          <w:p w14:paraId="25AE80DD"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Olawale</w:t>
            </w:r>
          </w:p>
        </w:tc>
        <w:tc>
          <w:tcPr>
            <w:tcW w:w="765" w:type="dxa"/>
          </w:tcPr>
          <w:p w14:paraId="32926A1D"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2024</w:t>
            </w:r>
          </w:p>
        </w:tc>
        <w:tc>
          <w:tcPr>
            <w:tcW w:w="1643" w:type="dxa"/>
          </w:tcPr>
          <w:p w14:paraId="35FDAD7B"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Nigerian banks; CAR data</w:t>
            </w:r>
          </w:p>
        </w:tc>
        <w:tc>
          <w:tcPr>
            <w:tcW w:w="1655" w:type="dxa"/>
          </w:tcPr>
          <w:p w14:paraId="5FF52471"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Assess capital adequacy and financial stability</w:t>
            </w:r>
          </w:p>
        </w:tc>
        <w:tc>
          <w:tcPr>
            <w:tcW w:w="1618" w:type="dxa"/>
          </w:tcPr>
          <w:p w14:paraId="5A83FE4E"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Empirical analysis</w:t>
            </w:r>
          </w:p>
        </w:tc>
        <w:tc>
          <w:tcPr>
            <w:tcW w:w="1680" w:type="dxa"/>
          </w:tcPr>
          <w:p w14:paraId="14BFEED3"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Strong CAR buffers reduce liquidity crises under MPU</w:t>
            </w:r>
          </w:p>
        </w:tc>
      </w:tr>
      <w:tr w:rsidR="008059F4" w14:paraId="1162CC0A" w14:textId="77777777">
        <w:tc>
          <w:tcPr>
            <w:tcW w:w="1989" w:type="dxa"/>
          </w:tcPr>
          <w:p w14:paraId="1E32667D"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Cole and White</w:t>
            </w:r>
          </w:p>
        </w:tc>
        <w:tc>
          <w:tcPr>
            <w:tcW w:w="765" w:type="dxa"/>
          </w:tcPr>
          <w:p w14:paraId="0E92976A"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2010</w:t>
            </w:r>
          </w:p>
        </w:tc>
        <w:tc>
          <w:tcPr>
            <w:tcW w:w="1643" w:type="dxa"/>
          </w:tcPr>
          <w:p w14:paraId="28C7745B"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U.S. banks; ML model</w:t>
            </w:r>
          </w:p>
        </w:tc>
        <w:tc>
          <w:tcPr>
            <w:tcW w:w="1655" w:type="dxa"/>
          </w:tcPr>
          <w:p w14:paraId="06C79F67"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Predict financial distress under MPU</w:t>
            </w:r>
          </w:p>
        </w:tc>
        <w:tc>
          <w:tcPr>
            <w:tcW w:w="1618" w:type="dxa"/>
          </w:tcPr>
          <w:p w14:paraId="333AEBD0"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Logistic regression, Decision Trees</w:t>
            </w:r>
          </w:p>
        </w:tc>
        <w:tc>
          <w:tcPr>
            <w:tcW w:w="1680" w:type="dxa"/>
          </w:tcPr>
          <w:p w14:paraId="767569A5"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ML models accurately forecast distress using capital, liquidity, and loan data</w:t>
            </w:r>
          </w:p>
        </w:tc>
      </w:tr>
      <w:tr w:rsidR="008059F4" w14:paraId="04CE86ED" w14:textId="77777777">
        <w:tc>
          <w:tcPr>
            <w:tcW w:w="1989" w:type="dxa"/>
          </w:tcPr>
          <w:p w14:paraId="163A6118" w14:textId="77777777" w:rsidR="008059F4" w:rsidRDefault="00654302">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Akubilla</w:t>
            </w:r>
            <w:proofErr w:type="spellEnd"/>
            <w:r>
              <w:rPr>
                <w:rFonts w:ascii="Times New Roman" w:eastAsia="Times New Roman" w:hAnsi="Times New Roman" w:cs="Times New Roman"/>
              </w:rPr>
              <w:t xml:space="preserve"> et al.</w:t>
            </w:r>
          </w:p>
        </w:tc>
        <w:tc>
          <w:tcPr>
            <w:tcW w:w="765" w:type="dxa"/>
          </w:tcPr>
          <w:p w14:paraId="58AB97CE"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2025</w:t>
            </w:r>
          </w:p>
        </w:tc>
        <w:tc>
          <w:tcPr>
            <w:tcW w:w="1643" w:type="dxa"/>
          </w:tcPr>
          <w:p w14:paraId="49EB9B9E"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Conceptual; supply chain risk</w:t>
            </w:r>
          </w:p>
        </w:tc>
        <w:tc>
          <w:tcPr>
            <w:tcW w:w="1655" w:type="dxa"/>
          </w:tcPr>
          <w:p w14:paraId="6EBDD7CF"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Explore XAI in risk mitig</w:t>
            </w:r>
            <w:r>
              <w:rPr>
                <w:rFonts w:ascii="Times New Roman" w:eastAsia="Times New Roman" w:hAnsi="Times New Roman" w:cs="Times New Roman"/>
              </w:rPr>
              <w:t>ation</w:t>
            </w:r>
          </w:p>
        </w:tc>
        <w:tc>
          <w:tcPr>
            <w:tcW w:w="1618" w:type="dxa"/>
          </w:tcPr>
          <w:p w14:paraId="040D111F"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Conceptual analysis</w:t>
            </w:r>
          </w:p>
        </w:tc>
        <w:tc>
          <w:tcPr>
            <w:tcW w:w="1680" w:type="dxa"/>
          </w:tcPr>
          <w:p w14:paraId="04567B8D"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XAI enhances trust and transparency in AI-driven risk models</w:t>
            </w:r>
          </w:p>
        </w:tc>
      </w:tr>
      <w:tr w:rsidR="008059F4" w14:paraId="0E2B7209" w14:textId="77777777">
        <w:tc>
          <w:tcPr>
            <w:tcW w:w="1989" w:type="dxa"/>
          </w:tcPr>
          <w:p w14:paraId="021AD624"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Adaji et al.</w:t>
            </w:r>
          </w:p>
        </w:tc>
        <w:tc>
          <w:tcPr>
            <w:tcW w:w="765" w:type="dxa"/>
          </w:tcPr>
          <w:p w14:paraId="5A95E4B7"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2025</w:t>
            </w:r>
          </w:p>
        </w:tc>
        <w:tc>
          <w:tcPr>
            <w:tcW w:w="1643" w:type="dxa"/>
          </w:tcPr>
          <w:p w14:paraId="43741ED1"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Conceptual; AI governance</w:t>
            </w:r>
          </w:p>
        </w:tc>
        <w:tc>
          <w:tcPr>
            <w:tcW w:w="1655" w:type="dxa"/>
          </w:tcPr>
          <w:p w14:paraId="58CF1CB4"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Examine ethical AI deployment</w:t>
            </w:r>
          </w:p>
        </w:tc>
        <w:tc>
          <w:tcPr>
            <w:tcW w:w="1618" w:type="dxa"/>
          </w:tcPr>
          <w:p w14:paraId="1C8D0AFF"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Conceptual analysis</w:t>
            </w:r>
          </w:p>
        </w:tc>
        <w:tc>
          <w:tcPr>
            <w:tcW w:w="1680" w:type="dxa"/>
          </w:tcPr>
          <w:p w14:paraId="69EB97CD"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Business analysts play key role in ethical AI for financial systems</w:t>
            </w:r>
          </w:p>
        </w:tc>
      </w:tr>
      <w:tr w:rsidR="008059F4" w14:paraId="5B17631F" w14:textId="77777777">
        <w:tc>
          <w:tcPr>
            <w:tcW w:w="1989" w:type="dxa"/>
          </w:tcPr>
          <w:p w14:paraId="33C27F96"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lastRenderedPageBreak/>
              <w:t xml:space="preserve">Umoh </w:t>
            </w:r>
            <w:r>
              <w:rPr>
                <w:rFonts w:ascii="Times New Roman" w:eastAsia="Times New Roman" w:hAnsi="Times New Roman" w:cs="Times New Roman"/>
              </w:rPr>
              <w:t>et al.</w:t>
            </w:r>
          </w:p>
        </w:tc>
        <w:tc>
          <w:tcPr>
            <w:tcW w:w="765" w:type="dxa"/>
          </w:tcPr>
          <w:p w14:paraId="47A57FCC"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2025</w:t>
            </w:r>
          </w:p>
        </w:tc>
        <w:tc>
          <w:tcPr>
            <w:tcW w:w="1643" w:type="dxa"/>
          </w:tcPr>
          <w:p w14:paraId="33249AF0"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Conceptual; AI &amp; decision-making</w:t>
            </w:r>
          </w:p>
        </w:tc>
        <w:tc>
          <w:tcPr>
            <w:tcW w:w="1655" w:type="dxa"/>
          </w:tcPr>
          <w:p w14:paraId="1E58BD42" w14:textId="77777777" w:rsidR="008059F4" w:rsidRDefault="00654302">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Analyze</w:t>
            </w:r>
            <w:proofErr w:type="spellEnd"/>
            <w:r>
              <w:rPr>
                <w:rFonts w:ascii="Times New Roman" w:eastAsia="Times New Roman" w:hAnsi="Times New Roman" w:cs="Times New Roman"/>
              </w:rPr>
              <w:t xml:space="preserve"> AI-human interaction in finance</w:t>
            </w:r>
          </w:p>
        </w:tc>
        <w:tc>
          <w:tcPr>
            <w:tcW w:w="1618" w:type="dxa"/>
          </w:tcPr>
          <w:p w14:paraId="4D615F2C"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Conceptual analysis</w:t>
            </w:r>
          </w:p>
        </w:tc>
        <w:tc>
          <w:tcPr>
            <w:tcW w:w="1680" w:type="dxa"/>
          </w:tcPr>
          <w:p w14:paraId="2B8CFECA"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AI enhances resilience but needs human oversight</w:t>
            </w:r>
          </w:p>
        </w:tc>
      </w:tr>
      <w:tr w:rsidR="008059F4" w14:paraId="12E1283D" w14:textId="77777777">
        <w:tc>
          <w:tcPr>
            <w:tcW w:w="1989" w:type="dxa"/>
          </w:tcPr>
          <w:p w14:paraId="2B429100"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Prajapati</w:t>
            </w:r>
          </w:p>
        </w:tc>
        <w:tc>
          <w:tcPr>
            <w:tcW w:w="765" w:type="dxa"/>
          </w:tcPr>
          <w:p w14:paraId="33C186B1"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2025</w:t>
            </w:r>
          </w:p>
        </w:tc>
        <w:tc>
          <w:tcPr>
            <w:tcW w:w="1643" w:type="dxa"/>
          </w:tcPr>
          <w:p w14:paraId="2258F80A"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Industry case study</w:t>
            </w:r>
          </w:p>
        </w:tc>
        <w:tc>
          <w:tcPr>
            <w:tcW w:w="1655" w:type="dxa"/>
          </w:tcPr>
          <w:p w14:paraId="4A3052E7"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Explore AI-generated synthetic data in stress testing</w:t>
            </w:r>
          </w:p>
        </w:tc>
        <w:tc>
          <w:tcPr>
            <w:tcW w:w="1618" w:type="dxa"/>
          </w:tcPr>
          <w:p w14:paraId="3AE93565"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Case </w:t>
            </w:r>
            <w:r>
              <w:rPr>
                <w:rFonts w:ascii="Times New Roman" w:eastAsia="Times New Roman" w:hAnsi="Times New Roman" w:cs="Times New Roman"/>
              </w:rPr>
              <w:t>analysis</w:t>
            </w:r>
          </w:p>
        </w:tc>
        <w:tc>
          <w:tcPr>
            <w:tcW w:w="1680" w:type="dxa"/>
          </w:tcPr>
          <w:p w14:paraId="1FB2367D"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AI enables dynamic, real-time stress testing for financial institutions</w:t>
            </w:r>
          </w:p>
        </w:tc>
      </w:tr>
      <w:tr w:rsidR="008059F4" w14:paraId="2B39D5F6" w14:textId="77777777">
        <w:tc>
          <w:tcPr>
            <w:tcW w:w="1989" w:type="dxa"/>
          </w:tcPr>
          <w:p w14:paraId="62D162EE"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Kwan et al.</w:t>
            </w:r>
          </w:p>
        </w:tc>
        <w:tc>
          <w:tcPr>
            <w:tcW w:w="765" w:type="dxa"/>
          </w:tcPr>
          <w:p w14:paraId="15CD3C33"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2023</w:t>
            </w:r>
          </w:p>
        </w:tc>
        <w:tc>
          <w:tcPr>
            <w:tcW w:w="1643" w:type="dxa"/>
          </w:tcPr>
          <w:p w14:paraId="7D8B2E0A"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COVID-19 case study</w:t>
            </w:r>
          </w:p>
        </w:tc>
        <w:tc>
          <w:tcPr>
            <w:tcW w:w="1655" w:type="dxa"/>
          </w:tcPr>
          <w:p w14:paraId="5F723AB4"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Assess digital stress testing during pandemic</w:t>
            </w:r>
          </w:p>
        </w:tc>
        <w:tc>
          <w:tcPr>
            <w:tcW w:w="1618" w:type="dxa"/>
          </w:tcPr>
          <w:p w14:paraId="3C42FC02"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Empirical case study</w:t>
            </w:r>
          </w:p>
        </w:tc>
        <w:tc>
          <w:tcPr>
            <w:tcW w:w="1680" w:type="dxa"/>
          </w:tcPr>
          <w:p w14:paraId="70CAB2CA"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Real-time AI simulations improved capital and liquidity management</w:t>
            </w:r>
          </w:p>
        </w:tc>
      </w:tr>
      <w:tr w:rsidR="008059F4" w14:paraId="2850AEF2" w14:textId="77777777">
        <w:tc>
          <w:tcPr>
            <w:tcW w:w="1989" w:type="dxa"/>
          </w:tcPr>
          <w:p w14:paraId="64D20B77" w14:textId="77777777" w:rsidR="008059F4" w:rsidRDefault="00654302">
            <w:pPr>
              <w:rPr>
                <w:rFonts w:ascii="Times New Roman" w:eastAsia="Times New Roman" w:hAnsi="Times New Roman" w:cs="Times New Roman"/>
              </w:rPr>
            </w:pPr>
            <w:proofErr w:type="spellStart"/>
            <w:r>
              <w:rPr>
                <w:rFonts w:ascii="Times New Roman" w:eastAsia="Times New Roman" w:hAnsi="Times New Roman" w:cs="Times New Roman"/>
              </w:rPr>
              <w:t>Aladwani</w:t>
            </w:r>
            <w:proofErr w:type="spellEnd"/>
          </w:p>
        </w:tc>
        <w:tc>
          <w:tcPr>
            <w:tcW w:w="765" w:type="dxa"/>
          </w:tcPr>
          <w:p w14:paraId="690ED0E9"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2025</w:t>
            </w:r>
          </w:p>
        </w:tc>
        <w:tc>
          <w:tcPr>
            <w:tcW w:w="1643" w:type="dxa"/>
          </w:tcPr>
          <w:p w14:paraId="78715E12"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Vietnamese stock market data</w:t>
            </w:r>
          </w:p>
        </w:tc>
        <w:tc>
          <w:tcPr>
            <w:tcW w:w="1655" w:type="dxa"/>
          </w:tcPr>
          <w:p w14:paraId="3032DA2B"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Examine asymmetric reactions of energy markets on stock performance</w:t>
            </w:r>
          </w:p>
        </w:tc>
        <w:tc>
          <w:tcPr>
            <w:tcW w:w="1618" w:type="dxa"/>
          </w:tcPr>
          <w:p w14:paraId="29E86064"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Quantile regression</w:t>
            </w:r>
          </w:p>
        </w:tc>
        <w:tc>
          <w:tcPr>
            <w:tcW w:w="1680" w:type="dxa"/>
          </w:tcPr>
          <w:p w14:paraId="52C69BB7"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Crude oil and gas markets show asymmetric effects on Vietnamese stocks under uncertainty</w:t>
            </w:r>
          </w:p>
        </w:tc>
      </w:tr>
      <w:tr w:rsidR="008059F4" w14:paraId="1891BED6" w14:textId="77777777">
        <w:tc>
          <w:tcPr>
            <w:tcW w:w="1989" w:type="dxa"/>
          </w:tcPr>
          <w:p w14:paraId="3A54503B" w14:textId="77777777" w:rsidR="008059F4" w:rsidRDefault="00654302">
            <w:pPr>
              <w:rPr>
                <w:rFonts w:ascii="Times New Roman" w:eastAsia="Times New Roman" w:hAnsi="Times New Roman" w:cs="Times New Roman"/>
              </w:rPr>
            </w:pPr>
            <w:proofErr w:type="spellStart"/>
            <w:r>
              <w:rPr>
                <w:rFonts w:ascii="Times New Roman" w:eastAsia="Times New Roman" w:hAnsi="Times New Roman" w:cs="Times New Roman"/>
              </w:rPr>
              <w:t>Aor</w:t>
            </w:r>
            <w:proofErr w:type="spellEnd"/>
            <w:r>
              <w:rPr>
                <w:rFonts w:ascii="Times New Roman" w:eastAsia="Times New Roman" w:hAnsi="Times New Roman" w:cs="Times New Roman"/>
              </w:rPr>
              <w:t xml:space="preserve"> et al.</w:t>
            </w:r>
          </w:p>
        </w:tc>
        <w:tc>
          <w:tcPr>
            <w:tcW w:w="765" w:type="dxa"/>
          </w:tcPr>
          <w:p w14:paraId="4F96CADD"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2021</w:t>
            </w:r>
          </w:p>
        </w:tc>
        <w:tc>
          <w:tcPr>
            <w:tcW w:w="1643" w:type="dxa"/>
          </w:tcPr>
          <w:p w14:paraId="66F15B8C"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 xml:space="preserve">Global equity </w:t>
            </w:r>
            <w:r>
              <w:rPr>
                <w:rFonts w:ascii="Times New Roman" w:eastAsia="Times New Roman" w:hAnsi="Times New Roman" w:cs="Times New Roman"/>
              </w:rPr>
              <w:t>markets; SVAR</w:t>
            </w:r>
          </w:p>
        </w:tc>
        <w:tc>
          <w:tcPr>
            <w:tcW w:w="1655" w:type="dxa"/>
          </w:tcPr>
          <w:p w14:paraId="5451ECD7"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Assess U.S. MPU shock effects on international equity</w:t>
            </w:r>
          </w:p>
        </w:tc>
        <w:tc>
          <w:tcPr>
            <w:tcW w:w="1618" w:type="dxa"/>
          </w:tcPr>
          <w:p w14:paraId="65F7CBEB"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Structural VAR</w:t>
            </w:r>
          </w:p>
        </w:tc>
        <w:tc>
          <w:tcPr>
            <w:tcW w:w="1680" w:type="dxa"/>
          </w:tcPr>
          <w:p w14:paraId="6E56F213"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U.S. MPU significantly affects global equity volatility and systemic risk</w:t>
            </w:r>
          </w:p>
        </w:tc>
      </w:tr>
      <w:tr w:rsidR="008059F4" w14:paraId="7946834F" w14:textId="77777777">
        <w:tc>
          <w:tcPr>
            <w:tcW w:w="1989" w:type="dxa"/>
          </w:tcPr>
          <w:p w14:paraId="2A52DC01"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Arshad et al.</w:t>
            </w:r>
          </w:p>
        </w:tc>
        <w:tc>
          <w:tcPr>
            <w:tcW w:w="765" w:type="dxa"/>
          </w:tcPr>
          <w:p w14:paraId="47CED80C"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2024</w:t>
            </w:r>
          </w:p>
        </w:tc>
        <w:tc>
          <w:tcPr>
            <w:tcW w:w="1643" w:type="dxa"/>
          </w:tcPr>
          <w:p w14:paraId="65431B59"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Asian equity markets; BBD index</w:t>
            </w:r>
          </w:p>
        </w:tc>
        <w:tc>
          <w:tcPr>
            <w:tcW w:w="1655" w:type="dxa"/>
          </w:tcPr>
          <w:p w14:paraId="5A7D211D"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Explore heterogeneous effects of U.S. MPU acros</w:t>
            </w:r>
            <w:r>
              <w:rPr>
                <w:rFonts w:ascii="Times New Roman" w:eastAsia="Times New Roman" w:hAnsi="Times New Roman" w:cs="Times New Roman"/>
              </w:rPr>
              <w:t>s market types</w:t>
            </w:r>
          </w:p>
        </w:tc>
        <w:tc>
          <w:tcPr>
            <w:tcW w:w="1618" w:type="dxa"/>
          </w:tcPr>
          <w:p w14:paraId="0D6C3213"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Quantile-on-Quantile regression</w:t>
            </w:r>
          </w:p>
        </w:tc>
        <w:tc>
          <w:tcPr>
            <w:tcW w:w="1680" w:type="dxa"/>
          </w:tcPr>
          <w:p w14:paraId="0AC9C2E5"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MPU effects vary across developed, emerging, and frontier markets; regime-dependent impact</w:t>
            </w:r>
          </w:p>
        </w:tc>
      </w:tr>
      <w:tr w:rsidR="008059F4" w14:paraId="6261A18E" w14:textId="77777777">
        <w:tc>
          <w:tcPr>
            <w:tcW w:w="1989" w:type="dxa"/>
          </w:tcPr>
          <w:p w14:paraId="21286FC7"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Aysan et al.</w:t>
            </w:r>
          </w:p>
        </w:tc>
        <w:tc>
          <w:tcPr>
            <w:tcW w:w="765" w:type="dxa"/>
          </w:tcPr>
          <w:p w14:paraId="2754E55C"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2024</w:t>
            </w:r>
          </w:p>
        </w:tc>
        <w:tc>
          <w:tcPr>
            <w:tcW w:w="1643" w:type="dxa"/>
          </w:tcPr>
          <w:p w14:paraId="7EEFB982"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Metaverse-linked financial assets</w:t>
            </w:r>
          </w:p>
        </w:tc>
        <w:tc>
          <w:tcPr>
            <w:tcW w:w="1655" w:type="dxa"/>
          </w:tcPr>
          <w:p w14:paraId="4DACAE2E" w14:textId="77777777" w:rsidR="008059F4" w:rsidRDefault="00654302">
            <w:pPr>
              <w:rPr>
                <w:rFonts w:ascii="Times New Roman" w:eastAsia="Times New Roman" w:hAnsi="Times New Roman" w:cs="Times New Roman"/>
              </w:rPr>
            </w:pPr>
            <w:proofErr w:type="spellStart"/>
            <w:r>
              <w:rPr>
                <w:rFonts w:ascii="Times New Roman" w:eastAsia="Times New Roman" w:hAnsi="Times New Roman" w:cs="Times New Roman"/>
              </w:rPr>
              <w:t>Analyze</w:t>
            </w:r>
            <w:proofErr w:type="spellEnd"/>
            <w:r>
              <w:rPr>
                <w:rFonts w:ascii="Times New Roman" w:eastAsia="Times New Roman" w:hAnsi="Times New Roman" w:cs="Times New Roman"/>
              </w:rPr>
              <w:t xml:space="preserve"> connectedness under uncertainty</w:t>
            </w:r>
          </w:p>
        </w:tc>
        <w:tc>
          <w:tcPr>
            <w:tcW w:w="1618" w:type="dxa"/>
          </w:tcPr>
          <w:p w14:paraId="74A30196"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 xml:space="preserve">Quantile-Time-Frequency </w:t>
            </w:r>
            <w:r>
              <w:rPr>
                <w:rFonts w:ascii="Times New Roman" w:eastAsia="Times New Roman" w:hAnsi="Times New Roman" w:cs="Times New Roman"/>
              </w:rPr>
              <w:t>analysis</w:t>
            </w:r>
          </w:p>
        </w:tc>
        <w:tc>
          <w:tcPr>
            <w:tcW w:w="1680" w:type="dxa"/>
          </w:tcPr>
          <w:p w14:paraId="2C80C065"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MPU increases volatility and connectedness in emerging digital asset markets</w:t>
            </w:r>
          </w:p>
        </w:tc>
      </w:tr>
      <w:tr w:rsidR="008059F4" w14:paraId="1317703F" w14:textId="77777777">
        <w:tc>
          <w:tcPr>
            <w:tcW w:w="1989" w:type="dxa"/>
          </w:tcPr>
          <w:p w14:paraId="567FADA2" w14:textId="77777777" w:rsidR="008059F4" w:rsidRDefault="00654302">
            <w:pPr>
              <w:rPr>
                <w:rFonts w:ascii="Times New Roman" w:eastAsia="Times New Roman" w:hAnsi="Times New Roman" w:cs="Times New Roman"/>
              </w:rPr>
            </w:pPr>
            <w:proofErr w:type="spellStart"/>
            <w:r>
              <w:rPr>
                <w:rFonts w:ascii="Times New Roman" w:eastAsia="Times New Roman" w:hAnsi="Times New Roman" w:cs="Times New Roman"/>
              </w:rPr>
              <w:lastRenderedPageBreak/>
              <w:t>Galloppo</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Paimanova</w:t>
            </w:r>
            <w:proofErr w:type="spellEnd"/>
          </w:p>
        </w:tc>
        <w:tc>
          <w:tcPr>
            <w:tcW w:w="765" w:type="dxa"/>
          </w:tcPr>
          <w:p w14:paraId="7B351303"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2017</w:t>
            </w:r>
          </w:p>
        </w:tc>
        <w:tc>
          <w:tcPr>
            <w:tcW w:w="1643" w:type="dxa"/>
          </w:tcPr>
          <w:p w14:paraId="3E276143"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BRICS stock markets; TVP-VAR</w:t>
            </w:r>
          </w:p>
        </w:tc>
        <w:tc>
          <w:tcPr>
            <w:tcW w:w="1655" w:type="dxa"/>
          </w:tcPr>
          <w:p w14:paraId="07CB14E5"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Investigate U.S. MPU impact on BRICS financial systems</w:t>
            </w:r>
          </w:p>
        </w:tc>
        <w:tc>
          <w:tcPr>
            <w:tcW w:w="1618" w:type="dxa"/>
          </w:tcPr>
          <w:p w14:paraId="14ED4898"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Time-Varying Parameter VAR</w:t>
            </w:r>
          </w:p>
        </w:tc>
        <w:tc>
          <w:tcPr>
            <w:tcW w:w="1680" w:type="dxa"/>
          </w:tcPr>
          <w:p w14:paraId="6E06B9EB"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MPU drives dynamic volatility an</w:t>
            </w:r>
            <w:r>
              <w:rPr>
                <w:rFonts w:ascii="Times New Roman" w:eastAsia="Times New Roman" w:hAnsi="Times New Roman" w:cs="Times New Roman"/>
              </w:rPr>
              <w:t>d spillovers in BRICS markets</w:t>
            </w:r>
          </w:p>
        </w:tc>
      </w:tr>
      <w:tr w:rsidR="008059F4" w14:paraId="57DD8BB2" w14:textId="77777777">
        <w:tc>
          <w:tcPr>
            <w:tcW w:w="1989" w:type="dxa"/>
          </w:tcPr>
          <w:p w14:paraId="0539EEBE"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Basel Committee</w:t>
            </w:r>
          </w:p>
        </w:tc>
        <w:tc>
          <w:tcPr>
            <w:tcW w:w="765" w:type="dxa"/>
          </w:tcPr>
          <w:p w14:paraId="1A8897F0"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2013</w:t>
            </w:r>
          </w:p>
        </w:tc>
        <w:tc>
          <w:tcPr>
            <w:tcW w:w="1643" w:type="dxa"/>
          </w:tcPr>
          <w:p w14:paraId="05398C69"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Basel III framework</w:t>
            </w:r>
          </w:p>
        </w:tc>
        <w:tc>
          <w:tcPr>
            <w:tcW w:w="1655" w:type="dxa"/>
          </w:tcPr>
          <w:p w14:paraId="0BCC50CB"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Define liquidity coverage and monitoring tools</w:t>
            </w:r>
          </w:p>
        </w:tc>
        <w:tc>
          <w:tcPr>
            <w:tcW w:w="1618" w:type="dxa"/>
          </w:tcPr>
          <w:p w14:paraId="38443B83"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Regulatory framework</w:t>
            </w:r>
          </w:p>
        </w:tc>
        <w:tc>
          <w:tcPr>
            <w:tcW w:w="1680" w:type="dxa"/>
          </w:tcPr>
          <w:p w14:paraId="2CABDA2C"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Basel III enhances liquidity resilience but may be offset by high MPU conditions</w:t>
            </w:r>
          </w:p>
        </w:tc>
      </w:tr>
      <w:tr w:rsidR="008059F4" w14:paraId="2DBBA35E" w14:textId="77777777">
        <w:tc>
          <w:tcPr>
            <w:tcW w:w="1989" w:type="dxa"/>
          </w:tcPr>
          <w:p w14:paraId="694510F7" w14:textId="77777777" w:rsidR="008059F4" w:rsidRDefault="00654302">
            <w:pPr>
              <w:rPr>
                <w:rFonts w:ascii="Times New Roman" w:eastAsia="Times New Roman" w:hAnsi="Times New Roman" w:cs="Times New Roman"/>
              </w:rPr>
            </w:pPr>
            <w:proofErr w:type="spellStart"/>
            <w:r>
              <w:rPr>
                <w:rFonts w:ascii="Times New Roman" w:eastAsia="Times New Roman" w:hAnsi="Times New Roman" w:cs="Times New Roman"/>
              </w:rPr>
              <w:t>Belhoula</w:t>
            </w:r>
            <w:proofErr w:type="spellEnd"/>
            <w:r>
              <w:rPr>
                <w:rFonts w:ascii="Times New Roman" w:eastAsia="Times New Roman" w:hAnsi="Times New Roman" w:cs="Times New Roman"/>
              </w:rPr>
              <w:t xml:space="preserve"> et al.</w:t>
            </w:r>
          </w:p>
        </w:tc>
        <w:tc>
          <w:tcPr>
            <w:tcW w:w="765" w:type="dxa"/>
          </w:tcPr>
          <w:p w14:paraId="19A8C3C0"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2024a</w:t>
            </w:r>
          </w:p>
        </w:tc>
        <w:tc>
          <w:tcPr>
            <w:tcW w:w="1643" w:type="dxa"/>
          </w:tcPr>
          <w:p w14:paraId="7A6A656D"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European gas</w:t>
            </w:r>
            <w:r>
              <w:rPr>
                <w:rFonts w:ascii="Times New Roman" w:eastAsia="Times New Roman" w:hAnsi="Times New Roman" w:cs="Times New Roman"/>
              </w:rPr>
              <w:t xml:space="preserve"> markets</w:t>
            </w:r>
          </w:p>
        </w:tc>
        <w:tc>
          <w:tcPr>
            <w:tcW w:w="1655" w:type="dxa"/>
          </w:tcPr>
          <w:p w14:paraId="5EC20E24"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Assess speculation and efficiency under crisis</w:t>
            </w:r>
          </w:p>
        </w:tc>
        <w:tc>
          <w:tcPr>
            <w:tcW w:w="1618" w:type="dxa"/>
          </w:tcPr>
          <w:p w14:paraId="55A56B8B"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 xml:space="preserve">Volatility </w:t>
            </w:r>
            <w:proofErr w:type="spellStart"/>
            <w:r>
              <w:rPr>
                <w:rFonts w:ascii="Times New Roman" w:eastAsia="Times New Roman" w:hAnsi="Times New Roman" w:cs="Times New Roman"/>
              </w:rPr>
              <w:t>modeling</w:t>
            </w:r>
            <w:proofErr w:type="spellEnd"/>
          </w:p>
        </w:tc>
        <w:tc>
          <w:tcPr>
            <w:tcW w:w="1680" w:type="dxa"/>
          </w:tcPr>
          <w:p w14:paraId="461BA5FD"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COVID-19 and geopolitical shocks amplify speculation and reduce market efficiency</w:t>
            </w:r>
          </w:p>
        </w:tc>
      </w:tr>
      <w:tr w:rsidR="008059F4" w14:paraId="20EE4ABD" w14:textId="77777777">
        <w:tc>
          <w:tcPr>
            <w:tcW w:w="1989" w:type="dxa"/>
          </w:tcPr>
          <w:p w14:paraId="1277196E" w14:textId="77777777" w:rsidR="008059F4" w:rsidRDefault="00654302">
            <w:pPr>
              <w:rPr>
                <w:rFonts w:ascii="Times New Roman" w:eastAsia="Times New Roman" w:hAnsi="Times New Roman" w:cs="Times New Roman"/>
              </w:rPr>
            </w:pPr>
            <w:proofErr w:type="spellStart"/>
            <w:r>
              <w:rPr>
                <w:rFonts w:ascii="Times New Roman" w:eastAsia="Times New Roman" w:hAnsi="Times New Roman" w:cs="Times New Roman"/>
              </w:rPr>
              <w:t>Belhoula</w:t>
            </w:r>
            <w:proofErr w:type="spellEnd"/>
          </w:p>
        </w:tc>
        <w:tc>
          <w:tcPr>
            <w:tcW w:w="765" w:type="dxa"/>
          </w:tcPr>
          <w:p w14:paraId="7E1740FD"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2024</w:t>
            </w:r>
          </w:p>
        </w:tc>
        <w:tc>
          <w:tcPr>
            <w:tcW w:w="1643" w:type="dxa"/>
          </w:tcPr>
          <w:p w14:paraId="5D25144F"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Macroeconomic data: GDP, consumption, industrial production, unemployment</w:t>
            </w:r>
          </w:p>
        </w:tc>
        <w:tc>
          <w:tcPr>
            <w:tcW w:w="1655" w:type="dxa"/>
          </w:tcPr>
          <w:p w14:paraId="7288F1D7"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Construct</w:t>
            </w:r>
            <w:r>
              <w:rPr>
                <w:rFonts w:ascii="Times New Roman" w:eastAsia="Times New Roman" w:hAnsi="Times New Roman" w:cs="Times New Roman"/>
              </w:rPr>
              <w:t xml:space="preserve"> the first Economic Policy Uncertainty (EPU) index</w:t>
            </w:r>
          </w:p>
        </w:tc>
        <w:tc>
          <w:tcPr>
            <w:tcW w:w="1618" w:type="dxa"/>
          </w:tcPr>
          <w:p w14:paraId="0AB2A877"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VAR; EPU and macroeconomic indicators</w:t>
            </w:r>
          </w:p>
        </w:tc>
        <w:tc>
          <w:tcPr>
            <w:tcW w:w="1680" w:type="dxa"/>
          </w:tcPr>
          <w:p w14:paraId="02F58B51"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 xml:space="preserve">Rising EPU significantly predicts declines in GDP, consumption, and industrial production. </w:t>
            </w:r>
          </w:p>
        </w:tc>
      </w:tr>
      <w:tr w:rsidR="008059F4" w14:paraId="35A2F076" w14:textId="77777777">
        <w:tc>
          <w:tcPr>
            <w:tcW w:w="1989" w:type="dxa"/>
          </w:tcPr>
          <w:p w14:paraId="70B603DC"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Dong et al.</w:t>
            </w:r>
          </w:p>
        </w:tc>
        <w:tc>
          <w:tcPr>
            <w:tcW w:w="765" w:type="dxa"/>
          </w:tcPr>
          <w:p w14:paraId="11BEFF8B"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2025</w:t>
            </w:r>
          </w:p>
        </w:tc>
        <w:tc>
          <w:tcPr>
            <w:tcW w:w="1643" w:type="dxa"/>
          </w:tcPr>
          <w:p w14:paraId="675E2B45"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Commodity markets; ML model</w:t>
            </w:r>
          </w:p>
        </w:tc>
        <w:tc>
          <w:tcPr>
            <w:tcW w:w="1655" w:type="dxa"/>
          </w:tcPr>
          <w:p w14:paraId="22AEE39D"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Explore speculative connected</w:t>
            </w:r>
            <w:r>
              <w:rPr>
                <w:rFonts w:ascii="Times New Roman" w:eastAsia="Times New Roman" w:hAnsi="Times New Roman" w:cs="Times New Roman"/>
              </w:rPr>
              <w:t>ness under MPU</w:t>
            </w:r>
          </w:p>
        </w:tc>
        <w:tc>
          <w:tcPr>
            <w:tcW w:w="1618" w:type="dxa"/>
          </w:tcPr>
          <w:p w14:paraId="2A5EC6F1"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Dynamic Quantile-Frequency analysis</w:t>
            </w:r>
          </w:p>
        </w:tc>
        <w:tc>
          <w:tcPr>
            <w:tcW w:w="1680" w:type="dxa"/>
          </w:tcPr>
          <w:p w14:paraId="1102DB47"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MPU drives nonlinear connectedness across energy, finance, and commodities</w:t>
            </w:r>
          </w:p>
        </w:tc>
      </w:tr>
      <w:tr w:rsidR="008059F4" w14:paraId="0376A381" w14:textId="77777777">
        <w:tc>
          <w:tcPr>
            <w:tcW w:w="1989" w:type="dxa"/>
          </w:tcPr>
          <w:p w14:paraId="46EFA526"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Koch</w:t>
            </w:r>
          </w:p>
        </w:tc>
        <w:tc>
          <w:tcPr>
            <w:tcW w:w="765" w:type="dxa"/>
          </w:tcPr>
          <w:p w14:paraId="729F8B2D"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2015</w:t>
            </w:r>
          </w:p>
        </w:tc>
        <w:tc>
          <w:tcPr>
            <w:tcW w:w="1643" w:type="dxa"/>
          </w:tcPr>
          <w:p w14:paraId="6DAB3E86"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U.S. bank-level data</w:t>
            </w:r>
          </w:p>
        </w:tc>
        <w:tc>
          <w:tcPr>
            <w:tcW w:w="1655" w:type="dxa"/>
          </w:tcPr>
          <w:p w14:paraId="5D8A7A36"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Examine how Regulation Q deposit interest rate ceilings acted as credit supply shifters, influenci</w:t>
            </w:r>
            <w:r>
              <w:rPr>
                <w:rFonts w:ascii="Times New Roman" w:eastAsia="Times New Roman" w:hAnsi="Times New Roman" w:cs="Times New Roman"/>
              </w:rPr>
              <w:t xml:space="preserve">ng bank lending </w:t>
            </w:r>
            <w:proofErr w:type="spellStart"/>
            <w:r>
              <w:rPr>
                <w:rFonts w:ascii="Times New Roman" w:eastAsia="Times New Roman" w:hAnsi="Times New Roman" w:cs="Times New Roman"/>
              </w:rPr>
              <w:t>behavior</w:t>
            </w:r>
            <w:proofErr w:type="spellEnd"/>
            <w:r>
              <w:rPr>
                <w:rFonts w:ascii="Times New Roman" w:eastAsia="Times New Roman" w:hAnsi="Times New Roman" w:cs="Times New Roman"/>
              </w:rPr>
              <w:t xml:space="preserve"> and credit availability.</w:t>
            </w:r>
          </w:p>
        </w:tc>
        <w:tc>
          <w:tcPr>
            <w:tcW w:w="1618" w:type="dxa"/>
          </w:tcPr>
          <w:p w14:paraId="247F5A3D"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Panel regression</w:t>
            </w:r>
          </w:p>
        </w:tc>
        <w:tc>
          <w:tcPr>
            <w:tcW w:w="1680" w:type="dxa"/>
          </w:tcPr>
          <w:p w14:paraId="44B589DC"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Regulation Q acted as a credit supply shifter, not just a passive regulatory artifact</w:t>
            </w:r>
          </w:p>
        </w:tc>
      </w:tr>
      <w:tr w:rsidR="008059F4" w14:paraId="36BA64B3" w14:textId="77777777">
        <w:tc>
          <w:tcPr>
            <w:tcW w:w="1989" w:type="dxa"/>
          </w:tcPr>
          <w:p w14:paraId="796B3286"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Liu et al.</w:t>
            </w:r>
          </w:p>
        </w:tc>
        <w:tc>
          <w:tcPr>
            <w:tcW w:w="765" w:type="dxa"/>
          </w:tcPr>
          <w:p w14:paraId="207E3465"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2025</w:t>
            </w:r>
          </w:p>
        </w:tc>
        <w:tc>
          <w:tcPr>
            <w:tcW w:w="1643" w:type="dxa"/>
          </w:tcPr>
          <w:p w14:paraId="24ACC7F5"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U.S. energy futures; network models</w:t>
            </w:r>
          </w:p>
        </w:tc>
        <w:tc>
          <w:tcPr>
            <w:tcW w:w="1655" w:type="dxa"/>
          </w:tcPr>
          <w:p w14:paraId="137FBD80"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Study speculation and volatility dynamics</w:t>
            </w:r>
          </w:p>
        </w:tc>
        <w:tc>
          <w:tcPr>
            <w:tcW w:w="1618" w:type="dxa"/>
          </w:tcPr>
          <w:p w14:paraId="26959385"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Frequency domain analysis</w:t>
            </w:r>
          </w:p>
        </w:tc>
        <w:tc>
          <w:tcPr>
            <w:tcW w:w="1680" w:type="dxa"/>
          </w:tcPr>
          <w:p w14:paraId="53491BC0"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Speculative behaviour under MPU intensifies volatility in energy futures markets</w:t>
            </w:r>
          </w:p>
        </w:tc>
      </w:tr>
      <w:tr w:rsidR="008059F4" w14:paraId="25C6AEF2" w14:textId="77777777">
        <w:tc>
          <w:tcPr>
            <w:tcW w:w="1989" w:type="dxa"/>
          </w:tcPr>
          <w:p w14:paraId="27B5F99A"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lastRenderedPageBreak/>
              <w:t>Mendes et al.</w:t>
            </w:r>
          </w:p>
        </w:tc>
        <w:tc>
          <w:tcPr>
            <w:tcW w:w="765" w:type="dxa"/>
          </w:tcPr>
          <w:p w14:paraId="0B3542DE"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2008</w:t>
            </w:r>
          </w:p>
        </w:tc>
        <w:tc>
          <w:tcPr>
            <w:tcW w:w="1643" w:type="dxa"/>
          </w:tcPr>
          <w:p w14:paraId="155301CA"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Conceptual framework</w:t>
            </w:r>
          </w:p>
        </w:tc>
        <w:tc>
          <w:tcPr>
            <w:tcW w:w="1655" w:type="dxa"/>
          </w:tcPr>
          <w:p w14:paraId="2C784C45"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Propose integrative literature review method</w:t>
            </w:r>
          </w:p>
        </w:tc>
        <w:tc>
          <w:tcPr>
            <w:tcW w:w="1618" w:type="dxa"/>
          </w:tcPr>
          <w:p w14:paraId="1E12BB26"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Methodological synthesis</w:t>
            </w:r>
          </w:p>
        </w:tc>
        <w:tc>
          <w:tcPr>
            <w:tcW w:w="1680" w:type="dxa"/>
          </w:tcPr>
          <w:p w14:paraId="4FA2709A"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ILR enables cross-method synthesis for</w:t>
            </w:r>
            <w:r>
              <w:rPr>
                <w:rFonts w:ascii="Times New Roman" w:eastAsia="Times New Roman" w:hAnsi="Times New Roman" w:cs="Times New Roman"/>
              </w:rPr>
              <w:t xml:space="preserve"> complex, interdisciplinary topics</w:t>
            </w:r>
          </w:p>
        </w:tc>
      </w:tr>
      <w:tr w:rsidR="008059F4" w14:paraId="7BBE257C" w14:textId="77777777">
        <w:tc>
          <w:tcPr>
            <w:tcW w:w="1989" w:type="dxa"/>
          </w:tcPr>
          <w:p w14:paraId="52323C13"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Nguyen et al.</w:t>
            </w:r>
          </w:p>
        </w:tc>
        <w:tc>
          <w:tcPr>
            <w:tcW w:w="765" w:type="dxa"/>
          </w:tcPr>
          <w:p w14:paraId="6C378DA6"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2024</w:t>
            </w:r>
          </w:p>
        </w:tc>
        <w:tc>
          <w:tcPr>
            <w:tcW w:w="1643" w:type="dxa"/>
          </w:tcPr>
          <w:p w14:paraId="2A4216F6"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Global banks; excess liquidity data</w:t>
            </w:r>
          </w:p>
        </w:tc>
        <w:tc>
          <w:tcPr>
            <w:tcW w:w="1655" w:type="dxa"/>
          </w:tcPr>
          <w:p w14:paraId="4477A65F"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Examine MPU’s moderating role in risk-taking</w:t>
            </w:r>
          </w:p>
        </w:tc>
        <w:tc>
          <w:tcPr>
            <w:tcW w:w="1618" w:type="dxa"/>
          </w:tcPr>
          <w:p w14:paraId="3D365D88"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Panel regression</w:t>
            </w:r>
          </w:p>
        </w:tc>
        <w:tc>
          <w:tcPr>
            <w:tcW w:w="1680" w:type="dxa"/>
          </w:tcPr>
          <w:p w14:paraId="69AF0E22"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MPU amplifies risk-taking under excess liquidity; lessons from GFC emphasized</w:t>
            </w:r>
          </w:p>
        </w:tc>
      </w:tr>
      <w:tr w:rsidR="008059F4" w14:paraId="03E55845" w14:textId="77777777">
        <w:tc>
          <w:tcPr>
            <w:tcW w:w="1989" w:type="dxa"/>
          </w:tcPr>
          <w:p w14:paraId="48B0FEE8"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Niu et al.</w:t>
            </w:r>
          </w:p>
        </w:tc>
        <w:tc>
          <w:tcPr>
            <w:tcW w:w="765" w:type="dxa"/>
          </w:tcPr>
          <w:p w14:paraId="492FE3AC"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2024</w:t>
            </w:r>
          </w:p>
        </w:tc>
        <w:tc>
          <w:tcPr>
            <w:tcW w:w="1643" w:type="dxa"/>
          </w:tcPr>
          <w:p w14:paraId="4D3E0BB6"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 xml:space="preserve">Gold </w:t>
            </w:r>
            <w:r>
              <w:rPr>
                <w:rFonts w:ascii="Times New Roman" w:eastAsia="Times New Roman" w:hAnsi="Times New Roman" w:cs="Times New Roman"/>
              </w:rPr>
              <w:t>market sentiment data</w:t>
            </w:r>
          </w:p>
        </w:tc>
        <w:tc>
          <w:tcPr>
            <w:tcW w:w="1655" w:type="dxa"/>
          </w:tcPr>
          <w:p w14:paraId="605410DE"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Predict gold volatility via cross-market sentiment</w:t>
            </w:r>
          </w:p>
        </w:tc>
        <w:tc>
          <w:tcPr>
            <w:tcW w:w="1618" w:type="dxa"/>
          </w:tcPr>
          <w:p w14:paraId="141806FE" w14:textId="77777777" w:rsidR="008059F4" w:rsidRDefault="00654302">
            <w:pPr>
              <w:rPr>
                <w:rFonts w:ascii="Times New Roman" w:eastAsia="Times New Roman" w:hAnsi="Times New Roman" w:cs="Times New Roman"/>
              </w:rPr>
            </w:pPr>
            <w:proofErr w:type="spellStart"/>
            <w:r>
              <w:rPr>
                <w:rFonts w:ascii="Times New Roman" w:eastAsia="Times New Roman" w:hAnsi="Times New Roman" w:cs="Times New Roman"/>
              </w:rPr>
              <w:t>Behavioral</w:t>
            </w:r>
            <w:proofErr w:type="spellEnd"/>
            <w:r>
              <w:rPr>
                <w:rFonts w:ascii="Times New Roman" w:eastAsia="Times New Roman" w:hAnsi="Times New Roman" w:cs="Times New Roman"/>
              </w:rPr>
              <w:t xml:space="preserve"> finance </w:t>
            </w:r>
            <w:proofErr w:type="spellStart"/>
            <w:r>
              <w:rPr>
                <w:rFonts w:ascii="Times New Roman" w:eastAsia="Times New Roman" w:hAnsi="Times New Roman" w:cs="Times New Roman"/>
              </w:rPr>
              <w:t>modeling</w:t>
            </w:r>
            <w:proofErr w:type="spellEnd"/>
          </w:p>
        </w:tc>
        <w:tc>
          <w:tcPr>
            <w:tcW w:w="1680" w:type="dxa"/>
          </w:tcPr>
          <w:p w14:paraId="78D0F8CA"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Sentiment and speculation under MPU improve volatility forecasting accuracy</w:t>
            </w:r>
          </w:p>
        </w:tc>
      </w:tr>
      <w:tr w:rsidR="008059F4" w14:paraId="73492F2B" w14:textId="77777777">
        <w:tc>
          <w:tcPr>
            <w:tcW w:w="1989" w:type="dxa"/>
          </w:tcPr>
          <w:p w14:paraId="1077FE59"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Olawale</w:t>
            </w:r>
          </w:p>
        </w:tc>
        <w:tc>
          <w:tcPr>
            <w:tcW w:w="765" w:type="dxa"/>
          </w:tcPr>
          <w:p w14:paraId="66656768"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2024</w:t>
            </w:r>
          </w:p>
        </w:tc>
        <w:tc>
          <w:tcPr>
            <w:tcW w:w="1643" w:type="dxa"/>
          </w:tcPr>
          <w:p w14:paraId="5B3D0122"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Nigerian banks; CAR data</w:t>
            </w:r>
          </w:p>
        </w:tc>
        <w:tc>
          <w:tcPr>
            <w:tcW w:w="1655" w:type="dxa"/>
          </w:tcPr>
          <w:p w14:paraId="4E6154F6"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Assess capital adequacy and resilience</w:t>
            </w:r>
          </w:p>
        </w:tc>
        <w:tc>
          <w:tcPr>
            <w:tcW w:w="1618" w:type="dxa"/>
          </w:tcPr>
          <w:p w14:paraId="07053285"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E</w:t>
            </w:r>
            <w:r>
              <w:rPr>
                <w:rFonts w:ascii="Times New Roman" w:eastAsia="Times New Roman" w:hAnsi="Times New Roman" w:cs="Times New Roman"/>
              </w:rPr>
              <w:t>mpirical analysis</w:t>
            </w:r>
          </w:p>
        </w:tc>
        <w:tc>
          <w:tcPr>
            <w:tcW w:w="1680" w:type="dxa"/>
          </w:tcPr>
          <w:p w14:paraId="6D6FC0ED"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Strong CAR buffers enhance stability under volatile economic conditions</w:t>
            </w:r>
          </w:p>
        </w:tc>
      </w:tr>
      <w:tr w:rsidR="008059F4" w14:paraId="7ABD1177" w14:textId="77777777">
        <w:tc>
          <w:tcPr>
            <w:tcW w:w="1989" w:type="dxa"/>
          </w:tcPr>
          <w:p w14:paraId="59A37430"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Li &amp; Zhong</w:t>
            </w:r>
          </w:p>
        </w:tc>
        <w:tc>
          <w:tcPr>
            <w:tcW w:w="765" w:type="dxa"/>
          </w:tcPr>
          <w:p w14:paraId="6EAD411B"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2019</w:t>
            </w:r>
          </w:p>
        </w:tc>
        <w:tc>
          <w:tcPr>
            <w:tcW w:w="1643" w:type="dxa"/>
          </w:tcPr>
          <w:p w14:paraId="07A7A9B0"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Economic policy uncertainty (EPU) shocks effect on financial conditions index (FCI)</w:t>
            </w:r>
          </w:p>
        </w:tc>
        <w:tc>
          <w:tcPr>
            <w:tcW w:w="1655" w:type="dxa"/>
          </w:tcPr>
          <w:p w14:paraId="46258899"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Link capital adequacy to risk-taking</w:t>
            </w:r>
          </w:p>
        </w:tc>
        <w:tc>
          <w:tcPr>
            <w:tcW w:w="1618" w:type="dxa"/>
          </w:tcPr>
          <w:p w14:paraId="28F6303F"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VAR framework</w:t>
            </w:r>
          </w:p>
        </w:tc>
        <w:tc>
          <w:tcPr>
            <w:tcW w:w="1680" w:type="dxa"/>
          </w:tcPr>
          <w:p w14:paraId="07A5B27D"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 xml:space="preserve">EPU is the </w:t>
            </w:r>
            <w:r>
              <w:rPr>
                <w:rFonts w:ascii="Times New Roman" w:eastAsia="Times New Roman" w:hAnsi="Times New Roman" w:cs="Times New Roman"/>
              </w:rPr>
              <w:t>most significant external driver of declines in China’s CFCI (interest rates, exchange rates, housing, stock market)</w:t>
            </w:r>
          </w:p>
        </w:tc>
      </w:tr>
      <w:tr w:rsidR="008059F4" w14:paraId="53F7A89F" w14:textId="77777777">
        <w:tc>
          <w:tcPr>
            <w:tcW w:w="1989" w:type="dxa"/>
          </w:tcPr>
          <w:p w14:paraId="4253FAF1"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Tang &amp; Yang</w:t>
            </w:r>
          </w:p>
        </w:tc>
        <w:tc>
          <w:tcPr>
            <w:tcW w:w="765" w:type="dxa"/>
          </w:tcPr>
          <w:p w14:paraId="2ACEBB01"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2024</w:t>
            </w:r>
          </w:p>
        </w:tc>
        <w:tc>
          <w:tcPr>
            <w:tcW w:w="1643" w:type="dxa"/>
          </w:tcPr>
          <w:p w14:paraId="57E8EBD4"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Chinese firms; MPU index</w:t>
            </w:r>
          </w:p>
        </w:tc>
        <w:tc>
          <w:tcPr>
            <w:tcW w:w="1655" w:type="dxa"/>
          </w:tcPr>
          <w:p w14:paraId="1DAC1562"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Explore MPU’s effect on financial risk via investment</w:t>
            </w:r>
          </w:p>
        </w:tc>
        <w:tc>
          <w:tcPr>
            <w:tcW w:w="1618" w:type="dxa"/>
          </w:tcPr>
          <w:p w14:paraId="6DBD239F"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Regression analysis</w:t>
            </w:r>
          </w:p>
        </w:tc>
        <w:tc>
          <w:tcPr>
            <w:tcW w:w="1680" w:type="dxa"/>
          </w:tcPr>
          <w:p w14:paraId="0C0C6E7F"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 xml:space="preserve">MPU reduces corporate </w:t>
            </w:r>
            <w:r>
              <w:rPr>
                <w:rFonts w:ascii="Times New Roman" w:eastAsia="Times New Roman" w:hAnsi="Times New Roman" w:cs="Times New Roman"/>
              </w:rPr>
              <w:t>investment, indirectly weakening bank asset quality</w:t>
            </w:r>
          </w:p>
        </w:tc>
      </w:tr>
      <w:tr w:rsidR="008059F4" w14:paraId="713DE340" w14:textId="77777777">
        <w:tc>
          <w:tcPr>
            <w:tcW w:w="1989" w:type="dxa"/>
          </w:tcPr>
          <w:p w14:paraId="5F0CB539" w14:textId="77777777" w:rsidR="008059F4" w:rsidRDefault="00654302">
            <w:pPr>
              <w:rPr>
                <w:rFonts w:ascii="Times New Roman" w:eastAsia="Times New Roman" w:hAnsi="Times New Roman" w:cs="Times New Roman"/>
              </w:rPr>
            </w:pPr>
            <w:r>
              <w:rPr>
                <w:rFonts w:ascii="Times New Roman" w:eastAsia="Times New Roman" w:hAnsi="Times New Roman" w:cs="Times New Roman"/>
                <w:color w:val="000000"/>
              </w:rPr>
              <w:t>Zhang &amp; Wang</w:t>
            </w:r>
          </w:p>
        </w:tc>
        <w:tc>
          <w:tcPr>
            <w:tcW w:w="765" w:type="dxa"/>
          </w:tcPr>
          <w:p w14:paraId="05914745"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2023</w:t>
            </w:r>
          </w:p>
        </w:tc>
        <w:tc>
          <w:tcPr>
            <w:tcW w:w="1643" w:type="dxa"/>
          </w:tcPr>
          <w:p w14:paraId="3167C356"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International bank data</w:t>
            </w:r>
          </w:p>
        </w:tc>
        <w:tc>
          <w:tcPr>
            <w:tcW w:w="1655" w:type="dxa"/>
          </w:tcPr>
          <w:p w14:paraId="74BD8697"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Evaluate MPU’s impact on bank stability</w:t>
            </w:r>
          </w:p>
        </w:tc>
        <w:tc>
          <w:tcPr>
            <w:tcW w:w="1618" w:type="dxa"/>
          </w:tcPr>
          <w:p w14:paraId="25E15295"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Panel regression</w:t>
            </w:r>
          </w:p>
        </w:tc>
        <w:tc>
          <w:tcPr>
            <w:tcW w:w="1680" w:type="dxa"/>
          </w:tcPr>
          <w:p w14:paraId="5029DE31"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MPU increases instability across banking systems globally, especially in emerging markets</w:t>
            </w:r>
          </w:p>
        </w:tc>
      </w:tr>
      <w:tr w:rsidR="008059F4" w14:paraId="11134738" w14:textId="77777777">
        <w:tc>
          <w:tcPr>
            <w:tcW w:w="1989" w:type="dxa"/>
          </w:tcPr>
          <w:p w14:paraId="6E440C34"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lastRenderedPageBreak/>
              <w:t>Wang et al.</w:t>
            </w:r>
          </w:p>
        </w:tc>
        <w:tc>
          <w:tcPr>
            <w:tcW w:w="765" w:type="dxa"/>
          </w:tcPr>
          <w:p w14:paraId="43950DC4"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2024a</w:t>
            </w:r>
          </w:p>
        </w:tc>
        <w:tc>
          <w:tcPr>
            <w:tcW w:w="1643" w:type="dxa"/>
          </w:tcPr>
          <w:p w14:paraId="483E012D"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Options market data</w:t>
            </w:r>
          </w:p>
        </w:tc>
        <w:tc>
          <w:tcPr>
            <w:tcW w:w="1655" w:type="dxa"/>
          </w:tcPr>
          <w:p w14:paraId="0DC0078C"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Investigate MPU’s role in hedging vs. speculation</w:t>
            </w:r>
          </w:p>
        </w:tc>
        <w:tc>
          <w:tcPr>
            <w:tcW w:w="1618" w:type="dxa"/>
          </w:tcPr>
          <w:p w14:paraId="1AEE446D"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Empirical analysis</w:t>
            </w:r>
          </w:p>
        </w:tc>
        <w:tc>
          <w:tcPr>
            <w:tcW w:w="1680" w:type="dxa"/>
          </w:tcPr>
          <w:p w14:paraId="41C3D6C6"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 xml:space="preserve">MPU drives speculative </w:t>
            </w:r>
            <w:proofErr w:type="spellStart"/>
            <w:r>
              <w:rPr>
                <w:rFonts w:ascii="Times New Roman" w:eastAsia="Times New Roman" w:hAnsi="Times New Roman" w:cs="Times New Roman"/>
              </w:rPr>
              <w:t>behavior</w:t>
            </w:r>
            <w:proofErr w:type="spellEnd"/>
            <w:r>
              <w:rPr>
                <w:rFonts w:ascii="Times New Roman" w:eastAsia="Times New Roman" w:hAnsi="Times New Roman" w:cs="Times New Roman"/>
              </w:rPr>
              <w:t xml:space="preserve"> in options markets, reducing hedging effectiveness</w:t>
            </w:r>
          </w:p>
        </w:tc>
      </w:tr>
      <w:tr w:rsidR="008059F4" w14:paraId="1EBF9A08" w14:textId="77777777">
        <w:tc>
          <w:tcPr>
            <w:tcW w:w="1989" w:type="dxa"/>
          </w:tcPr>
          <w:p w14:paraId="2B9FE84A"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Wang et al.</w:t>
            </w:r>
          </w:p>
        </w:tc>
        <w:tc>
          <w:tcPr>
            <w:tcW w:w="765" w:type="dxa"/>
          </w:tcPr>
          <w:p w14:paraId="309F3A85"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2024b</w:t>
            </w:r>
          </w:p>
        </w:tc>
        <w:tc>
          <w:tcPr>
            <w:tcW w:w="1643" w:type="dxa"/>
          </w:tcPr>
          <w:p w14:paraId="6794DFC6"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Crypto, energy tokens, renewables</w:t>
            </w:r>
          </w:p>
        </w:tc>
        <w:tc>
          <w:tcPr>
            <w:tcW w:w="1655" w:type="dxa"/>
          </w:tcPr>
          <w:p w14:paraId="55599881" w14:textId="77777777" w:rsidR="008059F4" w:rsidRDefault="00654302">
            <w:pPr>
              <w:rPr>
                <w:rFonts w:ascii="Times New Roman" w:eastAsia="Times New Roman" w:hAnsi="Times New Roman" w:cs="Times New Roman"/>
              </w:rPr>
            </w:pPr>
            <w:proofErr w:type="spellStart"/>
            <w:r>
              <w:rPr>
                <w:rFonts w:ascii="Times New Roman" w:eastAsia="Times New Roman" w:hAnsi="Times New Roman" w:cs="Times New Roman"/>
              </w:rPr>
              <w:t>Analyze</w:t>
            </w:r>
            <w:proofErr w:type="spellEnd"/>
            <w:r>
              <w:rPr>
                <w:rFonts w:ascii="Times New Roman" w:eastAsia="Times New Roman" w:hAnsi="Times New Roman" w:cs="Times New Roman"/>
              </w:rPr>
              <w:t xml:space="preserve"> connectedness und</w:t>
            </w:r>
            <w:r>
              <w:rPr>
                <w:rFonts w:ascii="Times New Roman" w:eastAsia="Times New Roman" w:hAnsi="Times New Roman" w:cs="Times New Roman"/>
              </w:rPr>
              <w:t>er MPU</w:t>
            </w:r>
          </w:p>
        </w:tc>
        <w:tc>
          <w:tcPr>
            <w:tcW w:w="1618" w:type="dxa"/>
          </w:tcPr>
          <w:p w14:paraId="693C6414"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Quantile-Frequency analysis</w:t>
            </w:r>
          </w:p>
        </w:tc>
        <w:tc>
          <w:tcPr>
            <w:tcW w:w="1680" w:type="dxa"/>
          </w:tcPr>
          <w:p w14:paraId="4CD83D97"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MPU increases volatility and interdependence across digital and energy assets</w:t>
            </w:r>
          </w:p>
        </w:tc>
      </w:tr>
      <w:tr w:rsidR="008059F4" w14:paraId="73616EF0" w14:textId="77777777">
        <w:tc>
          <w:tcPr>
            <w:tcW w:w="1989" w:type="dxa"/>
          </w:tcPr>
          <w:p w14:paraId="3784E605"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Younis et al.</w:t>
            </w:r>
          </w:p>
        </w:tc>
        <w:tc>
          <w:tcPr>
            <w:tcW w:w="765" w:type="dxa"/>
          </w:tcPr>
          <w:p w14:paraId="007921BE"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2024</w:t>
            </w:r>
          </w:p>
        </w:tc>
        <w:tc>
          <w:tcPr>
            <w:tcW w:w="1643" w:type="dxa"/>
          </w:tcPr>
          <w:p w14:paraId="421013EC"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Industry-specific equity data</w:t>
            </w:r>
          </w:p>
        </w:tc>
        <w:tc>
          <w:tcPr>
            <w:tcW w:w="1655" w:type="dxa"/>
          </w:tcPr>
          <w:p w14:paraId="7DD90A6A"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Assess uncertainty effects on sectoral equity</w:t>
            </w:r>
          </w:p>
        </w:tc>
        <w:tc>
          <w:tcPr>
            <w:tcW w:w="1618" w:type="dxa"/>
          </w:tcPr>
          <w:p w14:paraId="0A718D55"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 xml:space="preserve">Computational </w:t>
            </w:r>
            <w:proofErr w:type="spellStart"/>
            <w:r>
              <w:rPr>
                <w:rFonts w:ascii="Times New Roman" w:eastAsia="Times New Roman" w:hAnsi="Times New Roman" w:cs="Times New Roman"/>
              </w:rPr>
              <w:t>modeling</w:t>
            </w:r>
            <w:proofErr w:type="spellEnd"/>
          </w:p>
        </w:tc>
        <w:tc>
          <w:tcPr>
            <w:tcW w:w="1680" w:type="dxa"/>
          </w:tcPr>
          <w:p w14:paraId="41479D11"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 xml:space="preserve">MPU and trade </w:t>
            </w:r>
            <w:r>
              <w:rPr>
                <w:rFonts w:ascii="Times New Roman" w:eastAsia="Times New Roman" w:hAnsi="Times New Roman" w:cs="Times New Roman"/>
              </w:rPr>
              <w:t>uncertainty jointly affect sector-specific stock performance</w:t>
            </w:r>
          </w:p>
        </w:tc>
      </w:tr>
      <w:tr w:rsidR="008059F4" w14:paraId="0C27F217" w14:textId="77777777">
        <w:tc>
          <w:tcPr>
            <w:tcW w:w="1989" w:type="dxa"/>
          </w:tcPr>
          <w:p w14:paraId="7BE9DE40"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Zhang et al.</w:t>
            </w:r>
          </w:p>
        </w:tc>
        <w:tc>
          <w:tcPr>
            <w:tcW w:w="765" w:type="dxa"/>
          </w:tcPr>
          <w:p w14:paraId="56004133"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2023</w:t>
            </w:r>
          </w:p>
        </w:tc>
        <w:tc>
          <w:tcPr>
            <w:tcW w:w="1643" w:type="dxa"/>
          </w:tcPr>
          <w:p w14:paraId="62D2166B"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Oil prices; geopolitical conflict</w:t>
            </w:r>
          </w:p>
        </w:tc>
        <w:tc>
          <w:tcPr>
            <w:tcW w:w="1655" w:type="dxa"/>
          </w:tcPr>
          <w:p w14:paraId="30B2FF5B"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Examine Russia–Ukraine war’s impact on oil</w:t>
            </w:r>
          </w:p>
        </w:tc>
        <w:tc>
          <w:tcPr>
            <w:tcW w:w="1618" w:type="dxa"/>
          </w:tcPr>
          <w:p w14:paraId="5DFB22E5"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Case study analysis</w:t>
            </w:r>
          </w:p>
        </w:tc>
        <w:tc>
          <w:tcPr>
            <w:tcW w:w="1680" w:type="dxa"/>
          </w:tcPr>
          <w:p w14:paraId="0676870F"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Geopolitical shocks amplify oil price volatility and market instability under M</w:t>
            </w:r>
            <w:r>
              <w:rPr>
                <w:rFonts w:ascii="Times New Roman" w:eastAsia="Times New Roman" w:hAnsi="Times New Roman" w:cs="Times New Roman"/>
              </w:rPr>
              <w:t>PU</w:t>
            </w:r>
          </w:p>
        </w:tc>
      </w:tr>
    </w:tbl>
    <w:p w14:paraId="737F1333" w14:textId="77777777" w:rsidR="008059F4" w:rsidRDefault="00654302">
      <w:pPr>
        <w:spacing w:before="280" w:after="28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Thematic Categories:</w:t>
      </w:r>
    </w:p>
    <w:p w14:paraId="6D108A3B" w14:textId="77777777" w:rsidR="008059F4" w:rsidRDefault="00654302">
      <w:pPr>
        <w:spacing w:before="280" w:after="28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3.1 Empirical Models and Methods (RQ1)</w:t>
      </w:r>
    </w:p>
    <w:p w14:paraId="2E93D945"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literature assessing the nexus between monetary policy uncertainty (MPU) and U.S. banking stability employs a diverse blend of econometric, structural, and data-driven methodologies. These</w:t>
      </w:r>
      <w:r>
        <w:rPr>
          <w:rFonts w:ascii="Times New Roman" w:eastAsia="Times New Roman" w:hAnsi="Times New Roman" w:cs="Times New Roman"/>
          <w:color w:val="000000"/>
        </w:rPr>
        <w:t xml:space="preserve"> models differ not only in their technical frameworks but also in their capacity to capture the dynamic, nonlinear, and state-dependent effects of uncertainty on the financial system. Four dominant methodological streams emerge from the reviewed studies: v</w:t>
      </w:r>
      <w:r>
        <w:rPr>
          <w:rFonts w:ascii="Times New Roman" w:eastAsia="Times New Roman" w:hAnsi="Times New Roman" w:cs="Times New Roman"/>
          <w:color w:val="000000"/>
        </w:rPr>
        <w:t>ector autoregressive (VAR)–based models, dynamic stochastic general equilibrium (DSGE) frameworks, machine learning (ML) and volatility forecasting tools, and the use of policy uncertainty indices such as the Baker–Bloom–Davis (BBD) index.</w:t>
      </w:r>
    </w:p>
    <w:p w14:paraId="7902EBD4" w14:textId="77777777" w:rsidR="008059F4" w:rsidRDefault="00654302">
      <w:pPr>
        <w:pStyle w:val="Heading3"/>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VAR, BVAR, and S</w:t>
      </w:r>
      <w:r>
        <w:rPr>
          <w:rFonts w:ascii="Times New Roman" w:eastAsia="Times New Roman" w:hAnsi="Times New Roman" w:cs="Times New Roman"/>
          <w:b/>
          <w:bCs/>
          <w:color w:val="000000"/>
        </w:rPr>
        <w:t>VAR Frameworks: Tracing Dynamic Transmission Mechanisms</w:t>
      </w:r>
    </w:p>
    <w:p w14:paraId="001E13F6"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Traditional and Bayesian vector autoregressive models remain the cornerstone of empirical investigation into how monetary policy shocks transmit to the banking sector. Studies such as </w:t>
      </w:r>
      <w:proofErr w:type="spellStart"/>
      <w:r>
        <w:rPr>
          <w:rFonts w:ascii="Times New Roman" w:eastAsia="Times New Roman" w:hAnsi="Times New Roman" w:cs="Times New Roman"/>
          <w:color w:val="000000"/>
        </w:rPr>
        <w:t>Evgenidis</w:t>
      </w:r>
      <w:proofErr w:type="spellEnd"/>
      <w:r>
        <w:rPr>
          <w:rFonts w:ascii="Times New Roman" w:eastAsia="Times New Roman" w:hAnsi="Times New Roman" w:cs="Times New Roman"/>
          <w:color w:val="000000"/>
        </w:rPr>
        <w:t xml:space="preserve"> (2020)</w:t>
      </w:r>
      <w:r>
        <w:rPr>
          <w:rFonts w:ascii="Times New Roman" w:eastAsia="Times New Roman" w:hAnsi="Times New Roman" w:cs="Times New Roman"/>
          <w:color w:val="000000"/>
        </w:rPr>
        <w:t xml:space="preserve"> and </w:t>
      </w:r>
      <w:proofErr w:type="spellStart"/>
      <w:r>
        <w:rPr>
          <w:rFonts w:ascii="Times New Roman" w:eastAsia="Times New Roman" w:hAnsi="Times New Roman" w:cs="Times New Roman"/>
          <w:color w:val="000000"/>
        </w:rPr>
        <w:t>Aor</w:t>
      </w:r>
      <w:proofErr w:type="spellEnd"/>
      <w:r>
        <w:rPr>
          <w:rFonts w:ascii="Times New Roman" w:eastAsia="Times New Roman" w:hAnsi="Times New Roman" w:cs="Times New Roman"/>
          <w:color w:val="000000"/>
        </w:rPr>
        <w:t xml:space="preserve"> et al. (2021) apply structural VAR (SVAR) and panel VAR approaches to model the interdependence between policy shocks, credit conditions, and systemic stability indicators. The strength of these models lies in their ability to trace short- and med</w:t>
      </w:r>
      <w:r>
        <w:rPr>
          <w:rFonts w:ascii="Times New Roman" w:eastAsia="Times New Roman" w:hAnsi="Times New Roman" w:cs="Times New Roman"/>
          <w:color w:val="000000"/>
        </w:rPr>
        <w:t>ium-term responses of bank-level variables such as loan growth, interest margins, and funding liquidity to identified policy shocks.</w:t>
      </w:r>
    </w:p>
    <w:p w14:paraId="1CF0863B"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For instance, </w:t>
      </w:r>
      <w:proofErr w:type="spellStart"/>
      <w:r>
        <w:rPr>
          <w:rFonts w:ascii="Times New Roman" w:eastAsia="Times New Roman" w:hAnsi="Times New Roman" w:cs="Times New Roman"/>
          <w:color w:val="000000"/>
        </w:rPr>
        <w:t>Evgenidis</w:t>
      </w:r>
      <w:proofErr w:type="spellEnd"/>
      <w:r>
        <w:rPr>
          <w:rFonts w:ascii="Times New Roman" w:eastAsia="Times New Roman" w:hAnsi="Times New Roman" w:cs="Times New Roman"/>
          <w:color w:val="000000"/>
        </w:rPr>
        <w:t xml:space="preserve"> (2020) used a structural identification scheme within a VAR framework to explore the impact of unco</w:t>
      </w:r>
      <w:r>
        <w:rPr>
          <w:rFonts w:ascii="Times New Roman" w:eastAsia="Times New Roman" w:hAnsi="Times New Roman" w:cs="Times New Roman"/>
          <w:color w:val="000000"/>
        </w:rPr>
        <w:t>nventional monetary policy in the Euro Area, revealing that liquidity injections and asset purchases can mitigate short-term instability but also amplify medium-term risk-taking a dynamic highly relevant to U.S. monetary settings during post-2008 and post-</w:t>
      </w:r>
      <w:r>
        <w:rPr>
          <w:rFonts w:ascii="Times New Roman" w:eastAsia="Times New Roman" w:hAnsi="Times New Roman" w:cs="Times New Roman"/>
          <w:color w:val="000000"/>
        </w:rPr>
        <w:t>COVID periods. Similarly, Lamers et al. (2019) employed a panel VAR to examine the delicate balance between monetary accommodation and bank stability. Their findings highlight that expansionary policy shocks initially improve liquidity and profitability bu</w:t>
      </w:r>
      <w:r>
        <w:rPr>
          <w:rFonts w:ascii="Times New Roman" w:eastAsia="Times New Roman" w:hAnsi="Times New Roman" w:cs="Times New Roman"/>
          <w:color w:val="000000"/>
        </w:rPr>
        <w:t>t can erode solvency resilience over time through excessive leverage buildup.</w:t>
      </w:r>
    </w:p>
    <w:p w14:paraId="525A5250"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Bayesian VAR (BVAR) extensions, as used in </w:t>
      </w:r>
      <w:proofErr w:type="spellStart"/>
      <w:r>
        <w:rPr>
          <w:rFonts w:ascii="Times New Roman" w:eastAsia="Times New Roman" w:hAnsi="Times New Roman" w:cs="Times New Roman"/>
          <w:color w:val="000000"/>
        </w:rPr>
        <w:t>Chukwukelo</w:t>
      </w:r>
      <w:proofErr w:type="spellEnd"/>
      <w:r>
        <w:rPr>
          <w:rFonts w:ascii="Times New Roman" w:eastAsia="Times New Roman" w:hAnsi="Times New Roman" w:cs="Times New Roman"/>
          <w:color w:val="000000"/>
        </w:rPr>
        <w:t xml:space="preserve"> et al. (2025) and Afonso &amp; Sousa (2012), allow the incorporation of prior information and uncertainty distributions, imp</w:t>
      </w:r>
      <w:r>
        <w:rPr>
          <w:rFonts w:ascii="Times New Roman" w:eastAsia="Times New Roman" w:hAnsi="Times New Roman" w:cs="Times New Roman"/>
          <w:color w:val="000000"/>
        </w:rPr>
        <w:t>roving the estimation of complex systems under volatile conditions. This probabilistic flexibility enables a better representation of uncertainty transmission to bank balance sheets.</w:t>
      </w:r>
    </w:p>
    <w:p w14:paraId="6E1496DC" w14:textId="77777777" w:rsidR="008059F4" w:rsidRDefault="00654302">
      <w:pPr>
        <w:pStyle w:val="Heading3"/>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DSGE-Based Uncertainty </w:t>
      </w:r>
      <w:proofErr w:type="spellStart"/>
      <w:r>
        <w:rPr>
          <w:rFonts w:ascii="Times New Roman" w:eastAsia="Times New Roman" w:hAnsi="Times New Roman" w:cs="Times New Roman"/>
          <w:b/>
          <w:bCs/>
          <w:color w:val="000000"/>
        </w:rPr>
        <w:t>Modeling</w:t>
      </w:r>
      <w:proofErr w:type="spellEnd"/>
      <w:r>
        <w:rPr>
          <w:rFonts w:ascii="Times New Roman" w:eastAsia="Times New Roman" w:hAnsi="Times New Roman" w:cs="Times New Roman"/>
          <w:b/>
          <w:bCs/>
          <w:color w:val="000000"/>
        </w:rPr>
        <w:t>: Linking Policy Shocks to Financial Stabi</w:t>
      </w:r>
      <w:r>
        <w:rPr>
          <w:rFonts w:ascii="Times New Roman" w:eastAsia="Times New Roman" w:hAnsi="Times New Roman" w:cs="Times New Roman"/>
          <w:b/>
          <w:bCs/>
          <w:color w:val="000000"/>
        </w:rPr>
        <w:t>lity</w:t>
      </w:r>
    </w:p>
    <w:p w14:paraId="26EC60EC"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Dynamic stochastic general equilibrium (DSGE) models provide a theoretical macro-financial backbone for understanding MPU’s structural channels. Bekaert et al. (2013) and Fernández-Villaverde et al., (2015) extend DSGE frameworks by integrating uncert</w:t>
      </w:r>
      <w:r>
        <w:rPr>
          <w:rFonts w:ascii="Times New Roman" w:eastAsia="Times New Roman" w:hAnsi="Times New Roman" w:cs="Times New Roman"/>
          <w:color w:val="000000"/>
        </w:rPr>
        <w:t>ainty shocks directly into the policy and financial blocks of the model. These studies demonstrate how unexpected changes in the monetary stance captured as variance shocks to interest-rate rules can propagate through credit spreads, investment dynamics, a</w:t>
      </w:r>
      <w:r>
        <w:rPr>
          <w:rFonts w:ascii="Times New Roman" w:eastAsia="Times New Roman" w:hAnsi="Times New Roman" w:cs="Times New Roman"/>
          <w:color w:val="000000"/>
        </w:rPr>
        <w:t>nd bank capital buffers.</w:t>
      </w:r>
    </w:p>
    <w:p w14:paraId="554EFFE5"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DSGE approach captures general equilibrium feedback loops often missed by reduced-form econometric models. Fernández-Villaverde et al., (2015), for example, models how uncertainty interacts with forward guidance and expectation</w:t>
      </w:r>
      <w:r>
        <w:rPr>
          <w:rFonts w:ascii="Times New Roman" w:eastAsia="Times New Roman" w:hAnsi="Times New Roman" w:cs="Times New Roman"/>
          <w:color w:val="000000"/>
        </w:rPr>
        <w:t xml:space="preserve">s, finding that rising MPU amplifies the volatility of long-term yields and weakens the credibility of central bank communication. This mechanism translates into broader financial instability as bank funding costs rise. Similarly, the </w:t>
      </w:r>
      <w:r>
        <w:rPr>
          <w:rFonts w:ascii="Times New Roman" w:eastAsia="Times New Roman" w:hAnsi="Times New Roman" w:cs="Times New Roman"/>
          <w:i/>
          <w:iCs/>
          <w:color w:val="000000"/>
        </w:rPr>
        <w:t>work1250.pdf</w:t>
      </w:r>
      <w:r>
        <w:rPr>
          <w:rFonts w:ascii="Times New Roman" w:eastAsia="Times New Roman" w:hAnsi="Times New Roman" w:cs="Times New Roman"/>
          <w:color w:val="000000"/>
        </w:rPr>
        <w:t xml:space="preserve"> paper ex</w:t>
      </w:r>
      <w:r>
        <w:rPr>
          <w:rFonts w:ascii="Times New Roman" w:eastAsia="Times New Roman" w:hAnsi="Times New Roman" w:cs="Times New Roman"/>
          <w:color w:val="000000"/>
        </w:rPr>
        <w:t>plores how DSGE-based simulations can assess financial stability trade-offs under uncertain policy rules, showing that credibility shocks have a disproportionately adverse effect on banking sector resilience.</w:t>
      </w:r>
    </w:p>
    <w:p w14:paraId="52BBDCF1"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However, while DSGE models excel at representin</w:t>
      </w:r>
      <w:r>
        <w:rPr>
          <w:rFonts w:ascii="Times New Roman" w:eastAsia="Times New Roman" w:hAnsi="Times New Roman" w:cs="Times New Roman"/>
          <w:color w:val="000000"/>
        </w:rPr>
        <w:t xml:space="preserve">g theoretical propagation mechanisms, their empirical calibration often depends on assumptions that may not capture real-time </w:t>
      </w:r>
      <w:proofErr w:type="spellStart"/>
      <w:r>
        <w:rPr>
          <w:rFonts w:ascii="Times New Roman" w:eastAsia="Times New Roman" w:hAnsi="Times New Roman" w:cs="Times New Roman"/>
          <w:color w:val="000000"/>
        </w:rPr>
        <w:t>behavioral</w:t>
      </w:r>
      <w:proofErr w:type="spellEnd"/>
      <w:r>
        <w:rPr>
          <w:rFonts w:ascii="Times New Roman" w:eastAsia="Times New Roman" w:hAnsi="Times New Roman" w:cs="Times New Roman"/>
          <w:color w:val="000000"/>
        </w:rPr>
        <w:t xml:space="preserve"> shifts in markets. As noted in </w:t>
      </w:r>
      <w:proofErr w:type="spellStart"/>
      <w:r>
        <w:rPr>
          <w:rFonts w:ascii="Times New Roman" w:eastAsia="Times New Roman" w:hAnsi="Times New Roman" w:cs="Times New Roman"/>
          <w:color w:val="000000"/>
        </w:rPr>
        <w:t>Laeven</w:t>
      </w:r>
      <w:proofErr w:type="spellEnd"/>
      <w:r>
        <w:rPr>
          <w:rFonts w:ascii="Times New Roman" w:eastAsia="Times New Roman" w:hAnsi="Times New Roman" w:cs="Times New Roman"/>
          <w:color w:val="000000"/>
        </w:rPr>
        <w:t xml:space="preserve"> et al. (2022), the complexity of linking macro-level policy shocks to granular ba</w:t>
      </w:r>
      <w:r>
        <w:rPr>
          <w:rFonts w:ascii="Times New Roman" w:eastAsia="Times New Roman" w:hAnsi="Times New Roman" w:cs="Times New Roman"/>
          <w:color w:val="000000"/>
        </w:rPr>
        <w:t>nk-level data limits the operational use of DSGE models for day-to-day supervisory risk assessment.</w:t>
      </w:r>
    </w:p>
    <w:p w14:paraId="0C17E0D9" w14:textId="77777777" w:rsidR="008059F4" w:rsidRDefault="00654302">
      <w:pPr>
        <w:pStyle w:val="Heading3"/>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Machine Learning and Volatility Forecasting: A New Frontier for Predictive Stability Analysis</w:t>
      </w:r>
    </w:p>
    <w:p w14:paraId="0B198967"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More recent studies incorporate machine learning (ML) methods </w:t>
      </w:r>
      <w:r>
        <w:rPr>
          <w:rFonts w:ascii="Times New Roman" w:eastAsia="Times New Roman" w:hAnsi="Times New Roman" w:cs="Times New Roman"/>
          <w:color w:val="000000"/>
        </w:rPr>
        <w:t xml:space="preserve">to enhance forecasting accuracy and capture nonlinear, high-frequency relationships between MPU indicators and banking risk metrics. Within the uploaded dataset, both the </w:t>
      </w:r>
      <w:r>
        <w:rPr>
          <w:rFonts w:ascii="Times New Roman" w:eastAsia="Times New Roman" w:hAnsi="Times New Roman" w:cs="Times New Roman"/>
          <w:i/>
          <w:iCs/>
          <w:color w:val="000000"/>
        </w:rPr>
        <w:t>economies-11-00017.pdf</w:t>
      </w:r>
      <w:r>
        <w:rPr>
          <w:rFonts w:ascii="Times New Roman" w:eastAsia="Times New Roman" w:hAnsi="Times New Roman" w:cs="Times New Roman"/>
          <w:color w:val="000000"/>
        </w:rPr>
        <w:t xml:space="preserve"> and </w:t>
      </w:r>
      <w:r>
        <w:rPr>
          <w:rFonts w:ascii="Times New Roman" w:eastAsia="Times New Roman" w:hAnsi="Times New Roman" w:cs="Times New Roman"/>
          <w:i/>
          <w:iCs/>
          <w:color w:val="000000"/>
        </w:rPr>
        <w:t>1774372304.pdf</w:t>
      </w:r>
      <w:r>
        <w:rPr>
          <w:rFonts w:ascii="Times New Roman" w:eastAsia="Times New Roman" w:hAnsi="Times New Roman" w:cs="Times New Roman"/>
          <w:color w:val="000000"/>
        </w:rPr>
        <w:t xml:space="preserve"> articles emphasize the growing relevance of</w:t>
      </w:r>
      <w:r>
        <w:rPr>
          <w:rFonts w:ascii="Times New Roman" w:eastAsia="Times New Roman" w:hAnsi="Times New Roman" w:cs="Times New Roman"/>
          <w:color w:val="000000"/>
        </w:rPr>
        <w:t xml:space="preserve"> ML algorithms such as random forests, neural networks, and gradient-boosting ensembles in predicting volatility and systemic stress indices under policy uncertainty.</w:t>
      </w:r>
    </w:p>
    <w:p w14:paraId="6DB8DA1B"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These models, unlike linear VARs, can flexibly map complex dependencies between multiple </w:t>
      </w:r>
      <w:r>
        <w:rPr>
          <w:rFonts w:ascii="Times New Roman" w:eastAsia="Times New Roman" w:hAnsi="Times New Roman" w:cs="Times New Roman"/>
          <w:color w:val="000000"/>
        </w:rPr>
        <w:t xml:space="preserve">uncertainty measures (monetary, fiscal, geopolitical) and stability proxies (e.g., nonperforming loans, liquidity coverage ratios). They have proven particularly valuable for stress-testing exercises </w:t>
      </w:r>
      <w:r>
        <w:rPr>
          <w:rFonts w:ascii="Times New Roman" w:eastAsia="Times New Roman" w:hAnsi="Times New Roman" w:cs="Times New Roman"/>
          <w:color w:val="000000"/>
        </w:rPr>
        <w:lastRenderedPageBreak/>
        <w:t>where nonlinear tail-risk dynamics dominate. As document</w:t>
      </w:r>
      <w:r>
        <w:rPr>
          <w:rFonts w:ascii="Times New Roman" w:eastAsia="Times New Roman" w:hAnsi="Times New Roman" w:cs="Times New Roman"/>
          <w:color w:val="000000"/>
        </w:rPr>
        <w:t>ed in Dong et al. (2025) and Younis et al. (2024), ML approaches outperform traditional econometric models in identifying early-warning signals for credit and liquidity deterioration during periods of heightened uncertainty.</w:t>
      </w:r>
    </w:p>
    <w:p w14:paraId="679425A8"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However, despite their predicti</w:t>
      </w:r>
      <w:r>
        <w:rPr>
          <w:rFonts w:ascii="Times New Roman" w:eastAsia="Times New Roman" w:hAnsi="Times New Roman" w:cs="Times New Roman"/>
          <w:color w:val="000000"/>
        </w:rPr>
        <w:t xml:space="preserve">ve accuracy, ML models often lack interpretability, raising challenges for regulatory transparency and policy communication. As Yeo, Van Der Heever, Mao, Cambria, </w:t>
      </w:r>
      <w:proofErr w:type="spellStart"/>
      <w:r>
        <w:rPr>
          <w:rFonts w:ascii="Times New Roman" w:eastAsia="Times New Roman" w:hAnsi="Times New Roman" w:cs="Times New Roman"/>
          <w:color w:val="000000"/>
        </w:rPr>
        <w:t>Satapathy</w:t>
      </w:r>
      <w:proofErr w:type="spellEnd"/>
      <w:r>
        <w:rPr>
          <w:rFonts w:ascii="Times New Roman" w:eastAsia="Times New Roman" w:hAnsi="Times New Roman" w:cs="Times New Roman"/>
          <w:color w:val="000000"/>
        </w:rPr>
        <w:t xml:space="preserve">, and </w:t>
      </w:r>
      <w:proofErr w:type="spellStart"/>
      <w:r>
        <w:rPr>
          <w:rFonts w:ascii="Times New Roman" w:eastAsia="Times New Roman" w:hAnsi="Times New Roman" w:cs="Times New Roman"/>
          <w:color w:val="000000"/>
        </w:rPr>
        <w:t>Mengaldo</w:t>
      </w:r>
      <w:proofErr w:type="spellEnd"/>
      <w:r>
        <w:rPr>
          <w:rFonts w:ascii="Times New Roman" w:eastAsia="Times New Roman" w:hAnsi="Times New Roman" w:cs="Times New Roman"/>
          <w:color w:val="000000"/>
        </w:rPr>
        <w:t xml:space="preserve"> (2025) emphasise, explainable-AI techniques are necessary to translat</w:t>
      </w:r>
      <w:r>
        <w:rPr>
          <w:rFonts w:ascii="Times New Roman" w:eastAsia="Times New Roman" w:hAnsi="Times New Roman" w:cs="Times New Roman"/>
          <w:color w:val="000000"/>
        </w:rPr>
        <w:t>e ML insights into actionable supervisory decisions.</w:t>
      </w:r>
    </w:p>
    <w:p w14:paraId="397594F1" w14:textId="77777777" w:rsidR="008059F4" w:rsidRDefault="00654302">
      <w:pPr>
        <w:pStyle w:val="Heading3"/>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Policy Uncertainty Indices: Measurement Foundations and Empirical Integration</w:t>
      </w:r>
    </w:p>
    <w:p w14:paraId="6EDFC581"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Across all empirical frameworks, the Baker, Bloom, and Davis (BBD) policy uncertainty index remains the most commonly employe</w:t>
      </w:r>
      <w:r>
        <w:rPr>
          <w:rFonts w:ascii="Times New Roman" w:eastAsia="Times New Roman" w:hAnsi="Times New Roman" w:cs="Times New Roman"/>
          <w:color w:val="000000"/>
        </w:rPr>
        <w:t xml:space="preserve">d metric for capturing U.S. MPU. This index, derived from frequency-weighted news coverage of monetary and policy terms, has been integrated into VARs, DSGE simulations, and ML forecasting pipelines alike (Bekaert et al., 2013; </w:t>
      </w:r>
      <w:proofErr w:type="spellStart"/>
      <w:r>
        <w:rPr>
          <w:rFonts w:ascii="Times New Roman" w:eastAsia="Times New Roman" w:hAnsi="Times New Roman" w:cs="Times New Roman"/>
          <w:color w:val="000000"/>
        </w:rPr>
        <w:t>Chukwukelo</w:t>
      </w:r>
      <w:proofErr w:type="spellEnd"/>
      <w:r>
        <w:rPr>
          <w:rFonts w:ascii="Times New Roman" w:eastAsia="Times New Roman" w:hAnsi="Times New Roman" w:cs="Times New Roman"/>
          <w:color w:val="000000"/>
        </w:rPr>
        <w:t xml:space="preserve"> et al, 2025; Arsh</w:t>
      </w:r>
      <w:r>
        <w:rPr>
          <w:rFonts w:ascii="Times New Roman" w:eastAsia="Times New Roman" w:hAnsi="Times New Roman" w:cs="Times New Roman"/>
          <w:color w:val="000000"/>
        </w:rPr>
        <w:t>ad et al., 2024). The BBD index provides a standardized proxy for uncertainty shocks, allowing cross-temporal and cross-country comparisons.</w:t>
      </w:r>
    </w:p>
    <w:p w14:paraId="19A8CB8B"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Researchers often supplement the BBD measure with volatility-based proxies such as interest-rate dispersion, credit default swap (CDS) spreads, or market-implied uncertainty indices. For instance, Zhang &amp; Wang (2023) and </w:t>
      </w:r>
      <w:proofErr w:type="spellStart"/>
      <w:r>
        <w:rPr>
          <w:rFonts w:ascii="Times New Roman" w:eastAsia="Times New Roman" w:hAnsi="Times New Roman" w:cs="Times New Roman"/>
          <w:color w:val="000000"/>
        </w:rPr>
        <w:t>Galloppo</w:t>
      </w:r>
      <w:proofErr w:type="spellEnd"/>
      <w:r>
        <w:rPr>
          <w:rFonts w:ascii="Times New Roman" w:eastAsia="Times New Roman" w:hAnsi="Times New Roman" w:cs="Times New Roman"/>
          <w:color w:val="000000"/>
        </w:rPr>
        <w:t xml:space="preserve"> &amp; </w:t>
      </w:r>
      <w:proofErr w:type="spellStart"/>
      <w:r>
        <w:rPr>
          <w:rFonts w:ascii="Times New Roman" w:eastAsia="Times New Roman" w:hAnsi="Times New Roman" w:cs="Times New Roman"/>
          <w:color w:val="000000"/>
        </w:rPr>
        <w:t>Paimanova</w:t>
      </w:r>
      <w:proofErr w:type="spellEnd"/>
      <w:r>
        <w:rPr>
          <w:rFonts w:ascii="Times New Roman" w:eastAsia="Times New Roman" w:hAnsi="Times New Roman" w:cs="Times New Roman"/>
          <w:color w:val="000000"/>
        </w:rPr>
        <w:t xml:space="preserve"> (2017) illustr</w:t>
      </w:r>
      <w:r>
        <w:rPr>
          <w:rFonts w:ascii="Times New Roman" w:eastAsia="Times New Roman" w:hAnsi="Times New Roman" w:cs="Times New Roman"/>
          <w:color w:val="000000"/>
        </w:rPr>
        <w:t>ate how combining MPU indices with financial market volatility data refines the identification of uncertainty-driven stress episodes.</w:t>
      </w:r>
    </w:p>
    <w:p w14:paraId="7B9559B3"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Nevertheless, the reliance on textual indices introduces measurement bias, as news sentiment and coverage intensity may no</w:t>
      </w:r>
      <w:r>
        <w:rPr>
          <w:rFonts w:ascii="Times New Roman" w:eastAsia="Times New Roman" w:hAnsi="Times New Roman" w:cs="Times New Roman"/>
          <w:color w:val="000000"/>
        </w:rPr>
        <w:t>t perfectly mirror underlying policy ambiguity. As a result, several studies propose hybrid measures combining macro volatility indicators with text-based indices to improve robustness (</w:t>
      </w:r>
      <w:proofErr w:type="spellStart"/>
      <w:r>
        <w:rPr>
          <w:rFonts w:ascii="Times New Roman" w:eastAsia="Times New Roman" w:hAnsi="Times New Roman" w:cs="Times New Roman"/>
          <w:color w:val="000000"/>
        </w:rPr>
        <w:t>Belhoula</w:t>
      </w:r>
      <w:proofErr w:type="spellEnd"/>
      <w:r>
        <w:rPr>
          <w:rFonts w:ascii="Times New Roman" w:eastAsia="Times New Roman" w:hAnsi="Times New Roman" w:cs="Times New Roman"/>
          <w:color w:val="000000"/>
        </w:rPr>
        <w:t>, 2024).</w:t>
      </w:r>
    </w:p>
    <w:p w14:paraId="2B9F2FCD" w14:textId="77777777" w:rsidR="008059F4" w:rsidRDefault="00654302">
      <w:pPr>
        <w:pStyle w:val="Heading3"/>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Synthesis and Thematic Insights</w:t>
      </w:r>
    </w:p>
    <w:p w14:paraId="14F9840C"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Overall, empirical li</w:t>
      </w:r>
      <w:r>
        <w:rPr>
          <w:rFonts w:ascii="Times New Roman" w:eastAsia="Times New Roman" w:hAnsi="Times New Roman" w:cs="Times New Roman"/>
          <w:color w:val="000000"/>
        </w:rPr>
        <w:t>terature reveals an evolution in methodology from traditional VAR and DSGE frameworks to hybrid ML–econometric models capable of accommodating the nonlinear and regime-dependent nature of policy uncertainty. VAR-type models remain essential for causal iden</w:t>
      </w:r>
      <w:r>
        <w:rPr>
          <w:rFonts w:ascii="Times New Roman" w:eastAsia="Times New Roman" w:hAnsi="Times New Roman" w:cs="Times New Roman"/>
          <w:color w:val="000000"/>
        </w:rPr>
        <w:t>tification and dynamic analysis, DSGE models provide theoretical coherence, and ML techniques extend predictive capability and real-time adaptability. The integration of uncertainty indices like BBD ensures consistent empirical grounding across these diver</w:t>
      </w:r>
      <w:r>
        <w:rPr>
          <w:rFonts w:ascii="Times New Roman" w:eastAsia="Times New Roman" w:hAnsi="Times New Roman" w:cs="Times New Roman"/>
          <w:color w:val="000000"/>
        </w:rPr>
        <w:t>se methods.</w:t>
      </w:r>
    </w:p>
    <w:p w14:paraId="434B7928"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What remains less developed though increasingly recognized is the methodological bridge between AI-driven forecasts and structural macro-financial models. Few studies explicitly integrate ML-derived uncertainty forecasts within DSGE or VAR </w:t>
      </w:r>
      <w:r>
        <w:rPr>
          <w:rFonts w:ascii="Times New Roman" w:eastAsia="Times New Roman" w:hAnsi="Times New Roman" w:cs="Times New Roman"/>
          <w:color w:val="000000"/>
        </w:rPr>
        <w:t>systems, indicating a promising direction for future U.S. banking stability research.</w:t>
      </w:r>
    </w:p>
    <w:p w14:paraId="4173C13B" w14:textId="77777777" w:rsidR="008059F4" w:rsidRDefault="00654302">
      <w:pPr>
        <w:spacing w:before="280" w:after="28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3.2 Dimensions of Banking Stability Affected (RQ2)</w:t>
      </w:r>
    </w:p>
    <w:p w14:paraId="10C8DC23" w14:textId="77777777" w:rsidR="008059F4" w:rsidRDefault="00654302">
      <w:pPr>
        <w:rPr>
          <w:rFonts w:ascii="Times New Roman" w:eastAsia="Times New Roman" w:hAnsi="Times New Roman" w:cs="Times New Roman"/>
        </w:rPr>
      </w:pPr>
      <w:r>
        <w:rPr>
          <w:rFonts w:ascii="Times New Roman" w:eastAsia="Times New Roman" w:hAnsi="Times New Roman" w:cs="Times New Roman"/>
          <w:b/>
          <w:bCs/>
        </w:rPr>
        <w:t>3.2.1 Effects on Credit Supply and Loan Performance</w:t>
      </w:r>
    </w:p>
    <w:p w14:paraId="04B1ED2E"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increased volatility of economic policy enables the lending sec</w:t>
      </w:r>
      <w:r>
        <w:rPr>
          <w:rFonts w:ascii="Times New Roman" w:eastAsia="Times New Roman" w:hAnsi="Times New Roman" w:cs="Times New Roman"/>
          <w:color w:val="000000"/>
        </w:rPr>
        <w:t>tor to go considerably slower as banks become more risk-conscious. But Bordo et al. (2016) indicate that U.S. policy changes in the late 1990s and into the Great Recession in particular led to more credit-slack growth, particularly when the economy changed</w:t>
      </w:r>
      <w:r>
        <w:rPr>
          <w:rFonts w:ascii="Times New Roman" w:eastAsia="Times New Roman" w:hAnsi="Times New Roman" w:cs="Times New Roman"/>
          <w:color w:val="000000"/>
        </w:rPr>
        <w:t xml:space="preserve"> policy. This is particularly strongly felt in banks with weak capital buffers and poor liquidity, as banks are likely to play a role in lending.</w:t>
      </w:r>
    </w:p>
    <w:p w14:paraId="38E4B59C"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Banks are more likely to lend, and their lending conditions become less limitless as banks' anxiety increases.</w:t>
      </w:r>
      <w:r>
        <w:rPr>
          <w:rFonts w:ascii="Times New Roman" w:eastAsia="Times New Roman" w:hAnsi="Times New Roman" w:cs="Times New Roman"/>
          <w:color w:val="000000"/>
        </w:rPr>
        <w:t xml:space="preserve"> This shift occurs because there is more loan default risk in uncertainty when loan defaults occur during periods of uncertainty, in which the borrower is facing economic instability and policy changes. In the banking sector, Hamdi and Hassen (2021) found </w:t>
      </w:r>
      <w:r>
        <w:rPr>
          <w:rFonts w:ascii="Times New Roman" w:eastAsia="Times New Roman" w:hAnsi="Times New Roman" w:cs="Times New Roman"/>
          <w:color w:val="000000"/>
        </w:rPr>
        <w:t xml:space="preserve">that economic policy uncertainty increased credit risk while simultaneously undercutting loans and deflating loan performance, especially in state-owned banks. We believe these findings are consistent with Baker et al. (2016), who found that global policy </w:t>
      </w:r>
      <w:r>
        <w:rPr>
          <w:rFonts w:ascii="Times New Roman" w:eastAsia="Times New Roman" w:hAnsi="Times New Roman" w:cs="Times New Roman"/>
          <w:color w:val="000000"/>
        </w:rPr>
        <w:t>uncertainty is related to the decline in bank lending, especially in countries relying on banking for credit distribution.</w:t>
      </w:r>
    </w:p>
    <w:p w14:paraId="3917E87B"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Among these non-performing loans, it is important to note that banks more generally have a greater likelihood of NPLs when economic c</w:t>
      </w:r>
      <w:r>
        <w:rPr>
          <w:rFonts w:ascii="Times New Roman" w:eastAsia="Times New Roman" w:hAnsi="Times New Roman" w:cs="Times New Roman"/>
          <w:color w:val="000000"/>
        </w:rPr>
        <w:t>onditions are unstable; borrowers and lenders are more likely to identify loans as NPLs as a result of increased uncertainty about how to repay. Chen et al. (2018) argue that there is more credit risk because increasing economic uncertainty puts more credi</w:t>
      </w:r>
      <w:r>
        <w:rPr>
          <w:rFonts w:ascii="Times New Roman" w:eastAsia="Times New Roman" w:hAnsi="Times New Roman" w:cs="Times New Roman"/>
          <w:color w:val="000000"/>
        </w:rPr>
        <w:t>t risk on lenders as they cannot repay loans, taking credit risk as the economy fluctuates. This situation forces banks to tighten their lending policies or reduce the volume of loans they issue, further lowering economic activity.</w:t>
      </w:r>
    </w:p>
    <w:p w14:paraId="653E831C" w14:textId="77777777" w:rsidR="008059F4" w:rsidRDefault="00654302">
      <w:pPr>
        <w:rPr>
          <w:rFonts w:ascii="Times New Roman" w:eastAsia="Times New Roman" w:hAnsi="Times New Roman" w:cs="Times New Roman"/>
        </w:rPr>
      </w:pPr>
      <w:r>
        <w:rPr>
          <w:rFonts w:ascii="Times New Roman" w:eastAsia="Times New Roman" w:hAnsi="Times New Roman" w:cs="Times New Roman"/>
          <w:b/>
          <w:bCs/>
        </w:rPr>
        <w:t>3.2.2 Liquidity Pressure</w:t>
      </w:r>
      <w:r>
        <w:rPr>
          <w:rFonts w:ascii="Times New Roman" w:eastAsia="Times New Roman" w:hAnsi="Times New Roman" w:cs="Times New Roman"/>
          <w:b/>
          <w:bCs/>
        </w:rPr>
        <w:t>s and Funding Stability</w:t>
      </w:r>
    </w:p>
    <w:p w14:paraId="2A38AD81" w14:textId="77777777" w:rsidR="008059F4" w:rsidRDefault="00654302">
      <w:pPr>
        <w:spacing w:line="259" w:lineRule="auto"/>
        <w:jc w:val="both"/>
        <w:rPr>
          <w:rFonts w:ascii="Times New Roman" w:eastAsia="Times New Roman" w:hAnsi="Times New Roman" w:cs="Times New Roman"/>
        </w:rPr>
      </w:pPr>
      <w:r>
        <w:rPr>
          <w:rFonts w:ascii="Times New Roman" w:eastAsia="Times New Roman" w:hAnsi="Times New Roman" w:cs="Times New Roman"/>
        </w:rPr>
        <w:t xml:space="preserve">Liquidity is the central factor of banking stability and is particularly sensitive to EPU. Banks rely on stable liquidity positions for withdrawals and lending. For instance, when faced with more uncertainty, banks are often looted </w:t>
      </w:r>
      <w:r>
        <w:rPr>
          <w:rFonts w:ascii="Times New Roman" w:eastAsia="Times New Roman" w:hAnsi="Times New Roman" w:cs="Times New Roman"/>
        </w:rPr>
        <w:t>for liquidity to shield from shocks. In particular, U.S. banks increased liquid assets after the 2008 financial crisis because of high EPU. For example, Berger et al. (2024) identified banks with low initial liquidity and more vulnerability to peer-bank sp</w:t>
      </w:r>
      <w:r>
        <w:rPr>
          <w:rFonts w:ascii="Times New Roman" w:eastAsia="Times New Roman" w:hAnsi="Times New Roman" w:cs="Times New Roman"/>
        </w:rPr>
        <w:t xml:space="preserve">illovers as more likely to hoard liquidity during low policy uncertainty. The other study by Berger et al. (2022) used a full range of bank liquidity hoarding to confirm that EPU is widely dominant in asset, liability, and off-balance-sheet hoarding. </w:t>
      </w:r>
    </w:p>
    <w:p w14:paraId="5B64E9A8"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Addi</w:t>
      </w:r>
      <w:r>
        <w:rPr>
          <w:rFonts w:ascii="Times New Roman" w:eastAsia="Times New Roman" w:hAnsi="Times New Roman" w:cs="Times New Roman"/>
          <w:color w:val="000000"/>
        </w:rPr>
        <w:t>ng to liquidity pressures is the reduction in lending. The relationship between liquidity and credit extends, Baker et al. (2014) argue, when uncertainty worsens; banks find an exchange-off between holding liquid assets and extending credit. As banks becom</w:t>
      </w:r>
      <w:r>
        <w:rPr>
          <w:rFonts w:ascii="Times New Roman" w:eastAsia="Times New Roman" w:hAnsi="Times New Roman" w:cs="Times New Roman"/>
          <w:color w:val="000000"/>
        </w:rPr>
        <w:t>e more cautious, they no longer will lend more, resulting in a fall in financial confidence. In particular, this phenomenon arises particularly well in monetary contraction periods when the costs of borrowing increase, and banks need to take more conservat</w:t>
      </w:r>
      <w:r>
        <w:rPr>
          <w:rFonts w:ascii="Times New Roman" w:eastAsia="Times New Roman" w:hAnsi="Times New Roman" w:cs="Times New Roman"/>
          <w:color w:val="000000"/>
        </w:rPr>
        <w:t>ive lending decisions so that they can control their liquid assets.</w:t>
      </w:r>
    </w:p>
    <w:p w14:paraId="4964A9EC"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There is also a role for international factors, such as international capital flows and geopolitical instability, in liquidity as well. For example, Miranda-Agrippino, &amp; Rey (2020) point o</w:t>
      </w:r>
      <w:r>
        <w:rPr>
          <w:rFonts w:ascii="Times New Roman" w:eastAsia="Times New Roman" w:hAnsi="Times New Roman" w:cs="Times New Roman"/>
          <w:color w:val="000000"/>
        </w:rPr>
        <w:t>ut that the effects of U.S. monetary policy uncertainty not only shape domestic liquidity but also affect global credit markets. The difficulty of taking long-term investments that global investors are unwilling to make by themselves has further limited li</w:t>
      </w:r>
      <w:r>
        <w:rPr>
          <w:rFonts w:ascii="Times New Roman" w:eastAsia="Times New Roman" w:hAnsi="Times New Roman" w:cs="Times New Roman"/>
          <w:color w:val="000000"/>
        </w:rPr>
        <w:t>quidity available for banks, particularly in developing economies. This global dimension of liquidity pressures demonstrates the connections between banking stability in a globalized financial system.</w:t>
      </w:r>
    </w:p>
    <w:p w14:paraId="35D79F0C" w14:textId="77777777" w:rsidR="008059F4" w:rsidRDefault="00654302">
      <w:pPr>
        <w:spacing w:line="259" w:lineRule="auto"/>
        <w:jc w:val="both"/>
        <w:rPr>
          <w:rFonts w:ascii="Times New Roman" w:eastAsia="Times New Roman" w:hAnsi="Times New Roman" w:cs="Times New Roman"/>
        </w:rPr>
      </w:pPr>
      <w:r>
        <w:rPr>
          <w:rFonts w:ascii="Times New Roman" w:eastAsia="Times New Roman" w:hAnsi="Times New Roman" w:cs="Times New Roman"/>
        </w:rPr>
        <w:t>Also, regulatory structures like Basel III are not over</w:t>
      </w:r>
      <w:r>
        <w:rPr>
          <w:rFonts w:ascii="Times New Roman" w:eastAsia="Times New Roman" w:hAnsi="Times New Roman" w:cs="Times New Roman"/>
        </w:rPr>
        <w:t>stated in how they relate to liquidity risk. But even without these regulatory guarantees, the EPU, even if it has been introduced by Basel III, will still damage bank liquidity. Berger et al. (2024) show that banks tend to hold liquidity when they are exp</w:t>
      </w:r>
      <w:r>
        <w:rPr>
          <w:rFonts w:ascii="Times New Roman" w:eastAsia="Times New Roman" w:hAnsi="Times New Roman" w:cs="Times New Roman"/>
        </w:rPr>
        <w:t xml:space="preserve">osed to increased EPU which may counteract the stabilizing effect of Basel III. According </w:t>
      </w:r>
      <w:r>
        <w:rPr>
          <w:rFonts w:ascii="Times New Roman" w:eastAsia="Times New Roman" w:hAnsi="Times New Roman" w:cs="Times New Roman"/>
        </w:rPr>
        <w:lastRenderedPageBreak/>
        <w:t xml:space="preserve">to Davydov et al. (2024), regulatory compliance alone may not be sufficient to fully mitigate liquidity risk when banks anticipate unpredictable or disruptive policy </w:t>
      </w:r>
      <w:r>
        <w:rPr>
          <w:rFonts w:ascii="Times New Roman" w:eastAsia="Times New Roman" w:hAnsi="Times New Roman" w:cs="Times New Roman"/>
        </w:rPr>
        <w:t>shifts.</w:t>
      </w:r>
    </w:p>
    <w:p w14:paraId="2BFD60CF" w14:textId="77777777" w:rsidR="008059F4" w:rsidRDefault="00654302">
      <w:pPr>
        <w:rPr>
          <w:rFonts w:ascii="Times New Roman" w:eastAsia="Times New Roman" w:hAnsi="Times New Roman" w:cs="Times New Roman"/>
        </w:rPr>
      </w:pPr>
      <w:r>
        <w:rPr>
          <w:rFonts w:ascii="Times New Roman" w:eastAsia="Times New Roman" w:hAnsi="Times New Roman" w:cs="Times New Roman"/>
          <w:b/>
          <w:bCs/>
        </w:rPr>
        <w:t xml:space="preserve">3.2.3 Capital Adequacy and Risk-Taking </w:t>
      </w:r>
      <w:proofErr w:type="spellStart"/>
      <w:r>
        <w:rPr>
          <w:rFonts w:ascii="Times New Roman" w:eastAsia="Times New Roman" w:hAnsi="Times New Roman" w:cs="Times New Roman"/>
          <w:b/>
          <w:bCs/>
        </w:rPr>
        <w:t>Behavior</w:t>
      </w:r>
      <w:proofErr w:type="spellEnd"/>
    </w:p>
    <w:p w14:paraId="3277A9AF"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The Capital Adequacy Ratio (CAR</w:t>
      </w:r>
      <w:r>
        <w:rPr>
          <w:rFonts w:ascii="Times New Roman" w:eastAsia="Times New Roman" w:hAnsi="Times New Roman" w:cs="Times New Roman"/>
          <w:color w:val="000000"/>
        </w:rPr>
        <w:t>) is a fundamental component of banking stability that enables banks to accumulate enough capital to continue operating and sustain financial stress during the financial</w:t>
      </w:r>
      <w:r>
        <w:rPr>
          <w:rFonts w:ascii="Times New Roman" w:eastAsia="Times New Roman" w:hAnsi="Times New Roman" w:cs="Times New Roman"/>
          <w:color w:val="000000"/>
        </w:rPr>
        <w:t xml:space="preserve"> crisis. A well-capitalized bank will be better equipped to take on economic shocks and risks. </w:t>
      </w:r>
      <w:proofErr w:type="spellStart"/>
      <w:r>
        <w:rPr>
          <w:rFonts w:ascii="Times New Roman" w:eastAsia="Times New Roman" w:hAnsi="Times New Roman" w:cs="Times New Roman"/>
          <w:color w:val="000000"/>
        </w:rPr>
        <w:t>Ndubueze</w:t>
      </w:r>
      <w:proofErr w:type="spellEnd"/>
      <w:r>
        <w:rPr>
          <w:rFonts w:ascii="Times New Roman" w:eastAsia="Times New Roman" w:hAnsi="Times New Roman" w:cs="Times New Roman"/>
          <w:color w:val="000000"/>
        </w:rPr>
        <w:t xml:space="preserve"> (2025) studies the role of higher CAR levels for better risk-taking </w:t>
      </w:r>
      <w:proofErr w:type="spellStart"/>
      <w:r>
        <w:rPr>
          <w:rFonts w:ascii="Times New Roman" w:eastAsia="Times New Roman" w:hAnsi="Times New Roman" w:cs="Times New Roman"/>
          <w:color w:val="000000"/>
        </w:rPr>
        <w:t>behavior</w:t>
      </w:r>
      <w:proofErr w:type="spellEnd"/>
      <w:r>
        <w:rPr>
          <w:rFonts w:ascii="Times New Roman" w:eastAsia="Times New Roman" w:hAnsi="Times New Roman" w:cs="Times New Roman"/>
          <w:color w:val="000000"/>
        </w:rPr>
        <w:t xml:space="preserve"> among UK banks, mentioning that Basel III capital regulations have made ban</w:t>
      </w:r>
      <w:r>
        <w:rPr>
          <w:rFonts w:ascii="Times New Roman" w:eastAsia="Times New Roman" w:hAnsi="Times New Roman" w:cs="Times New Roman"/>
          <w:color w:val="000000"/>
        </w:rPr>
        <w:t>ks less likely to be exposed to excessive risk-taking through higher capital buffers.</w:t>
      </w:r>
    </w:p>
    <w:p w14:paraId="33B5792A"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However, the role of capital adequacy in risk-taking </w:t>
      </w:r>
      <w:proofErr w:type="spellStart"/>
      <w:r>
        <w:rPr>
          <w:rFonts w:ascii="Times New Roman" w:eastAsia="Times New Roman" w:hAnsi="Times New Roman" w:cs="Times New Roman"/>
          <w:color w:val="000000"/>
        </w:rPr>
        <w:t>behavior</w:t>
      </w:r>
      <w:proofErr w:type="spellEnd"/>
      <w:r>
        <w:rPr>
          <w:rFonts w:ascii="Times New Roman" w:eastAsia="Times New Roman" w:hAnsi="Times New Roman" w:cs="Times New Roman"/>
          <w:color w:val="000000"/>
        </w:rPr>
        <w:t xml:space="preserve"> is not linear. While higher capital ratios typically lead to less risk exposure, monetary policy uncertainty</w:t>
      </w:r>
      <w:r>
        <w:rPr>
          <w:rFonts w:ascii="Times New Roman" w:eastAsia="Times New Roman" w:hAnsi="Times New Roman" w:cs="Times New Roman"/>
          <w:color w:val="000000"/>
        </w:rPr>
        <w:t xml:space="preserve"> can also induce aggressive </w:t>
      </w:r>
      <w:proofErr w:type="spellStart"/>
      <w:r>
        <w:rPr>
          <w:rFonts w:ascii="Times New Roman" w:eastAsia="Times New Roman" w:hAnsi="Times New Roman" w:cs="Times New Roman"/>
          <w:color w:val="000000"/>
        </w:rPr>
        <w:t>behavior</w:t>
      </w:r>
      <w:proofErr w:type="spellEnd"/>
      <w:r>
        <w:rPr>
          <w:rFonts w:ascii="Times New Roman" w:eastAsia="Times New Roman" w:hAnsi="Times New Roman" w:cs="Times New Roman"/>
          <w:color w:val="000000"/>
        </w:rPr>
        <w:t xml:space="preserve">, particularly if banks sense the imminent policy shift that could evoke new policy rules triggering higher asset prices or short-term profitability opportunities. Such </w:t>
      </w:r>
      <w:proofErr w:type="spellStart"/>
      <w:r>
        <w:rPr>
          <w:rFonts w:ascii="Times New Roman" w:eastAsia="Times New Roman" w:hAnsi="Times New Roman" w:cs="Times New Roman"/>
          <w:color w:val="000000"/>
        </w:rPr>
        <w:t>behavior</w:t>
      </w:r>
      <w:proofErr w:type="spellEnd"/>
      <w:r>
        <w:rPr>
          <w:rFonts w:ascii="Times New Roman" w:eastAsia="Times New Roman" w:hAnsi="Times New Roman" w:cs="Times New Roman"/>
          <w:color w:val="000000"/>
        </w:rPr>
        <w:t xml:space="preserve"> will be particularly a focus of CAR when e</w:t>
      </w:r>
      <w:r>
        <w:rPr>
          <w:rFonts w:ascii="Times New Roman" w:eastAsia="Times New Roman" w:hAnsi="Times New Roman" w:cs="Times New Roman"/>
          <w:color w:val="000000"/>
        </w:rPr>
        <w:t>conomic conditions are volatile. As Nguyen et al. (2024), in such situation’s banks might adjust risk-taking strategies to maintain profitability, but risk exposure is damaging long-term stability at risk.</w:t>
      </w:r>
    </w:p>
    <w:p w14:paraId="53F60AE3"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Economic policy uncertainty is also often associat</w:t>
      </w:r>
      <w:r>
        <w:rPr>
          <w:rFonts w:ascii="Times New Roman" w:eastAsia="Times New Roman" w:hAnsi="Times New Roman" w:cs="Times New Roman"/>
          <w:color w:val="000000"/>
        </w:rPr>
        <w:t xml:space="preserve">ed with market volatility, which influences the risk profiles of financial institutions. For example, Li &amp; </w:t>
      </w:r>
      <w:proofErr w:type="gramStart"/>
      <w:r>
        <w:rPr>
          <w:rFonts w:ascii="Times New Roman" w:eastAsia="Times New Roman" w:hAnsi="Times New Roman" w:cs="Times New Roman"/>
          <w:color w:val="000000"/>
        </w:rPr>
        <w:t>Zhong  (</w:t>
      </w:r>
      <w:proofErr w:type="gramEnd"/>
      <w:r>
        <w:rPr>
          <w:rFonts w:ascii="Times New Roman" w:eastAsia="Times New Roman" w:hAnsi="Times New Roman" w:cs="Times New Roman"/>
          <w:color w:val="000000"/>
        </w:rPr>
        <w:t>2019) observe that banks in high-uncertainty areas tend to increase their exposure to high-yield assets, seeking more profits for a “better r</w:t>
      </w:r>
      <w:r>
        <w:rPr>
          <w:rFonts w:ascii="Times New Roman" w:eastAsia="Times New Roman" w:hAnsi="Times New Roman" w:cs="Times New Roman"/>
          <w:color w:val="000000"/>
        </w:rPr>
        <w:t xml:space="preserve">eturn,” as they hope to compensate for perceived risk. This risk-taking </w:t>
      </w:r>
      <w:proofErr w:type="spellStart"/>
      <w:r>
        <w:rPr>
          <w:rFonts w:ascii="Times New Roman" w:eastAsia="Times New Roman" w:hAnsi="Times New Roman" w:cs="Times New Roman"/>
          <w:color w:val="000000"/>
        </w:rPr>
        <w:t>behavior</w:t>
      </w:r>
      <w:proofErr w:type="spellEnd"/>
      <w:r>
        <w:rPr>
          <w:rFonts w:ascii="Times New Roman" w:eastAsia="Times New Roman" w:hAnsi="Times New Roman" w:cs="Times New Roman"/>
          <w:color w:val="000000"/>
        </w:rPr>
        <w:t xml:space="preserve"> can further weaken stability because it creates a contradiction between the risk appetite of the bank and capital adequacy. In the face of economic recession, banks with inade</w:t>
      </w:r>
      <w:r>
        <w:rPr>
          <w:rFonts w:ascii="Times New Roman" w:eastAsia="Times New Roman" w:hAnsi="Times New Roman" w:cs="Times New Roman"/>
          <w:color w:val="000000"/>
        </w:rPr>
        <w:t>quate capital buffers will be more likely to suffer insolvency.</w:t>
      </w:r>
    </w:p>
    <w:p w14:paraId="210C7D02"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Further, capital regulation is crucial in ensuring that banks have sufficient buffers to absorb unpredictable losses. The Basel III framework, which requires high capital requirements, aims to</w:t>
      </w:r>
      <w:r>
        <w:rPr>
          <w:rFonts w:ascii="Times New Roman" w:eastAsia="Times New Roman" w:hAnsi="Times New Roman" w:cs="Times New Roman"/>
          <w:color w:val="000000"/>
        </w:rPr>
        <w:t xml:space="preserve"> prevent financial institutions from being risky during policy uncertainty. Olawale (2024) also shows that better capitalized banks are less likely to suffer from liquidity crises because they can respond more effectively to shocks and retain lending even </w:t>
      </w:r>
      <w:r>
        <w:rPr>
          <w:rFonts w:ascii="Times New Roman" w:eastAsia="Times New Roman" w:hAnsi="Times New Roman" w:cs="Times New Roman"/>
          <w:color w:val="000000"/>
        </w:rPr>
        <w:t>during downturns.</w:t>
      </w:r>
    </w:p>
    <w:p w14:paraId="772487B2" w14:textId="77777777" w:rsidR="008059F4" w:rsidRDefault="00654302">
      <w:pPr>
        <w:spacing w:before="280" w:line="240" w:lineRule="auto"/>
        <w:jc w:val="both"/>
        <w:rPr>
          <w:rFonts w:ascii="Times New Roman" w:eastAsia="Times New Roman" w:hAnsi="Times New Roman" w:cs="Times New Roman"/>
          <w:color w:val="000000"/>
        </w:rPr>
      </w:pPr>
      <w:bookmarkStart w:id="2" w:name="_haxs1dt3sk51" w:colFirst="0" w:colLast="0"/>
      <w:bookmarkEnd w:id="2"/>
      <w:r>
        <w:rPr>
          <w:rFonts w:ascii="Times New Roman" w:eastAsia="Times New Roman" w:hAnsi="Times New Roman" w:cs="Times New Roman"/>
          <w:b/>
          <w:bCs/>
          <w:color w:val="000000"/>
        </w:rPr>
        <w:t>3.3 Role of AI and Advanced Analytics (RQ3)</w:t>
      </w:r>
    </w:p>
    <w:p w14:paraId="4F76ACED" w14:textId="77777777" w:rsidR="008059F4" w:rsidRDefault="00654302">
      <w:pPr>
        <w:rPr>
          <w:rFonts w:ascii="Times New Roman" w:eastAsia="Times New Roman" w:hAnsi="Times New Roman" w:cs="Times New Roman"/>
        </w:rPr>
      </w:pPr>
      <w:bookmarkStart w:id="3" w:name="_ks922g4di87f" w:colFirst="0" w:colLast="0"/>
      <w:bookmarkEnd w:id="3"/>
      <w:r>
        <w:rPr>
          <w:rFonts w:ascii="Times New Roman" w:eastAsia="Times New Roman" w:hAnsi="Times New Roman" w:cs="Times New Roman"/>
          <w:b/>
          <w:bCs/>
        </w:rPr>
        <w:t>3.3.1 AI/ML in Predicting Bank Distress</w:t>
      </w:r>
    </w:p>
    <w:p w14:paraId="16D4E448"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One potential use of AI/ML for banking is the ability to predict distress using the analysis of large datasets, such as transaction history, market condit</w:t>
      </w:r>
      <w:r>
        <w:rPr>
          <w:rFonts w:ascii="Times New Roman" w:eastAsia="Times New Roman" w:hAnsi="Times New Roman" w:cs="Times New Roman"/>
          <w:color w:val="000000"/>
        </w:rPr>
        <w:t>ions, and macroeconomic conditions (</w:t>
      </w:r>
      <w:proofErr w:type="spellStart"/>
      <w:r>
        <w:rPr>
          <w:rFonts w:ascii="Times New Roman" w:eastAsia="Times New Roman" w:hAnsi="Times New Roman" w:cs="Times New Roman"/>
          <w:color w:val="000000"/>
        </w:rPr>
        <w:t>Akubilla</w:t>
      </w:r>
      <w:proofErr w:type="spellEnd"/>
      <w:r>
        <w:rPr>
          <w:rFonts w:ascii="Times New Roman" w:eastAsia="Times New Roman" w:hAnsi="Times New Roman" w:cs="Times New Roman"/>
          <w:color w:val="000000"/>
        </w:rPr>
        <w:t xml:space="preserve"> et al., 2025; Adaji et al., 2025). As Bordo et al. (2016) found, a number of machine learning algorithms used to evaluate historical financial data and identify patterns of bank failure have been found. These al</w:t>
      </w:r>
      <w:r>
        <w:rPr>
          <w:rFonts w:ascii="Times New Roman" w:eastAsia="Times New Roman" w:hAnsi="Times New Roman" w:cs="Times New Roman"/>
          <w:color w:val="000000"/>
        </w:rPr>
        <w:t>gorithms can predict distress better than the normal statistical methods, using complex datasets without being overwhelming for traditional statistical techniques.</w:t>
      </w:r>
    </w:p>
    <w:p w14:paraId="00464C04"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Currently, AI models have been used to predict default probabilities and credit risk of indi</w:t>
      </w:r>
      <w:r>
        <w:rPr>
          <w:rFonts w:ascii="Times New Roman" w:eastAsia="Times New Roman" w:hAnsi="Times New Roman" w:cs="Times New Roman"/>
          <w:color w:val="000000"/>
        </w:rPr>
        <w:t>vidual banks as part of the U.S. banking system. Cole and White (2012) use logistic regression models with CAMELS-type variables, including capital adequacy, liquidity ratios, and loan performance, to predict the probability of failure among U.S. commercia</w:t>
      </w:r>
      <w:r>
        <w:rPr>
          <w:rFonts w:ascii="Times New Roman" w:eastAsia="Times New Roman" w:hAnsi="Times New Roman" w:cs="Times New Roman"/>
          <w:color w:val="000000"/>
        </w:rPr>
        <w:t xml:space="preserve">l banks during the crises of 1984–1992 </w:t>
      </w:r>
      <w:r>
        <w:rPr>
          <w:rFonts w:ascii="Times New Roman" w:eastAsia="Times New Roman" w:hAnsi="Times New Roman" w:cs="Times New Roman"/>
          <w:color w:val="000000"/>
        </w:rPr>
        <w:lastRenderedPageBreak/>
        <w:t>and 2007–2010. Their findings show that these models accurately forecast distress, providing regulators with actionable tools to identify vulnerable institutions.</w:t>
      </w:r>
    </w:p>
    <w:p w14:paraId="23DEEF3A"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Plus, AI/ML models are adaptive and can learn from new</w:t>
      </w:r>
      <w:r>
        <w:rPr>
          <w:rFonts w:ascii="Times New Roman" w:eastAsia="Times New Roman" w:hAnsi="Times New Roman" w:cs="Times New Roman"/>
          <w:color w:val="000000"/>
        </w:rPr>
        <w:t xml:space="preserve"> data, a factor required in a volatile financial world (</w:t>
      </w:r>
      <w:proofErr w:type="spellStart"/>
      <w:r>
        <w:rPr>
          <w:rFonts w:ascii="Times New Roman" w:eastAsia="Times New Roman" w:hAnsi="Times New Roman" w:cs="Times New Roman"/>
          <w:color w:val="000000"/>
        </w:rPr>
        <w:t>Akubilla</w:t>
      </w:r>
      <w:proofErr w:type="spellEnd"/>
      <w:r>
        <w:rPr>
          <w:rFonts w:ascii="Times New Roman" w:eastAsia="Times New Roman" w:hAnsi="Times New Roman" w:cs="Times New Roman"/>
          <w:color w:val="000000"/>
        </w:rPr>
        <w:t xml:space="preserve"> et al., 2025; Umoh et al., 2025). Examples such as during the COVID-19 pandemic were able to rapidly integrate new data on credit defaults and market shocks and adjust risk assessment in clos</w:t>
      </w:r>
      <w:r>
        <w:rPr>
          <w:rFonts w:ascii="Times New Roman" w:eastAsia="Times New Roman" w:hAnsi="Times New Roman" w:cs="Times New Roman"/>
          <w:color w:val="000000"/>
        </w:rPr>
        <w:t>e-to-real time. This dynamic ability to adjust dynamically allows financial regulators and institutions to monitor and take timely action in preventing crises.</w:t>
      </w:r>
    </w:p>
    <w:p w14:paraId="3A8C3946" w14:textId="77777777" w:rsidR="008059F4" w:rsidRDefault="00654302">
      <w:pPr>
        <w:rPr>
          <w:rFonts w:ascii="Times New Roman" w:eastAsia="Times New Roman" w:hAnsi="Times New Roman" w:cs="Times New Roman"/>
        </w:rPr>
      </w:pPr>
      <w:r>
        <w:rPr>
          <w:rFonts w:ascii="Times New Roman" w:eastAsia="Times New Roman" w:hAnsi="Times New Roman" w:cs="Times New Roman"/>
          <w:b/>
          <w:bCs/>
        </w:rPr>
        <w:t>3.3.2 NLP for Policy Uncertainty Measurement</w:t>
      </w:r>
    </w:p>
    <w:p w14:paraId="307DF2F2"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bookmarkStart w:id="4" w:name="_tn7veqz9abl3" w:colFirst="0" w:colLast="0"/>
      <w:bookmarkEnd w:id="4"/>
      <w:r>
        <w:rPr>
          <w:rFonts w:ascii="Times New Roman" w:eastAsia="Times New Roman" w:hAnsi="Times New Roman" w:cs="Times New Roman"/>
          <w:color w:val="000000"/>
        </w:rPr>
        <w:t>Natural Language Processing (NLP) is increasingly b</w:t>
      </w:r>
      <w:r>
        <w:rPr>
          <w:rFonts w:ascii="Times New Roman" w:eastAsia="Times New Roman" w:hAnsi="Times New Roman" w:cs="Times New Roman"/>
          <w:color w:val="000000"/>
        </w:rPr>
        <w:t>eing applied to quantify and estimate economic policy uncertainty. NLP has helped to transform the assessment of uncertainty primarily by focusing on macroeconomic models or expert opinion in finding useful insights from many disparate unstructured data so</w:t>
      </w:r>
      <w:r>
        <w:rPr>
          <w:rFonts w:ascii="Times New Roman" w:eastAsia="Times New Roman" w:hAnsi="Times New Roman" w:cs="Times New Roman"/>
          <w:color w:val="000000"/>
        </w:rPr>
        <w:t>urces such as news articles, financial reports, and social media.</w:t>
      </w:r>
    </w:p>
    <w:p w14:paraId="6ADDF073"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One development with NLP applications is the economic policy uncertainty index, which, because of the frequency of the newspaper that mentions the word "uncertainty," is one essential develo</w:t>
      </w:r>
      <w:r>
        <w:rPr>
          <w:rFonts w:ascii="Times New Roman" w:eastAsia="Times New Roman" w:hAnsi="Times New Roman" w:cs="Times New Roman"/>
          <w:color w:val="000000"/>
        </w:rPr>
        <w:t>pment for NLP applications. By text mining, NLP can now automatically view thousands of news articles in real time, identifying patterns and quantifying the degree of uncertainty about economic policies. Baker et al. (2016) demonstrated that an NLP-based E</w:t>
      </w:r>
      <w:r>
        <w:rPr>
          <w:rFonts w:ascii="Times New Roman" w:eastAsia="Times New Roman" w:hAnsi="Times New Roman" w:cs="Times New Roman"/>
          <w:color w:val="000000"/>
        </w:rPr>
        <w:t>PU index is capable of covering spikes in uncertainty that are associated with policy announcements, elections, or financial crises, which have important consequences on bank performance and lending decisions.</w:t>
      </w:r>
    </w:p>
    <w:p w14:paraId="5F5E5101"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NLP also has been used in the banking industry</w:t>
      </w:r>
      <w:r>
        <w:rPr>
          <w:rFonts w:ascii="Times New Roman" w:eastAsia="Times New Roman" w:hAnsi="Times New Roman" w:cs="Times New Roman"/>
          <w:color w:val="000000"/>
        </w:rPr>
        <w:t xml:space="preserve"> in the U.S. to understand the language used in Federal Reserve statements and policy documents to gauge the level of uncertainty that financial markets perceive. The results of Bordo et al. (2016) suggest that sentiment extracted from central bank communi</w:t>
      </w:r>
      <w:r>
        <w:rPr>
          <w:rFonts w:ascii="Times New Roman" w:eastAsia="Times New Roman" w:hAnsi="Times New Roman" w:cs="Times New Roman"/>
          <w:color w:val="000000"/>
        </w:rPr>
        <w:t xml:space="preserve">cations using sentiment analysis techniques with NLP can serve as the main determinant of market response to policy changes. NLP’s ability to measure policy uncertainty allows financial analysts and regulators to know when sentiment is trending and modify </w:t>
      </w:r>
      <w:r>
        <w:rPr>
          <w:rFonts w:ascii="Times New Roman" w:eastAsia="Times New Roman" w:hAnsi="Times New Roman" w:cs="Times New Roman"/>
          <w:color w:val="000000"/>
        </w:rPr>
        <w:t>risk management strategies accordingly.</w:t>
      </w:r>
    </w:p>
    <w:p w14:paraId="40567C7D"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NLP also has a crucial role in real-time monitoring. NLP methods can identify emerging uncertainty in the economic landscape, such as sudden changes in fiscal policy or regulatory changes, in which text data is often</w:t>
      </w:r>
      <w:r>
        <w:rPr>
          <w:rFonts w:ascii="Times New Roman" w:eastAsia="Times New Roman" w:hAnsi="Times New Roman" w:cs="Times New Roman"/>
          <w:color w:val="000000"/>
        </w:rPr>
        <w:t xml:space="preserve"> stored continuously from news sources, social media, and regulatory filings. This ability has been useful when you are at risk of falling into a situation of intense uncertainty, such as a financial crisis or global pandemic, where market sentiment and ba</w:t>
      </w:r>
      <w:r>
        <w:rPr>
          <w:rFonts w:ascii="Times New Roman" w:eastAsia="Times New Roman" w:hAnsi="Times New Roman" w:cs="Times New Roman"/>
          <w:color w:val="000000"/>
        </w:rPr>
        <w:t>nk stability are very sensitive to any little changes in policy expectations, or at times when markets or bank stability seem highly fragile.</w:t>
      </w:r>
    </w:p>
    <w:p w14:paraId="50F29B2E" w14:textId="77777777" w:rsidR="008059F4" w:rsidRDefault="00654302">
      <w:pPr>
        <w:rPr>
          <w:rFonts w:ascii="Times New Roman" w:eastAsia="Times New Roman" w:hAnsi="Times New Roman" w:cs="Times New Roman"/>
        </w:rPr>
      </w:pPr>
      <w:r>
        <w:rPr>
          <w:rFonts w:ascii="Times New Roman" w:eastAsia="Times New Roman" w:hAnsi="Times New Roman" w:cs="Times New Roman"/>
          <w:b/>
          <w:bCs/>
        </w:rPr>
        <w:t>3.3.3 Use of Stress-Testing Simulations and Sentiment Analysis</w:t>
      </w:r>
    </w:p>
    <w:p w14:paraId="06381067"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Stress testing and sentiment analysis are two of </w:t>
      </w:r>
      <w:r>
        <w:rPr>
          <w:rFonts w:ascii="Times New Roman" w:eastAsia="Times New Roman" w:hAnsi="Times New Roman" w:cs="Times New Roman"/>
          <w:color w:val="000000"/>
        </w:rPr>
        <w:t>the most important tools for modern bank risk management, especially in the context of economic uncertainty. Stress testing is used to mimic various economic scenarios and test the bank’s ability to survive shocks. While advances in analytics and AI have m</w:t>
      </w:r>
      <w:r>
        <w:rPr>
          <w:rFonts w:ascii="Times New Roman" w:eastAsia="Times New Roman" w:hAnsi="Times New Roman" w:cs="Times New Roman"/>
          <w:color w:val="000000"/>
        </w:rPr>
        <w:t>ade stress testing more dynamic, data-driven, and realistic, and anxiety testing, the modern day is becoming ever more dynamic and data-driven.</w:t>
      </w:r>
    </w:p>
    <w:p w14:paraId="2FD9E6FB" w14:textId="77777777" w:rsidR="008059F4" w:rsidRDefault="00654302">
      <w:pPr>
        <w:spacing w:line="259" w:lineRule="auto"/>
        <w:jc w:val="both"/>
        <w:rPr>
          <w:rFonts w:ascii="Times New Roman" w:eastAsia="Times New Roman" w:hAnsi="Times New Roman" w:cs="Times New Roman"/>
        </w:rPr>
      </w:pPr>
      <w:r>
        <w:rPr>
          <w:rFonts w:ascii="Times New Roman" w:eastAsia="Times New Roman" w:hAnsi="Times New Roman" w:cs="Times New Roman"/>
        </w:rPr>
        <w:t>Stress testing was a manual, one-off routine that often took place annually or quarterly. But, with the addition</w:t>
      </w:r>
      <w:r>
        <w:rPr>
          <w:rFonts w:ascii="Times New Roman" w:eastAsia="Times New Roman" w:hAnsi="Times New Roman" w:cs="Times New Roman"/>
        </w:rPr>
        <w:t xml:space="preserve"> of AI and machine learning, stress testing has become a dynamic, real-time process. </w:t>
      </w:r>
      <w:r>
        <w:rPr>
          <w:rFonts w:ascii="Times New Roman" w:eastAsia="Times New Roman" w:hAnsi="Times New Roman" w:cs="Times New Roman"/>
        </w:rPr>
        <w:lastRenderedPageBreak/>
        <w:t>AI/ML models can simulate several economic shocks, such as interest rate changes, currency fluctuations, stock market volatility, and geopolitical instability, so banks ca</w:t>
      </w:r>
      <w:r>
        <w:rPr>
          <w:rFonts w:ascii="Times New Roman" w:eastAsia="Times New Roman" w:hAnsi="Times New Roman" w:cs="Times New Roman"/>
        </w:rPr>
        <w:t>n adjust risk models when new data emerges (Prajapati, 2025). This constant testing of banks’ resilience allows banks to respond more rapidly to changing economic conditions and thus be more prepared for unpredictable events.</w:t>
      </w:r>
    </w:p>
    <w:p w14:paraId="557F016D"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From the COVID-19 crisis, many</w:t>
      </w:r>
      <w:r>
        <w:rPr>
          <w:rFonts w:ascii="Times New Roman" w:eastAsia="Times New Roman" w:hAnsi="Times New Roman" w:cs="Times New Roman"/>
          <w:color w:val="000000"/>
        </w:rPr>
        <w:t xml:space="preserve"> financial institutions used AI-boosted stress testing simulations to assess the impact of pandemic events on capital and liquidity positions. Real-time simulations with real-time data enabled banks to modify risk management practices and obtain additional</w:t>
      </w:r>
      <w:r>
        <w:rPr>
          <w:rFonts w:ascii="Times New Roman" w:eastAsia="Times New Roman" w:hAnsi="Times New Roman" w:cs="Times New Roman"/>
          <w:color w:val="000000"/>
        </w:rPr>
        <w:t xml:space="preserve"> capital when needed (Kwan et al., 2023).</w:t>
      </w:r>
    </w:p>
    <w:p w14:paraId="04668F10"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Another tool that can provide insight into market expectations and reactions is sentiment analysis. Using NLP models, sentiment analysis can gather emotion in financial news, social media, and investor conversation</w:t>
      </w:r>
      <w:r>
        <w:rPr>
          <w:rFonts w:ascii="Times New Roman" w:eastAsia="Times New Roman" w:hAnsi="Times New Roman" w:cs="Times New Roman"/>
          <w:color w:val="000000"/>
        </w:rPr>
        <w:t>s, predicting risks. AI-driven sentiment analysis is used to detect investor sentiment shifts that could precede the collapse of a market that could signal the early warning signs of bank distress.</w:t>
      </w:r>
    </w:p>
    <w:p w14:paraId="6D8B11D5"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AI/ML stress-test simulations and sentiment analysis of se</w:t>
      </w:r>
      <w:r>
        <w:rPr>
          <w:rFonts w:ascii="Times New Roman" w:eastAsia="Times New Roman" w:hAnsi="Times New Roman" w:cs="Times New Roman"/>
          <w:color w:val="000000"/>
        </w:rPr>
        <w:t>ntiment provide banks and financial institutions with improved forecasting abilities that allow them to focus more on proactive risk management. These advanced techniques enable us to gain a deeper understanding of the complex dynamics that drive bank stab</w:t>
      </w:r>
      <w:r>
        <w:rPr>
          <w:rFonts w:ascii="Times New Roman" w:eastAsia="Times New Roman" w:hAnsi="Times New Roman" w:cs="Times New Roman"/>
          <w:color w:val="000000"/>
        </w:rPr>
        <w:t>ility, particularly as they are at a crossroads of economic crisis and policy uncertainty. As these technologies grow, the inclusion of these technologies into regulatory policies and banking practices will further enhance the resilience of the global fina</w:t>
      </w:r>
      <w:r>
        <w:rPr>
          <w:rFonts w:ascii="Times New Roman" w:eastAsia="Times New Roman" w:hAnsi="Times New Roman" w:cs="Times New Roman"/>
          <w:color w:val="000000"/>
        </w:rPr>
        <w:t>ncial system.</w:t>
      </w:r>
    </w:p>
    <w:p w14:paraId="0B37FAFD" w14:textId="77777777" w:rsidR="008059F4" w:rsidRDefault="00654302">
      <w:pPr>
        <w:spacing w:before="280" w:line="240" w:lineRule="auto"/>
        <w:jc w:val="both"/>
        <w:rPr>
          <w:rFonts w:ascii="Times New Roman" w:eastAsia="Times New Roman" w:hAnsi="Times New Roman" w:cs="Times New Roman"/>
          <w:color w:val="000000"/>
        </w:rPr>
      </w:pPr>
      <w:bookmarkStart w:id="5" w:name="_uu7vcggxfl31" w:colFirst="0" w:colLast="0"/>
      <w:bookmarkEnd w:id="5"/>
      <w:r>
        <w:rPr>
          <w:rFonts w:ascii="Times New Roman" w:eastAsia="Times New Roman" w:hAnsi="Times New Roman" w:cs="Times New Roman"/>
          <w:b/>
          <w:bCs/>
          <w:color w:val="000000"/>
        </w:rPr>
        <w:t>3.4 Gaps and Future Research (RQ4)</w:t>
      </w:r>
    </w:p>
    <w:p w14:paraId="7DA470E2" w14:textId="77777777" w:rsidR="008059F4" w:rsidRDefault="00654302">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3.4.1 Integration of Real-Time Data (News, Social Media)</w:t>
      </w:r>
    </w:p>
    <w:p w14:paraId="288B780D"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t>One of the major gaps in current banking stability research is in integrating real-time data from news sources and social media into predictive models</w:t>
      </w:r>
      <w:r>
        <w:rPr>
          <w:rFonts w:ascii="Times New Roman" w:eastAsia="Times New Roman" w:hAnsi="Times New Roman" w:cs="Times New Roman"/>
          <w:color w:val="000000"/>
        </w:rPr>
        <w:t>. A long-standing economic measure of interest rates, GDP growth, and inflation has long been the foundation for policy and risk assessment, but they are not as easily up to date as the fast, often unpredictable changes that public sentiment and market exp</w:t>
      </w:r>
      <w:r>
        <w:rPr>
          <w:rFonts w:ascii="Times New Roman" w:eastAsia="Times New Roman" w:hAnsi="Times New Roman" w:cs="Times New Roman"/>
          <w:color w:val="000000"/>
        </w:rPr>
        <w:t xml:space="preserve">ectations will change when things change in real-time. </w:t>
      </w:r>
    </w:p>
    <w:p w14:paraId="09895E92"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t>The problem, though, is the volume and variability of real-time data. Traditional models of economic policy uncertainty based on lagged data fail to capture market reactions to policy changes or geopo</w:t>
      </w:r>
      <w:r>
        <w:rPr>
          <w:rFonts w:ascii="Times New Roman" w:eastAsia="Times New Roman" w:hAnsi="Times New Roman" w:cs="Times New Roman"/>
          <w:color w:val="000000"/>
        </w:rPr>
        <w:t>litical developments. While NLP and sentiment analysis have allowed for the capture of large amounts of unstructured text from online sources, these methods are still limited to integrating unstructured text data into real-time risk assessments. As yet, ba</w:t>
      </w:r>
      <w:r>
        <w:rPr>
          <w:rFonts w:ascii="Times New Roman" w:eastAsia="Times New Roman" w:hAnsi="Times New Roman" w:cs="Times New Roman"/>
          <w:color w:val="000000"/>
        </w:rPr>
        <w:t>nks and regulators are not yet beginning to investigate how they can use this information to predict the outcome of macroeconomic policies on the stability of financial institutions. While this ability to construct model-based models from unstructured data</w:t>
      </w:r>
      <w:r>
        <w:rPr>
          <w:rFonts w:ascii="Times New Roman" w:eastAsia="Times New Roman" w:hAnsi="Times New Roman" w:cs="Times New Roman"/>
          <w:color w:val="000000"/>
        </w:rPr>
        <w:t>, such as news articles, tweets, or regulatory filings, is rarely utilized in banking stability studies, AI-based models can offer real-time insights into policy uncertainty in real time, but they are currently underused in banking stability research.</w:t>
      </w:r>
    </w:p>
    <w:p w14:paraId="75FDC454"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Futu</w:t>
      </w:r>
      <w:r>
        <w:rPr>
          <w:rFonts w:ascii="Times New Roman" w:eastAsia="Times New Roman" w:hAnsi="Times New Roman" w:cs="Times New Roman"/>
          <w:color w:val="000000"/>
        </w:rPr>
        <w:t xml:space="preserve">re research should seek to develop better algorithms that will learn and interpret news and social media data in the same manner as economic indicators and to be fully capitalized on real-time data. Combining sentiment analysis with economic variables may </w:t>
      </w:r>
      <w:r>
        <w:rPr>
          <w:rFonts w:ascii="Times New Roman" w:eastAsia="Times New Roman" w:hAnsi="Times New Roman" w:cs="Times New Roman"/>
          <w:color w:val="000000"/>
        </w:rPr>
        <w:t>help improve risk models, and banks may adapt better to changing market conditions. For example, when markets have been more fragile, as during the COVID-19 pandemic, real-time data can provide an easier view of market sentiment and provide early warning s</w:t>
      </w:r>
      <w:r>
        <w:rPr>
          <w:rFonts w:ascii="Times New Roman" w:eastAsia="Times New Roman" w:hAnsi="Times New Roman" w:cs="Times New Roman"/>
          <w:color w:val="000000"/>
        </w:rPr>
        <w:t>ignals about potential instability in the banking sector.</w:t>
      </w:r>
    </w:p>
    <w:p w14:paraId="2361BAAF" w14:textId="77777777" w:rsidR="008059F4" w:rsidRDefault="00654302">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3.4.2 Lack of Explainable AI in Macroprudential Stress Testing</w:t>
      </w:r>
    </w:p>
    <w:p w14:paraId="7743A243"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t>Another huge gap in current banking stability models is that XAI for macroprudential stress testing is not explained by explainable AI.</w:t>
      </w:r>
      <w:r>
        <w:rPr>
          <w:rFonts w:ascii="Times New Roman" w:eastAsia="Times New Roman" w:hAnsi="Times New Roman" w:cs="Times New Roman"/>
          <w:color w:val="000000"/>
        </w:rPr>
        <w:t xml:space="preserve"> While AI and machine learning technologies have been successfully used for improving stress-testing models by generating large quantities of data and forecasting vulnerabilities, many AI models remain lacking in transparency. Explainable AI is the term us</w:t>
      </w:r>
      <w:r>
        <w:rPr>
          <w:rFonts w:ascii="Times New Roman" w:eastAsia="Times New Roman" w:hAnsi="Times New Roman" w:cs="Times New Roman"/>
          <w:color w:val="000000"/>
        </w:rPr>
        <w:t>ed to describe machine learning models that make predictions and provide information about the human side of their decision-making processes. In the context of macroprudential stress testing, XAI is critical for ensuring that regulatory bodies and financia</w:t>
      </w:r>
      <w:r>
        <w:rPr>
          <w:rFonts w:ascii="Times New Roman" w:eastAsia="Times New Roman" w:hAnsi="Times New Roman" w:cs="Times New Roman"/>
          <w:color w:val="000000"/>
        </w:rPr>
        <w:t>l institutions are able to trust that AI systems predict predictions.</w:t>
      </w:r>
    </w:p>
    <w:p w14:paraId="78B4EA9C"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t>Such stress-testing methods often rely on black-box models, which are transparent and difficult for regulators to interpret. This lack of interpretability presents challenges for regulat</w:t>
      </w:r>
      <w:r>
        <w:rPr>
          <w:rFonts w:ascii="Times New Roman" w:eastAsia="Times New Roman" w:hAnsi="Times New Roman" w:cs="Times New Roman"/>
          <w:color w:val="000000"/>
        </w:rPr>
        <w:t>ors who need to make sure the AI models comply with regulations and also validate predictions before they implement policy changes. If AI is used in stress tests without explanation, it is likely to undermine the credibility of results because participants</w:t>
      </w:r>
      <w:r>
        <w:rPr>
          <w:rFonts w:ascii="Times New Roman" w:eastAsia="Times New Roman" w:hAnsi="Times New Roman" w:cs="Times New Roman"/>
          <w:color w:val="000000"/>
        </w:rPr>
        <w:t xml:space="preserve"> may question the accuracy and fairness of predictions.</w:t>
      </w:r>
    </w:p>
    <w:p w14:paraId="4F994FB1"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Future research is required to integrate explainability in stress tests in order to improve the reliability and accountability of these models for future studies. Researchers should focus on </w:t>
      </w:r>
      <w:r>
        <w:rPr>
          <w:rFonts w:ascii="Times New Roman" w:eastAsia="Times New Roman" w:hAnsi="Times New Roman" w:cs="Times New Roman"/>
          <w:color w:val="000000"/>
        </w:rPr>
        <w:t>developing XAI strategies that are not only useful but also transparent and understandable in their decision-making processes. Prudential stress testing approaches that incorporate feature-specific explanations, such as LIME or SHAP, can be used in macropr</w:t>
      </w:r>
      <w:r>
        <w:rPr>
          <w:rFonts w:ascii="Times New Roman" w:eastAsia="Times New Roman" w:hAnsi="Times New Roman" w:cs="Times New Roman"/>
          <w:color w:val="000000"/>
        </w:rPr>
        <w:t>udential stress testing to help regulators and stakeholders better understand the mechanisms by which a bank’s vulnerability has been formed. They would also be useful. This would lead to better policy decisions, increase transparency of AI-based assessmen</w:t>
      </w:r>
      <w:r>
        <w:rPr>
          <w:rFonts w:ascii="Times New Roman" w:eastAsia="Times New Roman" w:hAnsi="Times New Roman" w:cs="Times New Roman"/>
          <w:color w:val="000000"/>
        </w:rPr>
        <w:t>ts and provide legitimacy to stress testing outcomes.</w:t>
      </w:r>
    </w:p>
    <w:p w14:paraId="47931E3B" w14:textId="77777777" w:rsidR="008059F4" w:rsidRDefault="00654302">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3.4.3 Limited Linkage Between AI Forecasts and Policy Instruments</w:t>
      </w:r>
    </w:p>
    <w:p w14:paraId="71FB8A9B"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t>Thirdly, in the current environment of banking stability research, the limited connection between AI forecasts and policy instruments is</w:t>
      </w:r>
      <w:r>
        <w:rPr>
          <w:rFonts w:ascii="Times New Roman" w:eastAsia="Times New Roman" w:hAnsi="Times New Roman" w:cs="Times New Roman"/>
          <w:color w:val="000000"/>
        </w:rPr>
        <w:t xml:space="preserve"> a major difference. While AI-based models have shown promise for predicting potential risk and bank stability, their predictions may not always be directly tied to policy instruments or action plans that regulators can adopt. Real-time AI data not suffici</w:t>
      </w:r>
      <w:r>
        <w:rPr>
          <w:rFonts w:ascii="Times New Roman" w:eastAsia="Times New Roman" w:hAnsi="Times New Roman" w:cs="Times New Roman"/>
          <w:color w:val="000000"/>
        </w:rPr>
        <w:t xml:space="preserve">ently equipped with policy responses such as interest rate changes, capital adequacy </w:t>
      </w:r>
      <w:r>
        <w:rPr>
          <w:rFonts w:ascii="Times New Roman" w:eastAsia="Times New Roman" w:hAnsi="Times New Roman" w:cs="Times New Roman"/>
          <w:color w:val="000000"/>
        </w:rPr>
        <w:lastRenderedPageBreak/>
        <w:t>requirements, and liquidity rules can often not adequately predict policy intervention, which can diminish the effectiveness of policy intervention.</w:t>
      </w:r>
    </w:p>
    <w:p w14:paraId="5A015FF5"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t>AI could improve polic</w:t>
      </w:r>
      <w:r>
        <w:rPr>
          <w:rFonts w:ascii="Times New Roman" w:eastAsia="Times New Roman" w:hAnsi="Times New Roman" w:cs="Times New Roman"/>
          <w:color w:val="000000"/>
        </w:rPr>
        <w:t>y decision-making, but it is far from being ready for the potential. Whether such models can predict the impact of the various economic scenarios on bank stability is not universally measured using the AI but can be integrated with regulatory mechanisms th</w:t>
      </w:r>
      <w:r>
        <w:rPr>
          <w:rFonts w:ascii="Times New Roman" w:eastAsia="Times New Roman" w:hAnsi="Times New Roman" w:cs="Times New Roman"/>
          <w:color w:val="000000"/>
        </w:rPr>
        <w:t>at govern policy change. Important to macroeconomic policy is the understanding of EPU through which credit risk and lending decisions are influenced by economic policy uncertainty. But policies that do not know how to act upon them are not currently in pl</w:t>
      </w:r>
      <w:r>
        <w:rPr>
          <w:rFonts w:ascii="Times New Roman" w:eastAsia="Times New Roman" w:hAnsi="Times New Roman" w:cs="Times New Roman"/>
          <w:color w:val="000000"/>
        </w:rPr>
        <w:t>ace enough for policymakers to take advantage of those insights.</w:t>
      </w:r>
    </w:p>
    <w:p w14:paraId="01CB1964"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t>Future research should focus on building structures linking AI-driven forecasts to policy instruments. This includes extending software that allows regulators to modify policy for AI-generate</w:t>
      </w:r>
      <w:r>
        <w:rPr>
          <w:rFonts w:ascii="Times New Roman" w:eastAsia="Times New Roman" w:hAnsi="Times New Roman" w:cs="Times New Roman"/>
          <w:color w:val="000000"/>
        </w:rPr>
        <w:t xml:space="preserve">d forecasts. For instance, if an AI model predicts that the bank’s capital adequacy ratio will be severely affected by an economic shock, policymakers could adjust capital requirements or apply liquidity support measures to mitigate risk before the crisis </w:t>
      </w:r>
      <w:r>
        <w:rPr>
          <w:rFonts w:ascii="Times New Roman" w:eastAsia="Times New Roman" w:hAnsi="Times New Roman" w:cs="Times New Roman"/>
          <w:color w:val="000000"/>
        </w:rPr>
        <w:t>unfolds. Real-time AI models could inform policy adjustments and be used to be more responsive to new threats for policymakers, making policy decisions more active.</w:t>
      </w:r>
    </w:p>
    <w:p w14:paraId="6799CD92" w14:textId="77777777" w:rsidR="008059F4" w:rsidRDefault="00654302">
      <w:pPr>
        <w:spacing w:before="280" w:after="28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4. Conclusion</w:t>
      </w:r>
    </w:p>
    <w:p w14:paraId="12703562" w14:textId="77777777" w:rsidR="008059F4" w:rsidRDefault="00654302">
      <w:pPr>
        <w:jc w:val="both"/>
        <w:rPr>
          <w:rFonts w:ascii="Times New Roman" w:eastAsia="Times New Roman" w:hAnsi="Times New Roman" w:cs="Times New Roman"/>
        </w:rPr>
      </w:pPr>
      <w:r>
        <w:rPr>
          <w:rFonts w:ascii="Times New Roman" w:eastAsia="Times New Roman" w:hAnsi="Times New Roman" w:cs="Times New Roman"/>
        </w:rPr>
        <w:t>The findings presented in this study show how monetary policy uncertainty imp</w:t>
      </w:r>
      <w:r>
        <w:rPr>
          <w:rFonts w:ascii="Times New Roman" w:eastAsia="Times New Roman" w:hAnsi="Times New Roman" w:cs="Times New Roman"/>
        </w:rPr>
        <w:t>acted significant aspects of banking stability, specifically the supply and liquidity channels, through its effect on major bank stability variables. This finding provides evidence that increased uncertainty, such as economic stress, leads to tighter credi</w:t>
      </w:r>
      <w:r>
        <w:rPr>
          <w:rFonts w:ascii="Times New Roman" w:eastAsia="Times New Roman" w:hAnsi="Times New Roman" w:cs="Times New Roman"/>
        </w:rPr>
        <w:t>t and lower loan performance as banks become less risk-averse. In addition, liquidity pressures result in financial institutions engaging in the act of hoarding liquidity, constraining credit flow and hindering economic recovery. This vulnerability of fina</w:t>
      </w:r>
      <w:r>
        <w:rPr>
          <w:rFonts w:ascii="Times New Roman" w:eastAsia="Times New Roman" w:hAnsi="Times New Roman" w:cs="Times New Roman"/>
        </w:rPr>
        <w:t xml:space="preserve">ncial systems to monetary policy uncertainty is illustrated by a link between policy uncertainty and bank </w:t>
      </w:r>
      <w:proofErr w:type="spellStart"/>
      <w:r>
        <w:rPr>
          <w:rFonts w:ascii="Times New Roman" w:eastAsia="Times New Roman" w:hAnsi="Times New Roman" w:cs="Times New Roman"/>
        </w:rPr>
        <w:t>behavior</w:t>
      </w:r>
      <w:proofErr w:type="spellEnd"/>
      <w:r>
        <w:rPr>
          <w:rFonts w:ascii="Times New Roman" w:eastAsia="Times New Roman" w:hAnsi="Times New Roman" w:cs="Times New Roman"/>
        </w:rPr>
        <w:t>, emphasizing the need for aggressive regulatory responses.</w:t>
      </w:r>
    </w:p>
    <w:p w14:paraId="75BCA4D3"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t>Another interesting contribution AI and ML have to the development of predictive c</w:t>
      </w:r>
      <w:r>
        <w:rPr>
          <w:rFonts w:ascii="Times New Roman" w:eastAsia="Times New Roman" w:hAnsi="Times New Roman" w:cs="Times New Roman"/>
          <w:color w:val="000000"/>
        </w:rPr>
        <w:t>apabilities in banking stability models is that they are very potent. This will enable better forecasting of bank distress based on multiple data, such as transaction history and market movements. But the limitations of AI-based models are still significan</w:t>
      </w:r>
      <w:r>
        <w:rPr>
          <w:rFonts w:ascii="Times New Roman" w:eastAsia="Times New Roman" w:hAnsi="Times New Roman" w:cs="Times New Roman"/>
          <w:color w:val="000000"/>
        </w:rPr>
        <w:t>t, especially intransparency. In particular, uncomplicated AI in macroprudential stress testing inhibits wider adoption because it requires the full understanding of model decisions to ensure compliance with regulatory compliance and trust in the results.</w:t>
      </w:r>
    </w:p>
    <w:p w14:paraId="610C23A4"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Some regulatory policies recommend selecting the ML tool for stress testing in this study. This means that AI-driven predictions in real time can re-engineer regulating practices that can be used to be implemented in real time to avoid a financial crisis. </w:t>
      </w:r>
      <w:r>
        <w:rPr>
          <w:rFonts w:ascii="Times New Roman" w:eastAsia="Times New Roman" w:hAnsi="Times New Roman" w:cs="Times New Roman"/>
          <w:color w:val="000000"/>
        </w:rPr>
        <w:t xml:space="preserve">Finally, further studies on real-time links between macro-level policy changes and macro-level bank performance must focus more attention on the potential relationship between the real-time relationship between macro-level policy </w:t>
      </w:r>
      <w:r>
        <w:rPr>
          <w:rFonts w:ascii="Times New Roman" w:eastAsia="Times New Roman" w:hAnsi="Times New Roman" w:cs="Times New Roman"/>
          <w:color w:val="000000"/>
        </w:rPr>
        <w:lastRenderedPageBreak/>
        <w:t>adjustments and micro-leve</w:t>
      </w:r>
      <w:r>
        <w:rPr>
          <w:rFonts w:ascii="Times New Roman" w:eastAsia="Times New Roman" w:hAnsi="Times New Roman" w:cs="Times New Roman"/>
          <w:color w:val="000000"/>
        </w:rPr>
        <w:t>l bank performance so that AI systems can be dynamically integrated into the policy process to increase predictive accuracy and financial system stability.</w:t>
      </w:r>
    </w:p>
    <w:p w14:paraId="29C0477C" w14:textId="77777777" w:rsidR="008059F4" w:rsidRDefault="00654302">
      <w:pPr>
        <w:spacing w:before="280" w:after="28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5. Limitations</w:t>
      </w:r>
    </w:p>
    <w:p w14:paraId="50833205" w14:textId="77777777" w:rsidR="008059F4" w:rsidRDefault="00654302">
      <w:pPr>
        <w:spacing w:before="280" w:after="2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While this study provides valuable insight into how MPU plays an important role in U.</w:t>
      </w:r>
      <w:r>
        <w:rPr>
          <w:rFonts w:ascii="Times New Roman" w:eastAsia="Times New Roman" w:hAnsi="Times New Roman" w:cs="Times New Roman"/>
          <w:color w:val="000000"/>
        </w:rPr>
        <w:t>S. banking stability, there are many limitations to this approach.</w:t>
      </w:r>
    </w:p>
    <w:p w14:paraId="5422B8B7" w14:textId="77777777" w:rsidR="008059F4" w:rsidRDefault="00654302">
      <w:pPr>
        <w:spacing w:before="280" w:after="28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Language and Time Restrictions</w:t>
      </w:r>
      <w:r>
        <w:rPr>
          <w:rFonts w:ascii="Times New Roman" w:eastAsia="Times New Roman" w:hAnsi="Times New Roman" w:cs="Times New Roman"/>
          <w:color w:val="000000"/>
        </w:rPr>
        <w:t>:</w:t>
      </w:r>
    </w:p>
    <w:p w14:paraId="53152895" w14:textId="77777777" w:rsidR="008059F4" w:rsidRDefault="00654302">
      <w:pPr>
        <w:spacing w:before="280" w:after="2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availability of English literature in writing was limited, unless other languages were available for research or, for that matter, the use of that langua</w:t>
      </w:r>
      <w:r>
        <w:rPr>
          <w:rFonts w:ascii="Times New Roman" w:eastAsia="Times New Roman" w:hAnsi="Times New Roman" w:cs="Times New Roman"/>
          <w:color w:val="000000"/>
        </w:rPr>
        <w:t>ge for reference. The research study also covers literature between 2010 and 2025, so any significant results prior to 2010 or thereafter may not be reflected in this review. These limited time and language constraints limit the scope of analysis, as studi</w:t>
      </w:r>
      <w:r>
        <w:rPr>
          <w:rFonts w:ascii="Times New Roman" w:eastAsia="Times New Roman" w:hAnsi="Times New Roman" w:cs="Times New Roman"/>
          <w:color w:val="000000"/>
        </w:rPr>
        <w:t>es in different languages or older times could provide other insights into the subject matter.</w:t>
      </w:r>
    </w:p>
    <w:p w14:paraId="6DC2CFBE" w14:textId="77777777" w:rsidR="008059F4" w:rsidRDefault="00654302">
      <w:pPr>
        <w:spacing w:before="280" w:after="28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Exclusion of Unpublished Studies</w:t>
      </w:r>
      <w:r>
        <w:rPr>
          <w:rFonts w:ascii="Times New Roman" w:eastAsia="Times New Roman" w:hAnsi="Times New Roman" w:cs="Times New Roman"/>
          <w:color w:val="000000"/>
        </w:rPr>
        <w:t>:</w:t>
      </w:r>
    </w:p>
    <w:p w14:paraId="65A89047" w14:textId="77777777" w:rsidR="008059F4" w:rsidRDefault="00654302">
      <w:pPr>
        <w:spacing w:before="280" w:after="2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Only published articles were considered in this review, indicating that unpublished or grey literature, including working paper</w:t>
      </w:r>
      <w:r>
        <w:rPr>
          <w:rFonts w:ascii="Times New Roman" w:eastAsia="Times New Roman" w:hAnsi="Times New Roman" w:cs="Times New Roman"/>
          <w:color w:val="000000"/>
        </w:rPr>
        <w:t>s, policy reports and ongoing research, were not included. This lack of a frontier constrains evidence to broad scope as unpublished research may provide new insights or alternative viewpoints that might contribute to a closer understanding of the impact o</w:t>
      </w:r>
      <w:r>
        <w:rPr>
          <w:rFonts w:ascii="Times New Roman" w:eastAsia="Times New Roman" w:hAnsi="Times New Roman" w:cs="Times New Roman"/>
          <w:color w:val="000000"/>
        </w:rPr>
        <w:t>f economic policy uncertainty on bank stability.</w:t>
      </w:r>
    </w:p>
    <w:p w14:paraId="0EB3CF22" w14:textId="77777777" w:rsidR="008059F4" w:rsidRDefault="00654302">
      <w:pPr>
        <w:spacing w:before="280" w:after="28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Thematic Synthesis Subjectivity</w:t>
      </w:r>
      <w:r>
        <w:rPr>
          <w:rFonts w:ascii="Times New Roman" w:eastAsia="Times New Roman" w:hAnsi="Times New Roman" w:cs="Times New Roman"/>
          <w:color w:val="000000"/>
        </w:rPr>
        <w:t>:</w:t>
      </w:r>
    </w:p>
    <w:p w14:paraId="231E0EF0" w14:textId="77777777" w:rsidR="008059F4" w:rsidRDefault="00654302">
      <w:pPr>
        <w:spacing w:before="280" w:after="2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thematic synthesis for gathering and classifying main findings from reviewed literature is subjective. Some researchers may interpret and group themes differently, result</w:t>
      </w:r>
      <w:r>
        <w:rPr>
          <w:rFonts w:ascii="Times New Roman" w:eastAsia="Times New Roman" w:hAnsi="Times New Roman" w:cs="Times New Roman"/>
          <w:color w:val="000000"/>
        </w:rPr>
        <w:t>ing in bias in the way in which they are synthesized. While the thematic approach was intended to avoid bias, the possibility of subjectivity in understanding the complexities of each study remains a limitation.</w:t>
      </w:r>
    </w:p>
    <w:p w14:paraId="532FE0E2" w14:textId="77777777" w:rsidR="008059F4" w:rsidRDefault="00654302">
      <w:pPr>
        <w:spacing w:before="280" w:after="2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study has limited resources because it </w:t>
      </w:r>
      <w:r>
        <w:rPr>
          <w:rFonts w:ascii="Times New Roman" w:eastAsia="Times New Roman" w:hAnsi="Times New Roman" w:cs="Times New Roman"/>
          <w:color w:val="000000"/>
        </w:rPr>
        <w:t>does not explore the dynamic relationship between currency policy uncertainty and banking stability and provides useful context for examining other areas for further research that can address these gaps.</w:t>
      </w:r>
    </w:p>
    <w:p w14:paraId="28DA3F9B" w14:textId="77777777" w:rsidR="00152130" w:rsidRPr="00152130" w:rsidRDefault="00152130" w:rsidP="00152130">
      <w:pPr>
        <w:spacing w:after="200" w:line="276" w:lineRule="auto"/>
        <w:jc w:val="both"/>
        <w:outlineLvl w:val="0"/>
        <w:rPr>
          <w:rFonts w:ascii="Arial" w:eastAsia="Times New Roman" w:hAnsi="Arial" w:cs="Arial"/>
          <w:sz w:val="22"/>
          <w:szCs w:val="22"/>
        </w:rPr>
      </w:pPr>
      <w:r w:rsidRPr="00152130">
        <w:rPr>
          <w:rFonts w:ascii="Arial" w:eastAsia="Times New Roman" w:hAnsi="Arial" w:cs="Arial"/>
          <w:b/>
          <w:bCs/>
          <w:sz w:val="22"/>
          <w:szCs w:val="22"/>
        </w:rPr>
        <w:t>COMPETING INTERESTS DISCLAIMER:</w:t>
      </w:r>
    </w:p>
    <w:p w14:paraId="57C6F187" w14:textId="77777777" w:rsidR="00152130" w:rsidRPr="00152130" w:rsidRDefault="00152130" w:rsidP="00152130">
      <w:pPr>
        <w:spacing w:after="200" w:line="276" w:lineRule="auto"/>
        <w:rPr>
          <w:rFonts w:eastAsia="Times New Roman" w:cs="Times New Roman"/>
          <w:sz w:val="22"/>
          <w:szCs w:val="22"/>
        </w:rPr>
      </w:pPr>
      <w:r w:rsidRPr="00152130">
        <w:rPr>
          <w:rFonts w:eastAsia="Times New Roman" w:cs="Times New Roman"/>
          <w:sz w:val="22"/>
          <w:szCs w:val="22"/>
        </w:rPr>
        <w:t>Authors have declared that they have no known competing financial interests OR non-financial interests OR personal relationships that could have appeared to influence the work reported in this paper.</w:t>
      </w:r>
    </w:p>
    <w:p w14:paraId="062CA82E" w14:textId="77777777" w:rsidR="00152130" w:rsidRPr="00152130" w:rsidRDefault="00152130" w:rsidP="00152130">
      <w:pPr>
        <w:spacing w:after="200" w:line="276" w:lineRule="auto"/>
        <w:rPr>
          <w:rFonts w:eastAsia="Times New Roman" w:cs="Times New Roman"/>
          <w:sz w:val="22"/>
          <w:szCs w:val="22"/>
        </w:rPr>
      </w:pPr>
    </w:p>
    <w:p w14:paraId="5B5EA625" w14:textId="77777777" w:rsidR="008059F4" w:rsidRDefault="008059F4">
      <w:pPr>
        <w:rPr>
          <w:rFonts w:ascii="Times New Roman" w:eastAsia="Times New Roman" w:hAnsi="Times New Roman" w:cs="Times New Roman"/>
        </w:rPr>
      </w:pPr>
    </w:p>
    <w:p w14:paraId="5918B035" w14:textId="77777777" w:rsidR="008059F4" w:rsidRDefault="008059F4">
      <w:pPr>
        <w:rPr>
          <w:rFonts w:ascii="Times New Roman" w:eastAsia="Times New Roman" w:hAnsi="Times New Roman" w:cs="Times New Roman"/>
        </w:rPr>
      </w:pPr>
    </w:p>
    <w:p w14:paraId="232CC822" w14:textId="77777777" w:rsidR="008059F4" w:rsidRDefault="00654302">
      <w:pPr>
        <w:spacing w:before="280" w:after="28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6. References</w:t>
      </w:r>
    </w:p>
    <w:p w14:paraId="080682E4" w14:textId="042790BD" w:rsidR="008059F4" w:rsidRDefault="00654302">
      <w:pPr>
        <w:ind w:left="720" w:hanging="720"/>
        <w:jc w:val="both"/>
        <w:rPr>
          <w:rFonts w:ascii="Times New Roman" w:eastAsia="Times New Roman" w:hAnsi="Times New Roman" w:cs="Times New Roman"/>
          <w:color w:val="000000"/>
        </w:rPr>
      </w:pPr>
      <w:r>
        <w:rPr>
          <w:rFonts w:ascii="Times New Roman" w:eastAsia="Times New Roman" w:hAnsi="Times New Roman" w:cs="Times New Roman"/>
        </w:rPr>
        <w:t xml:space="preserve">Adaji, C. C., Bello, A. A., </w:t>
      </w:r>
      <w:proofErr w:type="spellStart"/>
      <w:r>
        <w:rPr>
          <w:rFonts w:ascii="Times New Roman" w:eastAsia="Times New Roman" w:hAnsi="Times New Roman" w:cs="Times New Roman"/>
        </w:rPr>
        <w:t>Ukatu</w:t>
      </w:r>
      <w:proofErr w:type="spellEnd"/>
      <w:r>
        <w:rPr>
          <w:rFonts w:ascii="Times New Roman" w:eastAsia="Times New Roman" w:hAnsi="Times New Roman" w:cs="Times New Roman"/>
        </w:rPr>
        <w:t xml:space="preserve">, C. E., Okika N., Agboola, O. K., Amomo, C. G. (2025). AI-Powered Cybersecurity Governance: The Role of Business Analysts in Ethical AI Deployment. </w:t>
      </w:r>
      <w:r>
        <w:rPr>
          <w:rFonts w:ascii="Times New Roman" w:eastAsia="Times New Roman" w:hAnsi="Times New Roman" w:cs="Times New Roman"/>
          <w:i/>
          <w:iCs/>
        </w:rPr>
        <w:t xml:space="preserve">International Journal of Innovative Science and Research Technology, </w:t>
      </w:r>
      <w:r>
        <w:rPr>
          <w:rFonts w:ascii="Times New Roman" w:eastAsia="Times New Roman" w:hAnsi="Times New Roman" w:cs="Times New Roman"/>
        </w:rPr>
        <w:t xml:space="preserve">10(3), 1384-1396. </w:t>
      </w:r>
      <w:r w:rsidR="00AF49B6">
        <w:rPr>
          <w:rFonts w:ascii="Arial" w:eastAsia="Times New Roman" w:hAnsi="Arial" w:cs="Arial"/>
          <w:sz w:val="18"/>
          <w:szCs w:val="18"/>
        </w:rPr>
        <w:t>https://doi.org/10.38124/ijisrt/25mar924</w:t>
      </w:r>
    </w:p>
    <w:p w14:paraId="7CD823B1" w14:textId="77777777" w:rsidR="008059F4" w:rsidRDefault="00654302">
      <w:pPr>
        <w:ind w:left="720" w:hanging="720"/>
        <w:jc w:val="both"/>
        <w:rPr>
          <w:rFonts w:ascii="Times New Roman" w:eastAsia="Times New Roman" w:hAnsi="Times New Roman" w:cs="Times New Roman"/>
          <w:color w:val="000000"/>
        </w:rPr>
      </w:pPr>
      <w:r>
        <w:rPr>
          <w:rFonts w:ascii="Times New Roman" w:eastAsia="Times New Roman" w:hAnsi="Times New Roman" w:cs="Times New Roman"/>
        </w:rPr>
        <w:t>Afonso, A., &amp; Sousa, R. M. (2012). The macroeconomic effects of fiscal policy. </w:t>
      </w:r>
      <w:r>
        <w:rPr>
          <w:rFonts w:ascii="Times New Roman" w:eastAsia="Times New Roman" w:hAnsi="Times New Roman" w:cs="Times New Roman"/>
          <w:i/>
          <w:iCs/>
        </w:rPr>
        <w:t>Applied Economics</w:t>
      </w:r>
      <w:r>
        <w:rPr>
          <w:rFonts w:ascii="Times New Roman" w:eastAsia="Times New Roman" w:hAnsi="Times New Roman" w:cs="Times New Roman"/>
        </w:rPr>
        <w:t>, </w:t>
      </w:r>
      <w:r>
        <w:rPr>
          <w:rFonts w:ascii="Times New Roman" w:eastAsia="Times New Roman" w:hAnsi="Times New Roman" w:cs="Times New Roman"/>
          <w:i/>
          <w:iCs/>
        </w:rPr>
        <w:t>44</w:t>
      </w:r>
      <w:r>
        <w:rPr>
          <w:rFonts w:ascii="Times New Roman" w:eastAsia="Times New Roman" w:hAnsi="Times New Roman" w:cs="Times New Roman"/>
        </w:rPr>
        <w:t xml:space="preserve">(34), 4439–4454. </w:t>
      </w:r>
      <w:hyperlink r:id="rId7">
        <w:r w:rsidR="008059F4">
          <w:rPr>
            <w:rFonts w:ascii="Times New Roman" w:eastAsia="Times New Roman" w:hAnsi="Times New Roman" w:cs="Times New Roman"/>
            <w:color w:val="0563C1"/>
            <w:u w:val="single"/>
          </w:rPr>
          <w:t>https://doi.org/10.1080/00036846.2011.591732</w:t>
        </w:r>
      </w:hyperlink>
    </w:p>
    <w:p w14:paraId="0ADE265B" w14:textId="77777777" w:rsidR="008059F4" w:rsidRDefault="00654302">
      <w:pPr>
        <w:ind w:left="720" w:hanging="720"/>
        <w:jc w:val="both"/>
        <w:rPr>
          <w:rFonts w:ascii="Times New Roman" w:eastAsia="Times New Roman" w:hAnsi="Times New Roman" w:cs="Times New Roman"/>
          <w:color w:val="000000"/>
        </w:rPr>
      </w:pPr>
      <w:proofErr w:type="spellStart"/>
      <w:r>
        <w:rPr>
          <w:rFonts w:ascii="Times New Roman" w:eastAsia="Times New Roman" w:hAnsi="Times New Roman" w:cs="Times New Roman"/>
        </w:rPr>
        <w:t>Akubilla</w:t>
      </w:r>
      <w:proofErr w:type="spellEnd"/>
      <w:r>
        <w:rPr>
          <w:rFonts w:ascii="Times New Roman" w:eastAsia="Times New Roman" w:hAnsi="Times New Roman" w:cs="Times New Roman"/>
        </w:rPr>
        <w:t>,</w:t>
      </w:r>
      <w:r>
        <w:rPr>
          <w:rFonts w:ascii="Times New Roman" w:eastAsia="Times New Roman" w:hAnsi="Times New Roman" w:cs="Times New Roman"/>
        </w:rPr>
        <w:t xml:space="preserve"> J., </w:t>
      </w:r>
      <w:proofErr w:type="spellStart"/>
      <w:r>
        <w:rPr>
          <w:rFonts w:ascii="Times New Roman" w:eastAsia="Times New Roman" w:hAnsi="Times New Roman" w:cs="Times New Roman"/>
        </w:rPr>
        <w:t>Somoye</w:t>
      </w:r>
      <w:proofErr w:type="spellEnd"/>
      <w:r>
        <w:rPr>
          <w:rFonts w:ascii="Times New Roman" w:eastAsia="Times New Roman" w:hAnsi="Times New Roman" w:cs="Times New Roman"/>
        </w:rPr>
        <w:t xml:space="preserve">, O. I., Abiodun, F., </w:t>
      </w:r>
      <w:proofErr w:type="spellStart"/>
      <w:r>
        <w:rPr>
          <w:rFonts w:ascii="Times New Roman" w:eastAsia="Times New Roman" w:hAnsi="Times New Roman" w:cs="Times New Roman"/>
        </w:rPr>
        <w:t>Serifat</w:t>
      </w:r>
      <w:proofErr w:type="spellEnd"/>
      <w:r>
        <w:rPr>
          <w:rFonts w:ascii="Times New Roman" w:eastAsia="Times New Roman" w:hAnsi="Times New Roman" w:cs="Times New Roman"/>
        </w:rPr>
        <w:t xml:space="preserve">, O. A. (2025). The Role of Explainable AI in Enhancing Trust and Transparency in Supply Chain Risk Mitigation. </w:t>
      </w:r>
      <w:r>
        <w:rPr>
          <w:rFonts w:ascii="Times New Roman" w:eastAsia="Times New Roman" w:hAnsi="Times New Roman" w:cs="Times New Roman"/>
          <w:i/>
          <w:iCs/>
        </w:rPr>
        <w:t xml:space="preserve">International Journal of Multidisciplinary Research and Growth Evaluation, </w:t>
      </w:r>
      <w:r>
        <w:rPr>
          <w:rFonts w:ascii="Times New Roman" w:eastAsia="Times New Roman" w:hAnsi="Times New Roman" w:cs="Times New Roman"/>
        </w:rPr>
        <w:t xml:space="preserve">6 (3), 367-377. DOI: </w:t>
      </w:r>
      <w:hyperlink r:id="rId8">
        <w:r w:rsidR="008059F4">
          <w:rPr>
            <w:rFonts w:ascii="Times New Roman" w:eastAsia="Times New Roman" w:hAnsi="Times New Roman" w:cs="Times New Roman"/>
            <w:color w:val="0563C1"/>
            <w:u w:val="single"/>
          </w:rPr>
          <w:t>https://doi.org/10.54660/.IJMRGE.2025.6.3.367-377</w:t>
        </w:r>
      </w:hyperlink>
    </w:p>
    <w:p w14:paraId="077217A7" w14:textId="77777777" w:rsidR="008059F4" w:rsidRDefault="00654302">
      <w:pPr>
        <w:ind w:left="720" w:hanging="72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Aladwani</w:t>
      </w:r>
      <w:proofErr w:type="spellEnd"/>
      <w:r>
        <w:rPr>
          <w:rFonts w:ascii="Times New Roman" w:eastAsia="Times New Roman" w:hAnsi="Times New Roman" w:cs="Times New Roman"/>
          <w:color w:val="000000"/>
        </w:rPr>
        <w:t>, J. (2025). Asymmetric reactions of the crude oil and natural gas markets on Vietnamese stock Journal of Economics and Development, 27(1</w:t>
      </w:r>
      <w:r>
        <w:rPr>
          <w:rFonts w:ascii="Times New Roman" w:eastAsia="Times New Roman" w:hAnsi="Times New Roman" w:cs="Times New Roman"/>
          <w:color w:val="000000"/>
        </w:rPr>
        <w:t xml:space="preserve">), 87-109. </w:t>
      </w:r>
      <w:hyperlink r:id="rId9">
        <w:r w:rsidR="008059F4">
          <w:rPr>
            <w:rFonts w:ascii="Times New Roman" w:eastAsia="Times New Roman" w:hAnsi="Times New Roman" w:cs="Times New Roman"/>
            <w:color w:val="000000"/>
          </w:rPr>
          <w:t>https://doi.org/10.1108/JED-08-2024-0280</w:t>
        </w:r>
      </w:hyperlink>
    </w:p>
    <w:p w14:paraId="3F0203B0" w14:textId="77777777" w:rsidR="008059F4" w:rsidRDefault="00654302">
      <w:pPr>
        <w:ind w:left="720" w:hanging="72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Aor</w:t>
      </w:r>
      <w:proofErr w:type="spellEnd"/>
      <w:r>
        <w:rPr>
          <w:rFonts w:ascii="Times New Roman" w:eastAsia="Times New Roman" w:hAnsi="Times New Roman" w:cs="Times New Roman"/>
          <w:color w:val="000000"/>
        </w:rPr>
        <w:t xml:space="preserve">, R. L., Salisu, A. A., &amp; Okpe, I. J. (2021). The effects of U.S. monetary policy uncertainty shock on international equity markets. Annals </w:t>
      </w:r>
      <w:r>
        <w:rPr>
          <w:rFonts w:ascii="Times New Roman" w:eastAsia="Times New Roman" w:hAnsi="Times New Roman" w:cs="Times New Roman"/>
          <w:color w:val="000000"/>
        </w:rPr>
        <w:t>of Financial Economics, 16(4), 2150018. https://doi.org/10.1142/S2010495221500184</w:t>
      </w:r>
    </w:p>
    <w:p w14:paraId="4B543C3F" w14:textId="77777777" w:rsidR="008059F4" w:rsidRDefault="00654302">
      <w:pPr>
        <w:ind w:left="72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Arshad, R., Zada, H., Sohag, K., Wong, W.-K., Ullah, E., &amp; Raza, H. (2024). Does US monetary policy uncertainty affect returns of Asian developed, emerging, and frontier equi</w:t>
      </w:r>
      <w:r>
        <w:rPr>
          <w:rFonts w:ascii="Times New Roman" w:eastAsia="Times New Roman" w:hAnsi="Times New Roman" w:cs="Times New Roman"/>
          <w:color w:val="000000"/>
        </w:rPr>
        <w:t xml:space="preserve">ty markets? Empirical evidence by using the quantile-on-quantile approach. </w:t>
      </w:r>
      <w:proofErr w:type="spellStart"/>
      <w:r>
        <w:rPr>
          <w:rFonts w:ascii="Times New Roman" w:eastAsia="Times New Roman" w:hAnsi="Times New Roman" w:cs="Times New Roman"/>
          <w:i/>
          <w:iCs/>
          <w:color w:val="000000"/>
        </w:rPr>
        <w:t>Heliyon</w:t>
      </w:r>
      <w:proofErr w:type="spellEnd"/>
      <w:r>
        <w:rPr>
          <w:rFonts w:ascii="Times New Roman" w:eastAsia="Times New Roman" w:hAnsi="Times New Roman" w:cs="Times New Roman"/>
          <w:i/>
          <w:iCs/>
          <w:color w:val="000000"/>
        </w:rPr>
        <w:t>, 10</w:t>
      </w:r>
      <w:r>
        <w:rPr>
          <w:rFonts w:ascii="Times New Roman" w:eastAsia="Times New Roman" w:hAnsi="Times New Roman" w:cs="Times New Roman"/>
          <w:color w:val="000000"/>
        </w:rPr>
        <w:t xml:space="preserve">(12), e32962. </w:t>
      </w:r>
      <w:hyperlink r:id="rId10">
        <w:r w:rsidR="008059F4">
          <w:rPr>
            <w:rFonts w:ascii="Times New Roman" w:eastAsia="Times New Roman" w:hAnsi="Times New Roman" w:cs="Times New Roman"/>
            <w:color w:val="000000"/>
          </w:rPr>
          <w:t>https://doi.org/10.1016/j.heliyon.2024.e32962</w:t>
        </w:r>
      </w:hyperlink>
    </w:p>
    <w:p w14:paraId="79981766" w14:textId="77777777" w:rsidR="008059F4" w:rsidRDefault="00654302">
      <w:pPr>
        <w:ind w:left="72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Aysan, A. F., Batten, J., </w:t>
      </w:r>
      <w:proofErr w:type="spellStart"/>
      <w:r>
        <w:rPr>
          <w:rFonts w:ascii="Times New Roman" w:eastAsia="Times New Roman" w:hAnsi="Times New Roman" w:cs="Times New Roman"/>
          <w:color w:val="000000"/>
        </w:rPr>
        <w:t>Gozgor</w:t>
      </w:r>
      <w:proofErr w:type="spellEnd"/>
      <w:r>
        <w:rPr>
          <w:rFonts w:ascii="Times New Roman" w:eastAsia="Times New Roman" w:hAnsi="Times New Roman" w:cs="Times New Roman"/>
          <w:color w:val="000000"/>
        </w:rPr>
        <w:t>, G., Khalfao</w:t>
      </w:r>
      <w:r>
        <w:rPr>
          <w:rFonts w:ascii="Times New Roman" w:eastAsia="Times New Roman" w:hAnsi="Times New Roman" w:cs="Times New Roman"/>
          <w:color w:val="000000"/>
        </w:rPr>
        <w:t xml:space="preserve">ui, R., &amp; </w:t>
      </w:r>
      <w:proofErr w:type="spellStart"/>
      <w:r>
        <w:rPr>
          <w:rFonts w:ascii="Times New Roman" w:eastAsia="Times New Roman" w:hAnsi="Times New Roman" w:cs="Times New Roman"/>
          <w:color w:val="000000"/>
        </w:rPr>
        <w:t>Nanaeva</w:t>
      </w:r>
      <w:proofErr w:type="spellEnd"/>
      <w:r>
        <w:rPr>
          <w:rFonts w:ascii="Times New Roman" w:eastAsia="Times New Roman" w:hAnsi="Times New Roman" w:cs="Times New Roman"/>
          <w:color w:val="000000"/>
        </w:rPr>
        <w:t xml:space="preserve">, Z. (2024). Metaverse and financial markets: A quantile-time-frequency connectedness analysis. Research in International Business and Finance, 72, 102527. </w:t>
      </w:r>
      <w:hyperlink r:id="rId11">
        <w:r w:rsidR="008059F4">
          <w:rPr>
            <w:rFonts w:ascii="Times New Roman" w:eastAsia="Times New Roman" w:hAnsi="Times New Roman" w:cs="Times New Roman"/>
            <w:color w:val="000000"/>
          </w:rPr>
          <w:t>https://doi.org/10.1016/j.ribaf.2024.102527</w:t>
        </w:r>
      </w:hyperlink>
    </w:p>
    <w:p w14:paraId="5AC68E14" w14:textId="77777777" w:rsidR="008059F4" w:rsidRDefault="00654302">
      <w:pPr>
        <w:ind w:left="72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Baker, S. R., Bloom, N., &amp; Davis, S. J. (2016). Measuring economic policy uncertainty. Quarterly Journal of Economics, 131(4), 1593–1636. </w:t>
      </w:r>
      <w:hyperlink r:id="rId12">
        <w:r w:rsidR="008059F4">
          <w:rPr>
            <w:rFonts w:ascii="Times New Roman" w:eastAsia="Times New Roman" w:hAnsi="Times New Roman" w:cs="Times New Roman"/>
            <w:color w:val="0563C1"/>
            <w:u w:val="single"/>
          </w:rPr>
          <w:t>https://doi.org/10.1093/qje/qjw024</w:t>
        </w:r>
      </w:hyperlink>
    </w:p>
    <w:p w14:paraId="0E457002" w14:textId="77777777" w:rsidR="008059F4" w:rsidRDefault="00654302">
      <w:pPr>
        <w:ind w:left="720" w:hanging="72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Balci</w:t>
      </w:r>
      <w:r>
        <w:rPr>
          <w:rFonts w:ascii="Times New Roman" w:eastAsia="Times New Roman" w:hAnsi="Times New Roman" w:cs="Times New Roman"/>
          <w:color w:val="000000"/>
        </w:rPr>
        <w:t>lar</w:t>
      </w:r>
      <w:proofErr w:type="spellEnd"/>
      <w:r>
        <w:rPr>
          <w:rFonts w:ascii="Times New Roman" w:eastAsia="Times New Roman" w:hAnsi="Times New Roman" w:cs="Times New Roman"/>
          <w:color w:val="000000"/>
        </w:rPr>
        <w:t xml:space="preserve">, M., Gupta, R., Jooste, C., &amp; </w:t>
      </w:r>
      <w:proofErr w:type="spellStart"/>
      <w:r>
        <w:rPr>
          <w:rFonts w:ascii="Times New Roman" w:eastAsia="Times New Roman" w:hAnsi="Times New Roman" w:cs="Times New Roman"/>
          <w:color w:val="000000"/>
        </w:rPr>
        <w:t>Wohar</w:t>
      </w:r>
      <w:proofErr w:type="spellEnd"/>
      <w:r>
        <w:rPr>
          <w:rFonts w:ascii="Times New Roman" w:eastAsia="Times New Roman" w:hAnsi="Times New Roman" w:cs="Times New Roman"/>
          <w:color w:val="000000"/>
        </w:rPr>
        <w:t xml:space="preserve">, M. E. (2017). The impact of U.S. monetary policy on the BRICS stock markets: Evidence from a time-varying parameter VAR model. Emerging Markets Review, 31, 32–43. </w:t>
      </w:r>
      <w:hyperlink r:id="rId13">
        <w:r w:rsidR="008059F4">
          <w:rPr>
            <w:rFonts w:ascii="Times New Roman" w:eastAsia="Times New Roman" w:hAnsi="Times New Roman" w:cs="Times New Roman"/>
            <w:color w:val="0563C1"/>
            <w:u w:val="single"/>
          </w:rPr>
          <w:t>https://doi.org/10.1016/j.ememar.2017.02.003</w:t>
        </w:r>
      </w:hyperlink>
    </w:p>
    <w:p w14:paraId="18E6AEEE" w14:textId="77777777" w:rsidR="008059F4" w:rsidRDefault="00654302">
      <w:pPr>
        <w:ind w:left="720" w:hanging="720"/>
        <w:jc w:val="both"/>
        <w:rPr>
          <w:rFonts w:ascii="Times New Roman" w:eastAsia="Times New Roman" w:hAnsi="Times New Roman" w:cs="Times New Roman"/>
          <w:color w:val="000000"/>
        </w:rPr>
      </w:pPr>
      <w:r>
        <w:rPr>
          <w:rFonts w:ascii="Times New Roman" w:eastAsia="Times New Roman" w:hAnsi="Times New Roman" w:cs="Times New Roman"/>
        </w:rPr>
        <w:t xml:space="preserve">Basel Committee on Banking Supervision. (2013). </w:t>
      </w:r>
      <w:r>
        <w:rPr>
          <w:rFonts w:ascii="Times New Roman" w:eastAsia="Times New Roman" w:hAnsi="Times New Roman" w:cs="Times New Roman"/>
          <w:i/>
          <w:iCs/>
        </w:rPr>
        <w:t>Basel III: The liquidity coverage ratio and liquidity risk monitoring tools</w:t>
      </w:r>
      <w:r>
        <w:rPr>
          <w:rFonts w:ascii="Times New Roman" w:eastAsia="Times New Roman" w:hAnsi="Times New Roman" w:cs="Times New Roman"/>
        </w:rPr>
        <w:t xml:space="preserve">. Bank for International Settlements. </w:t>
      </w:r>
      <w:hyperlink r:id="rId14">
        <w:r w:rsidR="008059F4">
          <w:rPr>
            <w:rFonts w:ascii="Times New Roman" w:eastAsia="Times New Roman" w:hAnsi="Times New Roman" w:cs="Times New Roman"/>
            <w:color w:val="0563C1"/>
            <w:u w:val="single"/>
          </w:rPr>
          <w:t>https://www.bis.org/publ/bcbs238.htm</w:t>
        </w:r>
      </w:hyperlink>
    </w:p>
    <w:p w14:paraId="64D1AEC2" w14:textId="77777777" w:rsidR="008059F4" w:rsidRDefault="00654302">
      <w:pPr>
        <w:ind w:left="72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Bekaert, G., </w:t>
      </w:r>
      <w:proofErr w:type="spellStart"/>
      <w:r>
        <w:rPr>
          <w:rFonts w:ascii="Times New Roman" w:eastAsia="Times New Roman" w:hAnsi="Times New Roman" w:cs="Times New Roman"/>
          <w:color w:val="000000"/>
        </w:rPr>
        <w:t>Hoerova</w:t>
      </w:r>
      <w:proofErr w:type="spellEnd"/>
      <w:r>
        <w:rPr>
          <w:rFonts w:ascii="Times New Roman" w:eastAsia="Times New Roman" w:hAnsi="Times New Roman" w:cs="Times New Roman"/>
          <w:color w:val="000000"/>
        </w:rPr>
        <w:t>, M., &amp; Lo Duca, M. (2013). Risk, uncertainty and monetary policy. Journal of Monetary Economics, 60(7), 771–788. https://doi.org/10.1016/j.jmoneco.2013.06.003</w:t>
      </w:r>
    </w:p>
    <w:p w14:paraId="5B2A418F" w14:textId="77777777" w:rsidR="008059F4" w:rsidRDefault="00654302">
      <w:pPr>
        <w:ind w:left="720" w:hanging="72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lastRenderedPageBreak/>
        <w:t>Belhoula</w:t>
      </w:r>
      <w:proofErr w:type="spellEnd"/>
      <w:r>
        <w:rPr>
          <w:rFonts w:ascii="Times New Roman" w:eastAsia="Times New Roman" w:hAnsi="Times New Roman" w:cs="Times New Roman"/>
          <w:color w:val="000000"/>
        </w:rPr>
        <w:t>, M. M., Mens</w:t>
      </w:r>
      <w:r>
        <w:rPr>
          <w:rFonts w:ascii="Times New Roman" w:eastAsia="Times New Roman" w:hAnsi="Times New Roman" w:cs="Times New Roman"/>
          <w:color w:val="000000"/>
        </w:rPr>
        <w:t>i, W., &amp; Al-</w:t>
      </w:r>
      <w:proofErr w:type="spellStart"/>
      <w:r>
        <w:rPr>
          <w:rFonts w:ascii="Times New Roman" w:eastAsia="Times New Roman" w:hAnsi="Times New Roman" w:cs="Times New Roman"/>
          <w:color w:val="000000"/>
        </w:rPr>
        <w:t>Yahyaee</w:t>
      </w:r>
      <w:proofErr w:type="spellEnd"/>
      <w:r>
        <w:rPr>
          <w:rFonts w:ascii="Times New Roman" w:eastAsia="Times New Roman" w:hAnsi="Times New Roman" w:cs="Times New Roman"/>
          <w:color w:val="000000"/>
        </w:rPr>
        <w:t xml:space="preserve">, K. H. (2024a). Dynamic speculation and efficiency in European natural gas markets during the COVID-19 and Russia-Ukraine crises. Resources Policy, 98, 105362. </w:t>
      </w:r>
      <w:hyperlink r:id="rId15">
        <w:r w:rsidR="008059F4">
          <w:rPr>
            <w:rFonts w:ascii="Times New Roman" w:eastAsia="Times New Roman" w:hAnsi="Times New Roman" w:cs="Times New Roman"/>
            <w:color w:val="000000"/>
          </w:rPr>
          <w:t>https://doi.org/10.1016/j.resourpol.2024.105362</w:t>
        </w:r>
      </w:hyperlink>
    </w:p>
    <w:p w14:paraId="7F21F92A" w14:textId="77777777" w:rsidR="008059F4" w:rsidRDefault="00654302">
      <w:pPr>
        <w:ind w:left="720" w:hanging="720"/>
        <w:jc w:val="both"/>
        <w:rPr>
          <w:rFonts w:ascii="Times New Roman" w:eastAsia="Times New Roman" w:hAnsi="Times New Roman" w:cs="Times New Roman"/>
          <w:color w:val="000000"/>
        </w:rPr>
      </w:pPr>
      <w:proofErr w:type="spellStart"/>
      <w:r>
        <w:rPr>
          <w:rFonts w:ascii="Times New Roman" w:eastAsia="Times New Roman" w:hAnsi="Times New Roman" w:cs="Times New Roman"/>
        </w:rPr>
        <w:t>Belhoula</w:t>
      </w:r>
      <w:proofErr w:type="spellEnd"/>
      <w:r>
        <w:rPr>
          <w:rFonts w:ascii="Times New Roman" w:eastAsia="Times New Roman" w:hAnsi="Times New Roman" w:cs="Times New Roman"/>
        </w:rPr>
        <w:t xml:space="preserve">, M.M. (2024). Economic Policy Uncertainty (EPU) in Emerging Countries: The Case of Tunisia. Journal of Accounting and Finance in Emerging Economies, 10 (2), 127-138. DOI: </w:t>
      </w:r>
      <w:hyperlink r:id="rId16">
        <w:r w:rsidR="008059F4">
          <w:rPr>
            <w:rFonts w:ascii="Times New Roman" w:eastAsia="Times New Roman" w:hAnsi="Times New Roman" w:cs="Times New Roman"/>
            <w:color w:val="0563C1"/>
            <w:u w:val="single"/>
          </w:rPr>
          <w:t>https://doi.org/10.26710/jafee.v10i2.2972</w:t>
        </w:r>
      </w:hyperlink>
    </w:p>
    <w:p w14:paraId="5560C7E1" w14:textId="77777777" w:rsidR="008059F4" w:rsidRDefault="00654302">
      <w:pPr>
        <w:ind w:left="720" w:hanging="720"/>
        <w:jc w:val="both"/>
        <w:rPr>
          <w:rFonts w:ascii="Times New Roman" w:eastAsia="Times New Roman" w:hAnsi="Times New Roman" w:cs="Times New Roman"/>
        </w:rPr>
      </w:pPr>
      <w:r>
        <w:rPr>
          <w:rFonts w:ascii="Times New Roman" w:eastAsia="Times New Roman" w:hAnsi="Times New Roman" w:cs="Times New Roman"/>
        </w:rPr>
        <w:t xml:space="preserve">Berger, A. N., </w:t>
      </w:r>
      <w:proofErr w:type="spellStart"/>
      <w:r>
        <w:rPr>
          <w:rFonts w:ascii="Times New Roman" w:eastAsia="Times New Roman" w:hAnsi="Times New Roman" w:cs="Times New Roman"/>
        </w:rPr>
        <w:t>Guedhami</w:t>
      </w:r>
      <w:proofErr w:type="spellEnd"/>
      <w:r>
        <w:rPr>
          <w:rFonts w:ascii="Times New Roman" w:eastAsia="Times New Roman" w:hAnsi="Times New Roman" w:cs="Times New Roman"/>
        </w:rPr>
        <w:t xml:space="preserve">, O., Kim, H. H., &amp; Li, X. (2022). Economic policy uncertainty and bank liquidity hoarding. </w:t>
      </w:r>
      <w:r>
        <w:rPr>
          <w:rFonts w:ascii="Times New Roman" w:eastAsia="Times New Roman" w:hAnsi="Times New Roman" w:cs="Times New Roman"/>
          <w:i/>
          <w:iCs/>
        </w:rPr>
        <w:t>Journal of Financial Intermediation</w:t>
      </w:r>
      <w:r>
        <w:rPr>
          <w:rFonts w:ascii="Times New Roman" w:eastAsia="Times New Roman" w:hAnsi="Times New Roman" w:cs="Times New Roman"/>
        </w:rPr>
        <w:t xml:space="preserve">, </w:t>
      </w:r>
      <w:r>
        <w:rPr>
          <w:rFonts w:ascii="Times New Roman" w:eastAsia="Times New Roman" w:hAnsi="Times New Roman" w:cs="Times New Roman"/>
          <w:i/>
          <w:iCs/>
        </w:rPr>
        <w:t>49</w:t>
      </w:r>
      <w:r>
        <w:rPr>
          <w:rFonts w:ascii="Times New Roman" w:eastAsia="Times New Roman" w:hAnsi="Times New Roman" w:cs="Times New Roman"/>
        </w:rPr>
        <w:t xml:space="preserve">, 100893. </w:t>
      </w:r>
      <w:hyperlink r:id="rId17">
        <w:r w:rsidR="008059F4">
          <w:rPr>
            <w:rFonts w:ascii="Times New Roman" w:eastAsia="Times New Roman" w:hAnsi="Times New Roman" w:cs="Times New Roman"/>
            <w:color w:val="0563C1"/>
            <w:u w:val="single"/>
          </w:rPr>
          <w:t>https://doi.org/10.1016/j.jfi.2020.100893</w:t>
        </w:r>
      </w:hyperlink>
    </w:p>
    <w:p w14:paraId="7CE0D3E2" w14:textId="77777777" w:rsidR="008059F4" w:rsidRDefault="00654302">
      <w:pPr>
        <w:ind w:left="720" w:hanging="720"/>
        <w:jc w:val="both"/>
        <w:rPr>
          <w:rFonts w:ascii="Times New Roman" w:eastAsia="Times New Roman" w:hAnsi="Times New Roman" w:cs="Times New Roman"/>
        </w:rPr>
      </w:pPr>
      <w:r>
        <w:rPr>
          <w:rFonts w:ascii="Times New Roman" w:eastAsia="Times New Roman" w:hAnsi="Times New Roman" w:cs="Times New Roman"/>
        </w:rPr>
        <w:t xml:space="preserve">Berger, A. N., Li, X., Saheruddin, H., &amp; Zhao, D. (2024). Government guarantees and bank liquidity creation around the world. Journal of Banking &amp; Finance, 158(C). </w:t>
      </w:r>
      <w:hyperlink r:id="rId18">
        <w:r w:rsidR="008059F4">
          <w:rPr>
            <w:rFonts w:ascii="Times New Roman" w:eastAsia="Times New Roman" w:hAnsi="Times New Roman" w:cs="Times New Roman"/>
            <w:color w:val="0563C1"/>
            <w:u w:val="single"/>
          </w:rPr>
          <w:t>https://doi.org/10.1016/j.jbankfin.2023.107048</w:t>
        </w:r>
      </w:hyperlink>
    </w:p>
    <w:p w14:paraId="582D7A70" w14:textId="77777777" w:rsidR="008059F4" w:rsidRDefault="00654302">
      <w:pPr>
        <w:ind w:left="720" w:hanging="720"/>
        <w:jc w:val="both"/>
        <w:rPr>
          <w:rFonts w:ascii="Times New Roman" w:eastAsia="Times New Roman" w:hAnsi="Times New Roman" w:cs="Times New Roman"/>
        </w:rPr>
      </w:pPr>
      <w:r>
        <w:rPr>
          <w:rFonts w:ascii="Times New Roman" w:eastAsia="Times New Roman" w:hAnsi="Times New Roman" w:cs="Times New Roman"/>
        </w:rPr>
        <w:t xml:space="preserve">Bordo, M. D., Duca, J. V., &amp; Koch, C. (2016). </w:t>
      </w:r>
      <w:r>
        <w:rPr>
          <w:rFonts w:ascii="Times New Roman" w:eastAsia="Times New Roman" w:hAnsi="Times New Roman" w:cs="Times New Roman"/>
          <w:i/>
          <w:iCs/>
        </w:rPr>
        <w:t>Economic policy uncertainty and the credit channel: Aggregate and bank-level U.S. evidence over sev</w:t>
      </w:r>
      <w:r>
        <w:rPr>
          <w:rFonts w:ascii="Times New Roman" w:eastAsia="Times New Roman" w:hAnsi="Times New Roman" w:cs="Times New Roman"/>
          <w:i/>
          <w:iCs/>
        </w:rPr>
        <w:t>eral decades</w:t>
      </w:r>
      <w:r>
        <w:rPr>
          <w:rFonts w:ascii="Times New Roman" w:eastAsia="Times New Roman" w:hAnsi="Times New Roman" w:cs="Times New Roman"/>
        </w:rPr>
        <w:t xml:space="preserve">. National Bureau of Economic Research. </w:t>
      </w:r>
      <w:hyperlink r:id="rId19">
        <w:r w:rsidR="008059F4">
          <w:rPr>
            <w:rFonts w:ascii="Times New Roman" w:eastAsia="Times New Roman" w:hAnsi="Times New Roman" w:cs="Times New Roman"/>
            <w:color w:val="0563C1"/>
            <w:u w:val="single"/>
          </w:rPr>
          <w:t>https://www.nber.org/papers/w22021</w:t>
        </w:r>
      </w:hyperlink>
    </w:p>
    <w:p w14:paraId="63BF05E8" w14:textId="77777777" w:rsidR="008059F4" w:rsidRDefault="00654302">
      <w:pPr>
        <w:ind w:left="720" w:hanging="720"/>
        <w:jc w:val="both"/>
        <w:rPr>
          <w:rFonts w:ascii="Times New Roman" w:eastAsia="Times New Roman" w:hAnsi="Times New Roman" w:cs="Times New Roman"/>
        </w:rPr>
      </w:pPr>
      <w:r>
        <w:rPr>
          <w:rFonts w:ascii="Times New Roman" w:eastAsia="Times New Roman" w:hAnsi="Times New Roman" w:cs="Times New Roman"/>
        </w:rPr>
        <w:t>Chen, F.-W., Feng, Y., &amp; Wang, W. (2018). Impacts of Financial Inclusion on Non-Performing Loans of Commercial Bank</w:t>
      </w:r>
      <w:r>
        <w:rPr>
          <w:rFonts w:ascii="Times New Roman" w:eastAsia="Times New Roman" w:hAnsi="Times New Roman" w:cs="Times New Roman"/>
        </w:rPr>
        <w:t>s: Evidence from China. </w:t>
      </w:r>
      <w:r>
        <w:rPr>
          <w:rFonts w:ascii="Times New Roman" w:eastAsia="Times New Roman" w:hAnsi="Times New Roman" w:cs="Times New Roman"/>
          <w:i/>
          <w:iCs/>
        </w:rPr>
        <w:t>Sustainability</w:t>
      </w:r>
      <w:r>
        <w:rPr>
          <w:rFonts w:ascii="Times New Roman" w:eastAsia="Times New Roman" w:hAnsi="Times New Roman" w:cs="Times New Roman"/>
        </w:rPr>
        <w:t>, </w:t>
      </w:r>
      <w:r>
        <w:rPr>
          <w:rFonts w:ascii="Times New Roman" w:eastAsia="Times New Roman" w:hAnsi="Times New Roman" w:cs="Times New Roman"/>
          <w:i/>
          <w:iCs/>
        </w:rPr>
        <w:t>10</w:t>
      </w:r>
      <w:r>
        <w:rPr>
          <w:rFonts w:ascii="Times New Roman" w:eastAsia="Times New Roman" w:hAnsi="Times New Roman" w:cs="Times New Roman"/>
        </w:rPr>
        <w:t xml:space="preserve">(9), 3084. </w:t>
      </w:r>
      <w:hyperlink r:id="rId20">
        <w:r w:rsidR="008059F4">
          <w:rPr>
            <w:rFonts w:ascii="Times New Roman" w:eastAsia="Times New Roman" w:hAnsi="Times New Roman" w:cs="Times New Roman"/>
            <w:color w:val="0563C1"/>
            <w:u w:val="single"/>
          </w:rPr>
          <w:t>https://doi.org/10.3390/su10093084</w:t>
        </w:r>
      </w:hyperlink>
    </w:p>
    <w:p w14:paraId="325292B6" w14:textId="77777777" w:rsidR="008059F4" w:rsidRDefault="00654302">
      <w:pPr>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Chukwukelo</w:t>
      </w:r>
      <w:proofErr w:type="spellEnd"/>
      <w:r>
        <w:rPr>
          <w:rFonts w:ascii="Times New Roman" w:eastAsia="Times New Roman" w:hAnsi="Times New Roman" w:cs="Times New Roman"/>
        </w:rPr>
        <w:t xml:space="preserve">, V. N., Essi, I. D., Amos, E., &amp; </w:t>
      </w:r>
      <w:proofErr w:type="spellStart"/>
      <w:r>
        <w:rPr>
          <w:rFonts w:ascii="Times New Roman" w:eastAsia="Times New Roman" w:hAnsi="Times New Roman" w:cs="Times New Roman"/>
        </w:rPr>
        <w:t>Tuaneh</w:t>
      </w:r>
      <w:proofErr w:type="spellEnd"/>
      <w:r>
        <w:rPr>
          <w:rFonts w:ascii="Times New Roman" w:eastAsia="Times New Roman" w:hAnsi="Times New Roman" w:cs="Times New Roman"/>
        </w:rPr>
        <w:t>, G. L. (2025). Application of Bayesian Vector Autoregressive Mo</w:t>
      </w:r>
      <w:r>
        <w:rPr>
          <w:rFonts w:ascii="Times New Roman" w:eastAsia="Times New Roman" w:hAnsi="Times New Roman" w:cs="Times New Roman"/>
        </w:rPr>
        <w:t xml:space="preserve">del to some macroeconomic variables in Nigeria and global factors. </w:t>
      </w:r>
      <w:r>
        <w:rPr>
          <w:rFonts w:ascii="Times New Roman" w:eastAsia="Times New Roman" w:hAnsi="Times New Roman" w:cs="Times New Roman"/>
          <w:i/>
          <w:iCs/>
        </w:rPr>
        <w:t>International Review of Economics and Finance</w:t>
      </w:r>
      <w:r>
        <w:rPr>
          <w:rFonts w:ascii="Times New Roman" w:eastAsia="Times New Roman" w:hAnsi="Times New Roman" w:cs="Times New Roman"/>
        </w:rPr>
        <w:t xml:space="preserve">, 9(6), Article 1712563. </w:t>
      </w:r>
      <w:hyperlink r:id="rId21">
        <w:r w:rsidR="008059F4">
          <w:rPr>
            <w:rFonts w:ascii="Times New Roman" w:eastAsia="Times New Roman" w:hAnsi="Times New Roman" w:cs="Times New Roman"/>
            <w:color w:val="0563C1"/>
            <w:u w:val="single"/>
          </w:rPr>
          <w:t>https://doi.org/10.64388/IREV9I6-1712563</w:t>
        </w:r>
      </w:hyperlink>
    </w:p>
    <w:p w14:paraId="24D32C81" w14:textId="77777777" w:rsidR="008059F4" w:rsidRDefault="00654302">
      <w:pPr>
        <w:ind w:left="720" w:hanging="720"/>
        <w:jc w:val="both"/>
        <w:rPr>
          <w:rFonts w:ascii="Times New Roman" w:eastAsia="Times New Roman" w:hAnsi="Times New Roman" w:cs="Times New Roman"/>
        </w:rPr>
      </w:pPr>
      <w:r>
        <w:rPr>
          <w:rFonts w:ascii="Times New Roman" w:eastAsia="Times New Roman" w:hAnsi="Times New Roman" w:cs="Times New Roman"/>
        </w:rPr>
        <w:t>Cole, R. A., &amp; Whi</w:t>
      </w:r>
      <w:r>
        <w:rPr>
          <w:rFonts w:ascii="Times New Roman" w:eastAsia="Times New Roman" w:hAnsi="Times New Roman" w:cs="Times New Roman"/>
        </w:rPr>
        <w:t xml:space="preserve">te, L. J. (2010). </w:t>
      </w:r>
      <w:r>
        <w:rPr>
          <w:rFonts w:ascii="Times New Roman" w:eastAsia="Times New Roman" w:hAnsi="Times New Roman" w:cs="Times New Roman"/>
          <w:i/>
          <w:iCs/>
        </w:rPr>
        <w:t>Deja Vu All Over Again: The Causes of U.S. Commercial Bank Failures This Time Around</w:t>
      </w:r>
      <w:r>
        <w:rPr>
          <w:rFonts w:ascii="Times New Roman" w:eastAsia="Times New Roman" w:hAnsi="Times New Roman" w:cs="Times New Roman"/>
        </w:rPr>
        <w:t xml:space="preserve"> (Working Paper No. 10-15). New York University, Leonard N. Stern School of Business, Department of Economics. Retrieved from </w:t>
      </w:r>
      <w:hyperlink r:id="rId22">
        <w:r w:rsidR="008059F4">
          <w:rPr>
            <w:rFonts w:ascii="Times New Roman" w:eastAsia="Times New Roman" w:hAnsi="Times New Roman" w:cs="Times New Roman"/>
            <w:color w:val="0563C1"/>
            <w:u w:val="single"/>
          </w:rPr>
          <w:t>https://ideas.repec.org/p/ste/nystbu/10-15.html</w:t>
        </w:r>
      </w:hyperlink>
    </w:p>
    <w:p w14:paraId="545F2947" w14:textId="77777777" w:rsidR="008059F4" w:rsidRDefault="00654302">
      <w:pPr>
        <w:ind w:left="720" w:hanging="720"/>
        <w:jc w:val="both"/>
        <w:rPr>
          <w:rFonts w:ascii="Times New Roman" w:eastAsia="Times New Roman" w:hAnsi="Times New Roman" w:cs="Times New Roman"/>
        </w:rPr>
      </w:pPr>
      <w:r>
        <w:rPr>
          <w:rFonts w:ascii="Times New Roman" w:eastAsia="Times New Roman" w:hAnsi="Times New Roman" w:cs="Times New Roman"/>
        </w:rPr>
        <w:t xml:space="preserve">Davydov, D., King, T., &amp; Weill, L. (2024). Managing bank liquidity hoarding during uncertain times: The role of board gender diversity. </w:t>
      </w:r>
      <w:r>
        <w:rPr>
          <w:rFonts w:ascii="Times New Roman" w:eastAsia="Times New Roman" w:hAnsi="Times New Roman" w:cs="Times New Roman"/>
          <w:i/>
          <w:iCs/>
        </w:rPr>
        <w:t>Financial Markets Institutions an</w:t>
      </w:r>
      <w:r>
        <w:rPr>
          <w:rFonts w:ascii="Times New Roman" w:eastAsia="Times New Roman" w:hAnsi="Times New Roman" w:cs="Times New Roman"/>
          <w:i/>
          <w:iCs/>
        </w:rPr>
        <w:t>d Instruments</w:t>
      </w:r>
      <w:r>
        <w:rPr>
          <w:rFonts w:ascii="Times New Roman" w:eastAsia="Times New Roman" w:hAnsi="Times New Roman" w:cs="Times New Roman"/>
        </w:rPr>
        <w:t xml:space="preserve">, </w:t>
      </w:r>
      <w:r>
        <w:rPr>
          <w:rFonts w:ascii="Times New Roman" w:eastAsia="Times New Roman" w:hAnsi="Times New Roman" w:cs="Times New Roman"/>
          <w:i/>
          <w:iCs/>
        </w:rPr>
        <w:t>33</w:t>
      </w:r>
      <w:r>
        <w:rPr>
          <w:rFonts w:ascii="Times New Roman" w:eastAsia="Times New Roman" w:hAnsi="Times New Roman" w:cs="Times New Roman"/>
        </w:rPr>
        <w:t xml:space="preserve">(3), 323–348. </w:t>
      </w:r>
      <w:hyperlink r:id="rId23">
        <w:r w:rsidR="008059F4">
          <w:rPr>
            <w:rFonts w:ascii="Times New Roman" w:eastAsia="Times New Roman" w:hAnsi="Times New Roman" w:cs="Times New Roman"/>
            <w:color w:val="0563C1"/>
            <w:u w:val="single"/>
          </w:rPr>
          <w:t>https://doi.org/10.1111/fmii.12197</w:t>
        </w:r>
      </w:hyperlink>
    </w:p>
    <w:p w14:paraId="61BF6F85" w14:textId="77777777" w:rsidR="008059F4" w:rsidRDefault="00654302">
      <w:pPr>
        <w:ind w:left="72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Dong, X., Lu, X., Jiang, Z., &amp; Yoon, S. M. (2025). Dynamic quantile-frequency connectedness between speculative activities in the energy</w:t>
      </w:r>
      <w:r>
        <w:rPr>
          <w:rFonts w:ascii="Times New Roman" w:eastAsia="Times New Roman" w:hAnsi="Times New Roman" w:cs="Times New Roman"/>
          <w:color w:val="000000"/>
        </w:rPr>
        <w:t>, financial, precious metal, and agricultural commodity markets. Available at SSRN 5492537.</w:t>
      </w:r>
    </w:p>
    <w:p w14:paraId="08261C48" w14:textId="77777777" w:rsidR="008059F4" w:rsidRDefault="00654302">
      <w:pPr>
        <w:ind w:left="720" w:hanging="720"/>
        <w:jc w:val="both"/>
        <w:rPr>
          <w:rFonts w:ascii="Times New Roman" w:eastAsia="Times New Roman" w:hAnsi="Times New Roman" w:cs="Times New Roman"/>
        </w:rPr>
      </w:pPr>
      <w:r>
        <w:rPr>
          <w:rFonts w:ascii="Times New Roman" w:eastAsia="Times New Roman" w:hAnsi="Times New Roman" w:cs="Times New Roman"/>
        </w:rPr>
        <w:t xml:space="preserve">Evgenidis, A., &amp; </w:t>
      </w:r>
      <w:proofErr w:type="spellStart"/>
      <w:r>
        <w:rPr>
          <w:rFonts w:ascii="Times New Roman" w:eastAsia="Times New Roman" w:hAnsi="Times New Roman" w:cs="Times New Roman"/>
        </w:rPr>
        <w:t>Papadamou</w:t>
      </w:r>
      <w:proofErr w:type="spellEnd"/>
      <w:r>
        <w:rPr>
          <w:rFonts w:ascii="Times New Roman" w:eastAsia="Times New Roman" w:hAnsi="Times New Roman" w:cs="Times New Roman"/>
        </w:rPr>
        <w:t>, S. (2020). The impact of unconventional monetary policy in the euro area. Structural and scenario analysis from a Bayesian VAR. Internat</w:t>
      </w:r>
      <w:r>
        <w:rPr>
          <w:rFonts w:ascii="Times New Roman" w:eastAsia="Times New Roman" w:hAnsi="Times New Roman" w:cs="Times New Roman"/>
        </w:rPr>
        <w:t xml:space="preserve">ional Journal of Finance &amp; Economics, 26(4), 5684–5703. </w:t>
      </w:r>
      <w:hyperlink r:id="rId24">
        <w:r w:rsidR="008059F4">
          <w:rPr>
            <w:rFonts w:ascii="Times New Roman" w:eastAsia="Times New Roman" w:hAnsi="Times New Roman" w:cs="Times New Roman"/>
            <w:color w:val="0563C1"/>
            <w:u w:val="single"/>
          </w:rPr>
          <w:t>https://doi.org/10.1002/ijfe.2088</w:t>
        </w:r>
      </w:hyperlink>
    </w:p>
    <w:p w14:paraId="3917BD44" w14:textId="77777777" w:rsidR="008059F4" w:rsidRDefault="00654302">
      <w:pPr>
        <w:ind w:left="720" w:hanging="720"/>
        <w:jc w:val="both"/>
        <w:rPr>
          <w:rFonts w:ascii="Times New Roman" w:eastAsia="Times New Roman" w:hAnsi="Times New Roman" w:cs="Times New Roman"/>
          <w:color w:val="000000"/>
        </w:rPr>
      </w:pPr>
      <w:r>
        <w:rPr>
          <w:rFonts w:ascii="Times New Roman" w:eastAsia="Times New Roman" w:hAnsi="Times New Roman" w:cs="Times New Roman"/>
        </w:rPr>
        <w:lastRenderedPageBreak/>
        <w:t xml:space="preserve">Fernández-Villaverde, J., </w:t>
      </w:r>
      <w:proofErr w:type="spellStart"/>
      <w:r>
        <w:rPr>
          <w:rFonts w:ascii="Times New Roman" w:eastAsia="Times New Roman" w:hAnsi="Times New Roman" w:cs="Times New Roman"/>
        </w:rPr>
        <w:t>Guerrón</w:t>
      </w:r>
      <w:proofErr w:type="spellEnd"/>
      <w:r>
        <w:rPr>
          <w:rFonts w:ascii="Times New Roman" w:eastAsia="Times New Roman" w:hAnsi="Times New Roman" w:cs="Times New Roman"/>
        </w:rPr>
        <w:t>-Quintana, P., Kuester, K., &amp; Rubio-Ramírez, J. (2015). Fiscal volatility shocks</w:t>
      </w:r>
      <w:r>
        <w:rPr>
          <w:rFonts w:ascii="Times New Roman" w:eastAsia="Times New Roman" w:hAnsi="Times New Roman" w:cs="Times New Roman"/>
        </w:rPr>
        <w:t xml:space="preserve"> and economic activity. </w:t>
      </w:r>
      <w:r>
        <w:rPr>
          <w:rFonts w:ascii="Times New Roman" w:eastAsia="Times New Roman" w:hAnsi="Times New Roman" w:cs="Times New Roman"/>
          <w:i/>
          <w:iCs/>
        </w:rPr>
        <w:t>American Economic Review</w:t>
      </w:r>
      <w:r>
        <w:rPr>
          <w:rFonts w:ascii="Times New Roman" w:eastAsia="Times New Roman" w:hAnsi="Times New Roman" w:cs="Times New Roman"/>
        </w:rPr>
        <w:t xml:space="preserve">, </w:t>
      </w:r>
      <w:r>
        <w:rPr>
          <w:rFonts w:ascii="Times New Roman" w:eastAsia="Times New Roman" w:hAnsi="Times New Roman" w:cs="Times New Roman"/>
          <w:i/>
          <w:iCs/>
        </w:rPr>
        <w:t>105</w:t>
      </w:r>
      <w:r>
        <w:rPr>
          <w:rFonts w:ascii="Times New Roman" w:eastAsia="Times New Roman" w:hAnsi="Times New Roman" w:cs="Times New Roman"/>
        </w:rPr>
        <w:t xml:space="preserve">(11), 3352–3384. </w:t>
      </w:r>
      <w:hyperlink r:id="rId25">
        <w:r w:rsidR="008059F4">
          <w:rPr>
            <w:rFonts w:ascii="Times New Roman" w:eastAsia="Times New Roman" w:hAnsi="Times New Roman" w:cs="Times New Roman"/>
            <w:color w:val="0563C1"/>
            <w:u w:val="single"/>
          </w:rPr>
          <w:t>https://doi.org/10.1257/aer.20121236</w:t>
        </w:r>
      </w:hyperlink>
    </w:p>
    <w:p w14:paraId="5EC49BA3" w14:textId="77777777" w:rsidR="008059F4" w:rsidRDefault="00654302">
      <w:pPr>
        <w:ind w:left="720" w:hanging="720"/>
        <w:jc w:val="both"/>
        <w:rPr>
          <w:rFonts w:ascii="Times New Roman" w:eastAsia="Times New Roman" w:hAnsi="Times New Roman" w:cs="Times New Roman"/>
        </w:rPr>
      </w:pPr>
      <w:r>
        <w:rPr>
          <w:rFonts w:ascii="Times New Roman" w:eastAsia="Times New Roman" w:hAnsi="Times New Roman" w:cs="Times New Roman"/>
        </w:rPr>
        <w:t xml:space="preserve">Hamdi, K., &amp; Hassen, G. (2021). Economic policy uncertainty effect on credit risk, lending decisions, and banking performance: Evidence from Tunisian listed banks. </w:t>
      </w:r>
      <w:r>
        <w:rPr>
          <w:rFonts w:ascii="Times New Roman" w:eastAsia="Times New Roman" w:hAnsi="Times New Roman" w:cs="Times New Roman"/>
          <w:i/>
          <w:iCs/>
        </w:rPr>
        <w:t>Journal of Economic and Administrative Sciences, 37</w:t>
      </w:r>
      <w:r>
        <w:rPr>
          <w:rFonts w:ascii="Times New Roman" w:eastAsia="Times New Roman" w:hAnsi="Times New Roman" w:cs="Times New Roman"/>
        </w:rPr>
        <w:t xml:space="preserve">(2), 1-17. </w:t>
      </w:r>
      <w:hyperlink r:id="rId26">
        <w:r w:rsidR="008059F4">
          <w:rPr>
            <w:rFonts w:ascii="Times New Roman" w:eastAsia="Times New Roman" w:hAnsi="Times New Roman" w:cs="Times New Roman"/>
            <w:color w:val="0563C1"/>
            <w:u w:val="single"/>
          </w:rPr>
          <w:t>https://doi.org/10.1108/JEAS-09-2020-0159</w:t>
        </w:r>
      </w:hyperlink>
    </w:p>
    <w:p w14:paraId="3793B66C" w14:textId="77777777" w:rsidR="008059F4" w:rsidRDefault="00654302">
      <w:pPr>
        <w:ind w:left="720" w:hanging="720"/>
        <w:jc w:val="both"/>
        <w:rPr>
          <w:rFonts w:ascii="Times New Roman" w:eastAsia="Times New Roman" w:hAnsi="Times New Roman" w:cs="Times New Roman"/>
        </w:rPr>
      </w:pPr>
      <w:r>
        <w:rPr>
          <w:rFonts w:ascii="Times New Roman" w:eastAsia="Times New Roman" w:hAnsi="Times New Roman" w:cs="Times New Roman"/>
        </w:rPr>
        <w:t xml:space="preserve">Koch, C. (2015). Deposit interest rate ceilings as credit supply shifters: Bank level evidence on the effects of Regulation Q. </w:t>
      </w:r>
      <w:r>
        <w:rPr>
          <w:rFonts w:ascii="Times New Roman" w:eastAsia="Times New Roman" w:hAnsi="Times New Roman" w:cs="Times New Roman"/>
          <w:i/>
          <w:iCs/>
        </w:rPr>
        <w:t>Journal of Banking &amp; Finance</w:t>
      </w:r>
      <w:r>
        <w:rPr>
          <w:rFonts w:ascii="Times New Roman" w:eastAsia="Times New Roman" w:hAnsi="Times New Roman" w:cs="Times New Roman"/>
        </w:rPr>
        <w:t xml:space="preserve">, </w:t>
      </w:r>
      <w:r>
        <w:rPr>
          <w:rFonts w:ascii="Times New Roman" w:eastAsia="Times New Roman" w:hAnsi="Times New Roman" w:cs="Times New Roman"/>
          <w:i/>
          <w:iCs/>
        </w:rPr>
        <w:t>61</w:t>
      </w:r>
      <w:r>
        <w:rPr>
          <w:rFonts w:ascii="Times New Roman" w:eastAsia="Times New Roman" w:hAnsi="Times New Roman" w:cs="Times New Roman"/>
        </w:rPr>
        <w:t xml:space="preserve">, 316–326. </w:t>
      </w:r>
      <w:hyperlink r:id="rId27">
        <w:r w:rsidR="008059F4">
          <w:rPr>
            <w:rFonts w:ascii="Times New Roman" w:eastAsia="Times New Roman" w:hAnsi="Times New Roman" w:cs="Times New Roman"/>
            <w:color w:val="0563C1"/>
            <w:u w:val="single"/>
          </w:rPr>
          <w:t>https://doi.org/10.1016/j.jbankfin.2015.09.006</w:t>
        </w:r>
      </w:hyperlink>
    </w:p>
    <w:p w14:paraId="38CA30E4" w14:textId="77777777" w:rsidR="008059F4" w:rsidRDefault="00654302">
      <w:pPr>
        <w:ind w:left="720" w:hanging="720"/>
        <w:jc w:val="both"/>
        <w:rPr>
          <w:rFonts w:ascii="Times New Roman" w:eastAsia="Times New Roman" w:hAnsi="Times New Roman" w:cs="Times New Roman"/>
        </w:rPr>
      </w:pPr>
      <w:r>
        <w:rPr>
          <w:rFonts w:ascii="Times New Roman" w:eastAsia="Times New Roman" w:hAnsi="Times New Roman" w:cs="Times New Roman"/>
        </w:rPr>
        <w:t xml:space="preserve">Kwan, A., Lin, C., Pursiainen, V., &amp; Tai, M. (2023). Stress testing banks’ digital capabilities: Evidence from the COVID-19 pandemic. </w:t>
      </w:r>
      <w:r>
        <w:rPr>
          <w:rFonts w:ascii="Times New Roman" w:eastAsia="Times New Roman" w:hAnsi="Times New Roman" w:cs="Times New Roman"/>
          <w:i/>
          <w:iCs/>
        </w:rPr>
        <w:t>Journal of Financial a</w:t>
      </w:r>
      <w:r>
        <w:rPr>
          <w:rFonts w:ascii="Times New Roman" w:eastAsia="Times New Roman" w:hAnsi="Times New Roman" w:cs="Times New Roman"/>
          <w:i/>
          <w:iCs/>
        </w:rPr>
        <w:t>nd Quantitative Analysis, 59</w:t>
      </w:r>
      <w:r>
        <w:rPr>
          <w:rFonts w:ascii="Times New Roman" w:eastAsia="Times New Roman" w:hAnsi="Times New Roman" w:cs="Times New Roman"/>
        </w:rPr>
        <w:t xml:space="preserve">(6), 1–29. </w:t>
      </w:r>
      <w:hyperlink r:id="rId28">
        <w:r w:rsidR="008059F4">
          <w:rPr>
            <w:rFonts w:ascii="Times New Roman" w:eastAsia="Times New Roman" w:hAnsi="Times New Roman" w:cs="Times New Roman"/>
            <w:color w:val="0563C1"/>
            <w:u w:val="single"/>
          </w:rPr>
          <w:t>https://doi.org/10.1017/S0022109023000662</w:t>
        </w:r>
      </w:hyperlink>
    </w:p>
    <w:p w14:paraId="3FC264A2" w14:textId="77777777" w:rsidR="008059F4" w:rsidRDefault="00654302">
      <w:pPr>
        <w:ind w:left="720" w:hanging="720"/>
        <w:jc w:val="both"/>
        <w:rPr>
          <w:rFonts w:ascii="Times New Roman" w:eastAsia="Times New Roman" w:hAnsi="Times New Roman" w:cs="Times New Roman"/>
          <w:color w:val="000000"/>
        </w:rPr>
      </w:pPr>
      <w:proofErr w:type="spellStart"/>
      <w:r>
        <w:rPr>
          <w:rFonts w:ascii="Times New Roman" w:eastAsia="Times New Roman" w:hAnsi="Times New Roman" w:cs="Times New Roman"/>
        </w:rPr>
        <w:t>Laeven</w:t>
      </w:r>
      <w:proofErr w:type="spellEnd"/>
      <w:r>
        <w:rPr>
          <w:rFonts w:ascii="Times New Roman" w:eastAsia="Times New Roman" w:hAnsi="Times New Roman" w:cs="Times New Roman"/>
        </w:rPr>
        <w:t xml:space="preserve">, L., Maddaloni, A., &amp; Mendicino, C. (2022). </w:t>
      </w:r>
      <w:r>
        <w:rPr>
          <w:rFonts w:ascii="Times New Roman" w:eastAsia="Times New Roman" w:hAnsi="Times New Roman" w:cs="Times New Roman"/>
          <w:i/>
          <w:iCs/>
        </w:rPr>
        <w:t>Monetary policy, macroprudential policy and financial stability</w:t>
      </w:r>
      <w:r>
        <w:rPr>
          <w:rFonts w:ascii="Times New Roman" w:eastAsia="Times New Roman" w:hAnsi="Times New Roman" w:cs="Times New Roman"/>
        </w:rPr>
        <w:t xml:space="preserve"> (ECB Working Paper Series No. 2647). European Central Bank. </w:t>
      </w:r>
      <w:hyperlink r:id="rId29">
        <w:r w:rsidR="008059F4">
          <w:rPr>
            <w:rFonts w:ascii="Times New Roman" w:eastAsia="Times New Roman" w:hAnsi="Times New Roman" w:cs="Times New Roman"/>
            <w:color w:val="0563C1"/>
            <w:u w:val="single"/>
          </w:rPr>
          <w:t>https://doi.org/10.2866/919182</w:t>
        </w:r>
      </w:hyperlink>
    </w:p>
    <w:p w14:paraId="1F9B7179" w14:textId="1621FB0E" w:rsidR="008059F4" w:rsidRDefault="00654302">
      <w:pPr>
        <w:ind w:left="720" w:hanging="720"/>
        <w:jc w:val="both"/>
        <w:rPr>
          <w:rFonts w:ascii="Times New Roman" w:eastAsia="Times New Roman" w:hAnsi="Times New Roman" w:cs="Times New Roman"/>
        </w:rPr>
      </w:pPr>
      <w:r>
        <w:rPr>
          <w:rFonts w:ascii="Times New Roman" w:eastAsia="Times New Roman" w:hAnsi="Times New Roman" w:cs="Times New Roman"/>
        </w:rPr>
        <w:t xml:space="preserve">Lamers, M., </w:t>
      </w:r>
      <w:proofErr w:type="spellStart"/>
      <w:r>
        <w:rPr>
          <w:rFonts w:ascii="Times New Roman" w:eastAsia="Times New Roman" w:hAnsi="Times New Roman" w:cs="Times New Roman"/>
        </w:rPr>
        <w:t>Mergaerts</w:t>
      </w:r>
      <w:proofErr w:type="spellEnd"/>
      <w:r>
        <w:rPr>
          <w:rFonts w:ascii="Times New Roman" w:eastAsia="Times New Roman" w:hAnsi="Times New Roman" w:cs="Times New Roman"/>
        </w:rPr>
        <w:t xml:space="preserve">, F., Meuleman, E., &amp; Vander </w:t>
      </w:r>
      <w:proofErr w:type="spellStart"/>
      <w:r>
        <w:rPr>
          <w:rFonts w:ascii="Times New Roman" w:eastAsia="Times New Roman" w:hAnsi="Times New Roman" w:cs="Times New Roman"/>
        </w:rPr>
        <w:t>Vennet</w:t>
      </w:r>
      <w:proofErr w:type="spellEnd"/>
      <w:r>
        <w:rPr>
          <w:rFonts w:ascii="Times New Roman" w:eastAsia="Times New Roman" w:hAnsi="Times New Roman" w:cs="Times New Roman"/>
        </w:rPr>
        <w:t xml:space="preserve">, R. (2019). The </w:t>
      </w:r>
      <w:proofErr w:type="spellStart"/>
      <w:r>
        <w:rPr>
          <w:rFonts w:ascii="Times New Roman" w:eastAsia="Times New Roman" w:hAnsi="Times New Roman" w:cs="Times New Roman"/>
        </w:rPr>
        <w:t>tradeoff</w:t>
      </w:r>
      <w:proofErr w:type="spellEnd"/>
      <w:r>
        <w:rPr>
          <w:rFonts w:ascii="Times New Roman" w:eastAsia="Times New Roman" w:hAnsi="Times New Roman" w:cs="Times New Roman"/>
        </w:rPr>
        <w:t xml:space="preserve"> between monetary policy and bank</w:t>
      </w:r>
      <w:r>
        <w:rPr>
          <w:rFonts w:ascii="Times New Roman" w:eastAsia="Times New Roman" w:hAnsi="Times New Roman" w:cs="Times New Roman"/>
        </w:rPr>
        <w:t xml:space="preserve"> stability. </w:t>
      </w:r>
      <w:r>
        <w:rPr>
          <w:rFonts w:ascii="Times New Roman" w:eastAsia="Times New Roman" w:hAnsi="Times New Roman" w:cs="Times New Roman"/>
          <w:i/>
          <w:iCs/>
        </w:rPr>
        <w:t>International Journal of Central Banking, 15</w:t>
      </w:r>
      <w:r>
        <w:rPr>
          <w:rFonts w:ascii="Times New Roman" w:eastAsia="Times New Roman" w:hAnsi="Times New Roman" w:cs="Times New Roman"/>
        </w:rPr>
        <w:t>(2), 1–41.</w:t>
      </w:r>
      <w:r w:rsidR="00AF49B6" w:rsidRPr="00AF49B6">
        <w:rPr>
          <w:rFonts w:ascii="Arial" w:eastAsia="Times New Roman" w:hAnsi="Arial" w:cs="Arial"/>
          <w:sz w:val="18"/>
          <w:szCs w:val="18"/>
        </w:rPr>
        <w:t xml:space="preserve"> </w:t>
      </w:r>
      <w:r w:rsidR="00AF49B6">
        <w:rPr>
          <w:rFonts w:ascii="Arial" w:eastAsia="Times New Roman" w:hAnsi="Arial" w:cs="Arial"/>
          <w:sz w:val="18"/>
          <w:szCs w:val="18"/>
        </w:rPr>
        <w:t>https://www.ijcb.org/journal/ijcb19q2a1.htm</w:t>
      </w:r>
    </w:p>
    <w:p w14:paraId="295CE189" w14:textId="77777777" w:rsidR="008059F4" w:rsidRDefault="00654302">
      <w:pPr>
        <w:ind w:left="720" w:hanging="720"/>
        <w:jc w:val="both"/>
        <w:rPr>
          <w:rFonts w:ascii="Times New Roman" w:eastAsia="Times New Roman" w:hAnsi="Times New Roman" w:cs="Times New Roman"/>
        </w:rPr>
      </w:pPr>
      <w:r>
        <w:rPr>
          <w:rFonts w:ascii="Times New Roman" w:eastAsia="Times New Roman" w:hAnsi="Times New Roman" w:cs="Times New Roman"/>
        </w:rPr>
        <w:t xml:space="preserve">Li, Z., &amp; Zhong, J. (2019). Impact of economic policy uncertainty shocks on China’s financial conditions. </w:t>
      </w:r>
      <w:r>
        <w:rPr>
          <w:rFonts w:ascii="Times New Roman" w:eastAsia="Times New Roman" w:hAnsi="Times New Roman" w:cs="Times New Roman"/>
          <w:i/>
          <w:iCs/>
        </w:rPr>
        <w:t>Finance Research Letters</w:t>
      </w:r>
      <w:r>
        <w:rPr>
          <w:rFonts w:ascii="Times New Roman" w:eastAsia="Times New Roman" w:hAnsi="Times New Roman" w:cs="Times New Roman"/>
        </w:rPr>
        <w:t xml:space="preserve">, </w:t>
      </w:r>
      <w:r>
        <w:rPr>
          <w:rFonts w:ascii="Times New Roman" w:eastAsia="Times New Roman" w:hAnsi="Times New Roman" w:cs="Times New Roman"/>
          <w:i/>
          <w:iCs/>
        </w:rPr>
        <w:t>35</w:t>
      </w:r>
      <w:r>
        <w:rPr>
          <w:rFonts w:ascii="Times New Roman" w:eastAsia="Times New Roman" w:hAnsi="Times New Roman" w:cs="Times New Roman"/>
        </w:rPr>
        <w:t xml:space="preserve">, 101303. </w:t>
      </w:r>
      <w:hyperlink r:id="rId30">
        <w:r w:rsidR="008059F4">
          <w:rPr>
            <w:rFonts w:ascii="Times New Roman" w:eastAsia="Times New Roman" w:hAnsi="Times New Roman" w:cs="Times New Roman"/>
            <w:color w:val="0563C1"/>
            <w:u w:val="single"/>
          </w:rPr>
          <w:t>https://doi.org/10.1016/j.frl.2019.101303</w:t>
        </w:r>
      </w:hyperlink>
    </w:p>
    <w:p w14:paraId="6B450F8C" w14:textId="77777777" w:rsidR="008059F4" w:rsidRDefault="00654302">
      <w:pPr>
        <w:ind w:left="72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Liu, J., Li, Z., Putnam, B., &amp; Yu, A. (2025). Dynamic interaction networks and frequency domain features of speculation and volatility in US energy future</w:t>
      </w:r>
      <w:r>
        <w:rPr>
          <w:rFonts w:ascii="Times New Roman" w:eastAsia="Times New Roman" w:hAnsi="Times New Roman" w:cs="Times New Roman"/>
          <w:color w:val="000000"/>
        </w:rPr>
        <w:t xml:space="preserve">s markets. Journal of Futures Markets, 45(5), 407-428. </w:t>
      </w:r>
      <w:hyperlink r:id="rId31">
        <w:r w:rsidR="008059F4">
          <w:rPr>
            <w:rFonts w:ascii="Times New Roman" w:eastAsia="Times New Roman" w:hAnsi="Times New Roman" w:cs="Times New Roman"/>
            <w:color w:val="000000"/>
          </w:rPr>
          <w:t>https://doi.org/10.1002/fut.22570</w:t>
        </w:r>
      </w:hyperlink>
    </w:p>
    <w:p w14:paraId="53725256" w14:textId="77777777" w:rsidR="008059F4" w:rsidRDefault="00654302">
      <w:pPr>
        <w:ind w:left="72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Mendes, K.D.S., Silveira, R.C. and Galvao, C.M. (2008) Integrative Literature Review: A Research Method to Incorporate Evidence in Health Care and Nursing. </w:t>
      </w:r>
      <w:proofErr w:type="spellStart"/>
      <w:r>
        <w:rPr>
          <w:rFonts w:ascii="Times New Roman" w:eastAsia="Times New Roman" w:hAnsi="Times New Roman" w:cs="Times New Roman"/>
          <w:color w:val="000000"/>
          <w:highlight w:val="white"/>
        </w:rPr>
        <w:t>Texto</w:t>
      </w:r>
      <w:proofErr w:type="spellEnd"/>
      <w:r>
        <w:rPr>
          <w:rFonts w:ascii="Times New Roman" w:eastAsia="Times New Roman" w:hAnsi="Times New Roman" w:cs="Times New Roman"/>
          <w:color w:val="000000"/>
          <w:highlight w:val="white"/>
        </w:rPr>
        <w:t xml:space="preserve"> &amp; </w:t>
      </w:r>
      <w:proofErr w:type="spellStart"/>
      <w:r>
        <w:rPr>
          <w:rFonts w:ascii="Times New Roman" w:eastAsia="Times New Roman" w:hAnsi="Times New Roman" w:cs="Times New Roman"/>
          <w:color w:val="000000"/>
          <w:highlight w:val="white"/>
        </w:rPr>
        <w:t>Contex</w:t>
      </w:r>
      <w:proofErr w:type="spellEnd"/>
      <w:r>
        <w:rPr>
          <w:rFonts w:ascii="Times New Roman" w:eastAsia="Times New Roman" w:hAnsi="Times New Roman" w:cs="Times New Roman"/>
          <w:color w:val="000000"/>
          <w:highlight w:val="white"/>
        </w:rPr>
        <w:t xml:space="preserve"> to Enfermagem, 17, 758-764.</w:t>
      </w:r>
      <w:r>
        <w:rPr>
          <w:rFonts w:ascii="Times New Roman" w:eastAsia="Times New Roman" w:hAnsi="Times New Roman" w:cs="Times New Roman"/>
          <w:color w:val="000000"/>
          <w:highlight w:val="white"/>
        </w:rPr>
        <w:br/>
      </w:r>
      <w:hyperlink r:id="rId32">
        <w:r w:rsidR="008059F4">
          <w:rPr>
            <w:rFonts w:ascii="Times New Roman" w:eastAsia="Times New Roman" w:hAnsi="Times New Roman" w:cs="Times New Roman"/>
            <w:color w:val="0563C1"/>
            <w:highlight w:val="white"/>
            <w:u w:val="single"/>
          </w:rPr>
          <w:t>https://doi.org/10.1590/S0104-07072008000400018</w:t>
        </w:r>
      </w:hyperlink>
    </w:p>
    <w:p w14:paraId="63CD9D68" w14:textId="77777777" w:rsidR="008059F4" w:rsidRDefault="00654302">
      <w:pPr>
        <w:ind w:left="720" w:hanging="720"/>
        <w:jc w:val="both"/>
        <w:rPr>
          <w:rFonts w:ascii="Times New Roman" w:eastAsia="Times New Roman" w:hAnsi="Times New Roman" w:cs="Times New Roman"/>
        </w:rPr>
      </w:pPr>
      <w:r>
        <w:rPr>
          <w:rFonts w:ascii="Times New Roman" w:eastAsia="Times New Roman" w:hAnsi="Times New Roman" w:cs="Times New Roman"/>
        </w:rPr>
        <w:t xml:space="preserve">Miranda-Agrippino, S., &amp; Rey, H. (2020). U.S. monetary policy and the global financial cycle. </w:t>
      </w:r>
      <w:r>
        <w:rPr>
          <w:rFonts w:ascii="Times New Roman" w:eastAsia="Times New Roman" w:hAnsi="Times New Roman" w:cs="Times New Roman"/>
          <w:i/>
          <w:iCs/>
        </w:rPr>
        <w:t>The Review of Economic Studies, 87</w:t>
      </w:r>
      <w:r>
        <w:rPr>
          <w:rFonts w:ascii="Times New Roman" w:eastAsia="Times New Roman" w:hAnsi="Times New Roman" w:cs="Times New Roman"/>
        </w:rPr>
        <w:t xml:space="preserve">(6), 2754–2776. </w:t>
      </w:r>
      <w:hyperlink r:id="rId33">
        <w:r w:rsidR="008059F4">
          <w:rPr>
            <w:rFonts w:ascii="Times New Roman" w:eastAsia="Times New Roman" w:hAnsi="Times New Roman" w:cs="Times New Roman"/>
            <w:color w:val="0563C1"/>
            <w:u w:val="single"/>
          </w:rPr>
          <w:t>https://doi.org/10.1093/restud/rdaa019</w:t>
        </w:r>
      </w:hyperlink>
    </w:p>
    <w:p w14:paraId="621C9BC3" w14:textId="77777777" w:rsidR="008059F4" w:rsidRDefault="00654302">
      <w:pPr>
        <w:ind w:left="720" w:hanging="720"/>
        <w:jc w:val="both"/>
        <w:rPr>
          <w:rFonts w:ascii="Times New Roman" w:eastAsia="Times New Roman" w:hAnsi="Times New Roman" w:cs="Times New Roman"/>
        </w:rPr>
      </w:pPr>
      <w:r>
        <w:rPr>
          <w:rFonts w:ascii="Times New Roman" w:eastAsia="Times New Roman" w:hAnsi="Times New Roman" w:cs="Times New Roman"/>
        </w:rPr>
        <w:t>Monje, L., Carrasco, R. A., &amp; Sánchez-</w:t>
      </w:r>
      <w:proofErr w:type="spellStart"/>
      <w:r>
        <w:rPr>
          <w:rFonts w:ascii="Times New Roman" w:eastAsia="Times New Roman" w:hAnsi="Times New Roman" w:cs="Times New Roman"/>
        </w:rPr>
        <w:t>Montañés</w:t>
      </w:r>
      <w:proofErr w:type="spellEnd"/>
      <w:r>
        <w:rPr>
          <w:rFonts w:ascii="Times New Roman" w:eastAsia="Times New Roman" w:hAnsi="Times New Roman" w:cs="Times New Roman"/>
        </w:rPr>
        <w:t xml:space="preserve">, M. (2025). Machine learning XAI for early loan default prediction. </w:t>
      </w:r>
      <w:r>
        <w:rPr>
          <w:rFonts w:ascii="Times New Roman" w:eastAsia="Times New Roman" w:hAnsi="Times New Roman" w:cs="Times New Roman"/>
          <w:i/>
          <w:iCs/>
        </w:rPr>
        <w:t>Computational Economics</w:t>
      </w:r>
      <w:r>
        <w:rPr>
          <w:rFonts w:ascii="Times New Roman" w:eastAsia="Times New Roman" w:hAnsi="Times New Roman" w:cs="Times New Roman"/>
        </w:rPr>
        <w:t xml:space="preserve">. </w:t>
      </w:r>
      <w:hyperlink r:id="rId34">
        <w:r w:rsidR="008059F4">
          <w:rPr>
            <w:rFonts w:ascii="Times New Roman" w:eastAsia="Times New Roman" w:hAnsi="Times New Roman" w:cs="Times New Roman"/>
            <w:color w:val="0563C1"/>
            <w:u w:val="single"/>
          </w:rPr>
          <w:t>https://doi.org/10.1007/s10614-025-10962-9</w:t>
        </w:r>
      </w:hyperlink>
    </w:p>
    <w:p w14:paraId="7E9060C7" w14:textId="77777777" w:rsidR="008059F4" w:rsidRDefault="00654302">
      <w:pPr>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lastRenderedPageBreak/>
        <w:t>Ndubueze</w:t>
      </w:r>
      <w:proofErr w:type="spellEnd"/>
      <w:r>
        <w:rPr>
          <w:rFonts w:ascii="Times New Roman" w:eastAsia="Times New Roman" w:hAnsi="Times New Roman" w:cs="Times New Roman"/>
        </w:rPr>
        <w:t xml:space="preserve">, O. V. (2025). The Influence of Capital Adequacy Ratios on Bank Lending and Risk-Taking Behaviour. Research Journal of Management Practice. 5(3), 95-105. </w:t>
      </w:r>
      <w:hyperlink r:id="rId35">
        <w:r w:rsidR="008059F4">
          <w:rPr>
            <w:rFonts w:ascii="Times New Roman" w:eastAsia="Times New Roman" w:hAnsi="Times New Roman" w:cs="Times New Roman"/>
            <w:color w:val="0563C1"/>
            <w:u w:val="single"/>
          </w:rPr>
          <w:t>https://doi.org/10.5281/zenodo.15600737</w:t>
        </w:r>
      </w:hyperlink>
    </w:p>
    <w:p w14:paraId="03DDA370" w14:textId="77777777" w:rsidR="008059F4" w:rsidRDefault="00654302">
      <w:pPr>
        <w:ind w:left="720" w:hanging="720"/>
        <w:jc w:val="both"/>
        <w:rPr>
          <w:rFonts w:ascii="Times New Roman" w:eastAsia="Times New Roman" w:hAnsi="Times New Roman" w:cs="Times New Roman"/>
          <w:color w:val="000000"/>
        </w:rPr>
      </w:pPr>
      <w:r>
        <w:rPr>
          <w:rFonts w:ascii="Times New Roman" w:eastAsia="Times New Roman" w:hAnsi="Times New Roman" w:cs="Times New Roman"/>
        </w:rPr>
        <w:t xml:space="preserve">Nguyen, T. C., Nguyen, T. V. H., Schinckus, C., &amp; Chu, T. T. (2024). Navigating bank risk-taking under excess liquidity: the moderating role of economic policy uncertainty and lessons from the Global Financial Crisis. </w:t>
      </w:r>
      <w:r>
        <w:rPr>
          <w:rFonts w:ascii="Times New Roman" w:eastAsia="Times New Roman" w:hAnsi="Times New Roman" w:cs="Times New Roman"/>
          <w:i/>
          <w:iCs/>
        </w:rPr>
        <w:t>Cogent Economics &amp; Finance</w:t>
      </w:r>
      <w:r>
        <w:rPr>
          <w:rFonts w:ascii="Times New Roman" w:eastAsia="Times New Roman" w:hAnsi="Times New Roman" w:cs="Times New Roman"/>
        </w:rPr>
        <w:t xml:space="preserve">, </w:t>
      </w:r>
      <w:r>
        <w:rPr>
          <w:rFonts w:ascii="Times New Roman" w:eastAsia="Times New Roman" w:hAnsi="Times New Roman" w:cs="Times New Roman"/>
          <w:i/>
          <w:iCs/>
        </w:rPr>
        <w:t>12</w:t>
      </w:r>
      <w:r>
        <w:rPr>
          <w:rFonts w:ascii="Times New Roman" w:eastAsia="Times New Roman" w:hAnsi="Times New Roman" w:cs="Times New Roman"/>
        </w:rPr>
        <w:t xml:space="preserve">(1). </w:t>
      </w:r>
      <w:hyperlink r:id="rId36">
        <w:r w:rsidR="008059F4">
          <w:rPr>
            <w:rFonts w:ascii="Times New Roman" w:eastAsia="Times New Roman" w:hAnsi="Times New Roman" w:cs="Times New Roman"/>
            <w:color w:val="0563C1"/>
            <w:u w:val="single"/>
          </w:rPr>
          <w:t>https://doi.org/10.1080/23322039.2024.2422958</w:t>
        </w:r>
      </w:hyperlink>
    </w:p>
    <w:p w14:paraId="68D3BDF3" w14:textId="77777777" w:rsidR="008059F4" w:rsidRDefault="00654302">
      <w:pPr>
        <w:ind w:left="72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Niu, Z., Demirer, R., Suleman, M. T., &amp; Zhang, H. (2024). Speculation, cross-market sentiment and the predicta</w:t>
      </w:r>
      <w:r>
        <w:rPr>
          <w:rFonts w:ascii="Times New Roman" w:eastAsia="Times New Roman" w:hAnsi="Times New Roman" w:cs="Times New Roman"/>
          <w:color w:val="000000"/>
        </w:rPr>
        <w:t xml:space="preserve">bility of gold market volatility. Journal of </w:t>
      </w:r>
      <w:proofErr w:type="spellStart"/>
      <w:r>
        <w:rPr>
          <w:rFonts w:ascii="Times New Roman" w:eastAsia="Times New Roman" w:hAnsi="Times New Roman" w:cs="Times New Roman"/>
          <w:color w:val="000000"/>
        </w:rPr>
        <w:t>Behavioral</w:t>
      </w:r>
      <w:proofErr w:type="spellEnd"/>
      <w:r>
        <w:rPr>
          <w:rFonts w:ascii="Times New Roman" w:eastAsia="Times New Roman" w:hAnsi="Times New Roman" w:cs="Times New Roman"/>
          <w:color w:val="000000"/>
        </w:rPr>
        <w:t xml:space="preserve"> Finance, 25(3), 278295. </w:t>
      </w:r>
      <w:hyperlink r:id="rId37">
        <w:r w:rsidR="008059F4">
          <w:rPr>
            <w:rFonts w:ascii="Times New Roman" w:eastAsia="Times New Roman" w:hAnsi="Times New Roman" w:cs="Times New Roman"/>
            <w:color w:val="000000"/>
          </w:rPr>
          <w:t>https://doi.org/10.1080/15427560.2022.2109639</w:t>
        </w:r>
      </w:hyperlink>
    </w:p>
    <w:p w14:paraId="1E2B114F" w14:textId="77777777" w:rsidR="008059F4" w:rsidRDefault="00654302">
      <w:pPr>
        <w:ind w:left="720" w:hanging="720"/>
        <w:jc w:val="both"/>
        <w:rPr>
          <w:rFonts w:ascii="Times New Roman" w:eastAsia="Times New Roman" w:hAnsi="Times New Roman" w:cs="Times New Roman"/>
        </w:rPr>
      </w:pPr>
      <w:r>
        <w:rPr>
          <w:rFonts w:ascii="Times New Roman" w:eastAsia="Times New Roman" w:hAnsi="Times New Roman" w:cs="Times New Roman"/>
        </w:rPr>
        <w:t xml:space="preserve">Olawale, A. (2024). Capital adequacy and financial stability: A study of Nigerian banks' resilience in a volatile economy. </w:t>
      </w:r>
      <w:r>
        <w:rPr>
          <w:rFonts w:ascii="Times New Roman" w:eastAsia="Times New Roman" w:hAnsi="Times New Roman" w:cs="Times New Roman"/>
          <w:i/>
          <w:iCs/>
        </w:rPr>
        <w:t>GSC Advanced Research and Reviews, 21</w:t>
      </w:r>
      <w:r>
        <w:rPr>
          <w:rFonts w:ascii="Times New Roman" w:eastAsia="Times New Roman" w:hAnsi="Times New Roman" w:cs="Times New Roman"/>
        </w:rPr>
        <w:t xml:space="preserve">(1), 1–12. </w:t>
      </w:r>
      <w:hyperlink r:id="rId38">
        <w:r w:rsidR="008059F4">
          <w:rPr>
            <w:rFonts w:ascii="Times New Roman" w:eastAsia="Times New Roman" w:hAnsi="Times New Roman" w:cs="Times New Roman"/>
            <w:color w:val="0563C1"/>
            <w:u w:val="single"/>
          </w:rPr>
          <w:t>https://doi.org/10.30574/gscarr.2024.21.1.0346</w:t>
        </w:r>
      </w:hyperlink>
    </w:p>
    <w:p w14:paraId="7543CB1A" w14:textId="77777777" w:rsidR="008059F4" w:rsidRDefault="00654302">
      <w:pPr>
        <w:ind w:left="720" w:hanging="720"/>
        <w:jc w:val="both"/>
        <w:rPr>
          <w:rFonts w:ascii="Times New Roman" w:eastAsia="Times New Roman" w:hAnsi="Times New Roman" w:cs="Times New Roman"/>
        </w:rPr>
      </w:pPr>
      <w:r>
        <w:rPr>
          <w:rFonts w:ascii="Times New Roman" w:eastAsia="Times New Roman" w:hAnsi="Times New Roman" w:cs="Times New Roman"/>
        </w:rPr>
        <w:t xml:space="preserve">Prajapati, S. (2025, October 23). </w:t>
      </w:r>
      <w:r>
        <w:rPr>
          <w:rFonts w:ascii="Times New Roman" w:eastAsia="Times New Roman" w:hAnsi="Times New Roman" w:cs="Times New Roman"/>
          <w:i/>
          <w:iCs/>
        </w:rPr>
        <w:t>Reinventing risk: How AI-generated synthetic data is transforming stress testing in finance</w:t>
      </w:r>
      <w:r>
        <w:rPr>
          <w:rFonts w:ascii="Times New Roman" w:eastAsia="Times New Roman" w:hAnsi="Times New Roman" w:cs="Times New Roman"/>
        </w:rPr>
        <w:t xml:space="preserve">. </w:t>
      </w:r>
      <w:proofErr w:type="spellStart"/>
      <w:r>
        <w:rPr>
          <w:rFonts w:ascii="Times New Roman" w:eastAsia="Times New Roman" w:hAnsi="Times New Roman" w:cs="Times New Roman"/>
        </w:rPr>
        <w:t>Finextra</w:t>
      </w:r>
      <w:proofErr w:type="spellEnd"/>
      <w:r>
        <w:rPr>
          <w:rFonts w:ascii="Times New Roman" w:eastAsia="Times New Roman" w:hAnsi="Times New Roman" w:cs="Times New Roman"/>
        </w:rPr>
        <w:t xml:space="preserve">. </w:t>
      </w:r>
      <w:hyperlink r:id="rId39">
        <w:r w:rsidR="008059F4">
          <w:rPr>
            <w:rFonts w:ascii="Times New Roman" w:eastAsia="Times New Roman" w:hAnsi="Times New Roman" w:cs="Times New Roman"/>
            <w:color w:val="0563C1"/>
            <w:u w:val="single"/>
          </w:rPr>
          <w:t>https://www.finextra.com/blogposting/28072/reinventing-risk-how-ai-generated-synthetic-data-is-transforming-stress-testing-in-finance</w:t>
        </w:r>
      </w:hyperlink>
    </w:p>
    <w:p w14:paraId="44D3A89E" w14:textId="77777777" w:rsidR="008059F4" w:rsidRDefault="00654302">
      <w:pPr>
        <w:ind w:left="72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Tang, P., &amp; Yang, W. (2024). Monetary policy uncertainty and</w:t>
      </w:r>
      <w:r>
        <w:rPr>
          <w:rFonts w:ascii="Times New Roman" w:eastAsia="Times New Roman" w:hAnsi="Times New Roman" w:cs="Times New Roman"/>
          <w:color w:val="000000"/>
        </w:rPr>
        <w:t xml:space="preserve"> financial risk: The mediating role of corporate investment</w:t>
      </w:r>
      <w:r>
        <w:rPr>
          <w:rFonts w:ascii="Times New Roman" w:eastAsia="Times New Roman" w:hAnsi="Times New Roman" w:cs="Times New Roman"/>
          <w:i/>
          <w:iCs/>
          <w:color w:val="000000"/>
        </w:rPr>
        <w:t>.</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Finance Research Letters, 70</w:t>
      </w:r>
      <w:r>
        <w:rPr>
          <w:rFonts w:ascii="Times New Roman" w:eastAsia="Times New Roman" w:hAnsi="Times New Roman" w:cs="Times New Roman"/>
          <w:color w:val="000000"/>
        </w:rPr>
        <w:t xml:space="preserve">, 106303. </w:t>
      </w:r>
      <w:hyperlink r:id="rId40">
        <w:r w:rsidR="008059F4">
          <w:rPr>
            <w:rFonts w:ascii="Times New Roman" w:eastAsia="Times New Roman" w:hAnsi="Times New Roman" w:cs="Times New Roman"/>
            <w:color w:val="000000"/>
          </w:rPr>
          <w:t>https://doi.org/10.1016/j.frl.2024.106303</w:t>
        </w:r>
      </w:hyperlink>
    </w:p>
    <w:p w14:paraId="06F89F20" w14:textId="77777777" w:rsidR="008059F4" w:rsidRDefault="00654302">
      <w:pPr>
        <w:ind w:left="720" w:hanging="720"/>
        <w:jc w:val="both"/>
        <w:rPr>
          <w:rFonts w:ascii="Times New Roman" w:eastAsia="Times New Roman" w:hAnsi="Times New Roman" w:cs="Times New Roman"/>
          <w:color w:val="000000"/>
        </w:rPr>
      </w:pPr>
      <w:r>
        <w:rPr>
          <w:rFonts w:ascii="Times New Roman" w:eastAsia="Times New Roman" w:hAnsi="Times New Roman" w:cs="Times New Roman"/>
        </w:rPr>
        <w:t xml:space="preserve">Umoh, B., Bello, A. A., Okika, N., </w:t>
      </w:r>
      <w:proofErr w:type="spellStart"/>
      <w:r>
        <w:rPr>
          <w:rFonts w:ascii="Times New Roman" w:eastAsia="Times New Roman" w:hAnsi="Times New Roman" w:cs="Times New Roman"/>
        </w:rPr>
        <w:t>Ukatu</w:t>
      </w:r>
      <w:proofErr w:type="spellEnd"/>
      <w:r>
        <w:rPr>
          <w:rFonts w:ascii="Times New Roman" w:eastAsia="Times New Roman" w:hAnsi="Times New Roman" w:cs="Times New Roman"/>
        </w:rPr>
        <w:t>, C. E., &amp; Kab</w:t>
      </w:r>
      <w:r>
        <w:rPr>
          <w:rFonts w:ascii="Times New Roman" w:eastAsia="Times New Roman" w:hAnsi="Times New Roman" w:cs="Times New Roman"/>
        </w:rPr>
        <w:t xml:space="preserve">iru, A. O. (2025). The Intersection of Artificial Intelligence and Human Decision-Making in Cybersecurity Resilience: Business Analysis Perspective. </w:t>
      </w:r>
      <w:proofErr w:type="spellStart"/>
      <w:r>
        <w:rPr>
          <w:rFonts w:ascii="Times New Roman" w:eastAsia="Times New Roman" w:hAnsi="Times New Roman" w:cs="Times New Roman"/>
          <w:i/>
          <w:iCs/>
        </w:rPr>
        <w:t>CogNexus</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1(2), pp. 26- 36</w:t>
      </w:r>
    </w:p>
    <w:p w14:paraId="0AFD4D6B" w14:textId="77777777" w:rsidR="008059F4" w:rsidRDefault="00654302">
      <w:pPr>
        <w:ind w:left="72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Wang, C., Li, T., </w:t>
      </w:r>
      <w:proofErr w:type="spellStart"/>
      <w:r>
        <w:rPr>
          <w:rFonts w:ascii="Times New Roman" w:eastAsia="Times New Roman" w:hAnsi="Times New Roman" w:cs="Times New Roman"/>
          <w:color w:val="000000"/>
        </w:rPr>
        <w:t>Sensoy</w:t>
      </w:r>
      <w:proofErr w:type="spellEnd"/>
      <w:r>
        <w:rPr>
          <w:rFonts w:ascii="Times New Roman" w:eastAsia="Times New Roman" w:hAnsi="Times New Roman" w:cs="Times New Roman"/>
          <w:color w:val="000000"/>
        </w:rPr>
        <w:t>, A., Cheng, F., &amp; Fang, Z. (2024a). Economic policy unc</w:t>
      </w:r>
      <w:r>
        <w:rPr>
          <w:rFonts w:ascii="Times New Roman" w:eastAsia="Times New Roman" w:hAnsi="Times New Roman" w:cs="Times New Roman"/>
          <w:color w:val="000000"/>
        </w:rPr>
        <w:t xml:space="preserve">ertainty and options market participation: Hedge or speculation? Borsa Istanbul Review, 24(1), 50-59. </w:t>
      </w:r>
      <w:hyperlink r:id="rId41">
        <w:r w:rsidR="008059F4">
          <w:rPr>
            <w:rFonts w:ascii="Times New Roman" w:eastAsia="Times New Roman" w:hAnsi="Times New Roman" w:cs="Times New Roman"/>
            <w:color w:val="0563C1"/>
            <w:u w:val="single"/>
          </w:rPr>
          <w:t>https://doi.org/10.1016/j.bir.2024.04.006</w:t>
        </w:r>
      </w:hyperlink>
      <w:r>
        <w:rPr>
          <w:rFonts w:ascii="Times New Roman" w:eastAsia="Times New Roman" w:hAnsi="Times New Roman" w:cs="Times New Roman"/>
          <w:color w:val="000000"/>
        </w:rPr>
        <w:t xml:space="preserve"> </w:t>
      </w:r>
    </w:p>
    <w:p w14:paraId="328FBD97" w14:textId="77777777" w:rsidR="008059F4" w:rsidRDefault="00654302">
      <w:pPr>
        <w:ind w:left="72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Wang, X., Liu, J., &amp; Xie, Q. (2024b). Quantile fre</w:t>
      </w:r>
      <w:r>
        <w:rPr>
          <w:rFonts w:ascii="Times New Roman" w:eastAsia="Times New Roman" w:hAnsi="Times New Roman" w:cs="Times New Roman"/>
          <w:color w:val="000000"/>
        </w:rPr>
        <w:t xml:space="preserve">quency connectedness between energy tokens, crypto market, and renewable energy stock markets. </w:t>
      </w:r>
      <w:proofErr w:type="spellStart"/>
      <w:r>
        <w:rPr>
          <w:rFonts w:ascii="Times New Roman" w:eastAsia="Times New Roman" w:hAnsi="Times New Roman" w:cs="Times New Roman"/>
          <w:color w:val="000000"/>
        </w:rPr>
        <w:t>Heliyon</w:t>
      </w:r>
      <w:proofErr w:type="spellEnd"/>
      <w:r>
        <w:rPr>
          <w:rFonts w:ascii="Times New Roman" w:eastAsia="Times New Roman" w:hAnsi="Times New Roman" w:cs="Times New Roman"/>
          <w:color w:val="000000"/>
        </w:rPr>
        <w:t xml:space="preserve">, 10(3), e25068. </w:t>
      </w:r>
      <w:hyperlink r:id="rId42">
        <w:r w:rsidR="008059F4">
          <w:rPr>
            <w:rFonts w:ascii="Times New Roman" w:eastAsia="Times New Roman" w:hAnsi="Times New Roman" w:cs="Times New Roman"/>
            <w:color w:val="000000"/>
          </w:rPr>
          <w:t>https://doi.org/10.1016/j.heliyon.2024.e25068</w:t>
        </w:r>
      </w:hyperlink>
    </w:p>
    <w:p w14:paraId="4F691AC7" w14:textId="77777777" w:rsidR="008059F4" w:rsidRDefault="00654302">
      <w:pPr>
        <w:ind w:left="72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Yeo, W. J., Van Der Heever</w:t>
      </w:r>
      <w:r>
        <w:rPr>
          <w:rFonts w:ascii="Times New Roman" w:eastAsia="Times New Roman" w:hAnsi="Times New Roman" w:cs="Times New Roman"/>
          <w:color w:val="000000"/>
        </w:rPr>
        <w:t xml:space="preserve">, W., Mao, R., Cambria, E., Satapathy, R., &amp; Mengaldo, G. (2025). A comprehensive review on financial explainable AI. </w:t>
      </w:r>
      <w:r>
        <w:rPr>
          <w:rFonts w:ascii="Times New Roman" w:eastAsia="Times New Roman" w:hAnsi="Times New Roman" w:cs="Times New Roman"/>
          <w:i/>
          <w:iCs/>
          <w:color w:val="000000"/>
        </w:rPr>
        <w:t>Artificial Intelligence Review, 58</w:t>
      </w:r>
      <w:r>
        <w:rPr>
          <w:rFonts w:ascii="Times New Roman" w:eastAsia="Times New Roman" w:hAnsi="Times New Roman" w:cs="Times New Roman"/>
          <w:color w:val="000000"/>
        </w:rPr>
        <w:t xml:space="preserve">, Article 189. </w:t>
      </w:r>
      <w:hyperlink r:id="rId43">
        <w:r w:rsidR="008059F4">
          <w:rPr>
            <w:rFonts w:ascii="Times New Roman" w:eastAsia="Times New Roman" w:hAnsi="Times New Roman" w:cs="Times New Roman"/>
            <w:color w:val="0563C1"/>
            <w:u w:val="single"/>
          </w:rPr>
          <w:t>https://doi.org/10.1007/s10462-024-11077-7</w:t>
        </w:r>
      </w:hyperlink>
    </w:p>
    <w:p w14:paraId="0E3524BB" w14:textId="77777777" w:rsidR="008059F4" w:rsidRDefault="00654302">
      <w:pPr>
        <w:ind w:left="720" w:hanging="720"/>
        <w:jc w:val="both"/>
        <w:rPr>
          <w:rFonts w:ascii="Times New Roman" w:eastAsia="Times New Roman" w:hAnsi="Times New Roman" w:cs="Times New Roman"/>
          <w:color w:val="000000"/>
        </w:rPr>
      </w:pPr>
      <w:r>
        <w:rPr>
          <w:rFonts w:ascii="Times New Roman" w:eastAsia="Times New Roman" w:hAnsi="Times New Roman" w:cs="Times New Roman"/>
        </w:rPr>
        <w:t xml:space="preserve">Younis, I., Gupta, H., Shah, W. U., Sharif, A., &amp; Tang, X. (2024). The effects of economic uncertainty and trade policy uncertainty on Industry-Specific Stock Markets Equity. </w:t>
      </w:r>
      <w:r>
        <w:rPr>
          <w:rFonts w:ascii="Times New Roman" w:eastAsia="Times New Roman" w:hAnsi="Times New Roman" w:cs="Times New Roman"/>
          <w:i/>
          <w:iCs/>
        </w:rPr>
        <w:lastRenderedPageBreak/>
        <w:t>Computational Economics</w:t>
      </w:r>
      <w:r>
        <w:rPr>
          <w:rFonts w:ascii="Times New Roman" w:eastAsia="Times New Roman" w:hAnsi="Times New Roman" w:cs="Times New Roman"/>
        </w:rPr>
        <w:t xml:space="preserve">, </w:t>
      </w:r>
      <w:r>
        <w:rPr>
          <w:rFonts w:ascii="Times New Roman" w:eastAsia="Times New Roman" w:hAnsi="Times New Roman" w:cs="Times New Roman"/>
          <w:i/>
          <w:iCs/>
        </w:rPr>
        <w:t>64</w:t>
      </w:r>
      <w:r>
        <w:rPr>
          <w:rFonts w:ascii="Times New Roman" w:eastAsia="Times New Roman" w:hAnsi="Times New Roman" w:cs="Times New Roman"/>
        </w:rPr>
        <w:t xml:space="preserve">(5), 2909–2933. </w:t>
      </w:r>
      <w:hyperlink r:id="rId44">
        <w:r w:rsidR="008059F4">
          <w:rPr>
            <w:rFonts w:ascii="Times New Roman" w:eastAsia="Times New Roman" w:hAnsi="Times New Roman" w:cs="Times New Roman"/>
            <w:color w:val="0563C1"/>
            <w:u w:val="single"/>
          </w:rPr>
          <w:t>https://doi.org/10.1007/s10614-024-10552-1</w:t>
        </w:r>
      </w:hyperlink>
    </w:p>
    <w:p w14:paraId="27CEC4A5" w14:textId="77777777" w:rsidR="008059F4" w:rsidRDefault="00654302">
      <w:pPr>
        <w:ind w:left="720"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Zhang, Q., Yang, K., Hu, Y., Jiao, J., &amp; Wang, S. (2023). Unveiling the impact of geopolitical conflict on oil prices: A case study of the Russia-Ukraine War and its channels. Energy Economics, 126, 106956. </w:t>
      </w:r>
      <w:hyperlink r:id="rId45">
        <w:r w:rsidR="008059F4">
          <w:rPr>
            <w:rFonts w:ascii="Times New Roman" w:eastAsia="Times New Roman" w:hAnsi="Times New Roman" w:cs="Times New Roman"/>
            <w:color w:val="000000"/>
          </w:rPr>
          <w:t>https://doi.org/10.1016/j.eneco.2023.106956</w:t>
        </w:r>
      </w:hyperlink>
    </w:p>
    <w:p w14:paraId="425AB5F3" w14:textId="77777777" w:rsidR="008059F4" w:rsidRDefault="00654302">
      <w:pPr>
        <w:ind w:left="720" w:hanging="720"/>
        <w:jc w:val="both"/>
        <w:rPr>
          <w:rFonts w:ascii="Times New Roman" w:eastAsia="Times New Roman" w:hAnsi="Times New Roman" w:cs="Times New Roman"/>
          <w:color w:val="000000"/>
        </w:rPr>
      </w:pPr>
      <w:r>
        <w:rPr>
          <w:rFonts w:ascii="Times New Roman" w:eastAsia="Times New Roman" w:hAnsi="Times New Roman" w:cs="Times New Roman"/>
        </w:rPr>
        <w:t>Zhang, R., &amp; Wang, S. (2023). Economic Policy Uncertainty and Bank Stability: An Analysis Based on the Intermediary Effects of Opacity. </w:t>
      </w:r>
      <w:r>
        <w:rPr>
          <w:rFonts w:ascii="Times New Roman" w:eastAsia="Times New Roman" w:hAnsi="Times New Roman" w:cs="Times New Roman"/>
          <w:i/>
          <w:iCs/>
        </w:rPr>
        <w:t>Sustainability</w:t>
      </w:r>
      <w:r>
        <w:rPr>
          <w:rFonts w:ascii="Times New Roman" w:eastAsia="Times New Roman" w:hAnsi="Times New Roman" w:cs="Times New Roman"/>
        </w:rPr>
        <w:t>, </w:t>
      </w:r>
      <w:r>
        <w:rPr>
          <w:rFonts w:ascii="Times New Roman" w:eastAsia="Times New Roman" w:hAnsi="Times New Roman" w:cs="Times New Roman"/>
          <w:i/>
          <w:iCs/>
        </w:rPr>
        <w:t>15</w:t>
      </w:r>
      <w:r>
        <w:rPr>
          <w:rFonts w:ascii="Times New Roman" w:eastAsia="Times New Roman" w:hAnsi="Times New Roman" w:cs="Times New Roman"/>
        </w:rPr>
        <w:t xml:space="preserve">(5), 4084. </w:t>
      </w:r>
      <w:hyperlink r:id="rId46">
        <w:r w:rsidR="008059F4">
          <w:rPr>
            <w:rFonts w:ascii="Times New Roman" w:eastAsia="Times New Roman" w:hAnsi="Times New Roman" w:cs="Times New Roman"/>
            <w:color w:val="0563C1"/>
            <w:u w:val="single"/>
          </w:rPr>
          <w:t>https://doi.org/10.3390/su15054084</w:t>
        </w:r>
      </w:hyperlink>
    </w:p>
    <w:p w14:paraId="2D02F41C" w14:textId="77777777" w:rsidR="008059F4" w:rsidRDefault="008059F4">
      <w:pPr>
        <w:rPr>
          <w:rFonts w:ascii="Times New Roman" w:eastAsia="Times New Roman" w:hAnsi="Times New Roman" w:cs="Times New Roman"/>
        </w:rPr>
      </w:pPr>
    </w:p>
    <w:sectPr w:rsidR="008059F4">
      <w:headerReference w:type="even" r:id="rId47"/>
      <w:headerReference w:type="default" r:id="rId48"/>
      <w:footerReference w:type="even" r:id="rId49"/>
      <w:footerReference w:type="default" r:id="rId50"/>
      <w:headerReference w:type="first" r:id="rId51"/>
      <w:footerReference w:type="first" r:id="rId5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DF1E73" w14:textId="77777777" w:rsidR="00654302" w:rsidRDefault="00654302">
      <w:pPr>
        <w:spacing w:after="0" w:line="240" w:lineRule="auto"/>
      </w:pPr>
      <w:r>
        <w:separator/>
      </w:r>
    </w:p>
  </w:endnote>
  <w:endnote w:type="continuationSeparator" w:id="0">
    <w:p w14:paraId="2F7EC2D2" w14:textId="77777777" w:rsidR="00654302" w:rsidRDefault="006543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F1DCED5-C05B-4334-967F-441E613A58DD}"/>
    <w:embedBold r:id="rId2" w:fontKey="{79615AC0-D098-4947-B75D-B05F11006832}"/>
    <w:embedItalic r:id="rId3" w:fontKey="{2051957D-049B-4806-83EC-94515EBFB60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B138411C-1C3E-436B-A69E-85EE30B2830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7D64C9CC-3003-4B84-BA0D-A3FAF40F17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569CB" w14:textId="77777777" w:rsidR="00951E8F" w:rsidRDefault="00951E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A5BA3" w14:textId="77777777" w:rsidR="008059F4" w:rsidRDefault="00654302">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41CAC">
      <w:rPr>
        <w:noProof/>
        <w:color w:val="000000"/>
      </w:rPr>
      <w:t>1</w:t>
    </w:r>
    <w:r>
      <w:rPr>
        <w:color w:val="000000"/>
      </w:rPr>
      <w:fldChar w:fldCharType="end"/>
    </w:r>
  </w:p>
  <w:p w14:paraId="37AA5FDF" w14:textId="77777777" w:rsidR="008059F4" w:rsidRDefault="008059F4">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30663" w14:textId="77777777" w:rsidR="00951E8F" w:rsidRDefault="00951E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ED55F2" w14:textId="77777777" w:rsidR="00654302" w:rsidRDefault="00654302">
      <w:pPr>
        <w:spacing w:after="0" w:line="240" w:lineRule="auto"/>
      </w:pPr>
      <w:r>
        <w:separator/>
      </w:r>
    </w:p>
  </w:footnote>
  <w:footnote w:type="continuationSeparator" w:id="0">
    <w:p w14:paraId="2A3C0C40" w14:textId="77777777" w:rsidR="00654302" w:rsidRDefault="006543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95B48" w14:textId="63D4455C" w:rsidR="00951E8F" w:rsidRDefault="00951E8F">
    <w:pPr>
      <w:pStyle w:val="Header"/>
    </w:pPr>
    <w:r>
      <w:rPr>
        <w:noProof/>
      </w:rPr>
      <w:pict w14:anchorId="7868B4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427860"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12237" w14:textId="04B82035" w:rsidR="00951E8F" w:rsidRDefault="00951E8F">
    <w:pPr>
      <w:pStyle w:val="Header"/>
    </w:pPr>
    <w:r>
      <w:rPr>
        <w:noProof/>
      </w:rPr>
      <w:pict w14:anchorId="1D3491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427861"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49D5F" w14:textId="5FD658DB" w:rsidR="00951E8F" w:rsidRDefault="00951E8F">
    <w:pPr>
      <w:pStyle w:val="Header"/>
    </w:pPr>
    <w:r>
      <w:rPr>
        <w:noProof/>
      </w:rPr>
      <w:pict w14:anchorId="3CB0A5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427859"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93EA7"/>
    <w:multiLevelType w:val="multilevel"/>
    <w:tmpl w:val="7B0CF8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9346FF8"/>
    <w:multiLevelType w:val="multilevel"/>
    <w:tmpl w:val="97062E4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5BD1230A"/>
    <w:multiLevelType w:val="multilevel"/>
    <w:tmpl w:val="027A39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763A6694"/>
    <w:multiLevelType w:val="multilevel"/>
    <w:tmpl w:val="066227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9B72C8C"/>
    <w:multiLevelType w:val="multilevel"/>
    <w:tmpl w:val="7C52D3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9F4"/>
    <w:rsid w:val="00104844"/>
    <w:rsid w:val="00152130"/>
    <w:rsid w:val="002E73A8"/>
    <w:rsid w:val="00541CAC"/>
    <w:rsid w:val="006475F6"/>
    <w:rsid w:val="00654302"/>
    <w:rsid w:val="006D0B73"/>
    <w:rsid w:val="00783634"/>
    <w:rsid w:val="008059F4"/>
    <w:rsid w:val="008B362D"/>
    <w:rsid w:val="00951E8F"/>
    <w:rsid w:val="00A75FC0"/>
    <w:rsid w:val="00AF49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126778"/>
  <w15:docId w15:val="{D566E6AC-C476-4896-BF6B-173FD31EE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GB"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unhideWhenUsed/>
    <w:qFormat/>
    <w:pPr>
      <w:keepNext/>
      <w:keepLines/>
      <w:spacing w:before="40" w:after="0"/>
      <w:outlineLvl w:val="2"/>
    </w:pPr>
    <w:rPr>
      <w:color w:val="1F3863"/>
    </w:rPr>
  </w:style>
  <w:style w:type="paragraph" w:styleId="Heading4">
    <w:name w:val="heading 4"/>
    <w:basedOn w:val="Normal"/>
    <w:next w:val="Normal"/>
    <w:uiPriority w:val="9"/>
    <w:semiHidden/>
    <w:unhideWhenUsed/>
    <w:qFormat/>
    <w:pPr>
      <w:keepNext/>
      <w:keepLines/>
      <w:spacing w:before="40" w:after="0"/>
      <w:outlineLvl w:val="3"/>
    </w:pPr>
    <w:rPr>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rPr>
      <w:sz w:val="22"/>
      <w:szCs w:val="22"/>
    </w:r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783634"/>
    <w:rPr>
      <w:color w:val="0000FF" w:themeColor="hyperlink"/>
      <w:u w:val="single"/>
    </w:rPr>
  </w:style>
  <w:style w:type="character" w:styleId="UnresolvedMention">
    <w:name w:val="Unresolved Mention"/>
    <w:basedOn w:val="DefaultParagraphFont"/>
    <w:uiPriority w:val="99"/>
    <w:semiHidden/>
    <w:unhideWhenUsed/>
    <w:rsid w:val="00783634"/>
    <w:rPr>
      <w:color w:val="605E5C"/>
      <w:shd w:val="clear" w:color="auto" w:fill="E1DFDD"/>
    </w:rPr>
  </w:style>
  <w:style w:type="paragraph" w:styleId="Header">
    <w:name w:val="header"/>
    <w:basedOn w:val="Normal"/>
    <w:link w:val="HeaderChar"/>
    <w:uiPriority w:val="99"/>
    <w:unhideWhenUsed/>
    <w:rsid w:val="00951E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1E8F"/>
  </w:style>
  <w:style w:type="paragraph" w:styleId="Footer">
    <w:name w:val="footer"/>
    <w:basedOn w:val="Normal"/>
    <w:link w:val="FooterChar"/>
    <w:uiPriority w:val="99"/>
    <w:unhideWhenUsed/>
    <w:rsid w:val="00951E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1E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1016/j.ememar.2017.02.003" TargetMode="External"/><Relationship Id="rId18" Type="http://schemas.openxmlformats.org/officeDocument/2006/relationships/hyperlink" Target="https://doi.org/10.1016/j.jbankfin.2023.107048" TargetMode="External"/><Relationship Id="rId26" Type="http://schemas.openxmlformats.org/officeDocument/2006/relationships/hyperlink" Target="https://doi.org/10.1108/JEAS-09-2020-0159" TargetMode="External"/><Relationship Id="rId39" Type="http://schemas.openxmlformats.org/officeDocument/2006/relationships/hyperlink" Target="https://www.finextra.com/blogposting/28072/reinventing-risk-how-ai-generated-synthetic-data-is-transforming-stress-testing-in-finance" TargetMode="External"/><Relationship Id="rId21" Type="http://schemas.openxmlformats.org/officeDocument/2006/relationships/hyperlink" Target="https://doi.org/10.64388/IREV9I6-1712563" TargetMode="External"/><Relationship Id="rId34" Type="http://schemas.openxmlformats.org/officeDocument/2006/relationships/hyperlink" Target="https://doi.org/10.1007/s10614-025-10962-9" TargetMode="External"/><Relationship Id="rId42" Type="http://schemas.openxmlformats.org/officeDocument/2006/relationships/hyperlink" Target="https://doi.org/10.1016/j.heliyon.2024.e25068"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hyperlink" Target="https://doi.org/10.1080/00036846.2011.591732" TargetMode="External"/><Relationship Id="rId2" Type="http://schemas.openxmlformats.org/officeDocument/2006/relationships/styles" Target="styles.xml"/><Relationship Id="rId16" Type="http://schemas.openxmlformats.org/officeDocument/2006/relationships/hyperlink" Target="https://doi.org/10.26710/jafee.v10i2.2972" TargetMode="External"/><Relationship Id="rId29" Type="http://schemas.openxmlformats.org/officeDocument/2006/relationships/hyperlink" Target="https://doi.org/10.2866/919182" TargetMode="External"/><Relationship Id="rId11" Type="http://schemas.openxmlformats.org/officeDocument/2006/relationships/hyperlink" Target="https://doi.org/10.1016/j.ribaf.2024.102527" TargetMode="External"/><Relationship Id="rId24" Type="http://schemas.openxmlformats.org/officeDocument/2006/relationships/hyperlink" Target="https://doi.org/10.1002/ijfe.2088" TargetMode="External"/><Relationship Id="rId32" Type="http://schemas.openxmlformats.org/officeDocument/2006/relationships/hyperlink" Target="https://doi.org/10.1590/S0104-07072008000400018" TargetMode="External"/><Relationship Id="rId37" Type="http://schemas.openxmlformats.org/officeDocument/2006/relationships/hyperlink" Target="https://doi.org/10.1080/15427560.2022.2109639" TargetMode="External"/><Relationship Id="rId40" Type="http://schemas.openxmlformats.org/officeDocument/2006/relationships/hyperlink" Target="https://doi.org/10.1016/j.frl.2024.106303" TargetMode="External"/><Relationship Id="rId45" Type="http://schemas.openxmlformats.org/officeDocument/2006/relationships/hyperlink" Target="https://doi.org/10.1016/j.eneco.2023.106956"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doi.org/10.1016/j.heliyon.2024.e32962" TargetMode="External"/><Relationship Id="rId19" Type="http://schemas.openxmlformats.org/officeDocument/2006/relationships/hyperlink" Target="https://www.nber.org/papers/w22021" TargetMode="External"/><Relationship Id="rId31" Type="http://schemas.openxmlformats.org/officeDocument/2006/relationships/hyperlink" Target="https://doi.org/10.1002/fut.22570" TargetMode="External"/><Relationship Id="rId44" Type="http://schemas.openxmlformats.org/officeDocument/2006/relationships/hyperlink" Target="https://doi.org/10.1007/s10614-024-10552-1" TargetMode="External"/><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doi.org/10.1108/JED-08-2024-0280" TargetMode="External"/><Relationship Id="rId14" Type="http://schemas.openxmlformats.org/officeDocument/2006/relationships/hyperlink" Target="https://www.bis.org/publ/bcbs238.htm" TargetMode="External"/><Relationship Id="rId22" Type="http://schemas.openxmlformats.org/officeDocument/2006/relationships/hyperlink" Target="https://ideas.repec.org/p/ste/nystbu/10-15.html" TargetMode="External"/><Relationship Id="rId27" Type="http://schemas.openxmlformats.org/officeDocument/2006/relationships/hyperlink" Target="https://doi.org/10.1016/j.jbankfin.2015.09.006" TargetMode="External"/><Relationship Id="rId30" Type="http://schemas.openxmlformats.org/officeDocument/2006/relationships/hyperlink" Target="https://doi.org/10.1016/j.frl.2019.101303" TargetMode="External"/><Relationship Id="rId35" Type="http://schemas.openxmlformats.org/officeDocument/2006/relationships/hyperlink" Target="https://doi.org/10.5281/zenodo.15600737" TargetMode="External"/><Relationship Id="rId43" Type="http://schemas.openxmlformats.org/officeDocument/2006/relationships/hyperlink" Target="https://doi.org/10.1007/s10462-024-11077-7" TargetMode="External"/><Relationship Id="rId48" Type="http://schemas.openxmlformats.org/officeDocument/2006/relationships/header" Target="header2.xml"/><Relationship Id="rId8" Type="http://schemas.openxmlformats.org/officeDocument/2006/relationships/hyperlink" Target="https://doi.org/10.54660/.IJMRGE.2025.6.3.367-377" TargetMode="External"/><Relationship Id="rId5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https://doi.org/10.1093/qje/qjw024" TargetMode="External"/><Relationship Id="rId17" Type="http://schemas.openxmlformats.org/officeDocument/2006/relationships/hyperlink" Target="https://doi.org/10.1016/j.jfi.2020.100893" TargetMode="External"/><Relationship Id="rId25" Type="http://schemas.openxmlformats.org/officeDocument/2006/relationships/hyperlink" Target="https://doi.org/10.1257/aer.20121236" TargetMode="External"/><Relationship Id="rId33" Type="http://schemas.openxmlformats.org/officeDocument/2006/relationships/hyperlink" Target="https://doi.org/10.1093/restud/rdaa019" TargetMode="External"/><Relationship Id="rId38" Type="http://schemas.openxmlformats.org/officeDocument/2006/relationships/hyperlink" Target="https://doi.org/10.30574/gscarr.2024.21.1.0346" TargetMode="External"/><Relationship Id="rId46" Type="http://schemas.openxmlformats.org/officeDocument/2006/relationships/hyperlink" Target="https://doi.org/10.3390/su15054084" TargetMode="External"/><Relationship Id="rId20" Type="http://schemas.openxmlformats.org/officeDocument/2006/relationships/hyperlink" Target="https://doi.org/10.3390/su10093084" TargetMode="External"/><Relationship Id="rId41" Type="http://schemas.openxmlformats.org/officeDocument/2006/relationships/hyperlink" Target="https://doi.org/10.1016/j.bir.2024.04.006"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16/j.resourpol.2024.105362" TargetMode="External"/><Relationship Id="rId23" Type="http://schemas.openxmlformats.org/officeDocument/2006/relationships/hyperlink" Target="https://doi.org/10.1111/fmii.12197" TargetMode="External"/><Relationship Id="rId28" Type="http://schemas.openxmlformats.org/officeDocument/2006/relationships/hyperlink" Target="https://doi.org/10.1017/S0022109023000662" TargetMode="External"/><Relationship Id="rId36" Type="http://schemas.openxmlformats.org/officeDocument/2006/relationships/hyperlink" Target="https://doi.org/10.1080/23322039.2024.2422958" TargetMode="External"/><Relationship Id="rId4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28</Pages>
  <Words>10739</Words>
  <Characters>61216</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6</cp:revision>
  <dcterms:created xsi:type="dcterms:W3CDTF">2025-12-24T06:09:00Z</dcterms:created>
  <dcterms:modified xsi:type="dcterms:W3CDTF">2025-12-24T12:06:00Z</dcterms:modified>
</cp:coreProperties>
</file>