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4B269" w14:textId="1495F4C9" w:rsidR="00C20512" w:rsidRPr="00125810" w:rsidRDefault="00C20512" w:rsidP="00125810">
      <w:pPr>
        <w:spacing w:line="480" w:lineRule="auto"/>
        <w:jc w:val="both"/>
        <w:rPr>
          <w:rFonts w:ascii="Times New Roman" w:hAnsi="Times New Roman" w:cs="Times New Roman"/>
          <w:b/>
          <w:bCs/>
        </w:rPr>
      </w:pPr>
      <w:r w:rsidRPr="00125810">
        <w:rPr>
          <w:rFonts w:ascii="Times New Roman" w:eastAsia="Times New Roman" w:hAnsi="Times New Roman" w:cs="Times New Roman"/>
          <w:b/>
          <w:bCs/>
          <w:kern w:val="0"/>
          <w14:ligatures w14:val="none"/>
        </w:rPr>
        <w:t xml:space="preserve">Assessing the level of Toxic Metals and </w:t>
      </w:r>
      <w:r w:rsidRPr="00125810">
        <w:rPr>
          <w:rFonts w:ascii="Times New Roman" w:hAnsi="Times New Roman" w:cs="Times New Roman"/>
          <w:b/>
          <w:bCs/>
        </w:rPr>
        <w:t xml:space="preserve">the Health Risk of </w:t>
      </w:r>
      <w:r w:rsidRPr="00125810">
        <w:rPr>
          <w:rFonts w:ascii="Times New Roman" w:eastAsia="Times New Roman" w:hAnsi="Times New Roman" w:cs="Times New Roman"/>
          <w:b/>
          <w:bCs/>
          <w:kern w:val="0"/>
          <w14:ligatures w14:val="none"/>
        </w:rPr>
        <w:t xml:space="preserve">Herbal Teas and Spices </w:t>
      </w:r>
      <w:r w:rsidRPr="00125810">
        <w:rPr>
          <w:rFonts w:ascii="Times New Roman" w:hAnsi="Times New Roman" w:cs="Times New Roman"/>
          <w:b/>
          <w:bCs/>
        </w:rPr>
        <w:t>in Abuja, Nigeria</w:t>
      </w:r>
    </w:p>
    <w:p w14:paraId="2D463176" w14:textId="77777777" w:rsidR="00E71AA1" w:rsidRDefault="00E71AA1" w:rsidP="00125810">
      <w:pPr>
        <w:spacing w:line="480" w:lineRule="auto"/>
        <w:jc w:val="both"/>
        <w:rPr>
          <w:rFonts w:ascii="Times New Roman" w:hAnsi="Times New Roman" w:cs="Times New Roman"/>
          <w:b/>
          <w:bCs/>
        </w:rPr>
      </w:pPr>
    </w:p>
    <w:p w14:paraId="21B99A2C" w14:textId="7FD1C381" w:rsidR="009F3DEA" w:rsidRPr="00125810" w:rsidRDefault="009F3DEA" w:rsidP="00125810">
      <w:pPr>
        <w:spacing w:line="480" w:lineRule="auto"/>
        <w:jc w:val="both"/>
        <w:rPr>
          <w:rFonts w:ascii="Times New Roman" w:hAnsi="Times New Roman" w:cs="Times New Roman"/>
        </w:rPr>
      </w:pPr>
      <w:bookmarkStart w:id="0" w:name="_GoBack"/>
      <w:bookmarkEnd w:id="0"/>
      <w:r>
        <w:rPr>
          <w:rFonts w:ascii="Times New Roman" w:hAnsi="Times New Roman" w:cs="Times New Roman"/>
          <w:b/>
          <w:bCs/>
        </w:rPr>
        <w:t xml:space="preserve">Abstract  </w:t>
      </w:r>
    </w:p>
    <w:p w14:paraId="77C6917D" w14:textId="6AA58FC0"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Herbal teas and spices are widely consumed in Nigeria in both urban and peri-urban societies, such as Abuja, for their nutritional, medicinal, and cultural values. However, contamination with toxic metals poses serious health risks due to their persistence, bioaccumulation, and toxicity even at low concentrations. This study assesses the levels of heavy metals (lead (Pb), cadmium (Cd), chromium (Cr), manganese (Mn), cobalt (Co), nickel (Ni), and copper (Cu)) in herbal teas and spices and evaluates the potential health risks associated with their consumption</w:t>
      </w:r>
      <w:r w:rsidRPr="00125810">
        <w:rPr>
          <w:rFonts w:ascii="Times New Roman" w:hAnsi="Times New Roman" w:cs="Times New Roman"/>
          <w:b/>
          <w:bCs/>
        </w:rPr>
        <w:t xml:space="preserve">. </w:t>
      </w:r>
      <w:r w:rsidRPr="00125810">
        <w:rPr>
          <w:rFonts w:ascii="Times New Roman" w:hAnsi="Times New Roman" w:cs="Times New Roman"/>
        </w:rPr>
        <w:t xml:space="preserve">Bulked samples of twelve herbal teas and eleven spices were digested and analyzed with atomic absorption spectrophotometry (AAS) using standard methods (AOAC, 2000). Analytical results indicate detectable concentrations of all metals in both sample types. In spices, ginger powder (Mn: 598.8 mg kg⁻¹; Cr: 15.13 mg kg⁻¹) and turmeric powder (Mn: 403.8 mg kg⁻¹; Cr: 12.96 mg kg⁻¹) showed the highest contaminant levels. Yellow pepper exhibited elevated Pb (7.89 mg kg⁻¹) and Cd (2.280 mg kg⁻¹), while garlic powder recorded the highest Cr (10.88 mg kg⁻¹). In herbal teas, Top tea contained extremely high Mn (1661 mg kg⁻¹) and Pb (35.12 mg kg⁻¹), whereas Moringa tea had a notably high Pb concentration (77.00 mg kg⁻¹). When compared to WHO/FAO permissible limits (Cd: 0.100 mg kg⁻¹; Co: 0.200 mg kg⁻¹; Cr: 2.000 mg kg⁻¹; Cu: 20.00 mg kg⁻¹; Mn: 0.120 mg kg⁻¹; Ni: 1.630 mg kg⁻¹; Pb: 10.00 mg kg⁻¹), several instances of exceedance were observed, especially for Mn, Cr, and Pb. Health risk assessment revealed that the manganese’s hazard quotient (11.26) surpassed safe limits significantly, indicating a major risk of neurotoxicity, while lead HQ (1.11) slightly exceeded safety thresholds, suggesting potential nervous, renal, and hematopoietic effects. </w:t>
      </w:r>
      <w:r w:rsidRPr="00125810">
        <w:rPr>
          <w:rFonts w:ascii="Times New Roman" w:hAnsi="Times New Roman" w:cs="Times New Roman"/>
        </w:rPr>
        <w:lastRenderedPageBreak/>
        <w:t>Other metals (Cd, Co, Cr, Cu, Ni) remained below risk levels (HQ &lt; 1). The results confirm substantial contamination in widely consumed spices and teas, with implications for chronic dietary exposure. Regulatory agencies should enforce stricter quality control measures to protect public health.</w:t>
      </w:r>
    </w:p>
    <w:p w14:paraId="66AE11FB" w14:textId="79EE136B" w:rsidR="00C20512" w:rsidRPr="00125810" w:rsidRDefault="00C20512" w:rsidP="00125810">
      <w:pPr>
        <w:spacing w:line="480" w:lineRule="auto"/>
        <w:jc w:val="both"/>
        <w:rPr>
          <w:rFonts w:ascii="Times New Roman" w:hAnsi="Times New Roman" w:cs="Times New Roman"/>
          <w:b/>
          <w:bCs/>
        </w:rPr>
      </w:pPr>
      <w:r w:rsidRPr="00125810">
        <w:rPr>
          <w:rFonts w:ascii="Times New Roman" w:hAnsi="Times New Roman" w:cs="Times New Roman"/>
          <w:b/>
          <w:bCs/>
        </w:rPr>
        <w:t xml:space="preserve">Keywords: </w:t>
      </w:r>
      <w:r w:rsidRPr="00A74D08">
        <w:rPr>
          <w:rFonts w:ascii="Times New Roman" w:hAnsi="Times New Roman" w:cs="Times New Roman"/>
          <w:b/>
          <w:bCs/>
          <w:i/>
          <w:iCs/>
        </w:rPr>
        <w:t>Beverages, Condiment, Metals, Toxicity, Risk</w:t>
      </w:r>
    </w:p>
    <w:p w14:paraId="46F9A331" w14:textId="676C6233" w:rsidR="001E5C8D" w:rsidRPr="001E5C8D" w:rsidRDefault="00C20512" w:rsidP="001E5C8D">
      <w:pPr>
        <w:spacing w:line="480" w:lineRule="auto"/>
        <w:jc w:val="both"/>
        <w:rPr>
          <w:rFonts w:ascii="Times New Roman" w:hAnsi="Times New Roman" w:cs="Times New Roman"/>
          <w:b/>
          <w:bCs/>
        </w:rPr>
      </w:pPr>
      <w:r w:rsidRPr="00125810">
        <w:rPr>
          <w:rFonts w:ascii="Times New Roman" w:hAnsi="Times New Roman" w:cs="Times New Roman"/>
          <w:b/>
          <w:bCs/>
        </w:rPr>
        <w:t>Introduction</w:t>
      </w:r>
    </w:p>
    <w:p w14:paraId="71F671EE" w14:textId="77777777" w:rsidR="001E5C8D" w:rsidRPr="001E5C8D" w:rsidRDefault="001E5C8D" w:rsidP="001E5C8D">
      <w:pPr>
        <w:spacing w:line="480" w:lineRule="auto"/>
        <w:jc w:val="both"/>
        <w:rPr>
          <w:rFonts w:ascii="Times New Roman" w:hAnsi="Times New Roman" w:cs="Times New Roman"/>
        </w:rPr>
      </w:pPr>
      <w:r w:rsidRPr="001E5C8D">
        <w:rPr>
          <w:rFonts w:ascii="Times New Roman" w:hAnsi="Times New Roman" w:cs="Times New Roman"/>
        </w:rPr>
        <w:t xml:space="preserve">Heavy metals, characterized by high atomic weights, atomic numbers, or density, are a group of metals and metalloids, many of which occupy the 3d orbital in their electron configuration. In environmental science, toxicology, and chemistry, heavy metals often refer to elements that are toxic or harmful to living organisms, even at low concentrations </w:t>
      </w:r>
      <w:bookmarkStart w:id="1" w:name="_Hlk211434767"/>
      <w:r w:rsidRPr="001E5C8D">
        <w:rPr>
          <w:rFonts w:ascii="Times New Roman" w:hAnsi="Times New Roman" w:cs="Times New Roman"/>
        </w:rPr>
        <w:t>(</w:t>
      </w:r>
      <w:proofErr w:type="spellStart"/>
      <w:r w:rsidRPr="001E5C8D">
        <w:rPr>
          <w:rFonts w:ascii="Times New Roman" w:hAnsi="Times New Roman" w:cs="Times New Roman"/>
        </w:rPr>
        <w:t>Jadaa</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2023)</w:t>
      </w:r>
      <w:bookmarkEnd w:id="1"/>
      <w:r w:rsidRPr="001E5C8D">
        <w:rPr>
          <w:rFonts w:ascii="Times New Roman" w:hAnsi="Times New Roman" w:cs="Times New Roman"/>
        </w:rPr>
        <w:t>. Spices and herbal teas, derived from various plant parts such as bark, rhizomes, fruits, seeds, flowers, and leaves, have been integral to global culinary traditions for their flavors, aromas, and therapeutic benefits. These plant-based products are valued for their antimicrobial, antidiabetic, anti-inflammatory, antioxidant, and antihypertensive properties (</w:t>
      </w:r>
      <w:bookmarkStart w:id="2" w:name="_Hlk209747015"/>
      <w:r w:rsidRPr="001E5C8D">
        <w:rPr>
          <w:rFonts w:ascii="Times New Roman" w:hAnsi="Times New Roman" w:cs="Times New Roman"/>
        </w:rPr>
        <w:t xml:space="preserve">Baig </w:t>
      </w:r>
      <w:r w:rsidRPr="001E5C8D">
        <w:rPr>
          <w:rFonts w:ascii="Times New Roman" w:hAnsi="Times New Roman" w:cs="Times New Roman"/>
          <w:i/>
          <w:iCs/>
        </w:rPr>
        <w:t>et al</w:t>
      </w:r>
      <w:r w:rsidRPr="001E5C8D">
        <w:rPr>
          <w:rFonts w:ascii="Times New Roman" w:hAnsi="Times New Roman" w:cs="Times New Roman"/>
        </w:rPr>
        <w:t>., 2019</w:t>
      </w:r>
      <w:bookmarkEnd w:id="2"/>
      <w:r w:rsidRPr="001E5C8D">
        <w:rPr>
          <w:rFonts w:ascii="Times New Roman" w:hAnsi="Times New Roman" w:cs="Times New Roman"/>
        </w:rPr>
        <w:t xml:space="preserve">; </w:t>
      </w:r>
      <w:proofErr w:type="spellStart"/>
      <w:r w:rsidRPr="001E5C8D">
        <w:rPr>
          <w:rFonts w:ascii="Times New Roman" w:hAnsi="Times New Roman" w:cs="Times New Roman"/>
        </w:rPr>
        <w:t>Winiarska-Mieczan</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2023). Historically, spices and herbs have played significant roles in trade, cultural interactions, and the advancement of civilizations.</w:t>
      </w:r>
    </w:p>
    <w:p w14:paraId="167D9D37" w14:textId="2B064247" w:rsidR="001E5C8D" w:rsidRPr="001E5C8D" w:rsidRDefault="001E5C8D" w:rsidP="001E5C8D">
      <w:pPr>
        <w:spacing w:line="480" w:lineRule="auto"/>
        <w:jc w:val="both"/>
        <w:rPr>
          <w:rFonts w:ascii="Times New Roman" w:hAnsi="Times New Roman" w:cs="Times New Roman"/>
        </w:rPr>
      </w:pPr>
      <w:r w:rsidRPr="001E5C8D">
        <w:rPr>
          <w:rFonts w:ascii="Times New Roman" w:hAnsi="Times New Roman" w:cs="Times New Roman"/>
        </w:rPr>
        <w:t xml:space="preserve">Despite their health benefits, spices and herbal teas are increasingly recognized as potential sources of heavy metal contamination. Contamination may occur naturally through soil mineral composition or processes like bioaccumulation and biomagnification. Anthropogenic activities, including improper disposal of scrap metals </w:t>
      </w:r>
      <w:bookmarkStart w:id="3" w:name="_Hlk211435024"/>
      <w:r w:rsidRPr="001E5C8D">
        <w:rPr>
          <w:rFonts w:ascii="Times New Roman" w:hAnsi="Times New Roman" w:cs="Times New Roman"/>
        </w:rPr>
        <w:t>(</w:t>
      </w:r>
      <w:r w:rsidR="00087B60">
        <w:rPr>
          <w:rFonts w:ascii="Times New Roman" w:hAnsi="Times New Roman" w:cs="Times New Roman"/>
        </w:rPr>
        <w:t>Hu</w:t>
      </w:r>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20</w:t>
      </w:r>
      <w:r w:rsidR="00087B60">
        <w:rPr>
          <w:rFonts w:ascii="Times New Roman" w:hAnsi="Times New Roman" w:cs="Times New Roman"/>
        </w:rPr>
        <w:t xml:space="preserve">24; Kelle </w:t>
      </w:r>
      <w:r w:rsidR="00087B60" w:rsidRPr="00087B60">
        <w:rPr>
          <w:rFonts w:ascii="Times New Roman" w:hAnsi="Times New Roman" w:cs="Times New Roman"/>
          <w:i/>
          <w:iCs/>
        </w:rPr>
        <w:t>et al</w:t>
      </w:r>
      <w:r w:rsidR="00087B60">
        <w:rPr>
          <w:rFonts w:ascii="Times New Roman" w:hAnsi="Times New Roman" w:cs="Times New Roman"/>
        </w:rPr>
        <w:t>., 20224</w:t>
      </w:r>
      <w:bookmarkEnd w:id="3"/>
      <w:r w:rsidRPr="001E5C8D">
        <w:rPr>
          <w:rFonts w:ascii="Times New Roman" w:hAnsi="Times New Roman" w:cs="Times New Roman"/>
        </w:rPr>
        <w:t>), emissions from power plants (</w:t>
      </w:r>
      <w:proofErr w:type="spellStart"/>
      <w:r w:rsidRPr="001E5C8D">
        <w:rPr>
          <w:rFonts w:ascii="Times New Roman" w:hAnsi="Times New Roman" w:cs="Times New Roman"/>
        </w:rPr>
        <w:t>Ogoko</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xml:space="preserve">., 2019), mining operations (Yahaya </w:t>
      </w:r>
      <w:r w:rsidRPr="001E5C8D">
        <w:rPr>
          <w:rFonts w:ascii="Times New Roman" w:hAnsi="Times New Roman" w:cs="Times New Roman"/>
          <w:i/>
          <w:iCs/>
        </w:rPr>
        <w:t>et al</w:t>
      </w:r>
      <w:r w:rsidRPr="001E5C8D">
        <w:rPr>
          <w:rFonts w:ascii="Times New Roman" w:hAnsi="Times New Roman" w:cs="Times New Roman"/>
        </w:rPr>
        <w:t xml:space="preserve">., 2021), metal recycling (Olatunji </w:t>
      </w:r>
      <w:r w:rsidRPr="001E5C8D">
        <w:rPr>
          <w:rFonts w:ascii="Times New Roman" w:hAnsi="Times New Roman" w:cs="Times New Roman"/>
          <w:i/>
          <w:iCs/>
        </w:rPr>
        <w:t>et al</w:t>
      </w:r>
      <w:r w:rsidRPr="001E5C8D">
        <w:rPr>
          <w:rFonts w:ascii="Times New Roman" w:hAnsi="Times New Roman" w:cs="Times New Roman"/>
        </w:rPr>
        <w:t>., 2018), vehicular emissions (</w:t>
      </w:r>
      <w:r w:rsidR="00087B60" w:rsidRPr="001E5C8D">
        <w:rPr>
          <w:rFonts w:ascii="Times New Roman" w:hAnsi="Times New Roman" w:cs="Times New Roman"/>
        </w:rPr>
        <w:t xml:space="preserve">Ayinde </w:t>
      </w:r>
      <w:r w:rsidR="00087B60" w:rsidRPr="001E5C8D">
        <w:rPr>
          <w:rFonts w:ascii="Times New Roman" w:hAnsi="Times New Roman" w:cs="Times New Roman"/>
          <w:i/>
          <w:iCs/>
        </w:rPr>
        <w:t>et al</w:t>
      </w:r>
      <w:r w:rsidR="00087B60" w:rsidRPr="001E5C8D">
        <w:rPr>
          <w:rFonts w:ascii="Times New Roman" w:hAnsi="Times New Roman" w:cs="Times New Roman"/>
        </w:rPr>
        <w:t>., 2020</w:t>
      </w:r>
      <w:r w:rsidR="00087B60">
        <w:rPr>
          <w:rFonts w:ascii="Times New Roman" w:hAnsi="Times New Roman" w:cs="Times New Roman"/>
        </w:rPr>
        <w:t xml:space="preserve">; </w:t>
      </w:r>
      <w:r w:rsidRPr="001E5C8D">
        <w:rPr>
          <w:rFonts w:ascii="Times New Roman" w:hAnsi="Times New Roman" w:cs="Times New Roman"/>
        </w:rPr>
        <w:t xml:space="preserve"> </w:t>
      </w:r>
      <w:proofErr w:type="spellStart"/>
      <w:r w:rsidRPr="001E5C8D">
        <w:rPr>
          <w:rFonts w:ascii="Times New Roman" w:hAnsi="Times New Roman" w:cs="Times New Roman"/>
        </w:rPr>
        <w:t>Olukanni</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xml:space="preserve">., 2021), oil spills </w:t>
      </w:r>
      <w:r w:rsidRPr="001E5C8D">
        <w:rPr>
          <w:rFonts w:ascii="Times New Roman" w:hAnsi="Times New Roman" w:cs="Times New Roman"/>
        </w:rPr>
        <w:lastRenderedPageBreak/>
        <w:t>(</w:t>
      </w:r>
      <w:proofErr w:type="spellStart"/>
      <w:r w:rsidR="00087B60" w:rsidRPr="00E53702">
        <w:t>Umanah</w:t>
      </w:r>
      <w:proofErr w:type="spellEnd"/>
      <w:r w:rsidR="00087B60">
        <w:t xml:space="preserve"> et al., 2025; </w:t>
      </w:r>
      <w:proofErr w:type="spellStart"/>
      <w:r w:rsidR="00087B60" w:rsidRPr="00EA1124">
        <w:t>Uzoatu</w:t>
      </w:r>
      <w:proofErr w:type="spellEnd"/>
      <w:r w:rsidR="00087B60">
        <w:t xml:space="preserve"> et al., 2025</w:t>
      </w:r>
      <w:r w:rsidRPr="001E5C8D">
        <w:rPr>
          <w:rFonts w:ascii="Times New Roman" w:hAnsi="Times New Roman" w:cs="Times New Roman"/>
        </w:rPr>
        <w:t>), poor solid waste management (</w:t>
      </w:r>
      <w:r w:rsidR="00087B60" w:rsidRPr="00E53702">
        <w:t>Sadeghi Poor</w:t>
      </w:r>
      <w:r w:rsidR="00087B60">
        <w:t xml:space="preserve"> </w:t>
      </w:r>
      <w:r w:rsidR="00087B60" w:rsidRPr="00087B60">
        <w:rPr>
          <w:i/>
          <w:iCs/>
        </w:rPr>
        <w:t>et al</w:t>
      </w:r>
      <w:r w:rsidR="00087B60">
        <w:t>., 2020</w:t>
      </w:r>
      <w:r w:rsidRPr="001E5C8D">
        <w:rPr>
          <w:rFonts w:ascii="Times New Roman" w:hAnsi="Times New Roman" w:cs="Times New Roman"/>
        </w:rPr>
        <w:t>), industrial effluent discharges (</w:t>
      </w:r>
      <w:proofErr w:type="spellStart"/>
      <w:r w:rsidRPr="001E5C8D">
        <w:rPr>
          <w:rFonts w:ascii="Times New Roman" w:hAnsi="Times New Roman" w:cs="Times New Roman"/>
        </w:rPr>
        <w:t>Odili</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xml:space="preserve">., 2018; Oyeleke </w:t>
      </w:r>
      <w:r w:rsidRPr="001E5C8D">
        <w:rPr>
          <w:rFonts w:ascii="Times New Roman" w:hAnsi="Times New Roman" w:cs="Times New Roman"/>
          <w:i/>
          <w:iCs/>
        </w:rPr>
        <w:t>et al</w:t>
      </w:r>
      <w:r w:rsidRPr="001E5C8D">
        <w:rPr>
          <w:rFonts w:ascii="Times New Roman" w:hAnsi="Times New Roman" w:cs="Times New Roman"/>
        </w:rPr>
        <w:t>., 2016), activities at auto-mechanic workshops (</w:t>
      </w:r>
      <w:r w:rsidR="00087B60">
        <w:rPr>
          <w:rFonts w:ascii="Times New Roman" w:hAnsi="Times New Roman" w:cs="Times New Roman"/>
        </w:rPr>
        <w:t xml:space="preserve">Duro </w:t>
      </w:r>
      <w:r w:rsidR="00087B60" w:rsidRPr="00087B60">
        <w:rPr>
          <w:rFonts w:ascii="Times New Roman" w:hAnsi="Times New Roman" w:cs="Times New Roman"/>
          <w:i/>
          <w:iCs/>
        </w:rPr>
        <w:t>et al</w:t>
      </w:r>
      <w:r w:rsidR="00087B60">
        <w:rPr>
          <w:rFonts w:ascii="Times New Roman" w:hAnsi="Times New Roman" w:cs="Times New Roman"/>
        </w:rPr>
        <w:t>., 2024</w:t>
      </w:r>
      <w:r w:rsidRPr="001E5C8D">
        <w:rPr>
          <w:rFonts w:ascii="Times New Roman" w:hAnsi="Times New Roman" w:cs="Times New Roman"/>
        </w:rPr>
        <w:t>)</w:t>
      </w:r>
      <w:r w:rsidR="00087B60">
        <w:rPr>
          <w:rFonts w:ascii="Times New Roman" w:hAnsi="Times New Roman" w:cs="Times New Roman"/>
        </w:rPr>
        <w:t>. f</w:t>
      </w:r>
      <w:r w:rsidRPr="001E5C8D">
        <w:rPr>
          <w:rFonts w:ascii="Times New Roman" w:hAnsi="Times New Roman" w:cs="Times New Roman"/>
        </w:rPr>
        <w:t>urther contribute to contamination. Additional sources include the use of fertilizers, pesticides, atmospheric deposition, and poor post-harvest handling practices.</w:t>
      </w:r>
    </w:p>
    <w:p w14:paraId="0E948486" w14:textId="4D5A5946" w:rsidR="00F41A23" w:rsidRDefault="001E5C8D" w:rsidP="001E5C8D">
      <w:pPr>
        <w:spacing w:line="480" w:lineRule="auto"/>
        <w:jc w:val="both"/>
        <w:rPr>
          <w:rFonts w:ascii="Times New Roman" w:hAnsi="Times New Roman" w:cs="Times New Roman"/>
        </w:rPr>
      </w:pPr>
      <w:r w:rsidRPr="001E5C8D">
        <w:rPr>
          <w:rFonts w:ascii="Times New Roman" w:hAnsi="Times New Roman" w:cs="Times New Roman"/>
        </w:rPr>
        <w:t>Prolonged human exposure to heavy metals through contaminated spices and herbal teas poses significant public health risks. While some heavy metals, such as iron, zinc, copper, manganese, molybdenum, cobalt, chromium (Cr3+), magnesium, selenium, and nickel, are essential micronutrients for metabolic and physiological functions (</w:t>
      </w:r>
      <w:proofErr w:type="spellStart"/>
      <w:r w:rsidRPr="001E5C8D">
        <w:rPr>
          <w:rFonts w:ascii="Times New Roman" w:hAnsi="Times New Roman" w:cs="Times New Roman"/>
        </w:rPr>
        <w:t>Jadaa</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xml:space="preserve">., 2023), excessive intake can lead to adverse health effects (Munir </w:t>
      </w:r>
      <w:r w:rsidRPr="001E5C8D">
        <w:rPr>
          <w:rFonts w:ascii="Times New Roman" w:hAnsi="Times New Roman" w:cs="Times New Roman"/>
          <w:i/>
          <w:iCs/>
        </w:rPr>
        <w:t>et al</w:t>
      </w:r>
      <w:r w:rsidRPr="001E5C8D">
        <w:rPr>
          <w:rFonts w:ascii="Times New Roman" w:hAnsi="Times New Roman" w:cs="Times New Roman"/>
        </w:rPr>
        <w:t>., 2021). Non-essential heavy metals, including cadmium (Cd), lead (Pb), mercury (Hg), arsenic (As), and hexavalent chromium (Cr</w:t>
      </w:r>
      <w:r w:rsidRPr="00A74D08">
        <w:rPr>
          <w:rFonts w:ascii="Times New Roman" w:hAnsi="Times New Roman" w:cs="Times New Roman"/>
          <w:vertAlign w:val="superscript"/>
        </w:rPr>
        <w:t>6</w:t>
      </w:r>
      <w:r w:rsidRPr="001E5C8D">
        <w:rPr>
          <w:rFonts w:ascii="Times New Roman" w:hAnsi="Times New Roman" w:cs="Times New Roman"/>
        </w:rPr>
        <w:t>+), are toxic even at low concentrations and have no biological role in the human body (</w:t>
      </w:r>
      <w:proofErr w:type="spellStart"/>
      <w:r w:rsidRPr="001E5C8D">
        <w:rPr>
          <w:rFonts w:ascii="Times New Roman" w:hAnsi="Times New Roman" w:cs="Times New Roman"/>
        </w:rPr>
        <w:t>Jadaa</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xml:space="preserve">., 2023). Previous studies have documented heavy metal contamination in spices and herbal teas across various regions, highlighting a widespread public health </w:t>
      </w:r>
      <w:proofErr w:type="gramStart"/>
      <w:r w:rsidRPr="001E5C8D">
        <w:rPr>
          <w:rFonts w:ascii="Times New Roman" w:hAnsi="Times New Roman" w:cs="Times New Roman"/>
        </w:rPr>
        <w:t xml:space="preserve">concern </w:t>
      </w:r>
      <w:r w:rsidR="00A74D08">
        <w:rPr>
          <w:rFonts w:ascii="Times New Roman" w:hAnsi="Times New Roman" w:cs="Times New Roman"/>
        </w:rPr>
        <w:t xml:space="preserve"> among</w:t>
      </w:r>
      <w:proofErr w:type="gramEnd"/>
      <w:r w:rsidR="00A74D08">
        <w:rPr>
          <w:rFonts w:ascii="Times New Roman" w:hAnsi="Times New Roman" w:cs="Times New Roman"/>
        </w:rPr>
        <w:t xml:space="preserve"> the stakeholders </w:t>
      </w:r>
      <w:r w:rsidRPr="001E5C8D">
        <w:rPr>
          <w:rFonts w:ascii="Times New Roman" w:hAnsi="Times New Roman" w:cs="Times New Roman"/>
        </w:rPr>
        <w:t>(</w:t>
      </w:r>
      <w:r w:rsidR="00087B60">
        <w:rPr>
          <w:rFonts w:ascii="Times New Roman" w:hAnsi="Times New Roman" w:cs="Times New Roman"/>
        </w:rPr>
        <w:t xml:space="preserve">Lawal </w:t>
      </w:r>
      <w:r w:rsidR="00087B60" w:rsidRPr="00A74D08">
        <w:rPr>
          <w:rFonts w:ascii="Times New Roman" w:hAnsi="Times New Roman" w:cs="Times New Roman"/>
          <w:i/>
          <w:iCs/>
        </w:rPr>
        <w:t>et al</w:t>
      </w:r>
      <w:r w:rsidR="00087B60">
        <w:rPr>
          <w:rFonts w:ascii="Times New Roman" w:hAnsi="Times New Roman" w:cs="Times New Roman"/>
        </w:rPr>
        <w:t>., 2025</w:t>
      </w:r>
      <w:r w:rsidRPr="001E5C8D">
        <w:rPr>
          <w:rFonts w:ascii="Times New Roman" w:hAnsi="Times New Roman" w:cs="Times New Roman"/>
        </w:rPr>
        <w:t xml:space="preserve">). </w:t>
      </w:r>
    </w:p>
    <w:p w14:paraId="6C05143B" w14:textId="3893FE17" w:rsidR="001E5C8D" w:rsidRDefault="001E5C8D" w:rsidP="001E5C8D">
      <w:pPr>
        <w:spacing w:line="480" w:lineRule="auto"/>
        <w:jc w:val="both"/>
        <w:rPr>
          <w:rFonts w:ascii="Times New Roman" w:hAnsi="Times New Roman" w:cs="Times New Roman"/>
        </w:rPr>
      </w:pPr>
      <w:r w:rsidRPr="001E5C8D">
        <w:rPr>
          <w:rFonts w:ascii="Times New Roman" w:hAnsi="Times New Roman" w:cs="Times New Roman"/>
        </w:rPr>
        <w:t>Health risks associated with heavy metal exposure include osteoporosis, kidney damage, neurological disorders, reproductive issues, cardiovascular diseases, and cancers such as breast, lung, prostate, nasopharyngeal, and pancreatic cancer (</w:t>
      </w:r>
      <w:r w:rsidR="002D75B0">
        <w:rPr>
          <w:rFonts w:ascii="Times New Roman" w:hAnsi="Times New Roman" w:cs="Times New Roman"/>
        </w:rPr>
        <w:t xml:space="preserve">Lawal </w:t>
      </w:r>
      <w:r w:rsidR="002D75B0" w:rsidRPr="002D75B0">
        <w:rPr>
          <w:rFonts w:ascii="Times New Roman" w:hAnsi="Times New Roman" w:cs="Times New Roman"/>
          <w:i/>
          <w:iCs/>
        </w:rPr>
        <w:t>et al</w:t>
      </w:r>
      <w:r w:rsidR="002D75B0">
        <w:rPr>
          <w:rFonts w:ascii="Times New Roman" w:hAnsi="Times New Roman" w:cs="Times New Roman"/>
        </w:rPr>
        <w:t xml:space="preserve">., 2021; Budi </w:t>
      </w:r>
      <w:r w:rsidR="002D75B0" w:rsidRPr="002D75B0">
        <w:rPr>
          <w:rFonts w:ascii="Times New Roman" w:hAnsi="Times New Roman" w:cs="Times New Roman"/>
          <w:i/>
          <w:iCs/>
        </w:rPr>
        <w:t>et al</w:t>
      </w:r>
      <w:r w:rsidR="002D75B0">
        <w:rPr>
          <w:rFonts w:ascii="Times New Roman" w:hAnsi="Times New Roman" w:cs="Times New Roman"/>
        </w:rPr>
        <w:t>., 2024</w:t>
      </w:r>
      <w:r w:rsidRPr="001E5C8D">
        <w:rPr>
          <w:rFonts w:ascii="Times New Roman" w:hAnsi="Times New Roman" w:cs="Times New Roman"/>
        </w:rPr>
        <w:t>). Heavy metals can also trigger inflammatory responses, disrupt gut microbiota, and impair mental health and cognitive performance (</w:t>
      </w:r>
      <w:r w:rsidR="002D75B0">
        <w:rPr>
          <w:rFonts w:ascii="Times New Roman" w:hAnsi="Times New Roman" w:cs="Times New Roman"/>
        </w:rPr>
        <w:t>Wang</w:t>
      </w:r>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202</w:t>
      </w:r>
      <w:r w:rsidR="002D75B0">
        <w:rPr>
          <w:rFonts w:ascii="Times New Roman" w:hAnsi="Times New Roman" w:cs="Times New Roman"/>
        </w:rPr>
        <w:t>4</w:t>
      </w:r>
      <w:r w:rsidRPr="001E5C8D">
        <w:rPr>
          <w:rFonts w:ascii="Times New Roman" w:hAnsi="Times New Roman" w:cs="Times New Roman"/>
        </w:rPr>
        <w:t>).</w:t>
      </w:r>
    </w:p>
    <w:p w14:paraId="4F9968ED" w14:textId="795913B6" w:rsidR="00496A54" w:rsidRPr="001E5C8D" w:rsidRDefault="00496A54" w:rsidP="001E5C8D">
      <w:pPr>
        <w:spacing w:line="480" w:lineRule="auto"/>
        <w:jc w:val="both"/>
        <w:rPr>
          <w:rFonts w:ascii="Times New Roman" w:hAnsi="Times New Roman" w:cs="Times New Roman"/>
        </w:rPr>
      </w:pPr>
      <w:r w:rsidRPr="00496A54">
        <w:rPr>
          <w:rFonts w:ascii="Times New Roman" w:hAnsi="Times New Roman" w:cs="Times New Roman"/>
        </w:rPr>
        <w:t xml:space="preserve">To ensure food safety, accurately </w:t>
      </w:r>
      <w:r w:rsidR="00891FF5">
        <w:rPr>
          <w:rFonts w:ascii="Times New Roman" w:hAnsi="Times New Roman" w:cs="Times New Roman"/>
        </w:rPr>
        <w:t>detecting</w:t>
      </w:r>
      <w:r w:rsidRPr="00496A54">
        <w:rPr>
          <w:rFonts w:ascii="Times New Roman" w:hAnsi="Times New Roman" w:cs="Times New Roman"/>
        </w:rPr>
        <w:t xml:space="preserve"> and </w:t>
      </w:r>
      <w:r w:rsidR="00891FF5">
        <w:rPr>
          <w:rFonts w:ascii="Times New Roman" w:hAnsi="Times New Roman" w:cs="Times New Roman"/>
        </w:rPr>
        <w:t>quantifying</w:t>
      </w:r>
      <w:r w:rsidRPr="00496A54">
        <w:rPr>
          <w:rFonts w:ascii="Times New Roman" w:hAnsi="Times New Roman" w:cs="Times New Roman"/>
        </w:rPr>
        <w:t xml:space="preserve"> heavy metals </w:t>
      </w:r>
      <w:r>
        <w:rPr>
          <w:rFonts w:ascii="Times New Roman" w:hAnsi="Times New Roman" w:cs="Times New Roman"/>
        </w:rPr>
        <w:t xml:space="preserve">in food samples generally requires versatile </w:t>
      </w:r>
      <w:r w:rsidRPr="00496A54">
        <w:rPr>
          <w:rFonts w:ascii="Times New Roman" w:hAnsi="Times New Roman" w:cs="Times New Roman"/>
        </w:rPr>
        <w:t xml:space="preserve">techniques </w:t>
      </w:r>
      <w:r w:rsidR="00891FF5">
        <w:rPr>
          <w:rFonts w:ascii="Times New Roman" w:hAnsi="Times New Roman" w:cs="Times New Roman"/>
        </w:rPr>
        <w:t xml:space="preserve">such as </w:t>
      </w:r>
      <w:r w:rsidR="00891FF5" w:rsidRPr="00496A54">
        <w:rPr>
          <w:rFonts w:ascii="Times New Roman" w:hAnsi="Times New Roman" w:cs="Times New Roman"/>
        </w:rPr>
        <w:t>Flame</w:t>
      </w:r>
      <w:r w:rsidRPr="00496A54">
        <w:rPr>
          <w:rFonts w:ascii="Times New Roman" w:hAnsi="Times New Roman" w:cs="Times New Roman"/>
        </w:rPr>
        <w:t xml:space="preserve"> Atomic Absorption Spectrometry (FAAS), </w:t>
      </w:r>
      <w:r w:rsidR="00891FF5">
        <w:rPr>
          <w:rFonts w:ascii="Times New Roman" w:hAnsi="Times New Roman" w:cs="Times New Roman"/>
        </w:rPr>
        <w:t xml:space="preserve">Graphite </w:t>
      </w:r>
      <w:r w:rsidR="00891FF5">
        <w:rPr>
          <w:rFonts w:ascii="Times New Roman" w:hAnsi="Times New Roman" w:cs="Times New Roman"/>
        </w:rPr>
        <w:lastRenderedPageBreak/>
        <w:t>Atomic Absorption Spectrophotometer (GAAS), and Inductively Coupled Plasma Optical Emission Spectroscopy (ICP-OES). The choice of these techniques</w:t>
      </w:r>
      <w:r w:rsidRPr="00496A54">
        <w:rPr>
          <w:rFonts w:ascii="Times New Roman" w:hAnsi="Times New Roman" w:cs="Times New Roman"/>
        </w:rPr>
        <w:t xml:space="preserve"> </w:t>
      </w:r>
      <w:r w:rsidR="00891FF5">
        <w:rPr>
          <w:rFonts w:ascii="Times New Roman" w:hAnsi="Times New Roman" w:cs="Times New Roman"/>
        </w:rPr>
        <w:t xml:space="preserve">is </w:t>
      </w:r>
      <w:r w:rsidRPr="00496A54">
        <w:rPr>
          <w:rFonts w:ascii="Times New Roman" w:hAnsi="Times New Roman" w:cs="Times New Roman"/>
        </w:rPr>
        <w:t>based on sample type, target metals, required sensitivity, and cost considerations (</w:t>
      </w:r>
      <w:proofErr w:type="spellStart"/>
      <w:r w:rsidR="002D75B0" w:rsidRPr="0041527C">
        <w:t>Inobeme</w:t>
      </w:r>
      <w:proofErr w:type="spellEnd"/>
      <w:r w:rsidRPr="00496A54">
        <w:rPr>
          <w:rFonts w:ascii="Times New Roman" w:hAnsi="Times New Roman" w:cs="Times New Roman"/>
        </w:rPr>
        <w:t xml:space="preserve"> </w:t>
      </w:r>
      <w:r w:rsidRPr="002D75B0">
        <w:rPr>
          <w:rFonts w:ascii="Times New Roman" w:hAnsi="Times New Roman" w:cs="Times New Roman"/>
          <w:i/>
          <w:iCs/>
        </w:rPr>
        <w:t>et al</w:t>
      </w:r>
      <w:r w:rsidRPr="00496A54">
        <w:rPr>
          <w:rFonts w:ascii="Times New Roman" w:hAnsi="Times New Roman" w:cs="Times New Roman"/>
        </w:rPr>
        <w:t>., 20</w:t>
      </w:r>
      <w:r w:rsidR="002D75B0">
        <w:rPr>
          <w:rFonts w:ascii="Times New Roman" w:hAnsi="Times New Roman" w:cs="Times New Roman"/>
        </w:rPr>
        <w:t>23</w:t>
      </w:r>
      <w:r w:rsidRPr="00496A54">
        <w:rPr>
          <w:rFonts w:ascii="Times New Roman" w:hAnsi="Times New Roman" w:cs="Times New Roman"/>
        </w:rPr>
        <w:t>).</w:t>
      </w:r>
    </w:p>
    <w:p w14:paraId="43E37A1F" w14:textId="04ADCB5D" w:rsidR="00C20512" w:rsidRDefault="00C20512" w:rsidP="00F41A23">
      <w:pPr>
        <w:spacing w:line="480" w:lineRule="auto"/>
        <w:jc w:val="both"/>
      </w:pPr>
      <w:r w:rsidRPr="00F41A23">
        <w:rPr>
          <w:rFonts w:ascii="Times New Roman" w:hAnsi="Times New Roman" w:cs="Times New Roman"/>
        </w:rPr>
        <w:t xml:space="preserve"> </w:t>
      </w:r>
      <w:r w:rsidR="00F41A23" w:rsidRPr="00F41A23">
        <w:t>The European Food Safety Authority (EFSA) and the Joint FAO/WHO Expert Committee on Food Additives (JECFA) have established strict acceptable daily intake (ADI) values for heavy metals. The ADI represents the maximum quantity of a specific heavy metal that can be ingested daily over a lifetime without posing significant health risks (</w:t>
      </w:r>
      <w:proofErr w:type="spellStart"/>
      <w:r w:rsidR="002D75B0">
        <w:t>Ayanniyi</w:t>
      </w:r>
      <w:proofErr w:type="spellEnd"/>
      <w:r w:rsidR="002D75B0">
        <w:t xml:space="preserve"> </w:t>
      </w:r>
      <w:r w:rsidR="002D75B0" w:rsidRPr="002D75B0">
        <w:rPr>
          <w:i/>
          <w:iCs/>
        </w:rPr>
        <w:t>et al</w:t>
      </w:r>
      <w:r w:rsidR="002D75B0">
        <w:t>., 2024</w:t>
      </w:r>
      <w:r w:rsidR="00F41A23" w:rsidRPr="00F41A23">
        <w:t>). This threshold defines the safe limit for consumption, ensuring minimal risk of adverse effects in the general population. Exceeding this limit through contaminated sources like spices or herbal teas can trigger severe health consequences, including gastrointestinal disorders, liver damage, and oxidative stress</w:t>
      </w:r>
      <w:r w:rsidR="00F41A23">
        <w:t>, among others, as previously enumerated</w:t>
      </w:r>
      <w:r w:rsidR="00496A54">
        <w:t>.</w:t>
      </w:r>
    </w:p>
    <w:tbl>
      <w:tblPr>
        <w:tblpPr w:leftFromText="180" w:rightFromText="180" w:vertAnchor="text" w:horzAnchor="margin" w:tblpY="297"/>
        <w:tblW w:w="103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6"/>
        <w:gridCol w:w="764"/>
        <w:gridCol w:w="1290"/>
        <w:gridCol w:w="1276"/>
        <w:gridCol w:w="1270"/>
        <w:gridCol w:w="1290"/>
        <w:gridCol w:w="1270"/>
        <w:gridCol w:w="1195"/>
      </w:tblGrid>
      <w:tr w:rsidR="00496A54" w:rsidRPr="00F41A23" w14:paraId="4DBB6439" w14:textId="77777777">
        <w:trPr>
          <w:trHeight w:val="165"/>
        </w:trPr>
        <w:tc>
          <w:tcPr>
            <w:tcW w:w="1956" w:type="dxa"/>
            <w:tcBorders>
              <w:top w:val="single" w:sz="4" w:space="0" w:color="auto"/>
              <w:left w:val="single" w:sz="4" w:space="0" w:color="auto"/>
              <w:bottom w:val="single" w:sz="4" w:space="0" w:color="auto"/>
              <w:right w:val="single" w:sz="4" w:space="0" w:color="auto"/>
            </w:tcBorders>
            <w:hideMark/>
          </w:tcPr>
          <w:p w14:paraId="46C34D46" w14:textId="77777777" w:rsidR="00496A54" w:rsidRPr="00496A54" w:rsidRDefault="00496A54">
            <w:pPr>
              <w:rPr>
                <w:b/>
                <w:bCs/>
              </w:rPr>
            </w:pPr>
            <w:r w:rsidRPr="00496A54">
              <w:rPr>
                <w:b/>
                <w:bCs/>
              </w:rPr>
              <w:t>Heavy metals</w:t>
            </w:r>
          </w:p>
        </w:tc>
        <w:tc>
          <w:tcPr>
            <w:tcW w:w="764" w:type="dxa"/>
            <w:tcBorders>
              <w:top w:val="single" w:sz="4" w:space="0" w:color="auto"/>
              <w:left w:val="single" w:sz="4" w:space="0" w:color="auto"/>
              <w:bottom w:val="single" w:sz="4" w:space="0" w:color="auto"/>
              <w:right w:val="single" w:sz="4" w:space="0" w:color="auto"/>
            </w:tcBorders>
            <w:hideMark/>
          </w:tcPr>
          <w:p w14:paraId="4D7855F6" w14:textId="77777777" w:rsidR="00496A54" w:rsidRPr="00496A54" w:rsidRDefault="00496A54">
            <w:pPr>
              <w:rPr>
                <w:b/>
                <w:bCs/>
              </w:rPr>
            </w:pPr>
            <w:r w:rsidRPr="00496A54">
              <w:rPr>
                <w:b/>
                <w:bCs/>
              </w:rPr>
              <w:t>Cd</w:t>
            </w:r>
          </w:p>
        </w:tc>
        <w:tc>
          <w:tcPr>
            <w:tcW w:w="1290" w:type="dxa"/>
            <w:tcBorders>
              <w:top w:val="single" w:sz="4" w:space="0" w:color="auto"/>
              <w:left w:val="single" w:sz="4" w:space="0" w:color="auto"/>
              <w:bottom w:val="single" w:sz="4" w:space="0" w:color="auto"/>
              <w:right w:val="single" w:sz="4" w:space="0" w:color="auto"/>
            </w:tcBorders>
            <w:hideMark/>
          </w:tcPr>
          <w:p w14:paraId="1C86AEE9" w14:textId="77777777" w:rsidR="00496A54" w:rsidRPr="00496A54" w:rsidRDefault="00496A54">
            <w:pPr>
              <w:rPr>
                <w:b/>
                <w:bCs/>
              </w:rPr>
            </w:pPr>
            <w:r w:rsidRPr="00496A54">
              <w:rPr>
                <w:b/>
                <w:bCs/>
              </w:rPr>
              <w:t>Co</w:t>
            </w:r>
          </w:p>
        </w:tc>
        <w:tc>
          <w:tcPr>
            <w:tcW w:w="1276" w:type="dxa"/>
            <w:tcBorders>
              <w:top w:val="single" w:sz="4" w:space="0" w:color="auto"/>
              <w:left w:val="single" w:sz="4" w:space="0" w:color="auto"/>
              <w:bottom w:val="single" w:sz="4" w:space="0" w:color="auto"/>
              <w:right w:val="single" w:sz="4" w:space="0" w:color="auto"/>
            </w:tcBorders>
            <w:hideMark/>
          </w:tcPr>
          <w:p w14:paraId="75F0F3BD" w14:textId="77777777" w:rsidR="00496A54" w:rsidRPr="00496A54" w:rsidRDefault="00496A54">
            <w:pPr>
              <w:rPr>
                <w:b/>
                <w:bCs/>
              </w:rPr>
            </w:pPr>
            <w:r w:rsidRPr="00496A54">
              <w:rPr>
                <w:b/>
                <w:bCs/>
              </w:rPr>
              <w:t>Pb</w:t>
            </w:r>
          </w:p>
        </w:tc>
        <w:tc>
          <w:tcPr>
            <w:tcW w:w="1270" w:type="dxa"/>
            <w:tcBorders>
              <w:top w:val="single" w:sz="4" w:space="0" w:color="auto"/>
              <w:left w:val="single" w:sz="4" w:space="0" w:color="auto"/>
              <w:bottom w:val="single" w:sz="4" w:space="0" w:color="auto"/>
              <w:right w:val="single" w:sz="4" w:space="0" w:color="auto"/>
            </w:tcBorders>
            <w:hideMark/>
          </w:tcPr>
          <w:p w14:paraId="37C3845C" w14:textId="77777777" w:rsidR="00496A54" w:rsidRPr="00496A54" w:rsidRDefault="00496A54">
            <w:pPr>
              <w:rPr>
                <w:b/>
                <w:bCs/>
              </w:rPr>
            </w:pPr>
            <w:r w:rsidRPr="00496A54">
              <w:rPr>
                <w:b/>
                <w:bCs/>
              </w:rPr>
              <w:t>Cr</w:t>
            </w:r>
          </w:p>
        </w:tc>
        <w:tc>
          <w:tcPr>
            <w:tcW w:w="1290" w:type="dxa"/>
            <w:tcBorders>
              <w:top w:val="single" w:sz="4" w:space="0" w:color="auto"/>
              <w:left w:val="single" w:sz="4" w:space="0" w:color="auto"/>
              <w:bottom w:val="single" w:sz="4" w:space="0" w:color="auto"/>
              <w:right w:val="single" w:sz="4" w:space="0" w:color="auto"/>
            </w:tcBorders>
            <w:hideMark/>
          </w:tcPr>
          <w:p w14:paraId="62B98A12" w14:textId="77777777" w:rsidR="00496A54" w:rsidRPr="00496A54" w:rsidRDefault="00496A54">
            <w:pPr>
              <w:rPr>
                <w:b/>
                <w:bCs/>
              </w:rPr>
            </w:pPr>
            <w:r w:rsidRPr="00496A54">
              <w:rPr>
                <w:b/>
                <w:bCs/>
              </w:rPr>
              <w:t>Cu</w:t>
            </w:r>
          </w:p>
        </w:tc>
        <w:tc>
          <w:tcPr>
            <w:tcW w:w="1270" w:type="dxa"/>
            <w:tcBorders>
              <w:top w:val="single" w:sz="4" w:space="0" w:color="auto"/>
              <w:left w:val="single" w:sz="4" w:space="0" w:color="auto"/>
              <w:bottom w:val="single" w:sz="4" w:space="0" w:color="auto"/>
              <w:right w:val="single" w:sz="4" w:space="0" w:color="auto"/>
            </w:tcBorders>
            <w:hideMark/>
          </w:tcPr>
          <w:p w14:paraId="02F2CDC7" w14:textId="77777777" w:rsidR="00496A54" w:rsidRPr="00496A54" w:rsidRDefault="00496A54">
            <w:pPr>
              <w:rPr>
                <w:b/>
                <w:bCs/>
              </w:rPr>
            </w:pPr>
            <w:r w:rsidRPr="00496A54">
              <w:rPr>
                <w:b/>
                <w:bCs/>
              </w:rPr>
              <w:t>Mn</w:t>
            </w:r>
          </w:p>
        </w:tc>
        <w:tc>
          <w:tcPr>
            <w:tcW w:w="1195" w:type="dxa"/>
            <w:tcBorders>
              <w:top w:val="single" w:sz="4" w:space="0" w:color="auto"/>
              <w:left w:val="single" w:sz="4" w:space="0" w:color="auto"/>
              <w:bottom w:val="single" w:sz="4" w:space="0" w:color="auto"/>
              <w:right w:val="single" w:sz="4" w:space="0" w:color="auto"/>
            </w:tcBorders>
            <w:hideMark/>
          </w:tcPr>
          <w:p w14:paraId="37CCFAB9" w14:textId="77777777" w:rsidR="00496A54" w:rsidRPr="00496A54" w:rsidRDefault="00496A54">
            <w:pPr>
              <w:rPr>
                <w:b/>
                <w:bCs/>
              </w:rPr>
            </w:pPr>
            <w:r w:rsidRPr="00496A54">
              <w:rPr>
                <w:b/>
                <w:bCs/>
              </w:rPr>
              <w:t>Ni</w:t>
            </w:r>
          </w:p>
        </w:tc>
      </w:tr>
      <w:tr w:rsidR="00496A54" w:rsidRPr="00F41A23" w14:paraId="6A22AEF0" w14:textId="77777777">
        <w:trPr>
          <w:trHeight w:val="284"/>
        </w:trPr>
        <w:tc>
          <w:tcPr>
            <w:tcW w:w="1956" w:type="dxa"/>
            <w:tcBorders>
              <w:top w:val="single" w:sz="4" w:space="0" w:color="auto"/>
              <w:left w:val="single" w:sz="4" w:space="0" w:color="auto"/>
              <w:bottom w:val="single" w:sz="4" w:space="0" w:color="auto"/>
              <w:right w:val="single" w:sz="4" w:space="0" w:color="auto"/>
            </w:tcBorders>
            <w:hideMark/>
          </w:tcPr>
          <w:p w14:paraId="2900C775" w14:textId="77777777" w:rsidR="00496A54" w:rsidRPr="00F41A23" w:rsidRDefault="00496A54">
            <w:r w:rsidRPr="00F41A23">
              <w:t>ADI (mg/60/day)</w:t>
            </w:r>
          </w:p>
        </w:tc>
        <w:tc>
          <w:tcPr>
            <w:tcW w:w="764" w:type="dxa"/>
            <w:tcBorders>
              <w:top w:val="single" w:sz="4" w:space="0" w:color="auto"/>
              <w:left w:val="single" w:sz="4" w:space="0" w:color="auto"/>
              <w:bottom w:val="single" w:sz="4" w:space="0" w:color="auto"/>
              <w:right w:val="single" w:sz="4" w:space="0" w:color="auto"/>
            </w:tcBorders>
            <w:hideMark/>
          </w:tcPr>
          <w:p w14:paraId="1DF0AACC" w14:textId="77777777" w:rsidR="00496A54" w:rsidRPr="00F41A23" w:rsidRDefault="00496A54">
            <w:r w:rsidRPr="00F41A23">
              <w:t>0.060</w:t>
            </w:r>
          </w:p>
        </w:tc>
        <w:tc>
          <w:tcPr>
            <w:tcW w:w="1290" w:type="dxa"/>
            <w:tcBorders>
              <w:top w:val="single" w:sz="4" w:space="0" w:color="auto"/>
              <w:left w:val="single" w:sz="4" w:space="0" w:color="auto"/>
              <w:bottom w:val="single" w:sz="4" w:space="0" w:color="auto"/>
              <w:right w:val="single" w:sz="4" w:space="0" w:color="auto"/>
            </w:tcBorders>
            <w:hideMark/>
          </w:tcPr>
          <w:p w14:paraId="34D51F0A" w14:textId="77777777" w:rsidR="00496A54" w:rsidRPr="00F41A23" w:rsidRDefault="00496A54">
            <w:r w:rsidRPr="00F41A23">
              <w:t>1.800</w:t>
            </w:r>
          </w:p>
        </w:tc>
        <w:tc>
          <w:tcPr>
            <w:tcW w:w="1276" w:type="dxa"/>
            <w:tcBorders>
              <w:top w:val="single" w:sz="4" w:space="0" w:color="auto"/>
              <w:left w:val="single" w:sz="4" w:space="0" w:color="auto"/>
              <w:bottom w:val="single" w:sz="4" w:space="0" w:color="auto"/>
              <w:right w:val="single" w:sz="4" w:space="0" w:color="auto"/>
            </w:tcBorders>
            <w:hideMark/>
          </w:tcPr>
          <w:p w14:paraId="6F148EAF" w14:textId="77777777" w:rsidR="00496A54" w:rsidRPr="00F41A23" w:rsidRDefault="00496A54">
            <w:r w:rsidRPr="00F41A23">
              <w:t>0.216</w:t>
            </w:r>
          </w:p>
        </w:tc>
        <w:tc>
          <w:tcPr>
            <w:tcW w:w="1270" w:type="dxa"/>
            <w:tcBorders>
              <w:top w:val="single" w:sz="4" w:space="0" w:color="auto"/>
              <w:left w:val="single" w:sz="4" w:space="0" w:color="auto"/>
              <w:bottom w:val="single" w:sz="4" w:space="0" w:color="auto"/>
              <w:right w:val="single" w:sz="4" w:space="0" w:color="auto"/>
            </w:tcBorders>
            <w:hideMark/>
          </w:tcPr>
          <w:p w14:paraId="02B2B76E" w14:textId="77777777" w:rsidR="00496A54" w:rsidRPr="00F41A23" w:rsidRDefault="00496A54">
            <w:r w:rsidRPr="00F41A23">
              <w:t>18.00</w:t>
            </w:r>
          </w:p>
        </w:tc>
        <w:tc>
          <w:tcPr>
            <w:tcW w:w="1290" w:type="dxa"/>
            <w:tcBorders>
              <w:top w:val="single" w:sz="4" w:space="0" w:color="auto"/>
              <w:left w:val="single" w:sz="4" w:space="0" w:color="auto"/>
              <w:bottom w:val="single" w:sz="4" w:space="0" w:color="auto"/>
              <w:right w:val="single" w:sz="4" w:space="0" w:color="auto"/>
            </w:tcBorders>
            <w:hideMark/>
          </w:tcPr>
          <w:p w14:paraId="1D33A126" w14:textId="77777777" w:rsidR="00496A54" w:rsidRPr="00F41A23" w:rsidRDefault="00496A54">
            <w:r w:rsidRPr="00F41A23">
              <w:t>4.200</w:t>
            </w:r>
          </w:p>
        </w:tc>
        <w:tc>
          <w:tcPr>
            <w:tcW w:w="1270" w:type="dxa"/>
            <w:tcBorders>
              <w:top w:val="single" w:sz="4" w:space="0" w:color="auto"/>
              <w:left w:val="single" w:sz="4" w:space="0" w:color="auto"/>
              <w:bottom w:val="single" w:sz="4" w:space="0" w:color="auto"/>
              <w:right w:val="single" w:sz="4" w:space="0" w:color="auto"/>
            </w:tcBorders>
            <w:hideMark/>
          </w:tcPr>
          <w:p w14:paraId="60B9EC65" w14:textId="77777777" w:rsidR="00496A54" w:rsidRPr="00F41A23" w:rsidRDefault="00496A54">
            <w:r w:rsidRPr="00F41A23">
              <w:t>0.660</w:t>
            </w:r>
          </w:p>
        </w:tc>
        <w:tc>
          <w:tcPr>
            <w:tcW w:w="1195" w:type="dxa"/>
            <w:tcBorders>
              <w:top w:val="single" w:sz="4" w:space="0" w:color="auto"/>
              <w:left w:val="single" w:sz="4" w:space="0" w:color="auto"/>
              <w:bottom w:val="single" w:sz="4" w:space="0" w:color="auto"/>
              <w:right w:val="single" w:sz="4" w:space="0" w:color="auto"/>
            </w:tcBorders>
            <w:hideMark/>
          </w:tcPr>
          <w:p w14:paraId="57AEDB5F" w14:textId="77777777" w:rsidR="00496A54" w:rsidRPr="00F41A23" w:rsidRDefault="00496A54">
            <w:r w:rsidRPr="00F41A23">
              <w:t>0.780</w:t>
            </w:r>
          </w:p>
        </w:tc>
      </w:tr>
    </w:tbl>
    <w:p w14:paraId="4F9E2ED0" w14:textId="77777777" w:rsidR="00496A54" w:rsidRPr="00496A54" w:rsidRDefault="00496A54" w:rsidP="00496A54">
      <w:pPr>
        <w:spacing w:line="480" w:lineRule="auto"/>
        <w:jc w:val="both"/>
        <w:rPr>
          <w:rFonts w:ascii="Times New Roman" w:hAnsi="Times New Roman" w:cs="Times New Roman"/>
          <w:b/>
          <w:bCs/>
        </w:rPr>
      </w:pPr>
      <w:r w:rsidRPr="00496A54">
        <w:rPr>
          <w:rFonts w:ascii="Times New Roman" w:hAnsi="Times New Roman" w:cs="Times New Roman"/>
          <w:b/>
          <w:bCs/>
        </w:rPr>
        <w:t xml:space="preserve">Table 1: The ADI </w:t>
      </w:r>
      <w:r>
        <w:rPr>
          <w:rFonts w:ascii="Times New Roman" w:hAnsi="Times New Roman" w:cs="Times New Roman"/>
          <w:b/>
          <w:bCs/>
        </w:rPr>
        <w:t>o</w:t>
      </w:r>
      <w:r w:rsidRPr="00496A54">
        <w:rPr>
          <w:rFonts w:ascii="Times New Roman" w:hAnsi="Times New Roman" w:cs="Times New Roman"/>
          <w:b/>
          <w:bCs/>
        </w:rPr>
        <w:t xml:space="preserve">f some Heavy Metals </w:t>
      </w:r>
    </w:p>
    <w:p w14:paraId="6BCD870F" w14:textId="215EE050" w:rsidR="00496A54" w:rsidRPr="00496A54" w:rsidRDefault="00496A54" w:rsidP="00F41A23">
      <w:pPr>
        <w:spacing w:line="480" w:lineRule="auto"/>
        <w:jc w:val="both"/>
        <w:rPr>
          <w:rFonts w:ascii="Times New Roman" w:hAnsi="Times New Roman" w:cs="Times New Roman"/>
        </w:rPr>
      </w:pPr>
      <w:r w:rsidRPr="00125810">
        <w:rPr>
          <w:rFonts w:ascii="Times New Roman" w:hAnsi="Times New Roman" w:cs="Times New Roman"/>
        </w:rPr>
        <w:t>(EFSA, 2023)</w:t>
      </w:r>
    </w:p>
    <w:p w14:paraId="5E5C5BA8" w14:textId="57E082EA"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Given the growing health concerns associated with heavy metal contamination, the present study aims to determine the concentrations of selected heavy metals in culinary spices and herbal teas marketed in Abuja, Federal Capital Territory (FCT), Nigeria. The study also seeks to conduct a health risk assessment, evaluating both non-carcinogenic and carcinogenic risks to consumers who regularly use these products.</w:t>
      </w:r>
    </w:p>
    <w:p w14:paraId="18351307" w14:textId="77777777"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b/>
          <w:bCs/>
        </w:rPr>
        <w:t>Materials and Methods</w:t>
      </w:r>
    </w:p>
    <w:p w14:paraId="4727A299" w14:textId="77777777"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lastRenderedPageBreak/>
        <w:t>A total of 11 spices and 12 herbal tea brands were purchased randomly from different grocery stores and supermarkets within the FCT, Abuja, and were labeled accordingly. The collected samples were pulverized using a MasterChef laboratory blender and stored in a Ziplock bag. </w:t>
      </w:r>
    </w:p>
    <w:p w14:paraId="7DA3B3BD" w14:textId="6030EE16" w:rsidR="0051502F"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 xml:space="preserve"> Heavy metals in herbal tea and spice samples were determined according to the method previously described by AOAC 2000. Briefly, 2g ± 0.01g of each sample was weighed using a weighing balance (Mettler Toledo) </w:t>
      </w:r>
      <w:r w:rsidR="00C90C84">
        <w:rPr>
          <w:rFonts w:ascii="Times New Roman" w:hAnsi="Times New Roman" w:cs="Times New Roman"/>
        </w:rPr>
        <w:t>and placed into an acid digestion unit. This was followed by the addition of 20 mL of concentrated aqua regia, consisting of a 3:1 ratio of concentrated hydrochloric acid and nitric acid</w:t>
      </w:r>
      <w:r w:rsidRPr="00125810">
        <w:rPr>
          <w:rFonts w:ascii="Times New Roman" w:hAnsi="Times New Roman" w:cs="Times New Roman"/>
        </w:rPr>
        <w:t>. The mixture was incubated for 10 min at 155 °C for a further 7 min at 200 °C. The digested sample was filtered using Whatman filter paper, which was pre-rinsed with the acid solution to avoid contamination. The digested sample was rinsed to bring the sample to 50 ± 0.05 ml with Milli-Q water. The levels of 7 residual heavy metals in herbal tea and spices were determined using Solaar Elemental Thermo Scientific Atomic Absorption Spectrophotometry (AAS). The AAS equipment was previously calibrated with</w:t>
      </w:r>
      <w:r w:rsidR="00A74D08">
        <w:rPr>
          <w:rFonts w:ascii="Times New Roman" w:hAnsi="Times New Roman" w:cs="Times New Roman"/>
        </w:rPr>
        <w:t xml:space="preserve"> respective calibrated and </w:t>
      </w:r>
      <w:r w:rsidRPr="00125810">
        <w:rPr>
          <w:rFonts w:ascii="Times New Roman" w:hAnsi="Times New Roman" w:cs="Times New Roman"/>
        </w:rPr>
        <w:t xml:space="preserve"> Instrumental conditions for heavy metal determinations were established based on standard guidelines, with Cadmium (Cd), Cobalt (Co), </w:t>
      </w:r>
      <w:r w:rsidR="007414B7" w:rsidRPr="00125810">
        <w:rPr>
          <w:rFonts w:ascii="Times New Roman" w:hAnsi="Times New Roman" w:cs="Times New Roman"/>
        </w:rPr>
        <w:t>Lead</w:t>
      </w:r>
      <w:r w:rsidR="007414B7">
        <w:rPr>
          <w:rFonts w:ascii="Times New Roman" w:hAnsi="Times New Roman" w:cs="Times New Roman"/>
        </w:rPr>
        <w:t xml:space="preserve"> </w:t>
      </w:r>
      <w:r w:rsidRPr="00125810">
        <w:rPr>
          <w:rFonts w:ascii="Times New Roman" w:hAnsi="Times New Roman" w:cs="Times New Roman"/>
        </w:rPr>
        <w:t>(Pb), Chromium (Cr), Copper (Cu), Manganese (Mn), and Nickel (Ni) were analyzed at their respective wavelengths: 228.8 nm, 240.7 nm, 217 nm, 357.\ nm, 324.8 nm, 279.5 nm, and 232 nm (</w:t>
      </w:r>
      <w:r w:rsidR="00891FF5">
        <w:rPr>
          <w:rFonts w:ascii="Times New Roman" w:hAnsi="Times New Roman" w:cs="Times New Roman"/>
        </w:rPr>
        <w:t>AOAC, 2000</w:t>
      </w:r>
      <w:r w:rsidR="007414B7">
        <w:rPr>
          <w:rFonts w:ascii="Times New Roman" w:hAnsi="Times New Roman" w:cs="Times New Roman"/>
        </w:rPr>
        <w:t xml:space="preserve">; </w:t>
      </w:r>
      <w:r w:rsidR="007414B7" w:rsidRPr="00E03DB9">
        <w:t>Kowalska</w:t>
      </w:r>
      <w:r w:rsidR="007414B7">
        <w:t xml:space="preserve"> et al., 2021</w:t>
      </w:r>
      <w:r w:rsidRPr="00125810">
        <w:rPr>
          <w:rFonts w:ascii="Times New Roman" w:hAnsi="Times New Roman" w:cs="Times New Roman"/>
        </w:rPr>
        <w:t>). The concentration of each metal was calculated using the following formula: </w:t>
      </w:r>
    </w:p>
    <w:p w14:paraId="45C5F940" w14:textId="3CD38633" w:rsidR="00C20512" w:rsidRPr="00125810" w:rsidRDefault="0052756C" w:rsidP="00125810">
      <w:pPr>
        <w:spacing w:line="480" w:lineRule="auto"/>
        <w:jc w:val="both"/>
        <w:rPr>
          <w:rFonts w:ascii="Times New Roman" w:hAnsi="Times New Roman" w:cs="Times New Roman"/>
        </w:rPr>
      </w:pPr>
      <w:r w:rsidRPr="00125810">
        <w:rPr>
          <w:rFonts w:ascii="Times New Roman" w:hAnsi="Times New Roman" w:cs="Times New Roman"/>
          <w:noProof/>
        </w:rPr>
        <w:drawing>
          <wp:anchor distT="0" distB="0" distL="114300" distR="114300" simplePos="0" relativeHeight="251658240" behindDoc="0" locked="0" layoutInCell="1" allowOverlap="1" wp14:anchorId="3FBAF3D2" wp14:editId="53A0F983">
            <wp:simplePos x="0" y="0"/>
            <wp:positionH relativeFrom="margin">
              <wp:posOffset>1305560</wp:posOffset>
            </wp:positionH>
            <wp:positionV relativeFrom="paragraph">
              <wp:posOffset>13335</wp:posOffset>
            </wp:positionV>
            <wp:extent cx="3710940" cy="294640"/>
            <wp:effectExtent l="0" t="0" r="3810" b="0"/>
            <wp:wrapSquare wrapText="bothSides"/>
            <wp:docPr id="17782935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094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02F" w:rsidRPr="00125810">
        <w:rPr>
          <w:rFonts w:ascii="Times New Roman" w:hAnsi="Times New Roman" w:cs="Times New Roman"/>
        </w:rPr>
        <w:t>Final concentration</w:t>
      </w:r>
    </w:p>
    <w:p w14:paraId="56F7EABC" w14:textId="77777777" w:rsidR="00C20512"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rPr>
        <w:t>Analytical Method Validation and Quality Control</w:t>
      </w:r>
    </w:p>
    <w:p w14:paraId="7FF50A01" w14:textId="57DE7280" w:rsidR="00C20512"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rPr>
        <w:t xml:space="preserve">A comprehensive quality control and methods validation protocol was implemented to ensure the accuracy, reliability, and reproducibility of the analytical results during the </w:t>
      </w:r>
      <w:r w:rsidRPr="0024684B">
        <w:rPr>
          <w:rFonts w:ascii="Times New Roman" w:hAnsi="Times New Roman" w:cs="Times New Roman"/>
          <w:b/>
          <w:bCs/>
        </w:rPr>
        <w:lastRenderedPageBreak/>
        <w:t>determination of heavy metals in the spices and tea samples. This included calibration, linearity assessment</w:t>
      </w:r>
      <w:r w:rsidR="00A74D08" w:rsidRPr="0024684B">
        <w:rPr>
          <w:rFonts w:ascii="Times New Roman" w:hAnsi="Times New Roman" w:cs="Times New Roman"/>
          <w:b/>
          <w:bCs/>
        </w:rPr>
        <w:t xml:space="preserve"> </w:t>
      </w:r>
      <w:r w:rsidRPr="0024684B">
        <w:rPr>
          <w:rFonts w:ascii="Times New Roman" w:hAnsi="Times New Roman" w:cs="Times New Roman"/>
          <w:b/>
          <w:bCs/>
        </w:rPr>
        <w:t>spiking (recovery) experiments, and the determination of the LOD and LOQ</w:t>
      </w:r>
      <w:r w:rsidR="00891FF5" w:rsidRPr="0024684B">
        <w:rPr>
          <w:rFonts w:ascii="Times New Roman" w:hAnsi="Times New Roman" w:cs="Times New Roman"/>
          <w:b/>
          <w:bCs/>
        </w:rPr>
        <w:t xml:space="preserve"> (</w:t>
      </w:r>
      <w:r w:rsidR="007414B7" w:rsidRPr="0024684B">
        <w:rPr>
          <w:b/>
          <w:bCs/>
        </w:rPr>
        <w:t xml:space="preserve">Kowalska </w:t>
      </w:r>
      <w:r w:rsidR="007414B7" w:rsidRPr="0024684B">
        <w:rPr>
          <w:b/>
          <w:bCs/>
          <w:i/>
          <w:iCs/>
        </w:rPr>
        <w:t>et al</w:t>
      </w:r>
      <w:r w:rsidR="007414B7" w:rsidRPr="0024684B">
        <w:rPr>
          <w:b/>
          <w:bCs/>
        </w:rPr>
        <w:t>., 2021</w:t>
      </w:r>
      <w:r w:rsidR="00891FF5" w:rsidRPr="0024684B">
        <w:rPr>
          <w:rFonts w:ascii="Times New Roman" w:hAnsi="Times New Roman" w:cs="Times New Roman"/>
          <w:b/>
          <w:bCs/>
        </w:rPr>
        <w:t>)</w:t>
      </w:r>
      <w:r w:rsidRPr="0024684B">
        <w:rPr>
          <w:rFonts w:ascii="Times New Roman" w:hAnsi="Times New Roman" w:cs="Times New Roman"/>
          <w:b/>
          <w:bCs/>
        </w:rPr>
        <w:t>. </w:t>
      </w:r>
    </w:p>
    <w:p w14:paraId="2FB911A9" w14:textId="1295EE92" w:rsidR="00E45044"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rPr>
        <w:t xml:space="preserve">All glassware used in the analysis was thoroughly washed with detergent and rinsed with water, followed by several additional rinses with Milli-Q water severally times, and further treated with acetone to eliminate any potential contamination before finally dried in the oven set at 105 </w:t>
      </w:r>
      <w:r w:rsidR="007414B7" w:rsidRPr="0024684B">
        <w:rPr>
          <w:rFonts w:ascii="Times New Roman" w:hAnsi="Times New Roman" w:cs="Times New Roman"/>
          <w:b/>
          <w:bCs/>
          <w:vertAlign w:val="superscript"/>
        </w:rPr>
        <w:t>o</w:t>
      </w:r>
      <w:r w:rsidRPr="0024684B">
        <w:rPr>
          <w:rFonts w:ascii="Times New Roman" w:hAnsi="Times New Roman" w:cs="Times New Roman"/>
          <w:b/>
          <w:bCs/>
        </w:rPr>
        <w:t>C for 30 minutes. The efficiency of the sample digestion procedure was evaluated using method blanks and matrix-spiked samples. Known concentrations of certified metal standards were added to previously analyzed sample aliquots and then reanalyzed to validate the method’s consistency and accuracy. The concentrations of heavy metals in the samples were quantified using the external calibration method.</w:t>
      </w:r>
      <w:r w:rsidR="00E45044" w:rsidRPr="0024684B">
        <w:rPr>
          <w:rFonts w:ascii="Times New Roman" w:hAnsi="Times New Roman" w:cs="Times New Roman"/>
          <w:b/>
          <w:bCs/>
        </w:rPr>
        <w:t xml:space="preserve"> All measurements were carried out in triplicate</w:t>
      </w:r>
      <w:r w:rsidR="00843996" w:rsidRPr="0024684B">
        <w:rPr>
          <w:rFonts w:ascii="Times New Roman" w:hAnsi="Times New Roman" w:cs="Times New Roman"/>
          <w:b/>
          <w:bCs/>
        </w:rPr>
        <w:t>.</w:t>
      </w:r>
    </w:p>
    <w:p w14:paraId="3A371EB2" w14:textId="19383E38" w:rsidR="00C20512"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rPr>
        <w:t>Standard calibration curves were prepared for each target metal, including Cadmium (Cd), Cobalt (Co), Lead (Pb), Chromium (Cr), Copper (Cu), Manganese (Mn), and Nickel (Ni), using certified reference standard solutions. Eight different concentrations were used depending on the sensitivity of the AAS toward each metal. The instrument response (absorbance) was plotted against the known standard concentrations, resulting in calibration curves with correlation coefficients (r² values) ranging between 0.9990 and 0.9999, which were considered acceptable for quantitative analysis</w:t>
      </w:r>
      <w:r w:rsidR="007414B7" w:rsidRPr="0024684B">
        <w:rPr>
          <w:rFonts w:ascii="Times New Roman" w:hAnsi="Times New Roman" w:cs="Times New Roman"/>
          <w:b/>
          <w:bCs/>
        </w:rPr>
        <w:t xml:space="preserve"> (AOAC,2000)</w:t>
      </w:r>
      <w:r w:rsidRPr="0024684B">
        <w:rPr>
          <w:rFonts w:ascii="Times New Roman" w:hAnsi="Times New Roman" w:cs="Times New Roman"/>
          <w:b/>
          <w:bCs/>
        </w:rPr>
        <w:t>.</w:t>
      </w:r>
    </w:p>
    <w:p w14:paraId="6FA1714C" w14:textId="77777777" w:rsidR="00C20512"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rPr>
        <w:t>The linearity of the detector response was confirmed across a suitable concentration range for each analyte. This linear relationship between analyte concentration and absorbance confirmed the capability of the method to accurately quantify metals within the expected sample concentration range. </w:t>
      </w:r>
    </w:p>
    <w:p w14:paraId="1F845A43" w14:textId="7C80F3E2" w:rsidR="00C20512"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rPr>
        <w:lastRenderedPageBreak/>
        <w:t>The limits of detection and quantification were determined based on the standard deviation of the response and the slope of the calibration curve, following the recommendations of the IUPAC. The limit of detection (LOD) was defined as the lowest concentration distinguishable from background noise, determined at 3 times the signal-to-noise (S/N) ratio, while the limit of quantification (LOQ) was defined as 10 times the S/N ratio. The LOD values for the analyzed heavy metals ranged from 0.001 to 0.01 mg/kg. These values were established through spiked serial dilutions of the working standards used to generate the calibration curves</w:t>
      </w:r>
      <w:r w:rsidR="007414B7" w:rsidRPr="0024684B">
        <w:rPr>
          <w:rFonts w:ascii="Times New Roman" w:hAnsi="Times New Roman" w:cs="Times New Roman"/>
          <w:b/>
          <w:bCs/>
        </w:rPr>
        <w:t xml:space="preserve"> (AOAC, 2000)</w:t>
      </w:r>
      <w:r w:rsidRPr="0024684B">
        <w:rPr>
          <w:rFonts w:ascii="Times New Roman" w:hAnsi="Times New Roman" w:cs="Times New Roman"/>
          <w:b/>
          <w:bCs/>
        </w:rPr>
        <w:t>.</w:t>
      </w:r>
    </w:p>
    <w:p w14:paraId="33877450" w14:textId="0A440666" w:rsidR="00C20512"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rPr>
        <w:t xml:space="preserve">  The optimal instrumental conditions for the atomic absorption spectrophotometer (AAS) and limit of detection (LOD) and quantification (LOQ) of the analytical method for each metal were calculated and further described in Table 1</w:t>
      </w:r>
    </w:p>
    <w:p w14:paraId="6E85EED6" w14:textId="77777777" w:rsidR="00C20512"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rPr>
        <w:t>Recovery studies were conducted to evaluate the analytical method’s accuracy and precision. Spiked experiments were performed by adding known concentrations of heavy metal standards to spice samples and laboratory blanks. The spiked samples were allowed to stand for 1 h before digestion to facilitate the interaction and partitioning of the metals into the sample matrix. Recovery was calculated from 4 replicates using the following formula: </w:t>
      </w:r>
    </w:p>
    <w:p w14:paraId="2328766A" w14:textId="4B75C059" w:rsidR="00C20512"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noProof/>
        </w:rPr>
        <w:drawing>
          <wp:inline distT="0" distB="0" distL="0" distR="0" wp14:anchorId="02289ED4" wp14:editId="3D93000D">
            <wp:extent cx="5118100" cy="298450"/>
            <wp:effectExtent l="0" t="0" r="6350" b="6350"/>
            <wp:docPr id="19451226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0" cy="298450"/>
                    </a:xfrm>
                    <a:prstGeom prst="rect">
                      <a:avLst/>
                    </a:prstGeom>
                    <a:noFill/>
                    <a:ln>
                      <a:noFill/>
                    </a:ln>
                  </pic:spPr>
                </pic:pic>
              </a:graphicData>
            </a:graphic>
          </wp:inline>
        </w:drawing>
      </w:r>
      <w:r w:rsidRPr="0024684B">
        <w:rPr>
          <w:rFonts w:ascii="Times New Roman" w:hAnsi="Times New Roman" w:cs="Times New Roman"/>
          <w:b/>
          <w:bCs/>
        </w:rPr>
        <w:t>X 100</w:t>
      </w:r>
    </w:p>
    <w:p w14:paraId="62537EEC" w14:textId="772E994D" w:rsidR="00C20512"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rPr>
        <w:t xml:space="preserve">The recovery values, which typically ranged between 80% and 120%, indicated minimal matrix interference and high accuracy. (Barriga-Vélez </w:t>
      </w:r>
      <w:r w:rsidRPr="0024684B">
        <w:rPr>
          <w:rFonts w:ascii="Times New Roman" w:hAnsi="Times New Roman" w:cs="Times New Roman"/>
          <w:b/>
          <w:bCs/>
          <w:i/>
          <w:iCs/>
        </w:rPr>
        <w:t>et al</w:t>
      </w:r>
      <w:r w:rsidRPr="0024684B">
        <w:rPr>
          <w:rFonts w:ascii="Times New Roman" w:hAnsi="Times New Roman" w:cs="Times New Roman"/>
          <w:b/>
          <w:bCs/>
        </w:rPr>
        <w:t>., 2023) </w:t>
      </w:r>
    </w:p>
    <w:p w14:paraId="38390957" w14:textId="77777777" w:rsidR="00C20512" w:rsidRPr="0024684B" w:rsidRDefault="00C20512" w:rsidP="00125810">
      <w:pPr>
        <w:spacing w:line="480" w:lineRule="auto"/>
        <w:jc w:val="both"/>
        <w:rPr>
          <w:rFonts w:ascii="Times New Roman" w:hAnsi="Times New Roman" w:cs="Times New Roman"/>
          <w:b/>
          <w:bCs/>
        </w:rPr>
      </w:pPr>
      <w:r w:rsidRPr="0024684B">
        <w:rPr>
          <w:rFonts w:ascii="Times New Roman" w:hAnsi="Times New Roman" w:cs="Times New Roman"/>
          <w:b/>
          <w:bCs/>
        </w:rPr>
        <w:t>Heavy metal concentrations in the final analyzed samples were reported in milligrams per kilogram (mg kg</w:t>
      </w:r>
      <w:r w:rsidRPr="0024684B">
        <w:rPr>
          <w:rFonts w:ascii="Times New Roman" w:hAnsi="Times New Roman" w:cs="Times New Roman"/>
          <w:b/>
          <w:bCs/>
          <w:vertAlign w:val="superscript"/>
        </w:rPr>
        <w:t>-1</w:t>
      </w:r>
      <w:r w:rsidRPr="0024684B">
        <w:rPr>
          <w:rFonts w:ascii="Times New Roman" w:hAnsi="Times New Roman" w:cs="Times New Roman"/>
          <w:b/>
          <w:bCs/>
        </w:rPr>
        <w:t xml:space="preserve">) on a dry weight basis. These values were compared with the Maximum Permissible Limits (MPL) established by national food safety standards. Descriptive </w:t>
      </w:r>
      <w:r w:rsidRPr="0024684B">
        <w:rPr>
          <w:rFonts w:ascii="Times New Roman" w:hAnsi="Times New Roman" w:cs="Times New Roman"/>
          <w:b/>
          <w:bCs/>
        </w:rPr>
        <w:lastRenderedPageBreak/>
        <w:t>statistical parameters, including mean and range, were computed using Microsoft Excel (version 6) to summarize the distribution of heavy metal concentrations across all analyzed samples.</w:t>
      </w:r>
    </w:p>
    <w:p w14:paraId="7F280DC4" w14:textId="303690B7"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noProof/>
        </w:rPr>
        <w:drawing>
          <wp:inline distT="0" distB="0" distL="0" distR="0" wp14:anchorId="6B61CED4" wp14:editId="098436CA">
            <wp:extent cx="5118100" cy="298450"/>
            <wp:effectExtent l="0" t="0" r="6350" b="6350"/>
            <wp:docPr id="7614564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0" cy="298450"/>
                    </a:xfrm>
                    <a:prstGeom prst="rect">
                      <a:avLst/>
                    </a:prstGeom>
                    <a:noFill/>
                    <a:ln>
                      <a:noFill/>
                    </a:ln>
                  </pic:spPr>
                </pic:pic>
              </a:graphicData>
            </a:graphic>
          </wp:inline>
        </w:drawing>
      </w:r>
      <w:r w:rsidRPr="00125810">
        <w:rPr>
          <w:rFonts w:ascii="Times New Roman" w:hAnsi="Times New Roman" w:cs="Times New Roman"/>
        </w:rPr>
        <w:t>X 100</w:t>
      </w:r>
    </w:p>
    <w:p w14:paraId="3EA51D20" w14:textId="1D5F2BC9"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 xml:space="preserve">(Barriga-Vélez </w:t>
      </w:r>
      <w:r w:rsidRPr="00125810">
        <w:rPr>
          <w:rFonts w:ascii="Times New Roman" w:hAnsi="Times New Roman" w:cs="Times New Roman"/>
          <w:i/>
          <w:iCs/>
        </w:rPr>
        <w:t>et al</w:t>
      </w:r>
      <w:r w:rsidRPr="00125810">
        <w:rPr>
          <w:rFonts w:ascii="Times New Roman" w:hAnsi="Times New Roman" w:cs="Times New Roman"/>
        </w:rPr>
        <w:t>., 2023).</w:t>
      </w:r>
    </w:p>
    <w:p w14:paraId="2B2D62B9" w14:textId="77777777" w:rsidR="00EE61E3" w:rsidRDefault="00C20512" w:rsidP="00125810">
      <w:pPr>
        <w:spacing w:line="480" w:lineRule="auto"/>
        <w:jc w:val="both"/>
        <w:rPr>
          <w:rFonts w:ascii="Times New Roman" w:hAnsi="Times New Roman" w:cs="Times New Roman"/>
          <w:b/>
          <w:bCs/>
        </w:rPr>
      </w:pPr>
      <w:r w:rsidRPr="00125810">
        <w:rPr>
          <w:rFonts w:ascii="Times New Roman" w:hAnsi="Times New Roman" w:cs="Times New Roman"/>
          <w:b/>
          <w:bCs/>
        </w:rPr>
        <w:t>Assessment of human health risk </w:t>
      </w:r>
    </w:p>
    <w:p w14:paraId="34109FCC" w14:textId="6146B09D" w:rsidR="00EE61E3" w:rsidRDefault="00EE61E3" w:rsidP="00125810">
      <w:pPr>
        <w:spacing w:line="480" w:lineRule="auto"/>
        <w:jc w:val="both"/>
        <w:rPr>
          <w:rFonts w:ascii="Times New Roman" w:hAnsi="Times New Roman" w:cs="Times New Roman"/>
        </w:rPr>
      </w:pPr>
      <w:r w:rsidRPr="00EE61E3">
        <w:rPr>
          <w:rFonts w:ascii="Times New Roman" w:hAnsi="Times New Roman" w:cs="Times New Roman"/>
        </w:rPr>
        <w:t>The US EPA (2000) mandated assessing health risks from heavy metal contamination in spices and herbal teas by comparing average contaminant levels to international standards. It was specified that the Estimated Daily Intake (EDI) must be calculated using mean heavy metal concentrations and daily consumption rates. The FAO (2000) indicated that Nigeria’s annual food supply is 3.650 kg/capita for spices and 0.6 kg/capita for herbal teas, equating to food ingestion rates (FIR) of 0.01 kg/capita/day and 0.0016 kg/capita/day, respectively</w:t>
      </w:r>
      <w:r w:rsidR="00227496">
        <w:rPr>
          <w:rFonts w:ascii="Times New Roman" w:hAnsi="Times New Roman" w:cs="Times New Roman"/>
        </w:rPr>
        <w:t>,</w:t>
      </w:r>
      <w:r>
        <w:rPr>
          <w:rFonts w:ascii="Times New Roman" w:hAnsi="Times New Roman" w:cs="Times New Roman"/>
        </w:rPr>
        <w:t xml:space="preserve"> as further illustrated in the equation below:</w:t>
      </w:r>
    </w:p>
    <w:p w14:paraId="56B6B9F2" w14:textId="279902E4"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noProof/>
        </w:rPr>
        <w:drawing>
          <wp:inline distT="0" distB="0" distL="0" distR="0" wp14:anchorId="2248947B" wp14:editId="186D9F9A">
            <wp:extent cx="1212850" cy="209550"/>
            <wp:effectExtent l="0" t="0" r="6350" b="0"/>
            <wp:docPr id="4953642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209550"/>
                    </a:xfrm>
                    <a:prstGeom prst="rect">
                      <a:avLst/>
                    </a:prstGeom>
                    <a:noFill/>
                    <a:ln>
                      <a:noFill/>
                    </a:ln>
                  </pic:spPr>
                </pic:pic>
              </a:graphicData>
            </a:graphic>
          </wp:inline>
        </w:drawing>
      </w:r>
      <w:r w:rsidRPr="00125810">
        <w:rPr>
          <w:rFonts w:ascii="Times New Roman" w:hAnsi="Times New Roman" w:cs="Times New Roman"/>
        </w:rPr>
        <w:t>…</w:t>
      </w:r>
      <w:proofErr w:type="gramStart"/>
      <w:r w:rsidRPr="00125810">
        <w:rPr>
          <w:rFonts w:ascii="Times New Roman" w:hAnsi="Times New Roman" w:cs="Times New Roman"/>
        </w:rPr>
        <w:t>….</w:t>
      </w:r>
      <w:proofErr w:type="spellStart"/>
      <w:r w:rsidRPr="00125810">
        <w:rPr>
          <w:rFonts w:ascii="Times New Roman" w:hAnsi="Times New Roman" w:cs="Times New Roman"/>
        </w:rPr>
        <w:t>Eqn</w:t>
      </w:r>
      <w:proofErr w:type="spellEnd"/>
      <w:proofErr w:type="gramEnd"/>
      <w:r w:rsidRPr="00125810">
        <w:rPr>
          <w:rFonts w:ascii="Times New Roman" w:hAnsi="Times New Roman" w:cs="Times New Roman"/>
        </w:rPr>
        <w:t xml:space="preserve"> I </w:t>
      </w:r>
    </w:p>
    <w:p w14:paraId="3B08548D" w14:textId="1F66B5E0"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 xml:space="preserve"> where C is the dry weight concentration of the residual heavy metals in the spice and herbal tea in mg kg</w:t>
      </w:r>
      <w:r w:rsidRPr="00125810">
        <w:rPr>
          <w:rFonts w:ascii="Times New Roman" w:hAnsi="Times New Roman" w:cs="Times New Roman"/>
          <w:vertAlign w:val="superscript"/>
        </w:rPr>
        <w:t>-1</w:t>
      </w:r>
      <w:r w:rsidRPr="00125810">
        <w:rPr>
          <w:rFonts w:ascii="Times New Roman" w:hAnsi="Times New Roman" w:cs="Times New Roman"/>
        </w:rPr>
        <w:t>, FIR accuracy rate, and BW is the reference body weight of 60 kg for an adult human.</w:t>
      </w:r>
    </w:p>
    <w:p w14:paraId="49A084AE" w14:textId="1C7E6D66" w:rsidR="00C20512" w:rsidRDefault="00C20512" w:rsidP="00125810">
      <w:pPr>
        <w:spacing w:line="480" w:lineRule="auto"/>
        <w:jc w:val="both"/>
        <w:rPr>
          <w:rFonts w:ascii="Times New Roman" w:hAnsi="Times New Roman" w:cs="Times New Roman"/>
        </w:rPr>
      </w:pPr>
      <w:r w:rsidRPr="00125810">
        <w:rPr>
          <w:rFonts w:ascii="Times New Roman" w:hAnsi="Times New Roman" w:cs="Times New Roman"/>
        </w:rPr>
        <w:t xml:space="preserve">Hazard quotient: The hazard quotient (HQ) was regarded as the probable risk of undesirable health effects from pesticide mixtures to specify the long-term assessment of risk and was computed by dividing the EDI by the pertinent ADI and multiplying by </w:t>
      </w:r>
      <w:proofErr w:type="gramStart"/>
      <w:r w:rsidRPr="00125810">
        <w:rPr>
          <w:rFonts w:ascii="Times New Roman" w:hAnsi="Times New Roman" w:cs="Times New Roman"/>
        </w:rPr>
        <w:t>100</w:t>
      </w:r>
      <w:r w:rsidR="00E45044">
        <w:rPr>
          <w:rFonts w:ascii="Times New Roman" w:hAnsi="Times New Roman" w:cs="Times New Roman"/>
        </w:rPr>
        <w:t xml:space="preserve">  as</w:t>
      </w:r>
      <w:proofErr w:type="gramEnd"/>
      <w:r w:rsidR="00E45044">
        <w:rPr>
          <w:rFonts w:ascii="Times New Roman" w:hAnsi="Times New Roman" w:cs="Times New Roman"/>
        </w:rPr>
        <w:t xml:space="preserve"> stated in the equation below (</w:t>
      </w:r>
      <w:r w:rsidR="00C90C84" w:rsidRPr="00616EF6">
        <w:t>Kowalska</w:t>
      </w:r>
      <w:r w:rsidR="00C90C84">
        <w:t>,2021</w:t>
      </w:r>
      <w:r w:rsidR="00E45044" w:rsidRPr="00EE61E3">
        <w:rPr>
          <w:rFonts w:ascii="Times New Roman" w:hAnsi="Times New Roman" w:cs="Times New Roman"/>
        </w:rPr>
        <w:t>)</w:t>
      </w:r>
      <w:r w:rsidRPr="00125810">
        <w:rPr>
          <w:rFonts w:ascii="Times New Roman" w:hAnsi="Times New Roman" w:cs="Times New Roman"/>
        </w:rPr>
        <w:t>.</w:t>
      </w:r>
    </w:p>
    <w:p w14:paraId="2E0EF0C9" w14:textId="7368BDF9"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noProof/>
        </w:rPr>
        <w:lastRenderedPageBreak/>
        <w:drawing>
          <wp:inline distT="0" distB="0" distL="0" distR="0" wp14:anchorId="5574E7A8" wp14:editId="1B0A40E8">
            <wp:extent cx="1397000" cy="209550"/>
            <wp:effectExtent l="0" t="0" r="0" b="0"/>
            <wp:docPr id="2044558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209550"/>
                    </a:xfrm>
                    <a:prstGeom prst="rect">
                      <a:avLst/>
                    </a:prstGeom>
                    <a:noFill/>
                    <a:ln>
                      <a:noFill/>
                    </a:ln>
                  </pic:spPr>
                </pic:pic>
              </a:graphicData>
            </a:graphic>
          </wp:inline>
        </w:drawing>
      </w:r>
      <w:r w:rsidRPr="00125810">
        <w:rPr>
          <w:rFonts w:ascii="Times New Roman" w:hAnsi="Times New Roman" w:cs="Times New Roman"/>
        </w:rPr>
        <w:t xml:space="preserve">……….. </w:t>
      </w:r>
      <w:proofErr w:type="spellStart"/>
      <w:r w:rsidRPr="00125810">
        <w:rPr>
          <w:rFonts w:ascii="Times New Roman" w:hAnsi="Times New Roman" w:cs="Times New Roman"/>
        </w:rPr>
        <w:t>Eqn</w:t>
      </w:r>
      <w:proofErr w:type="spellEnd"/>
      <w:r w:rsidRPr="00125810">
        <w:rPr>
          <w:rFonts w:ascii="Times New Roman" w:hAnsi="Times New Roman" w:cs="Times New Roman"/>
        </w:rPr>
        <w:t xml:space="preserve"> ii</w:t>
      </w:r>
    </w:p>
    <w:p w14:paraId="0E38263D" w14:textId="77777777"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b/>
          <w:bCs/>
        </w:rPr>
        <w:t>Statistical analysis</w:t>
      </w:r>
    </w:p>
    <w:p w14:paraId="43FE8EF5" w14:textId="57BB0BF2" w:rsidR="00E45044" w:rsidRPr="00E45044" w:rsidRDefault="00E45044" w:rsidP="00E45044">
      <w:pPr>
        <w:spacing w:line="480" w:lineRule="auto"/>
        <w:jc w:val="both"/>
        <w:rPr>
          <w:rFonts w:ascii="Times New Roman" w:hAnsi="Times New Roman" w:cs="Times New Roman"/>
        </w:rPr>
      </w:pPr>
      <w:r w:rsidRPr="00E45044">
        <w:rPr>
          <w:rFonts w:ascii="Times New Roman" w:hAnsi="Times New Roman" w:cs="Times New Roman"/>
        </w:rPr>
        <w:t xml:space="preserve">The study’s results from sample matrices were statistically analyzed using MS Excel and SPSS version 21, as reported. Descriptive statistics, including mean, range, minimum, maximum, and standard deviation, were generated. It was stated that instrument control, data acquisition, and spectrophotometric analysis were performed using Solaar software (Thermo Scientific, USA). </w:t>
      </w:r>
    </w:p>
    <w:p w14:paraId="2A9A9370" w14:textId="71B586BA" w:rsidR="00C20512" w:rsidRDefault="00C20512" w:rsidP="00125810">
      <w:pPr>
        <w:spacing w:line="480" w:lineRule="auto"/>
        <w:jc w:val="both"/>
        <w:rPr>
          <w:rFonts w:ascii="Times New Roman" w:hAnsi="Times New Roman" w:cs="Times New Roman"/>
          <w:b/>
          <w:bCs/>
        </w:rPr>
      </w:pPr>
      <w:r w:rsidRPr="00125810">
        <w:rPr>
          <w:rFonts w:ascii="Times New Roman" w:hAnsi="Times New Roman" w:cs="Times New Roman"/>
          <w:b/>
          <w:bCs/>
        </w:rPr>
        <w:t>Results and Discussion</w:t>
      </w:r>
    </w:p>
    <w:p w14:paraId="68199EDB" w14:textId="169DC604" w:rsidR="003748B3" w:rsidRPr="00A71E9F" w:rsidRDefault="003748B3" w:rsidP="003748B3">
      <w:pPr>
        <w:spacing w:line="480" w:lineRule="auto"/>
        <w:jc w:val="both"/>
        <w:rPr>
          <w:rFonts w:ascii="Times New Roman" w:hAnsi="Times New Roman" w:cs="Times New Roman"/>
          <w:b/>
          <w:bCs/>
        </w:rPr>
      </w:pPr>
      <w:r w:rsidRPr="00CE1B67">
        <w:rPr>
          <w:rFonts w:ascii="Times New Roman" w:hAnsi="Times New Roman" w:cs="Times New Roman"/>
          <w:b/>
          <w:bCs/>
        </w:rPr>
        <w:t xml:space="preserve">Table </w:t>
      </w:r>
      <w:r>
        <w:rPr>
          <w:rFonts w:ascii="Times New Roman" w:hAnsi="Times New Roman" w:cs="Times New Roman"/>
          <w:b/>
          <w:bCs/>
        </w:rPr>
        <w:t>2</w:t>
      </w:r>
      <w:r w:rsidRPr="00CE1B67">
        <w:rPr>
          <w:rFonts w:ascii="Times New Roman" w:hAnsi="Times New Roman" w:cs="Times New Roman"/>
          <w:b/>
          <w:bCs/>
        </w:rPr>
        <w:t>. Percentage Recovery of Heavy Metals</w:t>
      </w:r>
      <w:r w:rsidRPr="00A71E9F">
        <w:rPr>
          <w:rFonts w:ascii="Times New Roman" w:hAnsi="Times New Roman" w:cs="Times New Roman"/>
          <w:b/>
          <w:bCs/>
        </w:rPr>
        <w:t xml:space="preserve"> </w:t>
      </w:r>
      <w:r>
        <w:rPr>
          <w:rFonts w:ascii="Times New Roman" w:hAnsi="Times New Roman" w:cs="Times New Roman"/>
          <w:b/>
          <w:bCs/>
        </w:rPr>
        <w:t>f</w:t>
      </w:r>
      <w:r w:rsidRPr="00A71E9F">
        <w:rPr>
          <w:rFonts w:ascii="Times New Roman" w:hAnsi="Times New Roman" w:cs="Times New Roman"/>
          <w:b/>
          <w:bCs/>
        </w:rPr>
        <w:t xml:space="preserve">rom Herbal </w:t>
      </w:r>
      <w:r>
        <w:rPr>
          <w:rFonts w:ascii="Times New Roman" w:hAnsi="Times New Roman" w:cs="Times New Roman"/>
          <w:b/>
          <w:bCs/>
        </w:rPr>
        <w:t>a</w:t>
      </w:r>
      <w:r w:rsidRPr="00A71E9F">
        <w:rPr>
          <w:rFonts w:ascii="Times New Roman" w:hAnsi="Times New Roman" w:cs="Times New Roman"/>
          <w:b/>
          <w:bCs/>
        </w:rPr>
        <w:t>nd Spice Samples.</w:t>
      </w:r>
    </w:p>
    <w:tbl>
      <w:tblPr>
        <w:tblStyle w:val="TableGrid"/>
        <w:tblW w:w="90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13"/>
        <w:gridCol w:w="2234"/>
        <w:gridCol w:w="1985"/>
        <w:gridCol w:w="1417"/>
      </w:tblGrid>
      <w:tr w:rsidR="003748B3" w14:paraId="45B888F1" w14:textId="77777777" w:rsidTr="00937E9B">
        <w:trPr>
          <w:trHeight w:val="892"/>
        </w:trPr>
        <w:tc>
          <w:tcPr>
            <w:tcW w:w="1560" w:type="dxa"/>
          </w:tcPr>
          <w:p w14:paraId="39F02C39" w14:textId="77777777" w:rsidR="003748B3" w:rsidRDefault="003748B3" w:rsidP="00937E9B">
            <w:pPr>
              <w:pStyle w:val="NoSpacing"/>
            </w:pPr>
            <w:r>
              <w:t>Heavy Metals</w:t>
            </w:r>
          </w:p>
        </w:tc>
        <w:tc>
          <w:tcPr>
            <w:tcW w:w="1813" w:type="dxa"/>
          </w:tcPr>
          <w:p w14:paraId="4DDD596D" w14:textId="77777777" w:rsidR="003748B3" w:rsidRDefault="003748B3" w:rsidP="00937E9B">
            <w:pPr>
              <w:pStyle w:val="NoSpacing"/>
            </w:pPr>
            <w:r w:rsidRPr="002C65D4">
              <w:t>Added conc</w:t>
            </w:r>
            <w:r>
              <w:t xml:space="preserve"> </w:t>
            </w:r>
            <w:r w:rsidRPr="002C65D4">
              <w:t>(mg/L)</w:t>
            </w:r>
          </w:p>
        </w:tc>
        <w:tc>
          <w:tcPr>
            <w:tcW w:w="2234" w:type="dxa"/>
          </w:tcPr>
          <w:p w14:paraId="3FBC98D1" w14:textId="77777777" w:rsidR="003748B3" w:rsidRDefault="003748B3" w:rsidP="00937E9B">
            <w:pPr>
              <w:pStyle w:val="NoSpacing"/>
            </w:pPr>
            <w:r w:rsidRPr="002C65D4">
              <w:t>Concentration of spiked sample (mg/L)</w:t>
            </w:r>
          </w:p>
        </w:tc>
        <w:tc>
          <w:tcPr>
            <w:tcW w:w="1985" w:type="dxa"/>
          </w:tcPr>
          <w:p w14:paraId="413F6B2F" w14:textId="77777777" w:rsidR="003748B3" w:rsidRDefault="003748B3" w:rsidP="00937E9B">
            <w:pPr>
              <w:pStyle w:val="NoSpacing"/>
            </w:pPr>
            <w:r w:rsidRPr="002C65D4">
              <w:t xml:space="preserve">Concentration of </w:t>
            </w:r>
            <w:r>
              <w:t xml:space="preserve">the </w:t>
            </w:r>
            <w:r w:rsidRPr="002C65D4">
              <w:t>unspiked sample</w:t>
            </w:r>
          </w:p>
        </w:tc>
        <w:tc>
          <w:tcPr>
            <w:tcW w:w="1417" w:type="dxa"/>
          </w:tcPr>
          <w:p w14:paraId="38FFBB13" w14:textId="77777777" w:rsidR="003748B3" w:rsidRDefault="003748B3" w:rsidP="00937E9B">
            <w:pPr>
              <w:pStyle w:val="NoSpacing"/>
            </w:pPr>
            <w:r w:rsidRPr="002C65D4">
              <w:t>% recovery</w:t>
            </w:r>
          </w:p>
        </w:tc>
      </w:tr>
      <w:tr w:rsidR="003748B3" w14:paraId="4A26C0AD" w14:textId="77777777" w:rsidTr="00937E9B">
        <w:trPr>
          <w:trHeight w:val="302"/>
        </w:trPr>
        <w:tc>
          <w:tcPr>
            <w:tcW w:w="1560" w:type="dxa"/>
          </w:tcPr>
          <w:p w14:paraId="536A5280" w14:textId="77777777" w:rsidR="003748B3" w:rsidRDefault="003748B3" w:rsidP="00937E9B">
            <w:pPr>
              <w:pStyle w:val="NoSpacing"/>
            </w:pPr>
            <w:r>
              <w:t>Ni</w:t>
            </w:r>
          </w:p>
        </w:tc>
        <w:tc>
          <w:tcPr>
            <w:tcW w:w="1813" w:type="dxa"/>
          </w:tcPr>
          <w:p w14:paraId="30EBE73F" w14:textId="77777777" w:rsidR="003748B3" w:rsidRDefault="003748B3" w:rsidP="00937E9B">
            <w:pPr>
              <w:pStyle w:val="NoSpacing"/>
            </w:pPr>
            <w:r w:rsidRPr="002C65D4">
              <w:t xml:space="preserve">3.00 </w:t>
            </w:r>
          </w:p>
        </w:tc>
        <w:tc>
          <w:tcPr>
            <w:tcW w:w="2234" w:type="dxa"/>
          </w:tcPr>
          <w:p w14:paraId="65132132" w14:textId="77777777" w:rsidR="003748B3" w:rsidRDefault="003748B3" w:rsidP="00937E9B">
            <w:pPr>
              <w:pStyle w:val="NoSpacing"/>
            </w:pPr>
            <w:r w:rsidRPr="00A87CD2">
              <w:t>2.9</w:t>
            </w:r>
            <w:r>
              <w:t>19</w:t>
            </w:r>
          </w:p>
        </w:tc>
        <w:tc>
          <w:tcPr>
            <w:tcW w:w="1985" w:type="dxa"/>
          </w:tcPr>
          <w:p w14:paraId="29ED55AE" w14:textId="77777777" w:rsidR="003748B3" w:rsidRDefault="003748B3" w:rsidP="00937E9B">
            <w:pPr>
              <w:pStyle w:val="NoSpacing"/>
            </w:pPr>
            <w:r w:rsidRPr="00A87CD2">
              <w:t>0.042</w:t>
            </w:r>
          </w:p>
        </w:tc>
        <w:tc>
          <w:tcPr>
            <w:tcW w:w="1417" w:type="dxa"/>
            <w:vAlign w:val="bottom"/>
          </w:tcPr>
          <w:p w14:paraId="10FCB7E0" w14:textId="77777777" w:rsidR="003748B3" w:rsidRDefault="003748B3" w:rsidP="00937E9B">
            <w:pPr>
              <w:pStyle w:val="NoSpacing"/>
            </w:pPr>
            <w:r>
              <w:rPr>
                <w:rFonts w:ascii="Calibri" w:hAnsi="Calibri" w:cs="Calibri"/>
                <w:color w:val="000000"/>
                <w:sz w:val="22"/>
                <w:szCs w:val="22"/>
              </w:rPr>
              <w:t>95.90</w:t>
            </w:r>
          </w:p>
        </w:tc>
      </w:tr>
      <w:tr w:rsidR="003748B3" w14:paraId="13A3263D" w14:textId="77777777" w:rsidTr="00937E9B">
        <w:trPr>
          <w:trHeight w:val="296"/>
        </w:trPr>
        <w:tc>
          <w:tcPr>
            <w:tcW w:w="1560" w:type="dxa"/>
          </w:tcPr>
          <w:p w14:paraId="4BBA7E72" w14:textId="77777777" w:rsidR="003748B3" w:rsidRDefault="003748B3" w:rsidP="00937E9B">
            <w:pPr>
              <w:pStyle w:val="NoSpacing"/>
            </w:pPr>
            <w:r>
              <w:t>Pb</w:t>
            </w:r>
          </w:p>
        </w:tc>
        <w:tc>
          <w:tcPr>
            <w:tcW w:w="1813" w:type="dxa"/>
          </w:tcPr>
          <w:p w14:paraId="4C91ADD6" w14:textId="77777777" w:rsidR="003748B3" w:rsidRDefault="003748B3" w:rsidP="00937E9B">
            <w:pPr>
              <w:pStyle w:val="NoSpacing"/>
            </w:pPr>
            <w:r>
              <w:t>0.5</w:t>
            </w:r>
          </w:p>
        </w:tc>
        <w:tc>
          <w:tcPr>
            <w:tcW w:w="2234" w:type="dxa"/>
          </w:tcPr>
          <w:p w14:paraId="0BC6BD18" w14:textId="77777777" w:rsidR="003748B3" w:rsidRDefault="003748B3" w:rsidP="00937E9B">
            <w:pPr>
              <w:pStyle w:val="NoSpacing"/>
            </w:pPr>
            <w:r w:rsidRPr="00A87CD2">
              <w:t>0.4</w:t>
            </w:r>
            <w:r>
              <w:t>70</w:t>
            </w:r>
          </w:p>
        </w:tc>
        <w:tc>
          <w:tcPr>
            <w:tcW w:w="1985" w:type="dxa"/>
          </w:tcPr>
          <w:p w14:paraId="6250E6BB" w14:textId="77777777" w:rsidR="003748B3" w:rsidRDefault="003748B3" w:rsidP="00937E9B">
            <w:pPr>
              <w:pStyle w:val="NoSpacing"/>
            </w:pPr>
            <w:r w:rsidRPr="00A87CD2">
              <w:t>0.030</w:t>
            </w:r>
          </w:p>
        </w:tc>
        <w:tc>
          <w:tcPr>
            <w:tcW w:w="1417" w:type="dxa"/>
            <w:vAlign w:val="bottom"/>
          </w:tcPr>
          <w:p w14:paraId="54B089CB" w14:textId="77777777" w:rsidR="003748B3" w:rsidRDefault="003748B3" w:rsidP="00937E9B">
            <w:pPr>
              <w:pStyle w:val="NoSpacing"/>
            </w:pPr>
            <w:r>
              <w:rPr>
                <w:rFonts w:ascii="Calibri" w:hAnsi="Calibri" w:cs="Calibri"/>
                <w:color w:val="000000"/>
                <w:sz w:val="22"/>
                <w:szCs w:val="22"/>
              </w:rPr>
              <w:t>88.00</w:t>
            </w:r>
          </w:p>
        </w:tc>
      </w:tr>
      <w:tr w:rsidR="003748B3" w14:paraId="06C88A5F" w14:textId="77777777" w:rsidTr="00937E9B">
        <w:trPr>
          <w:trHeight w:val="309"/>
        </w:trPr>
        <w:tc>
          <w:tcPr>
            <w:tcW w:w="1560" w:type="dxa"/>
          </w:tcPr>
          <w:p w14:paraId="74FE9E71" w14:textId="77777777" w:rsidR="003748B3" w:rsidRDefault="003748B3" w:rsidP="00937E9B">
            <w:pPr>
              <w:pStyle w:val="NoSpacing"/>
            </w:pPr>
            <w:r>
              <w:t>Co</w:t>
            </w:r>
          </w:p>
        </w:tc>
        <w:tc>
          <w:tcPr>
            <w:tcW w:w="1813" w:type="dxa"/>
          </w:tcPr>
          <w:p w14:paraId="67113C4D" w14:textId="77777777" w:rsidR="003748B3" w:rsidRDefault="003748B3" w:rsidP="00937E9B">
            <w:pPr>
              <w:pStyle w:val="NoSpacing"/>
            </w:pPr>
            <w:r>
              <w:t>2</w:t>
            </w:r>
          </w:p>
        </w:tc>
        <w:tc>
          <w:tcPr>
            <w:tcW w:w="2234" w:type="dxa"/>
          </w:tcPr>
          <w:p w14:paraId="1B433B81" w14:textId="77777777" w:rsidR="003748B3" w:rsidRDefault="003748B3" w:rsidP="00937E9B">
            <w:pPr>
              <w:pStyle w:val="NoSpacing"/>
            </w:pPr>
            <w:r w:rsidRPr="00A87CD2">
              <w:t>2.</w:t>
            </w:r>
            <w:r>
              <w:t>130</w:t>
            </w:r>
          </w:p>
        </w:tc>
        <w:tc>
          <w:tcPr>
            <w:tcW w:w="1985" w:type="dxa"/>
          </w:tcPr>
          <w:p w14:paraId="7D4E7C0E" w14:textId="77777777" w:rsidR="003748B3" w:rsidRDefault="003748B3" w:rsidP="00937E9B">
            <w:pPr>
              <w:pStyle w:val="NoSpacing"/>
            </w:pPr>
            <w:r w:rsidRPr="00A87CD2">
              <w:t>0.098</w:t>
            </w:r>
          </w:p>
        </w:tc>
        <w:tc>
          <w:tcPr>
            <w:tcW w:w="1417" w:type="dxa"/>
            <w:vAlign w:val="bottom"/>
          </w:tcPr>
          <w:p w14:paraId="46FA2E21" w14:textId="77777777" w:rsidR="003748B3" w:rsidRDefault="003748B3" w:rsidP="00937E9B">
            <w:pPr>
              <w:pStyle w:val="NoSpacing"/>
            </w:pPr>
            <w:r>
              <w:rPr>
                <w:rFonts w:ascii="Calibri" w:hAnsi="Calibri" w:cs="Calibri"/>
                <w:color w:val="000000"/>
                <w:sz w:val="22"/>
                <w:szCs w:val="22"/>
              </w:rPr>
              <w:t>101.6</w:t>
            </w:r>
          </w:p>
        </w:tc>
      </w:tr>
      <w:tr w:rsidR="003748B3" w14:paraId="7145878E" w14:textId="77777777" w:rsidTr="00937E9B">
        <w:trPr>
          <w:trHeight w:val="302"/>
        </w:trPr>
        <w:tc>
          <w:tcPr>
            <w:tcW w:w="1560" w:type="dxa"/>
          </w:tcPr>
          <w:p w14:paraId="567124F1" w14:textId="77777777" w:rsidR="003748B3" w:rsidRDefault="003748B3" w:rsidP="00937E9B">
            <w:pPr>
              <w:pStyle w:val="NoSpacing"/>
            </w:pPr>
            <w:r>
              <w:t>Cd</w:t>
            </w:r>
          </w:p>
        </w:tc>
        <w:tc>
          <w:tcPr>
            <w:tcW w:w="1813" w:type="dxa"/>
          </w:tcPr>
          <w:p w14:paraId="4DA327DD" w14:textId="77777777" w:rsidR="003748B3" w:rsidRDefault="003748B3" w:rsidP="00937E9B">
            <w:pPr>
              <w:pStyle w:val="NoSpacing"/>
            </w:pPr>
            <w:r>
              <w:t>2</w:t>
            </w:r>
          </w:p>
        </w:tc>
        <w:tc>
          <w:tcPr>
            <w:tcW w:w="2234" w:type="dxa"/>
          </w:tcPr>
          <w:p w14:paraId="073D1BDC" w14:textId="77777777" w:rsidR="003748B3" w:rsidRDefault="003748B3" w:rsidP="00937E9B">
            <w:pPr>
              <w:pStyle w:val="NoSpacing"/>
            </w:pPr>
            <w:r w:rsidRPr="00A87CD2">
              <w:t>2.01</w:t>
            </w:r>
            <w:r>
              <w:t>2</w:t>
            </w:r>
          </w:p>
        </w:tc>
        <w:tc>
          <w:tcPr>
            <w:tcW w:w="1985" w:type="dxa"/>
          </w:tcPr>
          <w:p w14:paraId="4E6280D7" w14:textId="77777777" w:rsidR="003748B3" w:rsidRDefault="003748B3" w:rsidP="00937E9B">
            <w:pPr>
              <w:pStyle w:val="NoSpacing"/>
            </w:pPr>
            <w:r w:rsidRPr="00A87CD2">
              <w:t xml:space="preserve"> 0.002</w:t>
            </w:r>
          </w:p>
        </w:tc>
        <w:tc>
          <w:tcPr>
            <w:tcW w:w="1417" w:type="dxa"/>
            <w:vAlign w:val="bottom"/>
          </w:tcPr>
          <w:p w14:paraId="33F5A19B" w14:textId="77777777" w:rsidR="003748B3" w:rsidRDefault="003748B3" w:rsidP="00937E9B">
            <w:pPr>
              <w:pStyle w:val="NoSpacing"/>
            </w:pPr>
            <w:r>
              <w:rPr>
                <w:rFonts w:ascii="Calibri" w:hAnsi="Calibri" w:cs="Calibri"/>
                <w:color w:val="000000"/>
                <w:sz w:val="22"/>
                <w:szCs w:val="22"/>
              </w:rPr>
              <w:t>100.5</w:t>
            </w:r>
          </w:p>
        </w:tc>
      </w:tr>
      <w:tr w:rsidR="003748B3" w14:paraId="752CAFEC" w14:textId="77777777" w:rsidTr="00937E9B">
        <w:trPr>
          <w:trHeight w:val="302"/>
        </w:trPr>
        <w:tc>
          <w:tcPr>
            <w:tcW w:w="1560" w:type="dxa"/>
          </w:tcPr>
          <w:p w14:paraId="136E4109" w14:textId="77777777" w:rsidR="003748B3" w:rsidRDefault="003748B3" w:rsidP="00937E9B">
            <w:pPr>
              <w:pStyle w:val="NoSpacing"/>
            </w:pPr>
            <w:r>
              <w:t>Cr</w:t>
            </w:r>
          </w:p>
        </w:tc>
        <w:tc>
          <w:tcPr>
            <w:tcW w:w="1813" w:type="dxa"/>
          </w:tcPr>
          <w:p w14:paraId="07C19FDC" w14:textId="77777777" w:rsidR="003748B3" w:rsidRDefault="003748B3" w:rsidP="00937E9B">
            <w:pPr>
              <w:pStyle w:val="NoSpacing"/>
            </w:pPr>
            <w:r>
              <w:t>1</w:t>
            </w:r>
          </w:p>
        </w:tc>
        <w:tc>
          <w:tcPr>
            <w:tcW w:w="2234" w:type="dxa"/>
          </w:tcPr>
          <w:p w14:paraId="2A1E6722" w14:textId="77777777" w:rsidR="003748B3" w:rsidRDefault="003748B3" w:rsidP="00937E9B">
            <w:pPr>
              <w:pStyle w:val="NoSpacing"/>
            </w:pPr>
            <w:r w:rsidRPr="00A87CD2">
              <w:t>1.0</w:t>
            </w:r>
            <w:r>
              <w:t>11</w:t>
            </w:r>
          </w:p>
        </w:tc>
        <w:tc>
          <w:tcPr>
            <w:tcW w:w="1985" w:type="dxa"/>
          </w:tcPr>
          <w:p w14:paraId="6B673D45" w14:textId="77777777" w:rsidR="003748B3" w:rsidRDefault="003748B3" w:rsidP="00937E9B">
            <w:pPr>
              <w:pStyle w:val="NoSpacing"/>
            </w:pPr>
            <w:r w:rsidRPr="00A87CD2">
              <w:t>0.097</w:t>
            </w:r>
          </w:p>
        </w:tc>
        <w:tc>
          <w:tcPr>
            <w:tcW w:w="1417" w:type="dxa"/>
            <w:vAlign w:val="bottom"/>
          </w:tcPr>
          <w:p w14:paraId="72A66990" w14:textId="77777777" w:rsidR="003748B3" w:rsidRDefault="003748B3" w:rsidP="00937E9B">
            <w:pPr>
              <w:pStyle w:val="NoSpacing"/>
            </w:pPr>
            <w:r>
              <w:rPr>
                <w:rFonts w:ascii="Calibri" w:hAnsi="Calibri" w:cs="Calibri"/>
                <w:color w:val="000000"/>
                <w:sz w:val="22"/>
                <w:szCs w:val="22"/>
              </w:rPr>
              <w:t>91.40</w:t>
            </w:r>
          </w:p>
        </w:tc>
      </w:tr>
      <w:tr w:rsidR="003748B3" w14:paraId="4A2A4C83" w14:textId="77777777" w:rsidTr="00937E9B">
        <w:trPr>
          <w:trHeight w:val="296"/>
        </w:trPr>
        <w:tc>
          <w:tcPr>
            <w:tcW w:w="1560" w:type="dxa"/>
          </w:tcPr>
          <w:p w14:paraId="4E65DF41" w14:textId="77777777" w:rsidR="003748B3" w:rsidRDefault="003748B3" w:rsidP="00937E9B">
            <w:pPr>
              <w:pStyle w:val="NoSpacing"/>
            </w:pPr>
            <w:r>
              <w:t>Mn</w:t>
            </w:r>
          </w:p>
        </w:tc>
        <w:tc>
          <w:tcPr>
            <w:tcW w:w="1813" w:type="dxa"/>
          </w:tcPr>
          <w:p w14:paraId="35329775" w14:textId="77777777" w:rsidR="003748B3" w:rsidRDefault="003748B3" w:rsidP="00937E9B">
            <w:pPr>
              <w:pStyle w:val="NoSpacing"/>
            </w:pPr>
            <w:r>
              <w:t>1</w:t>
            </w:r>
          </w:p>
        </w:tc>
        <w:tc>
          <w:tcPr>
            <w:tcW w:w="2234" w:type="dxa"/>
          </w:tcPr>
          <w:p w14:paraId="70E92AFC" w14:textId="77777777" w:rsidR="003748B3" w:rsidRPr="00A87CD2" w:rsidRDefault="003748B3" w:rsidP="00937E9B">
            <w:pPr>
              <w:pStyle w:val="NoSpacing"/>
            </w:pPr>
            <w:r>
              <w:t>1.001</w:t>
            </w:r>
          </w:p>
        </w:tc>
        <w:tc>
          <w:tcPr>
            <w:tcW w:w="1985" w:type="dxa"/>
          </w:tcPr>
          <w:p w14:paraId="3C22EA53" w14:textId="77777777" w:rsidR="003748B3" w:rsidRPr="00A87CD2" w:rsidRDefault="003748B3" w:rsidP="00937E9B">
            <w:pPr>
              <w:pStyle w:val="NoSpacing"/>
            </w:pPr>
            <w:r>
              <w:t>0.098</w:t>
            </w:r>
          </w:p>
        </w:tc>
        <w:tc>
          <w:tcPr>
            <w:tcW w:w="1417" w:type="dxa"/>
            <w:vAlign w:val="bottom"/>
          </w:tcPr>
          <w:p w14:paraId="228457D5" w14:textId="77777777" w:rsidR="003748B3" w:rsidRDefault="003748B3" w:rsidP="00937E9B">
            <w:pPr>
              <w:pStyle w:val="NoSpacing"/>
            </w:pPr>
            <w:r>
              <w:rPr>
                <w:rFonts w:ascii="Calibri" w:hAnsi="Calibri" w:cs="Calibri"/>
                <w:color w:val="000000"/>
                <w:sz w:val="22"/>
                <w:szCs w:val="22"/>
              </w:rPr>
              <w:t>90.30</w:t>
            </w:r>
          </w:p>
        </w:tc>
      </w:tr>
      <w:tr w:rsidR="003748B3" w14:paraId="7133CEDA" w14:textId="77777777" w:rsidTr="00937E9B">
        <w:trPr>
          <w:trHeight w:val="309"/>
        </w:trPr>
        <w:tc>
          <w:tcPr>
            <w:tcW w:w="1560" w:type="dxa"/>
          </w:tcPr>
          <w:p w14:paraId="53C61807" w14:textId="77777777" w:rsidR="003748B3" w:rsidRDefault="003748B3" w:rsidP="00937E9B">
            <w:pPr>
              <w:pStyle w:val="NoSpacing"/>
            </w:pPr>
            <w:r>
              <w:t>Cu</w:t>
            </w:r>
          </w:p>
        </w:tc>
        <w:tc>
          <w:tcPr>
            <w:tcW w:w="1813" w:type="dxa"/>
            <w:vAlign w:val="center"/>
          </w:tcPr>
          <w:p w14:paraId="7194A798" w14:textId="77777777" w:rsidR="003748B3" w:rsidRDefault="003748B3" w:rsidP="00937E9B">
            <w:pPr>
              <w:pStyle w:val="NoSpacing"/>
            </w:pPr>
            <w:r>
              <w:rPr>
                <w:rFonts w:ascii="Calibri" w:hAnsi="Calibri" w:cs="Calibri"/>
                <w:color w:val="000000"/>
              </w:rPr>
              <w:t>1</w:t>
            </w:r>
          </w:p>
        </w:tc>
        <w:tc>
          <w:tcPr>
            <w:tcW w:w="2234" w:type="dxa"/>
            <w:vAlign w:val="center"/>
          </w:tcPr>
          <w:p w14:paraId="6EEE775D" w14:textId="77777777" w:rsidR="003748B3" w:rsidRPr="00A87CD2" w:rsidRDefault="003748B3" w:rsidP="00937E9B">
            <w:pPr>
              <w:pStyle w:val="NoSpacing"/>
            </w:pPr>
            <w:r>
              <w:t>1.003</w:t>
            </w:r>
          </w:p>
        </w:tc>
        <w:tc>
          <w:tcPr>
            <w:tcW w:w="1985" w:type="dxa"/>
            <w:vAlign w:val="bottom"/>
          </w:tcPr>
          <w:p w14:paraId="4D662272" w14:textId="77777777" w:rsidR="003748B3" w:rsidRPr="00A87CD2" w:rsidRDefault="003748B3" w:rsidP="00937E9B">
            <w:pPr>
              <w:pStyle w:val="NoSpacing"/>
            </w:pPr>
            <w:r>
              <w:rPr>
                <w:rFonts w:ascii="Calibri" w:hAnsi="Calibri" w:cs="Calibri"/>
                <w:color w:val="000000"/>
                <w:sz w:val="22"/>
                <w:szCs w:val="22"/>
              </w:rPr>
              <w:t>0.096</w:t>
            </w:r>
          </w:p>
        </w:tc>
        <w:tc>
          <w:tcPr>
            <w:tcW w:w="1417" w:type="dxa"/>
            <w:vAlign w:val="bottom"/>
          </w:tcPr>
          <w:p w14:paraId="62444C66" w14:textId="77777777" w:rsidR="003748B3" w:rsidRDefault="003748B3" w:rsidP="00937E9B">
            <w:pPr>
              <w:pStyle w:val="NoSpacing"/>
            </w:pPr>
            <w:r>
              <w:rPr>
                <w:rFonts w:ascii="Calibri" w:hAnsi="Calibri" w:cs="Calibri"/>
                <w:color w:val="000000"/>
                <w:sz w:val="22"/>
                <w:szCs w:val="22"/>
              </w:rPr>
              <w:t>90.70</w:t>
            </w:r>
          </w:p>
        </w:tc>
      </w:tr>
    </w:tbl>
    <w:p w14:paraId="6B936D51" w14:textId="77777777" w:rsidR="003748B3" w:rsidRDefault="003748B3" w:rsidP="003748B3">
      <w:pPr>
        <w:spacing w:line="480" w:lineRule="auto"/>
        <w:jc w:val="both"/>
        <w:rPr>
          <w:rFonts w:ascii="Times New Roman" w:hAnsi="Times New Roman" w:cs="Times New Roman"/>
        </w:rPr>
      </w:pPr>
    </w:p>
    <w:p w14:paraId="11D59A77" w14:textId="6A0A4071" w:rsidR="003748B3" w:rsidRPr="00B32E62" w:rsidRDefault="003748B3" w:rsidP="003748B3">
      <w:pPr>
        <w:spacing w:line="480" w:lineRule="auto"/>
        <w:jc w:val="both"/>
      </w:pPr>
      <w:r>
        <w:t>Table 2 presents the recovery percentages of Cd, Co, Cr, Cu, Mn, Ni, and Pb in spice and herbal tea samples. The recovery ranged from 88% to 101.6%. The table shows spike recovery for heavy metals in spice and herbal tea samples. Ni (95.90%), Cu (90.7%), Co (101.6%), Cd (100.5%), and Cr (91.40%) fall within the ideal 90–110% range, indicating the method is reliable. Pb (88%) and Mn (90.3%) are slightly low, suggesting matrix effects.  The method is robust for most metals but requires optimization for Pb, Mn, and Cu verification to ensure accurate detection in complex plant matrices.</w:t>
      </w:r>
    </w:p>
    <w:p w14:paraId="5D5384C7" w14:textId="7E48B0AC" w:rsidR="003748B3" w:rsidRPr="00125810" w:rsidRDefault="003748B3" w:rsidP="00125810">
      <w:pPr>
        <w:spacing w:line="480" w:lineRule="auto"/>
        <w:jc w:val="both"/>
        <w:rPr>
          <w:rFonts w:ascii="Times New Roman" w:hAnsi="Times New Roman" w:cs="Times New Roman"/>
        </w:rPr>
      </w:pPr>
      <w:r w:rsidRPr="00125810">
        <w:rPr>
          <w:rFonts w:ascii="Times New Roman" w:hAnsi="Times New Roman" w:cs="Times New Roman"/>
          <w:b/>
          <w:bCs/>
        </w:rPr>
        <w:lastRenderedPageBreak/>
        <w:t xml:space="preserve">Table </w:t>
      </w:r>
      <w:r>
        <w:rPr>
          <w:rFonts w:ascii="Times New Roman" w:hAnsi="Times New Roman" w:cs="Times New Roman"/>
          <w:b/>
          <w:bCs/>
        </w:rPr>
        <w:t>3</w:t>
      </w:r>
      <w:r w:rsidRPr="00125810">
        <w:rPr>
          <w:rFonts w:ascii="Times New Roman" w:hAnsi="Times New Roman" w:cs="Times New Roman"/>
          <w:b/>
          <w:bCs/>
        </w:rPr>
        <w:t xml:space="preserve">: Residual Concentrations of Heavy Metals in Different Spices </w:t>
      </w:r>
      <w:r>
        <w:rPr>
          <w:rFonts w:ascii="Times New Roman" w:hAnsi="Times New Roman" w:cs="Times New Roman"/>
          <w:b/>
          <w:bCs/>
        </w:rPr>
        <w:t>Sold</w:t>
      </w:r>
      <w:r w:rsidRPr="00125810">
        <w:rPr>
          <w:rFonts w:ascii="Times New Roman" w:hAnsi="Times New Roman" w:cs="Times New Roman"/>
          <w:b/>
          <w:bCs/>
        </w:rPr>
        <w:t xml:space="preserve"> in Abuja, Nigeria</w:t>
      </w:r>
    </w:p>
    <w:tbl>
      <w:tblPr>
        <w:tblW w:w="1161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2"/>
        <w:gridCol w:w="1520"/>
        <w:gridCol w:w="1382"/>
        <w:gridCol w:w="1452"/>
        <w:gridCol w:w="1451"/>
        <w:gridCol w:w="1452"/>
        <w:gridCol w:w="1451"/>
        <w:gridCol w:w="1453"/>
      </w:tblGrid>
      <w:tr w:rsidR="00291D94" w:rsidRPr="003E6512" w14:paraId="123868E7" w14:textId="77777777" w:rsidTr="003748B3">
        <w:trPr>
          <w:trHeight w:val="284"/>
          <w:jc w:val="center"/>
        </w:trPr>
        <w:tc>
          <w:tcPr>
            <w:tcW w:w="1452" w:type="dxa"/>
            <w:vMerge w:val="restart"/>
            <w:tcBorders>
              <w:top w:val="single" w:sz="4" w:space="0" w:color="auto"/>
              <w:left w:val="single" w:sz="4" w:space="0" w:color="auto"/>
              <w:bottom w:val="single" w:sz="4" w:space="0" w:color="auto"/>
              <w:right w:val="single" w:sz="4" w:space="0" w:color="auto"/>
            </w:tcBorders>
            <w:vAlign w:val="bottom"/>
            <w:hideMark/>
          </w:tcPr>
          <w:p w14:paraId="4EC0775A" w14:textId="77777777" w:rsidR="00291D94" w:rsidRPr="00291D94" w:rsidRDefault="00291D94" w:rsidP="003748B3">
            <w:pPr>
              <w:pStyle w:val="NoSpacing"/>
              <w:jc w:val="center"/>
              <w:rPr>
                <w:b/>
                <w:bCs/>
              </w:rPr>
            </w:pPr>
            <w:r w:rsidRPr="00291D94">
              <w:rPr>
                <w:b/>
                <w:bCs/>
              </w:rPr>
              <w:t>Spices</w:t>
            </w:r>
          </w:p>
        </w:tc>
        <w:tc>
          <w:tcPr>
            <w:tcW w:w="10161" w:type="dxa"/>
            <w:gridSpan w:val="7"/>
            <w:tcBorders>
              <w:top w:val="single" w:sz="4" w:space="0" w:color="auto"/>
              <w:left w:val="single" w:sz="4" w:space="0" w:color="auto"/>
              <w:bottom w:val="single" w:sz="4" w:space="0" w:color="auto"/>
              <w:right w:val="single" w:sz="4" w:space="0" w:color="auto"/>
            </w:tcBorders>
            <w:vAlign w:val="bottom"/>
            <w:hideMark/>
          </w:tcPr>
          <w:p w14:paraId="48AF901C" w14:textId="77777777" w:rsidR="00291D94" w:rsidRPr="00291D94" w:rsidRDefault="00291D94" w:rsidP="003748B3">
            <w:pPr>
              <w:pStyle w:val="NoSpacing"/>
              <w:jc w:val="center"/>
              <w:rPr>
                <w:b/>
                <w:bCs/>
              </w:rPr>
            </w:pPr>
            <w:r w:rsidRPr="00291D94">
              <w:rPr>
                <w:rFonts w:eastAsiaTheme="majorEastAsia"/>
                <w:b/>
                <w:bCs/>
              </w:rPr>
              <w:t>Concentration (mg kg</w:t>
            </w:r>
            <w:r w:rsidRPr="00291D94">
              <w:rPr>
                <w:rFonts w:eastAsiaTheme="majorEastAsia"/>
                <w:b/>
                <w:bCs/>
                <w:vertAlign w:val="superscript"/>
              </w:rPr>
              <w:t>-1</w:t>
            </w:r>
            <w:r w:rsidRPr="00291D94">
              <w:rPr>
                <w:rFonts w:eastAsiaTheme="majorEastAsia"/>
                <w:b/>
                <w:bCs/>
              </w:rPr>
              <w:t>)</w:t>
            </w:r>
          </w:p>
        </w:tc>
      </w:tr>
      <w:tr w:rsidR="00291D94" w:rsidRPr="003E6512" w14:paraId="4D40937C" w14:textId="77777777" w:rsidTr="003748B3">
        <w:trPr>
          <w:trHeight w:val="145"/>
          <w:jc w:val="center"/>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191D1A85" w14:textId="77777777" w:rsidR="00291D94" w:rsidRPr="00291D94" w:rsidRDefault="00291D94" w:rsidP="003748B3">
            <w:pPr>
              <w:pStyle w:val="NoSpacing"/>
              <w:jc w:val="center"/>
              <w:rPr>
                <w:b/>
                <w:bCs/>
              </w:rPr>
            </w:pPr>
          </w:p>
        </w:tc>
        <w:tc>
          <w:tcPr>
            <w:tcW w:w="1520" w:type="dxa"/>
            <w:tcBorders>
              <w:top w:val="single" w:sz="4" w:space="0" w:color="auto"/>
              <w:left w:val="single" w:sz="4" w:space="0" w:color="auto"/>
              <w:bottom w:val="single" w:sz="4" w:space="0" w:color="auto"/>
              <w:right w:val="single" w:sz="4" w:space="0" w:color="auto"/>
            </w:tcBorders>
            <w:vAlign w:val="bottom"/>
            <w:hideMark/>
          </w:tcPr>
          <w:p w14:paraId="0C8F276D" w14:textId="77777777" w:rsidR="00291D94" w:rsidRPr="00291D94" w:rsidRDefault="00291D94" w:rsidP="003748B3">
            <w:pPr>
              <w:pStyle w:val="NoSpacing"/>
              <w:jc w:val="center"/>
              <w:rPr>
                <w:b/>
                <w:bCs/>
              </w:rPr>
            </w:pPr>
            <w:r w:rsidRPr="00291D94">
              <w:rPr>
                <w:rFonts w:eastAsiaTheme="majorEastAsia"/>
                <w:b/>
                <w:bCs/>
              </w:rPr>
              <w:t>Cd</w:t>
            </w:r>
          </w:p>
        </w:tc>
        <w:tc>
          <w:tcPr>
            <w:tcW w:w="1382" w:type="dxa"/>
            <w:tcBorders>
              <w:top w:val="single" w:sz="4" w:space="0" w:color="auto"/>
              <w:left w:val="single" w:sz="4" w:space="0" w:color="auto"/>
              <w:bottom w:val="single" w:sz="4" w:space="0" w:color="auto"/>
              <w:right w:val="single" w:sz="4" w:space="0" w:color="auto"/>
            </w:tcBorders>
            <w:vAlign w:val="bottom"/>
            <w:hideMark/>
          </w:tcPr>
          <w:p w14:paraId="6AE84288" w14:textId="77777777" w:rsidR="00291D94" w:rsidRPr="00291D94" w:rsidRDefault="00291D94" w:rsidP="003748B3">
            <w:pPr>
              <w:pStyle w:val="NoSpacing"/>
              <w:jc w:val="center"/>
              <w:rPr>
                <w:b/>
                <w:bCs/>
              </w:rPr>
            </w:pPr>
            <w:r w:rsidRPr="00291D94">
              <w:rPr>
                <w:rFonts w:eastAsiaTheme="majorEastAsia"/>
                <w:b/>
                <w:bCs/>
              </w:rPr>
              <w:t>Co</w:t>
            </w:r>
          </w:p>
        </w:tc>
        <w:tc>
          <w:tcPr>
            <w:tcW w:w="1452" w:type="dxa"/>
            <w:tcBorders>
              <w:top w:val="single" w:sz="4" w:space="0" w:color="auto"/>
              <w:left w:val="single" w:sz="4" w:space="0" w:color="auto"/>
              <w:bottom w:val="single" w:sz="4" w:space="0" w:color="auto"/>
              <w:right w:val="single" w:sz="4" w:space="0" w:color="auto"/>
            </w:tcBorders>
            <w:vAlign w:val="bottom"/>
            <w:hideMark/>
          </w:tcPr>
          <w:p w14:paraId="6B4D559D" w14:textId="77777777" w:rsidR="00291D94" w:rsidRPr="00291D94" w:rsidRDefault="00291D94" w:rsidP="003748B3">
            <w:pPr>
              <w:pStyle w:val="NoSpacing"/>
              <w:jc w:val="center"/>
              <w:rPr>
                <w:b/>
                <w:bCs/>
              </w:rPr>
            </w:pPr>
            <w:r w:rsidRPr="00291D94">
              <w:rPr>
                <w:rFonts w:eastAsiaTheme="majorEastAsia"/>
                <w:b/>
                <w:bCs/>
              </w:rPr>
              <w:t>Cr</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0DA4BC5" w14:textId="77777777" w:rsidR="00291D94" w:rsidRPr="00291D94" w:rsidRDefault="00291D94" w:rsidP="003748B3">
            <w:pPr>
              <w:pStyle w:val="NoSpacing"/>
              <w:jc w:val="center"/>
              <w:rPr>
                <w:b/>
                <w:bCs/>
              </w:rPr>
            </w:pPr>
            <w:r w:rsidRPr="00291D94">
              <w:rPr>
                <w:rFonts w:eastAsiaTheme="majorEastAsia"/>
                <w:b/>
                <w:bCs/>
              </w:rPr>
              <w:t>Cu</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1996F0E" w14:textId="77777777" w:rsidR="00291D94" w:rsidRPr="00291D94" w:rsidRDefault="00291D94" w:rsidP="003748B3">
            <w:pPr>
              <w:pStyle w:val="NoSpacing"/>
              <w:jc w:val="center"/>
              <w:rPr>
                <w:b/>
                <w:bCs/>
              </w:rPr>
            </w:pPr>
            <w:r w:rsidRPr="00291D94">
              <w:rPr>
                <w:rFonts w:eastAsiaTheme="majorEastAsia"/>
                <w:b/>
                <w:bCs/>
              </w:rPr>
              <w:t>Mn</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6461F31" w14:textId="77777777" w:rsidR="00291D94" w:rsidRPr="00291D94" w:rsidRDefault="00291D94" w:rsidP="003748B3">
            <w:pPr>
              <w:pStyle w:val="NoSpacing"/>
              <w:jc w:val="center"/>
              <w:rPr>
                <w:b/>
                <w:bCs/>
              </w:rPr>
            </w:pPr>
            <w:r w:rsidRPr="00291D94">
              <w:rPr>
                <w:rFonts w:eastAsiaTheme="majorEastAsia"/>
                <w:b/>
                <w:bCs/>
              </w:rPr>
              <w:t>Ni</w:t>
            </w:r>
          </w:p>
        </w:tc>
        <w:tc>
          <w:tcPr>
            <w:tcW w:w="1453" w:type="dxa"/>
            <w:tcBorders>
              <w:top w:val="single" w:sz="4" w:space="0" w:color="auto"/>
              <w:left w:val="single" w:sz="4" w:space="0" w:color="auto"/>
              <w:bottom w:val="single" w:sz="4" w:space="0" w:color="auto"/>
              <w:right w:val="single" w:sz="4" w:space="0" w:color="auto"/>
            </w:tcBorders>
            <w:vAlign w:val="bottom"/>
            <w:hideMark/>
          </w:tcPr>
          <w:p w14:paraId="1B2749A2" w14:textId="77777777" w:rsidR="00291D94" w:rsidRPr="00291D94" w:rsidRDefault="00291D94" w:rsidP="003748B3">
            <w:pPr>
              <w:pStyle w:val="NoSpacing"/>
              <w:jc w:val="center"/>
              <w:rPr>
                <w:b/>
                <w:bCs/>
              </w:rPr>
            </w:pPr>
            <w:r w:rsidRPr="00291D94">
              <w:rPr>
                <w:rFonts w:eastAsiaTheme="majorEastAsia"/>
                <w:b/>
                <w:bCs/>
              </w:rPr>
              <w:t>Pb</w:t>
            </w:r>
          </w:p>
        </w:tc>
      </w:tr>
      <w:tr w:rsidR="00291D94" w:rsidRPr="003E6512" w14:paraId="0BC83C95" w14:textId="77777777" w:rsidTr="003748B3">
        <w:trPr>
          <w:trHeight w:val="316"/>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4166C866" w14:textId="77777777" w:rsidR="00291D94" w:rsidRPr="003E6512" w:rsidRDefault="00291D94" w:rsidP="003748B3">
            <w:pPr>
              <w:pStyle w:val="NoSpacing"/>
            </w:pPr>
            <w:r w:rsidRPr="003E6512">
              <w:t>Black pepper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1F22CE6B" w14:textId="77777777" w:rsidR="00291D94" w:rsidRPr="003E6512" w:rsidRDefault="00291D94" w:rsidP="003748B3">
            <w:pPr>
              <w:pStyle w:val="NoSpacing"/>
            </w:pPr>
            <w:r w:rsidRPr="003E6512">
              <w:t>1.640±0.011</w:t>
            </w:r>
          </w:p>
        </w:tc>
        <w:tc>
          <w:tcPr>
            <w:tcW w:w="1382" w:type="dxa"/>
            <w:tcBorders>
              <w:top w:val="single" w:sz="4" w:space="0" w:color="auto"/>
              <w:left w:val="single" w:sz="4" w:space="0" w:color="auto"/>
              <w:bottom w:val="single" w:sz="4" w:space="0" w:color="auto"/>
              <w:right w:val="single" w:sz="4" w:space="0" w:color="auto"/>
            </w:tcBorders>
            <w:vAlign w:val="bottom"/>
            <w:hideMark/>
          </w:tcPr>
          <w:p w14:paraId="15559ECA" w14:textId="77777777" w:rsidR="00291D94" w:rsidRPr="003E6512" w:rsidRDefault="00291D94" w:rsidP="003748B3">
            <w:pPr>
              <w:pStyle w:val="NoSpacing"/>
            </w:pPr>
            <w:r w:rsidRPr="003E6512">
              <w:t>0.960±0.01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10B95C8A" w14:textId="77777777" w:rsidR="00291D94" w:rsidRPr="003E6512" w:rsidRDefault="00291D94" w:rsidP="003748B3">
            <w:pPr>
              <w:pStyle w:val="NoSpacing"/>
            </w:pPr>
            <w:r w:rsidRPr="003E6512">
              <w:t>BDL</w:t>
            </w:r>
          </w:p>
        </w:tc>
        <w:tc>
          <w:tcPr>
            <w:tcW w:w="1451" w:type="dxa"/>
            <w:tcBorders>
              <w:top w:val="single" w:sz="4" w:space="0" w:color="auto"/>
              <w:left w:val="single" w:sz="4" w:space="0" w:color="auto"/>
              <w:bottom w:val="single" w:sz="4" w:space="0" w:color="auto"/>
              <w:right w:val="single" w:sz="4" w:space="0" w:color="auto"/>
            </w:tcBorders>
            <w:vAlign w:val="bottom"/>
            <w:hideMark/>
          </w:tcPr>
          <w:p w14:paraId="321FD39B" w14:textId="77777777" w:rsidR="00291D94" w:rsidRPr="003E6512" w:rsidRDefault="00291D94" w:rsidP="003748B3">
            <w:pPr>
              <w:pStyle w:val="NoSpacing"/>
            </w:pPr>
            <w:r w:rsidRPr="003E6512">
              <w:t>58.30±0.02</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A05A100" w14:textId="77777777" w:rsidR="00291D94" w:rsidRPr="003E6512" w:rsidRDefault="00291D94" w:rsidP="003748B3">
            <w:pPr>
              <w:pStyle w:val="NoSpacing"/>
            </w:pPr>
            <w:r w:rsidRPr="003E6512">
              <w:t>157.95±0.02</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4FE3F9D" w14:textId="77777777" w:rsidR="00291D94" w:rsidRPr="003E6512" w:rsidRDefault="00291D94" w:rsidP="003748B3">
            <w:pPr>
              <w:pStyle w:val="NoSpacing"/>
            </w:pPr>
            <w:r w:rsidRPr="003E6512">
              <w:t>6.110±0.00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78DB2FDD" w14:textId="77777777" w:rsidR="00291D94" w:rsidRPr="003E6512" w:rsidRDefault="00291D94" w:rsidP="003748B3">
            <w:pPr>
              <w:pStyle w:val="NoSpacing"/>
            </w:pPr>
            <w:r w:rsidRPr="003E6512">
              <w:t>6.830±0.00</w:t>
            </w:r>
          </w:p>
        </w:tc>
      </w:tr>
      <w:tr w:rsidR="00291D94" w:rsidRPr="003E6512" w14:paraId="2F9061B2"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1BC8C705" w14:textId="77777777" w:rsidR="00291D94" w:rsidRPr="003E6512" w:rsidRDefault="00291D94" w:rsidP="003748B3">
            <w:pPr>
              <w:pStyle w:val="NoSpacing"/>
            </w:pPr>
            <w:r w:rsidRPr="003E6512">
              <w:t>Cayenne pepper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0087C8B6" w14:textId="77777777" w:rsidR="00291D94" w:rsidRPr="003E6512" w:rsidRDefault="00291D94" w:rsidP="003748B3">
            <w:pPr>
              <w:pStyle w:val="NoSpacing"/>
            </w:pPr>
            <w:r w:rsidRPr="003E6512">
              <w:t>0.910±0.02</w:t>
            </w:r>
          </w:p>
        </w:tc>
        <w:tc>
          <w:tcPr>
            <w:tcW w:w="1382" w:type="dxa"/>
            <w:tcBorders>
              <w:top w:val="single" w:sz="4" w:space="0" w:color="auto"/>
              <w:left w:val="single" w:sz="4" w:space="0" w:color="auto"/>
              <w:bottom w:val="single" w:sz="4" w:space="0" w:color="auto"/>
              <w:right w:val="single" w:sz="4" w:space="0" w:color="auto"/>
            </w:tcBorders>
            <w:vAlign w:val="bottom"/>
            <w:hideMark/>
          </w:tcPr>
          <w:p w14:paraId="742BA2F0" w14:textId="77777777" w:rsidR="00291D94" w:rsidRPr="003E6512" w:rsidRDefault="00291D94" w:rsidP="003748B3">
            <w:pPr>
              <w:pStyle w:val="NoSpacing"/>
            </w:pPr>
            <w:r w:rsidRPr="003E6512">
              <w:t>3.500±0.00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4916D390" w14:textId="77777777" w:rsidR="00291D94" w:rsidRPr="003E6512" w:rsidRDefault="00291D94" w:rsidP="003748B3">
            <w:pPr>
              <w:pStyle w:val="NoSpacing"/>
            </w:pPr>
            <w:r w:rsidRPr="003E6512">
              <w:t>3.780±0.00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BBF22CB" w14:textId="77777777" w:rsidR="00291D94" w:rsidRPr="003E6512" w:rsidRDefault="00291D94" w:rsidP="003748B3">
            <w:pPr>
              <w:pStyle w:val="NoSpacing"/>
            </w:pPr>
            <w:r w:rsidRPr="003E6512">
              <w:t>36.36±0.02</w:t>
            </w:r>
          </w:p>
        </w:tc>
        <w:tc>
          <w:tcPr>
            <w:tcW w:w="1452" w:type="dxa"/>
            <w:tcBorders>
              <w:top w:val="single" w:sz="4" w:space="0" w:color="auto"/>
              <w:left w:val="single" w:sz="4" w:space="0" w:color="auto"/>
              <w:bottom w:val="single" w:sz="4" w:space="0" w:color="auto"/>
              <w:right w:val="single" w:sz="4" w:space="0" w:color="auto"/>
            </w:tcBorders>
            <w:vAlign w:val="bottom"/>
            <w:hideMark/>
          </w:tcPr>
          <w:p w14:paraId="3EA6734E" w14:textId="77777777" w:rsidR="00291D94" w:rsidRPr="003E6512" w:rsidRDefault="00291D94" w:rsidP="003748B3">
            <w:pPr>
              <w:pStyle w:val="NoSpacing"/>
            </w:pPr>
            <w:r w:rsidRPr="003E6512">
              <w:t>33.84±0.01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2A23B99" w14:textId="77777777" w:rsidR="00291D94" w:rsidRPr="003E6512" w:rsidRDefault="00291D94" w:rsidP="003748B3">
            <w:pPr>
              <w:pStyle w:val="NoSpacing"/>
            </w:pPr>
            <w:r w:rsidRPr="003E6512">
              <w:t>2.690±0.03</w:t>
            </w:r>
          </w:p>
        </w:tc>
        <w:tc>
          <w:tcPr>
            <w:tcW w:w="1453" w:type="dxa"/>
            <w:tcBorders>
              <w:top w:val="single" w:sz="4" w:space="0" w:color="auto"/>
              <w:left w:val="single" w:sz="4" w:space="0" w:color="auto"/>
              <w:bottom w:val="single" w:sz="4" w:space="0" w:color="auto"/>
              <w:right w:val="single" w:sz="4" w:space="0" w:color="auto"/>
            </w:tcBorders>
            <w:vAlign w:val="bottom"/>
            <w:hideMark/>
          </w:tcPr>
          <w:p w14:paraId="74D52243" w14:textId="77777777" w:rsidR="00291D94" w:rsidRPr="003E6512" w:rsidRDefault="00291D94" w:rsidP="003748B3">
            <w:pPr>
              <w:pStyle w:val="NoSpacing"/>
            </w:pPr>
            <w:r w:rsidRPr="003E6512">
              <w:t>3.170±0.00</w:t>
            </w:r>
          </w:p>
        </w:tc>
      </w:tr>
      <w:tr w:rsidR="00291D94" w:rsidRPr="003E6512" w14:paraId="1993D07C" w14:textId="77777777" w:rsidTr="003748B3">
        <w:trPr>
          <w:trHeight w:val="284"/>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5100BF28" w14:textId="77777777" w:rsidR="00291D94" w:rsidRPr="003E6512" w:rsidRDefault="00291D94" w:rsidP="003748B3">
            <w:pPr>
              <w:pStyle w:val="NoSpacing"/>
            </w:pPr>
            <w:r w:rsidRPr="003E6512">
              <w:t>Nutmeg</w:t>
            </w:r>
          </w:p>
        </w:tc>
        <w:tc>
          <w:tcPr>
            <w:tcW w:w="1520" w:type="dxa"/>
            <w:tcBorders>
              <w:top w:val="single" w:sz="4" w:space="0" w:color="auto"/>
              <w:left w:val="single" w:sz="4" w:space="0" w:color="auto"/>
              <w:bottom w:val="single" w:sz="4" w:space="0" w:color="auto"/>
              <w:right w:val="single" w:sz="4" w:space="0" w:color="auto"/>
            </w:tcBorders>
            <w:vAlign w:val="bottom"/>
            <w:hideMark/>
          </w:tcPr>
          <w:p w14:paraId="24B2450A" w14:textId="77777777" w:rsidR="00291D94" w:rsidRPr="003E6512" w:rsidRDefault="00291D94" w:rsidP="003748B3">
            <w:pPr>
              <w:pStyle w:val="NoSpacing"/>
            </w:pPr>
            <w:r w:rsidRPr="003E6512">
              <w:t>0.720±0.00</w:t>
            </w:r>
          </w:p>
        </w:tc>
        <w:tc>
          <w:tcPr>
            <w:tcW w:w="1382" w:type="dxa"/>
            <w:tcBorders>
              <w:top w:val="single" w:sz="4" w:space="0" w:color="auto"/>
              <w:left w:val="single" w:sz="4" w:space="0" w:color="auto"/>
              <w:bottom w:val="single" w:sz="4" w:space="0" w:color="auto"/>
              <w:right w:val="single" w:sz="4" w:space="0" w:color="auto"/>
            </w:tcBorders>
            <w:vAlign w:val="bottom"/>
            <w:hideMark/>
          </w:tcPr>
          <w:p w14:paraId="660F4C80" w14:textId="77777777" w:rsidR="00291D94" w:rsidRPr="003E6512" w:rsidRDefault="00291D94" w:rsidP="003748B3">
            <w:pPr>
              <w:pStyle w:val="NoSpacing"/>
            </w:pPr>
            <w:r w:rsidRPr="003E6512">
              <w:t>BDL</w:t>
            </w:r>
          </w:p>
        </w:tc>
        <w:tc>
          <w:tcPr>
            <w:tcW w:w="1452" w:type="dxa"/>
            <w:tcBorders>
              <w:top w:val="single" w:sz="4" w:space="0" w:color="auto"/>
              <w:left w:val="single" w:sz="4" w:space="0" w:color="auto"/>
              <w:bottom w:val="single" w:sz="4" w:space="0" w:color="auto"/>
              <w:right w:val="single" w:sz="4" w:space="0" w:color="auto"/>
            </w:tcBorders>
            <w:vAlign w:val="bottom"/>
            <w:hideMark/>
          </w:tcPr>
          <w:p w14:paraId="73F6A95B" w14:textId="77777777" w:rsidR="00291D94" w:rsidRPr="003E6512" w:rsidRDefault="00291D94" w:rsidP="003748B3">
            <w:pPr>
              <w:pStyle w:val="NoSpacing"/>
            </w:pPr>
            <w:r w:rsidRPr="003E6512">
              <w:t>3.320±0.01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58CC069C" w14:textId="77777777" w:rsidR="00291D94" w:rsidRPr="003E6512" w:rsidRDefault="00291D94" w:rsidP="003748B3">
            <w:pPr>
              <w:pStyle w:val="NoSpacing"/>
            </w:pPr>
            <w:r w:rsidRPr="003E6512">
              <w:t>55.36±0.03</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62686EF" w14:textId="77777777" w:rsidR="00291D94" w:rsidRPr="003E6512" w:rsidRDefault="00291D94" w:rsidP="003748B3">
            <w:pPr>
              <w:pStyle w:val="NoSpacing"/>
            </w:pPr>
            <w:r w:rsidRPr="003E6512">
              <w:t>54.72±0.00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F1346C2" w14:textId="77777777" w:rsidR="00291D94" w:rsidRPr="003E6512" w:rsidRDefault="00291D94" w:rsidP="003748B3">
            <w:pPr>
              <w:pStyle w:val="NoSpacing"/>
            </w:pPr>
            <w:r w:rsidRPr="003E6512">
              <w:t>4.070±0.01</w:t>
            </w:r>
          </w:p>
        </w:tc>
        <w:tc>
          <w:tcPr>
            <w:tcW w:w="1453" w:type="dxa"/>
            <w:tcBorders>
              <w:top w:val="single" w:sz="4" w:space="0" w:color="auto"/>
              <w:left w:val="single" w:sz="4" w:space="0" w:color="auto"/>
              <w:bottom w:val="single" w:sz="4" w:space="0" w:color="auto"/>
              <w:right w:val="single" w:sz="4" w:space="0" w:color="auto"/>
            </w:tcBorders>
            <w:vAlign w:val="bottom"/>
            <w:hideMark/>
          </w:tcPr>
          <w:p w14:paraId="118E4257" w14:textId="77777777" w:rsidR="00291D94" w:rsidRPr="003E6512" w:rsidRDefault="00291D94" w:rsidP="003748B3">
            <w:pPr>
              <w:pStyle w:val="NoSpacing"/>
            </w:pPr>
            <w:r w:rsidRPr="003E6512">
              <w:t>3.740±0.00</w:t>
            </w:r>
          </w:p>
        </w:tc>
      </w:tr>
      <w:tr w:rsidR="00291D94" w:rsidRPr="003E6512" w14:paraId="302D14C0"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56B1E675" w14:textId="77777777" w:rsidR="00291D94" w:rsidRPr="003E6512" w:rsidRDefault="00291D94" w:rsidP="003748B3">
            <w:pPr>
              <w:pStyle w:val="NoSpacing"/>
            </w:pPr>
            <w:r w:rsidRPr="003E6512">
              <w:t>Curry powder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01E3064D" w14:textId="77777777" w:rsidR="00291D94" w:rsidRPr="003E6512" w:rsidRDefault="00291D94" w:rsidP="003748B3">
            <w:pPr>
              <w:pStyle w:val="NoSpacing"/>
            </w:pPr>
            <w:r w:rsidRPr="003E6512">
              <w:t>0.930±0.01</w:t>
            </w:r>
          </w:p>
        </w:tc>
        <w:tc>
          <w:tcPr>
            <w:tcW w:w="1382" w:type="dxa"/>
            <w:tcBorders>
              <w:top w:val="single" w:sz="4" w:space="0" w:color="auto"/>
              <w:left w:val="single" w:sz="4" w:space="0" w:color="auto"/>
              <w:bottom w:val="single" w:sz="4" w:space="0" w:color="auto"/>
              <w:right w:val="single" w:sz="4" w:space="0" w:color="auto"/>
            </w:tcBorders>
            <w:vAlign w:val="bottom"/>
            <w:hideMark/>
          </w:tcPr>
          <w:p w14:paraId="7D756BBF" w14:textId="77777777" w:rsidR="00291D94" w:rsidRPr="003E6512" w:rsidRDefault="00291D94" w:rsidP="003748B3">
            <w:pPr>
              <w:pStyle w:val="NoSpacing"/>
            </w:pPr>
            <w:r w:rsidRPr="003E6512">
              <w:t>0.660±0.00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1CB36BF0" w14:textId="77777777" w:rsidR="00291D94" w:rsidRPr="003E6512" w:rsidRDefault="00291D94" w:rsidP="003748B3">
            <w:pPr>
              <w:pStyle w:val="NoSpacing"/>
            </w:pPr>
            <w:r w:rsidRPr="003E6512">
              <w:t>4.650±0.01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A408FCF" w14:textId="77777777" w:rsidR="00291D94" w:rsidRPr="003E6512" w:rsidRDefault="00291D94" w:rsidP="003748B3">
            <w:pPr>
              <w:pStyle w:val="NoSpacing"/>
            </w:pPr>
            <w:r w:rsidRPr="003E6512">
              <w:t>29.78±0.01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9D9C5D4" w14:textId="77777777" w:rsidR="00291D94" w:rsidRPr="003E6512" w:rsidRDefault="00291D94" w:rsidP="003748B3">
            <w:pPr>
              <w:pStyle w:val="NoSpacing"/>
            </w:pPr>
            <w:r w:rsidRPr="003E6512">
              <w:t>51.59±0.00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2871064" w14:textId="77777777" w:rsidR="00291D94" w:rsidRPr="003E6512" w:rsidRDefault="00291D94" w:rsidP="003748B3">
            <w:pPr>
              <w:pStyle w:val="NoSpacing"/>
            </w:pPr>
            <w:r w:rsidRPr="003E6512">
              <w:t>3.070±0.00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128C6C8D" w14:textId="77777777" w:rsidR="00291D94" w:rsidRPr="003E6512" w:rsidRDefault="00291D94" w:rsidP="003748B3">
            <w:pPr>
              <w:pStyle w:val="NoSpacing"/>
            </w:pPr>
            <w:r w:rsidRPr="003E6512">
              <w:t>2.520±0.01</w:t>
            </w:r>
          </w:p>
        </w:tc>
      </w:tr>
      <w:tr w:rsidR="00291D94" w:rsidRPr="003E6512" w14:paraId="56BF79AF"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4C81C4B8" w14:textId="77777777" w:rsidR="00291D94" w:rsidRPr="003E6512" w:rsidRDefault="00291D94" w:rsidP="003748B3">
            <w:pPr>
              <w:pStyle w:val="NoSpacing"/>
            </w:pPr>
            <w:r w:rsidRPr="003E6512">
              <w:t>Chicken season</w:t>
            </w:r>
          </w:p>
        </w:tc>
        <w:tc>
          <w:tcPr>
            <w:tcW w:w="1520" w:type="dxa"/>
            <w:tcBorders>
              <w:top w:val="single" w:sz="4" w:space="0" w:color="auto"/>
              <w:left w:val="single" w:sz="4" w:space="0" w:color="auto"/>
              <w:bottom w:val="single" w:sz="4" w:space="0" w:color="auto"/>
              <w:right w:val="single" w:sz="4" w:space="0" w:color="auto"/>
            </w:tcBorders>
            <w:vAlign w:val="bottom"/>
            <w:hideMark/>
          </w:tcPr>
          <w:p w14:paraId="29649ED0" w14:textId="77777777" w:rsidR="00291D94" w:rsidRPr="003E6512" w:rsidRDefault="00291D94" w:rsidP="003748B3">
            <w:pPr>
              <w:pStyle w:val="NoSpacing"/>
            </w:pPr>
            <w:r w:rsidRPr="003E6512">
              <w:t>0.840±0.03</w:t>
            </w:r>
          </w:p>
        </w:tc>
        <w:tc>
          <w:tcPr>
            <w:tcW w:w="1382" w:type="dxa"/>
            <w:tcBorders>
              <w:top w:val="single" w:sz="4" w:space="0" w:color="auto"/>
              <w:left w:val="single" w:sz="4" w:space="0" w:color="auto"/>
              <w:bottom w:val="single" w:sz="4" w:space="0" w:color="auto"/>
              <w:right w:val="single" w:sz="4" w:space="0" w:color="auto"/>
            </w:tcBorders>
            <w:vAlign w:val="bottom"/>
            <w:hideMark/>
          </w:tcPr>
          <w:p w14:paraId="142D4E7B" w14:textId="77777777" w:rsidR="00291D94" w:rsidRPr="003E6512" w:rsidRDefault="00291D94" w:rsidP="003748B3">
            <w:pPr>
              <w:pStyle w:val="NoSpacing"/>
            </w:pPr>
            <w:r w:rsidRPr="003E6512">
              <w:t>BDL</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9289203" w14:textId="77777777" w:rsidR="00291D94" w:rsidRPr="003E6512" w:rsidRDefault="00291D94" w:rsidP="003748B3">
            <w:pPr>
              <w:pStyle w:val="NoSpacing"/>
            </w:pPr>
            <w:r w:rsidRPr="003E6512">
              <w:t>6.080±0.00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47641F4" w14:textId="77777777" w:rsidR="00291D94" w:rsidRPr="003E6512" w:rsidRDefault="00291D94" w:rsidP="003748B3">
            <w:pPr>
              <w:pStyle w:val="NoSpacing"/>
            </w:pPr>
            <w:r w:rsidRPr="003E6512">
              <w:t>22.35±0.00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17CCDE59" w14:textId="77777777" w:rsidR="00291D94" w:rsidRPr="003E6512" w:rsidRDefault="00291D94" w:rsidP="003748B3">
            <w:pPr>
              <w:pStyle w:val="NoSpacing"/>
            </w:pPr>
            <w:r w:rsidRPr="003E6512">
              <w:t>52.18±0.00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97AB25B" w14:textId="77777777" w:rsidR="00291D94" w:rsidRPr="003E6512" w:rsidRDefault="00291D94" w:rsidP="003748B3">
            <w:pPr>
              <w:pStyle w:val="NoSpacing"/>
            </w:pPr>
            <w:r w:rsidRPr="003E6512">
              <w:t>4.190±0.02</w:t>
            </w:r>
          </w:p>
        </w:tc>
        <w:tc>
          <w:tcPr>
            <w:tcW w:w="1453" w:type="dxa"/>
            <w:tcBorders>
              <w:top w:val="single" w:sz="4" w:space="0" w:color="auto"/>
              <w:left w:val="single" w:sz="4" w:space="0" w:color="auto"/>
              <w:bottom w:val="single" w:sz="4" w:space="0" w:color="auto"/>
              <w:right w:val="single" w:sz="4" w:space="0" w:color="auto"/>
            </w:tcBorders>
            <w:vAlign w:val="bottom"/>
            <w:hideMark/>
          </w:tcPr>
          <w:p w14:paraId="63192579" w14:textId="77777777" w:rsidR="00291D94" w:rsidRPr="003E6512" w:rsidRDefault="00291D94" w:rsidP="003748B3">
            <w:pPr>
              <w:pStyle w:val="NoSpacing"/>
            </w:pPr>
            <w:r w:rsidRPr="003E6512">
              <w:t>2.870±0.02</w:t>
            </w:r>
          </w:p>
        </w:tc>
      </w:tr>
      <w:tr w:rsidR="00291D94" w:rsidRPr="003E6512" w14:paraId="7BA0F60D"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0AAC098A" w14:textId="77777777" w:rsidR="00291D94" w:rsidRPr="003E6512" w:rsidRDefault="00291D94" w:rsidP="003748B3">
            <w:pPr>
              <w:pStyle w:val="NoSpacing"/>
            </w:pPr>
            <w:r w:rsidRPr="003E6512">
              <w:t>Fried seasoning</w:t>
            </w:r>
          </w:p>
        </w:tc>
        <w:tc>
          <w:tcPr>
            <w:tcW w:w="1520" w:type="dxa"/>
            <w:tcBorders>
              <w:top w:val="single" w:sz="4" w:space="0" w:color="auto"/>
              <w:left w:val="single" w:sz="4" w:space="0" w:color="auto"/>
              <w:bottom w:val="single" w:sz="4" w:space="0" w:color="auto"/>
              <w:right w:val="single" w:sz="4" w:space="0" w:color="auto"/>
            </w:tcBorders>
            <w:vAlign w:val="bottom"/>
            <w:hideMark/>
          </w:tcPr>
          <w:p w14:paraId="04F6BA3E" w14:textId="77777777" w:rsidR="00291D94" w:rsidRPr="003E6512" w:rsidRDefault="00291D94" w:rsidP="003748B3">
            <w:pPr>
              <w:pStyle w:val="NoSpacing"/>
            </w:pPr>
            <w:r w:rsidRPr="003E6512">
              <w:t>0.680±0.00</w:t>
            </w:r>
          </w:p>
        </w:tc>
        <w:tc>
          <w:tcPr>
            <w:tcW w:w="1382" w:type="dxa"/>
            <w:tcBorders>
              <w:top w:val="single" w:sz="4" w:space="0" w:color="auto"/>
              <w:left w:val="single" w:sz="4" w:space="0" w:color="auto"/>
              <w:bottom w:val="single" w:sz="4" w:space="0" w:color="auto"/>
              <w:right w:val="single" w:sz="4" w:space="0" w:color="auto"/>
            </w:tcBorders>
            <w:vAlign w:val="bottom"/>
            <w:hideMark/>
          </w:tcPr>
          <w:p w14:paraId="08539E77" w14:textId="77777777" w:rsidR="00291D94" w:rsidRPr="003E6512" w:rsidRDefault="00291D94" w:rsidP="003748B3">
            <w:pPr>
              <w:pStyle w:val="NoSpacing"/>
            </w:pPr>
            <w:r w:rsidRPr="003E6512">
              <w:t>BDL</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AF2E8B7" w14:textId="77777777" w:rsidR="00291D94" w:rsidRPr="003E6512" w:rsidRDefault="00291D94" w:rsidP="003748B3">
            <w:pPr>
              <w:pStyle w:val="NoSpacing"/>
            </w:pPr>
            <w:r w:rsidRPr="003E6512">
              <w:t>9.170±0.00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3D671C6" w14:textId="77777777" w:rsidR="00291D94" w:rsidRPr="003E6512" w:rsidRDefault="00291D94" w:rsidP="003748B3">
            <w:pPr>
              <w:pStyle w:val="NoSpacing"/>
            </w:pPr>
            <w:r w:rsidRPr="003E6512">
              <w:t>4.380±0.01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74D782BB" w14:textId="77777777" w:rsidR="00291D94" w:rsidRPr="003E6512" w:rsidRDefault="00291D94" w:rsidP="003748B3">
            <w:pPr>
              <w:pStyle w:val="NoSpacing"/>
            </w:pPr>
            <w:r w:rsidRPr="003E6512">
              <w:t>15.53±0.01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ABF3CEB" w14:textId="77777777" w:rsidR="00291D94" w:rsidRPr="003E6512" w:rsidRDefault="00291D94" w:rsidP="003748B3">
            <w:pPr>
              <w:pStyle w:val="NoSpacing"/>
            </w:pPr>
            <w:r w:rsidRPr="003E6512">
              <w:t>3.670 ±0.01</w:t>
            </w:r>
          </w:p>
        </w:tc>
        <w:tc>
          <w:tcPr>
            <w:tcW w:w="1453" w:type="dxa"/>
            <w:tcBorders>
              <w:top w:val="single" w:sz="4" w:space="0" w:color="auto"/>
              <w:left w:val="single" w:sz="4" w:space="0" w:color="auto"/>
              <w:bottom w:val="single" w:sz="4" w:space="0" w:color="auto"/>
              <w:right w:val="single" w:sz="4" w:space="0" w:color="auto"/>
            </w:tcBorders>
            <w:vAlign w:val="bottom"/>
            <w:hideMark/>
          </w:tcPr>
          <w:p w14:paraId="6590B5F2" w14:textId="77777777" w:rsidR="00291D94" w:rsidRPr="003E6512" w:rsidRDefault="00291D94" w:rsidP="003748B3">
            <w:pPr>
              <w:pStyle w:val="NoSpacing"/>
            </w:pPr>
            <w:r w:rsidRPr="003E6512">
              <w:t>1.750±0.03</w:t>
            </w:r>
          </w:p>
        </w:tc>
      </w:tr>
      <w:tr w:rsidR="00291D94" w:rsidRPr="003E6512" w14:paraId="070DC5B2"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690C5B90" w14:textId="77777777" w:rsidR="00291D94" w:rsidRPr="003E6512" w:rsidRDefault="00291D94" w:rsidP="003748B3">
            <w:pPr>
              <w:pStyle w:val="NoSpacing"/>
            </w:pPr>
            <w:r w:rsidRPr="003E6512">
              <w:t>Yellow pepper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1A21937C" w14:textId="77777777" w:rsidR="00291D94" w:rsidRPr="003E6512" w:rsidRDefault="00291D94" w:rsidP="003748B3">
            <w:pPr>
              <w:pStyle w:val="NoSpacing"/>
            </w:pPr>
            <w:r w:rsidRPr="003E6512">
              <w:t>2.280±0.01</w:t>
            </w:r>
          </w:p>
        </w:tc>
        <w:tc>
          <w:tcPr>
            <w:tcW w:w="1382" w:type="dxa"/>
            <w:tcBorders>
              <w:top w:val="single" w:sz="4" w:space="0" w:color="auto"/>
              <w:left w:val="single" w:sz="4" w:space="0" w:color="auto"/>
              <w:bottom w:val="single" w:sz="4" w:space="0" w:color="auto"/>
              <w:right w:val="single" w:sz="4" w:space="0" w:color="auto"/>
            </w:tcBorders>
            <w:vAlign w:val="bottom"/>
            <w:hideMark/>
          </w:tcPr>
          <w:p w14:paraId="1523AC4E" w14:textId="77777777" w:rsidR="00291D94" w:rsidRPr="003E6512" w:rsidRDefault="00291D94" w:rsidP="003748B3">
            <w:pPr>
              <w:pStyle w:val="NoSpacing"/>
            </w:pPr>
            <w:r w:rsidRPr="003E6512">
              <w:t>1.310±0.01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1495DEEA" w14:textId="77777777" w:rsidR="00291D94" w:rsidRPr="003E6512" w:rsidRDefault="00291D94" w:rsidP="003748B3">
            <w:pPr>
              <w:pStyle w:val="NoSpacing"/>
            </w:pPr>
            <w:r w:rsidRPr="003E6512">
              <w:t>8.100±0.00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549581C9" w14:textId="77777777" w:rsidR="00291D94" w:rsidRPr="003E6512" w:rsidRDefault="00291D94" w:rsidP="003748B3">
            <w:pPr>
              <w:pStyle w:val="NoSpacing"/>
            </w:pPr>
            <w:r w:rsidRPr="003E6512">
              <w:t>23.51±0.01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6A0E081" w14:textId="77777777" w:rsidR="00291D94" w:rsidRPr="003E6512" w:rsidRDefault="00291D94" w:rsidP="003748B3">
            <w:pPr>
              <w:pStyle w:val="NoSpacing"/>
            </w:pPr>
            <w:r w:rsidRPr="003E6512">
              <w:t>20.06±0.00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64D1583A" w14:textId="77777777" w:rsidR="00291D94" w:rsidRPr="003E6512" w:rsidRDefault="00291D94" w:rsidP="003748B3">
            <w:pPr>
              <w:pStyle w:val="NoSpacing"/>
            </w:pPr>
            <w:r w:rsidRPr="003E6512">
              <w:t>2.460±0.00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4E329F15" w14:textId="77777777" w:rsidR="00291D94" w:rsidRPr="003E6512" w:rsidRDefault="00291D94" w:rsidP="003748B3">
            <w:pPr>
              <w:pStyle w:val="NoSpacing"/>
            </w:pPr>
            <w:r w:rsidRPr="003E6512">
              <w:t>7.890±0.02</w:t>
            </w:r>
          </w:p>
        </w:tc>
      </w:tr>
      <w:tr w:rsidR="00291D94" w:rsidRPr="003E6512" w14:paraId="06C7249F"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3665E1B5" w14:textId="77777777" w:rsidR="00291D94" w:rsidRPr="003E6512" w:rsidRDefault="00291D94" w:rsidP="003748B3">
            <w:pPr>
              <w:pStyle w:val="NoSpacing"/>
            </w:pPr>
            <w:r w:rsidRPr="003E6512">
              <w:t>Garlic powder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7D909E63" w14:textId="77777777" w:rsidR="00291D94" w:rsidRPr="003E6512" w:rsidRDefault="00291D94" w:rsidP="003748B3">
            <w:pPr>
              <w:pStyle w:val="NoSpacing"/>
            </w:pPr>
            <w:r w:rsidRPr="003E6512">
              <w:t>0.760±0.012</w:t>
            </w:r>
          </w:p>
        </w:tc>
        <w:tc>
          <w:tcPr>
            <w:tcW w:w="1382" w:type="dxa"/>
            <w:tcBorders>
              <w:top w:val="single" w:sz="4" w:space="0" w:color="auto"/>
              <w:left w:val="single" w:sz="4" w:space="0" w:color="auto"/>
              <w:bottom w:val="single" w:sz="4" w:space="0" w:color="auto"/>
              <w:right w:val="single" w:sz="4" w:space="0" w:color="auto"/>
            </w:tcBorders>
            <w:vAlign w:val="bottom"/>
            <w:hideMark/>
          </w:tcPr>
          <w:p w14:paraId="301940AA" w14:textId="77777777" w:rsidR="00291D94" w:rsidRPr="003E6512" w:rsidRDefault="00291D94" w:rsidP="003748B3">
            <w:pPr>
              <w:pStyle w:val="NoSpacing"/>
            </w:pPr>
            <w:r w:rsidRPr="003E6512">
              <w:t>0.690±0.00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53D2879C" w14:textId="77777777" w:rsidR="00291D94" w:rsidRPr="003E6512" w:rsidRDefault="00291D94" w:rsidP="003748B3">
            <w:pPr>
              <w:pStyle w:val="NoSpacing"/>
            </w:pPr>
            <w:r w:rsidRPr="003E6512">
              <w:t>10.88±0.012</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EA93AF2" w14:textId="77777777" w:rsidR="00291D94" w:rsidRPr="003E6512" w:rsidRDefault="00291D94" w:rsidP="003748B3">
            <w:pPr>
              <w:pStyle w:val="NoSpacing"/>
            </w:pPr>
            <w:r w:rsidRPr="003E6512">
              <w:t>11.53±0.00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4D47367F" w14:textId="77777777" w:rsidR="00291D94" w:rsidRPr="003E6512" w:rsidRDefault="00291D94" w:rsidP="003748B3">
            <w:pPr>
              <w:pStyle w:val="NoSpacing"/>
            </w:pPr>
            <w:r w:rsidRPr="003E6512">
              <w:t>13.12±0.00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0028525" w14:textId="77777777" w:rsidR="00291D94" w:rsidRPr="003E6512" w:rsidRDefault="00291D94" w:rsidP="003748B3">
            <w:pPr>
              <w:pStyle w:val="NoSpacing"/>
            </w:pPr>
            <w:r w:rsidRPr="003E6512">
              <w:t>3.420±0.01</w:t>
            </w:r>
          </w:p>
        </w:tc>
        <w:tc>
          <w:tcPr>
            <w:tcW w:w="1453" w:type="dxa"/>
            <w:tcBorders>
              <w:top w:val="single" w:sz="4" w:space="0" w:color="auto"/>
              <w:left w:val="single" w:sz="4" w:space="0" w:color="auto"/>
              <w:bottom w:val="single" w:sz="4" w:space="0" w:color="auto"/>
              <w:right w:val="single" w:sz="4" w:space="0" w:color="auto"/>
            </w:tcBorders>
            <w:vAlign w:val="bottom"/>
            <w:hideMark/>
          </w:tcPr>
          <w:p w14:paraId="3BBAC292" w14:textId="77777777" w:rsidR="00291D94" w:rsidRPr="003E6512" w:rsidRDefault="00291D94" w:rsidP="003748B3">
            <w:pPr>
              <w:pStyle w:val="NoSpacing"/>
            </w:pPr>
            <w:r w:rsidRPr="003E6512">
              <w:t>4.270±0.00</w:t>
            </w:r>
          </w:p>
        </w:tc>
      </w:tr>
      <w:tr w:rsidR="00291D94" w:rsidRPr="003E6512" w14:paraId="74251A1C"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20D4A97A" w14:textId="77777777" w:rsidR="00291D94" w:rsidRPr="003E6512" w:rsidRDefault="00291D94" w:rsidP="003748B3">
            <w:pPr>
              <w:pStyle w:val="NoSpacing"/>
            </w:pPr>
            <w:r w:rsidRPr="003E6512">
              <w:t>Turmeric powder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19766C43" w14:textId="77777777" w:rsidR="00291D94" w:rsidRPr="003E6512" w:rsidRDefault="00291D94" w:rsidP="003748B3">
            <w:pPr>
              <w:pStyle w:val="NoSpacing"/>
            </w:pPr>
            <w:r w:rsidRPr="003E6512">
              <w:t>1.030±0.01</w:t>
            </w:r>
          </w:p>
        </w:tc>
        <w:tc>
          <w:tcPr>
            <w:tcW w:w="1382" w:type="dxa"/>
            <w:tcBorders>
              <w:top w:val="single" w:sz="4" w:space="0" w:color="auto"/>
              <w:left w:val="single" w:sz="4" w:space="0" w:color="auto"/>
              <w:bottom w:val="single" w:sz="4" w:space="0" w:color="auto"/>
              <w:right w:val="single" w:sz="4" w:space="0" w:color="auto"/>
            </w:tcBorders>
            <w:vAlign w:val="bottom"/>
            <w:hideMark/>
          </w:tcPr>
          <w:p w14:paraId="6F240FFE" w14:textId="77777777" w:rsidR="00291D94" w:rsidRPr="003E6512" w:rsidRDefault="00291D94" w:rsidP="003748B3">
            <w:pPr>
              <w:pStyle w:val="NoSpacing"/>
            </w:pPr>
            <w:r w:rsidRPr="003E6512">
              <w:t>0.930±0.02</w:t>
            </w:r>
          </w:p>
        </w:tc>
        <w:tc>
          <w:tcPr>
            <w:tcW w:w="1452" w:type="dxa"/>
            <w:tcBorders>
              <w:top w:val="single" w:sz="4" w:space="0" w:color="auto"/>
              <w:left w:val="single" w:sz="4" w:space="0" w:color="auto"/>
              <w:bottom w:val="single" w:sz="4" w:space="0" w:color="auto"/>
              <w:right w:val="single" w:sz="4" w:space="0" w:color="auto"/>
            </w:tcBorders>
            <w:vAlign w:val="bottom"/>
            <w:hideMark/>
          </w:tcPr>
          <w:p w14:paraId="55867251" w14:textId="77777777" w:rsidR="00291D94" w:rsidRPr="003E6512" w:rsidRDefault="00291D94" w:rsidP="003748B3">
            <w:pPr>
              <w:pStyle w:val="NoSpacing"/>
            </w:pPr>
            <w:r w:rsidRPr="003E6512">
              <w:t>12.96±0.00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1DC6EC3" w14:textId="77777777" w:rsidR="00291D94" w:rsidRPr="003E6512" w:rsidRDefault="00291D94" w:rsidP="003748B3">
            <w:pPr>
              <w:pStyle w:val="NoSpacing"/>
            </w:pPr>
            <w:r w:rsidRPr="003E6512">
              <w:t>18.63±0.01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091E072" w14:textId="77777777" w:rsidR="00291D94" w:rsidRPr="00291D94" w:rsidRDefault="00291D94" w:rsidP="003748B3">
            <w:pPr>
              <w:pStyle w:val="NoSpacing"/>
              <w:rPr>
                <w:b/>
                <w:bCs/>
              </w:rPr>
            </w:pPr>
            <w:r w:rsidRPr="00291D94">
              <w:rPr>
                <w:b/>
                <w:bCs/>
              </w:rPr>
              <w:t>403.8±0.02</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75C3255" w14:textId="77777777" w:rsidR="00291D94" w:rsidRPr="003E6512" w:rsidRDefault="00291D94" w:rsidP="003748B3">
            <w:pPr>
              <w:pStyle w:val="NoSpacing"/>
            </w:pPr>
            <w:r w:rsidRPr="003E6512">
              <w:t>2.740±0.01</w:t>
            </w:r>
          </w:p>
        </w:tc>
        <w:tc>
          <w:tcPr>
            <w:tcW w:w="1453" w:type="dxa"/>
            <w:tcBorders>
              <w:top w:val="single" w:sz="4" w:space="0" w:color="auto"/>
              <w:left w:val="single" w:sz="4" w:space="0" w:color="auto"/>
              <w:bottom w:val="single" w:sz="4" w:space="0" w:color="auto"/>
              <w:right w:val="single" w:sz="4" w:space="0" w:color="auto"/>
            </w:tcBorders>
            <w:vAlign w:val="bottom"/>
            <w:hideMark/>
          </w:tcPr>
          <w:p w14:paraId="4703B434" w14:textId="77777777" w:rsidR="00291D94" w:rsidRPr="003E6512" w:rsidRDefault="00291D94" w:rsidP="003748B3">
            <w:pPr>
              <w:pStyle w:val="NoSpacing"/>
            </w:pPr>
            <w:r w:rsidRPr="003E6512">
              <w:t>0.270±0.01</w:t>
            </w:r>
          </w:p>
        </w:tc>
      </w:tr>
      <w:tr w:rsidR="00291D94" w:rsidRPr="003E6512" w14:paraId="1D69A54F"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4E67A19A" w14:textId="77777777" w:rsidR="00291D94" w:rsidRPr="003E6512" w:rsidRDefault="00291D94" w:rsidP="003748B3">
            <w:pPr>
              <w:pStyle w:val="NoSpacing"/>
            </w:pPr>
            <w:r w:rsidRPr="003E6512">
              <w:t>Ginger powder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78AF6D7B" w14:textId="77777777" w:rsidR="00291D94" w:rsidRPr="003E6512" w:rsidRDefault="00291D94" w:rsidP="003748B3">
            <w:pPr>
              <w:pStyle w:val="NoSpacing"/>
            </w:pPr>
            <w:r w:rsidRPr="003E6512">
              <w:t>1.270±0.00</w:t>
            </w:r>
          </w:p>
        </w:tc>
        <w:tc>
          <w:tcPr>
            <w:tcW w:w="1382" w:type="dxa"/>
            <w:tcBorders>
              <w:top w:val="single" w:sz="4" w:space="0" w:color="auto"/>
              <w:left w:val="single" w:sz="4" w:space="0" w:color="auto"/>
              <w:bottom w:val="single" w:sz="4" w:space="0" w:color="auto"/>
              <w:right w:val="single" w:sz="4" w:space="0" w:color="auto"/>
            </w:tcBorders>
            <w:vAlign w:val="bottom"/>
            <w:hideMark/>
          </w:tcPr>
          <w:p w14:paraId="7D07EE08" w14:textId="77777777" w:rsidR="00291D94" w:rsidRPr="003E6512" w:rsidRDefault="00291D94" w:rsidP="003748B3">
            <w:pPr>
              <w:pStyle w:val="NoSpacing"/>
            </w:pPr>
            <w:r w:rsidRPr="003E6512">
              <w:t>0.000±0.00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3443ADE8" w14:textId="77777777" w:rsidR="00291D94" w:rsidRPr="003E6512" w:rsidRDefault="00291D94" w:rsidP="003748B3">
            <w:pPr>
              <w:pStyle w:val="NoSpacing"/>
            </w:pPr>
            <w:r w:rsidRPr="003E6512">
              <w:t>15.13±0.00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37360A5" w14:textId="77777777" w:rsidR="00291D94" w:rsidRPr="003E6512" w:rsidRDefault="00291D94" w:rsidP="003748B3">
            <w:pPr>
              <w:pStyle w:val="NoSpacing"/>
            </w:pPr>
            <w:r w:rsidRPr="003E6512">
              <w:t>27.53±0.00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1C4F58BC" w14:textId="77777777" w:rsidR="00291D94" w:rsidRPr="003E6512" w:rsidRDefault="00291D94" w:rsidP="003748B3">
            <w:pPr>
              <w:pStyle w:val="NoSpacing"/>
            </w:pPr>
            <w:r w:rsidRPr="003E6512">
              <w:t>598.8±0.03</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B0BE004" w14:textId="77777777" w:rsidR="00291D94" w:rsidRPr="003E6512" w:rsidRDefault="00291D94" w:rsidP="003748B3">
            <w:pPr>
              <w:pStyle w:val="NoSpacing"/>
            </w:pPr>
            <w:r w:rsidRPr="003E6512">
              <w:t>3.710±0.00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019DCA61" w14:textId="77777777" w:rsidR="00291D94" w:rsidRPr="003E6512" w:rsidRDefault="00291D94" w:rsidP="003748B3">
            <w:pPr>
              <w:pStyle w:val="NoSpacing"/>
            </w:pPr>
            <w:r w:rsidRPr="003E6512">
              <w:t>3.120±0.00</w:t>
            </w:r>
          </w:p>
        </w:tc>
      </w:tr>
      <w:tr w:rsidR="00291D94" w:rsidRPr="003E6512" w14:paraId="291E15CC"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78F798C5" w14:textId="77777777" w:rsidR="00291D94" w:rsidRPr="003E6512" w:rsidRDefault="00291D94" w:rsidP="003748B3">
            <w:pPr>
              <w:pStyle w:val="NoSpacing"/>
            </w:pPr>
            <w:r w:rsidRPr="003E6512">
              <w:t>Thyme leaves</w:t>
            </w:r>
          </w:p>
        </w:tc>
        <w:tc>
          <w:tcPr>
            <w:tcW w:w="1520" w:type="dxa"/>
            <w:tcBorders>
              <w:top w:val="single" w:sz="4" w:space="0" w:color="auto"/>
              <w:left w:val="single" w:sz="4" w:space="0" w:color="auto"/>
              <w:bottom w:val="single" w:sz="4" w:space="0" w:color="auto"/>
              <w:right w:val="single" w:sz="4" w:space="0" w:color="auto"/>
            </w:tcBorders>
            <w:vAlign w:val="bottom"/>
            <w:hideMark/>
          </w:tcPr>
          <w:p w14:paraId="4DACB770" w14:textId="77777777" w:rsidR="00291D94" w:rsidRPr="003E6512" w:rsidRDefault="00291D94" w:rsidP="003748B3">
            <w:pPr>
              <w:pStyle w:val="NoSpacing"/>
            </w:pPr>
            <w:r w:rsidRPr="003E6512">
              <w:t>1.230±0.011</w:t>
            </w:r>
          </w:p>
        </w:tc>
        <w:tc>
          <w:tcPr>
            <w:tcW w:w="1382" w:type="dxa"/>
            <w:tcBorders>
              <w:top w:val="single" w:sz="4" w:space="0" w:color="auto"/>
              <w:left w:val="single" w:sz="4" w:space="0" w:color="auto"/>
              <w:bottom w:val="single" w:sz="4" w:space="0" w:color="auto"/>
              <w:right w:val="single" w:sz="4" w:space="0" w:color="auto"/>
            </w:tcBorders>
            <w:vAlign w:val="bottom"/>
            <w:hideMark/>
          </w:tcPr>
          <w:p w14:paraId="76061B47" w14:textId="77777777" w:rsidR="00291D94" w:rsidRPr="003E6512" w:rsidRDefault="00291D94" w:rsidP="003748B3">
            <w:pPr>
              <w:pStyle w:val="NoSpacing"/>
            </w:pPr>
            <w:r w:rsidRPr="003E6512">
              <w:t>0.000±0.01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63515998" w14:textId="77777777" w:rsidR="00291D94" w:rsidRPr="003E6512" w:rsidRDefault="00291D94" w:rsidP="003748B3">
            <w:pPr>
              <w:pStyle w:val="NoSpacing"/>
            </w:pPr>
            <w:r w:rsidRPr="003E6512">
              <w:t>18.40±0.00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2E6FE26" w14:textId="77777777" w:rsidR="00291D94" w:rsidRPr="003E6512" w:rsidRDefault="00291D94" w:rsidP="003748B3">
            <w:pPr>
              <w:pStyle w:val="NoSpacing"/>
            </w:pPr>
            <w:r w:rsidRPr="003E6512">
              <w:t>31.84±0.02</w:t>
            </w:r>
          </w:p>
        </w:tc>
        <w:tc>
          <w:tcPr>
            <w:tcW w:w="1452" w:type="dxa"/>
            <w:tcBorders>
              <w:top w:val="single" w:sz="4" w:space="0" w:color="auto"/>
              <w:left w:val="single" w:sz="4" w:space="0" w:color="auto"/>
              <w:bottom w:val="single" w:sz="4" w:space="0" w:color="auto"/>
              <w:right w:val="single" w:sz="4" w:space="0" w:color="auto"/>
            </w:tcBorders>
            <w:vAlign w:val="bottom"/>
            <w:hideMark/>
          </w:tcPr>
          <w:p w14:paraId="32B0E128" w14:textId="77777777" w:rsidR="00291D94" w:rsidRPr="003E6512" w:rsidRDefault="00291D94" w:rsidP="003748B3">
            <w:pPr>
              <w:pStyle w:val="NoSpacing"/>
            </w:pPr>
            <w:r w:rsidRPr="003E6512">
              <w:t>69.89±0.02</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6BA7DD8" w14:textId="77777777" w:rsidR="00291D94" w:rsidRPr="003E6512" w:rsidRDefault="00291D94" w:rsidP="003748B3">
            <w:pPr>
              <w:pStyle w:val="NoSpacing"/>
            </w:pPr>
            <w:r w:rsidRPr="003E6512">
              <w:t>4.140±0.00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7B7A97CA" w14:textId="77777777" w:rsidR="00291D94" w:rsidRPr="003E6512" w:rsidRDefault="00291D94" w:rsidP="003748B3">
            <w:pPr>
              <w:pStyle w:val="NoSpacing"/>
            </w:pPr>
            <w:r w:rsidRPr="003E6512">
              <w:t>3.370±0.01</w:t>
            </w:r>
          </w:p>
        </w:tc>
      </w:tr>
      <w:tr w:rsidR="00291D94" w:rsidRPr="003E6512" w14:paraId="217B6B89"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0236FEDE" w14:textId="4E3D67C2" w:rsidR="00291D94" w:rsidRPr="003E6512" w:rsidRDefault="00291D94" w:rsidP="003748B3">
            <w:pPr>
              <w:pStyle w:val="NoSpacing"/>
            </w:pPr>
            <w:r w:rsidRPr="003E6512">
              <w:t>Limit</w:t>
            </w:r>
            <w:r>
              <w:t xml:space="preserve"> </w:t>
            </w:r>
            <w:r w:rsidRPr="00291D94">
              <w:rPr>
                <w:rFonts w:eastAsiaTheme="majorEastAsia"/>
              </w:rPr>
              <w:t>(mg kg</w:t>
            </w:r>
            <w:r w:rsidRPr="00291D94">
              <w:rPr>
                <w:rFonts w:eastAsiaTheme="majorEastAsia"/>
                <w:vertAlign w:val="superscript"/>
              </w:rPr>
              <w:t>-1</w:t>
            </w:r>
            <w:r w:rsidRPr="00291D94">
              <w:rPr>
                <w:rFonts w:eastAsiaTheme="majorEastAsia"/>
              </w:rPr>
              <w:t>)</w:t>
            </w:r>
          </w:p>
        </w:tc>
        <w:tc>
          <w:tcPr>
            <w:tcW w:w="1520" w:type="dxa"/>
            <w:tcBorders>
              <w:top w:val="single" w:sz="4" w:space="0" w:color="auto"/>
              <w:left w:val="single" w:sz="4" w:space="0" w:color="auto"/>
              <w:bottom w:val="single" w:sz="4" w:space="0" w:color="auto"/>
              <w:right w:val="single" w:sz="4" w:space="0" w:color="auto"/>
            </w:tcBorders>
            <w:vAlign w:val="bottom"/>
            <w:hideMark/>
          </w:tcPr>
          <w:p w14:paraId="12DC3044" w14:textId="77777777" w:rsidR="00291D94" w:rsidRPr="003E6512" w:rsidRDefault="00291D94" w:rsidP="003748B3">
            <w:pPr>
              <w:pStyle w:val="NoSpacing"/>
            </w:pPr>
            <w:r w:rsidRPr="003E6512">
              <w:t>0.100</w:t>
            </w:r>
          </w:p>
        </w:tc>
        <w:tc>
          <w:tcPr>
            <w:tcW w:w="1382" w:type="dxa"/>
            <w:tcBorders>
              <w:top w:val="single" w:sz="4" w:space="0" w:color="auto"/>
              <w:left w:val="single" w:sz="4" w:space="0" w:color="auto"/>
              <w:bottom w:val="single" w:sz="4" w:space="0" w:color="auto"/>
              <w:right w:val="single" w:sz="4" w:space="0" w:color="auto"/>
            </w:tcBorders>
            <w:vAlign w:val="bottom"/>
            <w:hideMark/>
          </w:tcPr>
          <w:p w14:paraId="24345B3A" w14:textId="77777777" w:rsidR="00291D94" w:rsidRPr="003E6512" w:rsidRDefault="00291D94" w:rsidP="003748B3">
            <w:pPr>
              <w:pStyle w:val="NoSpacing"/>
            </w:pPr>
            <w:r w:rsidRPr="003E6512">
              <w:t>0.200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79C853C" w14:textId="77777777" w:rsidR="00291D94" w:rsidRPr="003E6512" w:rsidRDefault="00291D94" w:rsidP="003748B3">
            <w:pPr>
              <w:pStyle w:val="NoSpacing"/>
            </w:pPr>
            <w:r w:rsidRPr="003E6512">
              <w:t>2.000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AAFF503" w14:textId="77777777" w:rsidR="00291D94" w:rsidRPr="003E6512" w:rsidRDefault="00291D94" w:rsidP="003748B3">
            <w:pPr>
              <w:pStyle w:val="NoSpacing"/>
            </w:pPr>
            <w:r w:rsidRPr="003E6512">
              <w:t>20.00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6B573FFD" w14:textId="77777777" w:rsidR="00291D94" w:rsidRPr="003E6512" w:rsidRDefault="00291D94" w:rsidP="003748B3">
            <w:pPr>
              <w:pStyle w:val="NoSpacing"/>
            </w:pPr>
            <w:r w:rsidRPr="003E6512">
              <w:t>0.120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D3ECD31" w14:textId="77777777" w:rsidR="00291D94" w:rsidRPr="003E6512" w:rsidRDefault="00291D94" w:rsidP="003748B3">
            <w:pPr>
              <w:pStyle w:val="NoSpacing"/>
            </w:pPr>
            <w:r w:rsidRPr="003E6512">
              <w:t>1.630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3D528314" w14:textId="77777777" w:rsidR="00291D94" w:rsidRPr="003E6512" w:rsidRDefault="00291D94" w:rsidP="003748B3">
            <w:pPr>
              <w:pStyle w:val="NoSpacing"/>
            </w:pPr>
            <w:r w:rsidRPr="003E6512">
              <w:t>10.00</w:t>
            </w:r>
          </w:p>
        </w:tc>
      </w:tr>
    </w:tbl>
    <w:p w14:paraId="4C3AD3CD" w14:textId="77777777" w:rsidR="00A70A03" w:rsidRDefault="00A70A03" w:rsidP="00E45044">
      <w:pPr>
        <w:spacing w:after="0" w:line="480" w:lineRule="auto"/>
        <w:jc w:val="both"/>
        <w:rPr>
          <w:rFonts w:ascii="Times New Roman" w:hAnsi="Times New Roman" w:cs="Times New Roman"/>
          <w:b/>
          <w:bCs/>
        </w:rPr>
      </w:pPr>
    </w:p>
    <w:p w14:paraId="0C32B56F" w14:textId="5BF0C0AE" w:rsidR="00C20512" w:rsidRPr="00125810" w:rsidRDefault="00C20512" w:rsidP="00E45044">
      <w:pPr>
        <w:spacing w:after="0" w:line="480" w:lineRule="auto"/>
        <w:jc w:val="both"/>
        <w:rPr>
          <w:rFonts w:ascii="Times New Roman" w:hAnsi="Times New Roman" w:cs="Times New Roman"/>
        </w:rPr>
      </w:pPr>
      <w:r w:rsidRPr="00125810">
        <w:rPr>
          <w:rFonts w:ascii="Times New Roman" w:hAnsi="Times New Roman" w:cs="Times New Roman"/>
          <w:b/>
          <w:bCs/>
        </w:rPr>
        <w:t xml:space="preserve">Table </w:t>
      </w:r>
      <w:r w:rsidR="003748B3">
        <w:rPr>
          <w:rFonts w:ascii="Times New Roman" w:hAnsi="Times New Roman" w:cs="Times New Roman"/>
          <w:b/>
          <w:bCs/>
        </w:rPr>
        <w:t>4</w:t>
      </w:r>
      <w:r w:rsidRPr="00125810">
        <w:rPr>
          <w:rFonts w:ascii="Times New Roman" w:hAnsi="Times New Roman" w:cs="Times New Roman"/>
          <w:b/>
          <w:bCs/>
        </w:rPr>
        <w:t xml:space="preserve">: Heavy </w:t>
      </w:r>
      <w:r w:rsidR="007B657E" w:rsidRPr="00125810">
        <w:rPr>
          <w:rFonts w:ascii="Times New Roman" w:hAnsi="Times New Roman" w:cs="Times New Roman"/>
          <w:b/>
          <w:bCs/>
        </w:rPr>
        <w:t>M</w:t>
      </w:r>
      <w:r w:rsidRPr="00125810">
        <w:rPr>
          <w:rFonts w:ascii="Times New Roman" w:hAnsi="Times New Roman" w:cs="Times New Roman"/>
          <w:b/>
          <w:bCs/>
        </w:rPr>
        <w:t xml:space="preserve">etal </w:t>
      </w:r>
      <w:r w:rsidR="007B657E" w:rsidRPr="00125810">
        <w:rPr>
          <w:rFonts w:ascii="Times New Roman" w:hAnsi="Times New Roman" w:cs="Times New Roman"/>
          <w:b/>
          <w:bCs/>
        </w:rPr>
        <w:t>C</w:t>
      </w:r>
      <w:r w:rsidRPr="00125810">
        <w:rPr>
          <w:rFonts w:ascii="Times New Roman" w:hAnsi="Times New Roman" w:cs="Times New Roman"/>
          <w:b/>
          <w:bCs/>
        </w:rPr>
        <w:t>oncentrations (mg kg</w:t>
      </w:r>
      <w:r w:rsidRPr="00125810">
        <w:rPr>
          <w:rFonts w:ascii="Times New Roman" w:hAnsi="Times New Roman" w:cs="Times New Roman"/>
          <w:b/>
          <w:bCs/>
          <w:vertAlign w:val="superscript"/>
        </w:rPr>
        <w:t>-1</w:t>
      </w:r>
      <w:r w:rsidRPr="00125810">
        <w:rPr>
          <w:rFonts w:ascii="Times New Roman" w:hAnsi="Times New Roman" w:cs="Times New Roman"/>
          <w:b/>
          <w:bCs/>
        </w:rPr>
        <w:t xml:space="preserve">) in </w:t>
      </w:r>
      <w:r w:rsidR="007B657E" w:rsidRPr="00125810">
        <w:rPr>
          <w:rFonts w:ascii="Times New Roman" w:hAnsi="Times New Roman" w:cs="Times New Roman"/>
          <w:b/>
          <w:bCs/>
        </w:rPr>
        <w:t>P</w:t>
      </w:r>
      <w:r w:rsidRPr="00125810">
        <w:rPr>
          <w:rFonts w:ascii="Times New Roman" w:hAnsi="Times New Roman" w:cs="Times New Roman"/>
          <w:b/>
          <w:bCs/>
        </w:rPr>
        <w:t xml:space="preserve">ackaged Herbal Tea in Abuja </w:t>
      </w:r>
      <w:r w:rsidR="007B657E" w:rsidRPr="00125810">
        <w:rPr>
          <w:rFonts w:ascii="Times New Roman" w:hAnsi="Times New Roman" w:cs="Times New Roman"/>
          <w:b/>
          <w:bCs/>
        </w:rPr>
        <w:t>M</w:t>
      </w:r>
      <w:r w:rsidRPr="00125810">
        <w:rPr>
          <w:rFonts w:ascii="Times New Roman" w:hAnsi="Times New Roman" w:cs="Times New Roman"/>
          <w:b/>
          <w:bCs/>
        </w:rPr>
        <w:t>arkets</w:t>
      </w:r>
    </w:p>
    <w:tbl>
      <w:tblPr>
        <w:tblW w:w="11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1308"/>
        <w:gridCol w:w="1308"/>
        <w:gridCol w:w="1308"/>
        <w:gridCol w:w="1404"/>
        <w:gridCol w:w="1332"/>
        <w:gridCol w:w="1308"/>
        <w:gridCol w:w="1308"/>
      </w:tblGrid>
      <w:tr w:rsidR="00C20512" w:rsidRPr="003E6512" w14:paraId="44F353D4" w14:textId="77777777" w:rsidTr="007B657E">
        <w:trPr>
          <w:trHeight w:val="211"/>
        </w:trPr>
        <w:tc>
          <w:tcPr>
            <w:tcW w:w="1760" w:type="dxa"/>
            <w:vMerge w:val="restart"/>
            <w:tcBorders>
              <w:top w:val="single" w:sz="4" w:space="0" w:color="auto"/>
              <w:left w:val="single" w:sz="4" w:space="0" w:color="auto"/>
              <w:bottom w:val="single" w:sz="4" w:space="0" w:color="auto"/>
              <w:right w:val="single" w:sz="4" w:space="0" w:color="auto"/>
            </w:tcBorders>
            <w:hideMark/>
          </w:tcPr>
          <w:p w14:paraId="10671202" w14:textId="77777777" w:rsidR="00C20512" w:rsidRPr="00291D94" w:rsidRDefault="00C20512" w:rsidP="00291D94">
            <w:pPr>
              <w:pStyle w:val="NoSpacing"/>
              <w:spacing w:after="0" w:afterAutospacing="0"/>
              <w:jc w:val="center"/>
              <w:rPr>
                <w:b/>
                <w:bCs/>
              </w:rPr>
            </w:pPr>
            <w:r w:rsidRPr="00291D94">
              <w:rPr>
                <w:rFonts w:eastAsiaTheme="majorEastAsia"/>
                <w:b/>
                <w:bCs/>
              </w:rPr>
              <w:t>Herbal tea</w:t>
            </w:r>
          </w:p>
        </w:tc>
        <w:tc>
          <w:tcPr>
            <w:tcW w:w="9276" w:type="dxa"/>
            <w:gridSpan w:val="7"/>
            <w:tcBorders>
              <w:top w:val="single" w:sz="4" w:space="0" w:color="auto"/>
              <w:left w:val="single" w:sz="4" w:space="0" w:color="auto"/>
              <w:bottom w:val="single" w:sz="4" w:space="0" w:color="auto"/>
              <w:right w:val="single" w:sz="4" w:space="0" w:color="auto"/>
            </w:tcBorders>
            <w:vAlign w:val="bottom"/>
            <w:hideMark/>
          </w:tcPr>
          <w:p w14:paraId="5D2A906B" w14:textId="0C0511CA" w:rsidR="00C20512" w:rsidRPr="00291D94" w:rsidRDefault="00C20512" w:rsidP="00291D94">
            <w:pPr>
              <w:pStyle w:val="NoSpacing"/>
              <w:spacing w:after="0" w:afterAutospacing="0"/>
              <w:jc w:val="center"/>
              <w:rPr>
                <w:b/>
                <w:bCs/>
              </w:rPr>
            </w:pPr>
            <w:r w:rsidRPr="00291D94">
              <w:rPr>
                <w:rFonts w:eastAsiaTheme="majorEastAsia"/>
                <w:b/>
                <w:bCs/>
              </w:rPr>
              <w:t>Concentration (mg kg-1)</w:t>
            </w:r>
          </w:p>
        </w:tc>
      </w:tr>
      <w:tr w:rsidR="000C6957" w:rsidRPr="003E6512" w14:paraId="53119B90" w14:textId="77777777" w:rsidTr="007B657E">
        <w:trPr>
          <w:trHeight w:val="29"/>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45E3C8A1" w14:textId="77777777" w:rsidR="00C20512" w:rsidRPr="003E6512" w:rsidRDefault="00C20512" w:rsidP="003E6512">
            <w:pPr>
              <w:pStyle w:val="NoSpacing"/>
            </w:pPr>
          </w:p>
        </w:tc>
        <w:tc>
          <w:tcPr>
            <w:tcW w:w="1308" w:type="dxa"/>
            <w:tcBorders>
              <w:top w:val="single" w:sz="4" w:space="0" w:color="auto"/>
              <w:left w:val="single" w:sz="4" w:space="0" w:color="auto"/>
              <w:bottom w:val="single" w:sz="4" w:space="0" w:color="auto"/>
              <w:right w:val="single" w:sz="4" w:space="0" w:color="auto"/>
            </w:tcBorders>
            <w:hideMark/>
          </w:tcPr>
          <w:p w14:paraId="4E948F72" w14:textId="77777777" w:rsidR="00C20512" w:rsidRPr="003E6512" w:rsidRDefault="00C20512" w:rsidP="003E6512">
            <w:pPr>
              <w:pStyle w:val="NoSpacing"/>
            </w:pPr>
            <w:r w:rsidRPr="003E6512">
              <w:rPr>
                <w:rFonts w:eastAsiaTheme="majorEastAsia"/>
              </w:rPr>
              <w:t>Cd</w:t>
            </w:r>
          </w:p>
        </w:tc>
        <w:tc>
          <w:tcPr>
            <w:tcW w:w="1308" w:type="dxa"/>
            <w:tcBorders>
              <w:top w:val="single" w:sz="4" w:space="0" w:color="auto"/>
              <w:left w:val="single" w:sz="4" w:space="0" w:color="auto"/>
              <w:bottom w:val="single" w:sz="4" w:space="0" w:color="auto"/>
              <w:right w:val="single" w:sz="4" w:space="0" w:color="auto"/>
            </w:tcBorders>
            <w:hideMark/>
          </w:tcPr>
          <w:p w14:paraId="344FE2C7" w14:textId="77777777" w:rsidR="00C20512" w:rsidRPr="003E6512" w:rsidRDefault="00C20512" w:rsidP="003E6512">
            <w:pPr>
              <w:pStyle w:val="NoSpacing"/>
            </w:pPr>
            <w:r w:rsidRPr="003E6512">
              <w:rPr>
                <w:rFonts w:eastAsiaTheme="majorEastAsia"/>
              </w:rPr>
              <w:t>Co</w:t>
            </w:r>
          </w:p>
        </w:tc>
        <w:tc>
          <w:tcPr>
            <w:tcW w:w="1308" w:type="dxa"/>
            <w:tcBorders>
              <w:top w:val="single" w:sz="4" w:space="0" w:color="auto"/>
              <w:left w:val="single" w:sz="4" w:space="0" w:color="auto"/>
              <w:bottom w:val="single" w:sz="4" w:space="0" w:color="auto"/>
              <w:right w:val="single" w:sz="4" w:space="0" w:color="auto"/>
            </w:tcBorders>
            <w:hideMark/>
          </w:tcPr>
          <w:p w14:paraId="77BBC860" w14:textId="77777777" w:rsidR="00C20512" w:rsidRPr="003E6512" w:rsidRDefault="00C20512" w:rsidP="003E6512">
            <w:pPr>
              <w:pStyle w:val="NoSpacing"/>
            </w:pPr>
            <w:r w:rsidRPr="003E6512">
              <w:rPr>
                <w:rFonts w:eastAsiaTheme="majorEastAsia"/>
              </w:rPr>
              <w:t>Cr</w:t>
            </w:r>
          </w:p>
        </w:tc>
        <w:tc>
          <w:tcPr>
            <w:tcW w:w="1404" w:type="dxa"/>
            <w:tcBorders>
              <w:top w:val="single" w:sz="4" w:space="0" w:color="auto"/>
              <w:left w:val="single" w:sz="4" w:space="0" w:color="auto"/>
              <w:bottom w:val="single" w:sz="4" w:space="0" w:color="auto"/>
              <w:right w:val="single" w:sz="4" w:space="0" w:color="auto"/>
            </w:tcBorders>
            <w:hideMark/>
          </w:tcPr>
          <w:p w14:paraId="7A031424" w14:textId="77777777" w:rsidR="00C20512" w:rsidRPr="003E6512" w:rsidRDefault="00C20512" w:rsidP="003E6512">
            <w:pPr>
              <w:pStyle w:val="NoSpacing"/>
            </w:pPr>
            <w:r w:rsidRPr="003E6512">
              <w:rPr>
                <w:rFonts w:eastAsiaTheme="majorEastAsia"/>
              </w:rPr>
              <w:t>Cu</w:t>
            </w:r>
          </w:p>
        </w:tc>
        <w:tc>
          <w:tcPr>
            <w:tcW w:w="1332" w:type="dxa"/>
            <w:tcBorders>
              <w:top w:val="single" w:sz="4" w:space="0" w:color="auto"/>
              <w:left w:val="single" w:sz="4" w:space="0" w:color="auto"/>
              <w:bottom w:val="single" w:sz="4" w:space="0" w:color="auto"/>
              <w:right w:val="single" w:sz="4" w:space="0" w:color="auto"/>
            </w:tcBorders>
            <w:hideMark/>
          </w:tcPr>
          <w:p w14:paraId="6328A04A" w14:textId="77777777" w:rsidR="00C20512" w:rsidRPr="003E6512" w:rsidRDefault="00C20512" w:rsidP="003E6512">
            <w:pPr>
              <w:pStyle w:val="NoSpacing"/>
            </w:pPr>
            <w:r w:rsidRPr="003E6512">
              <w:rPr>
                <w:rFonts w:eastAsiaTheme="majorEastAsia"/>
              </w:rPr>
              <w:t>Mn</w:t>
            </w:r>
          </w:p>
        </w:tc>
        <w:tc>
          <w:tcPr>
            <w:tcW w:w="1308" w:type="dxa"/>
            <w:tcBorders>
              <w:top w:val="single" w:sz="4" w:space="0" w:color="auto"/>
              <w:left w:val="single" w:sz="4" w:space="0" w:color="auto"/>
              <w:bottom w:val="single" w:sz="4" w:space="0" w:color="auto"/>
              <w:right w:val="single" w:sz="4" w:space="0" w:color="auto"/>
            </w:tcBorders>
            <w:hideMark/>
          </w:tcPr>
          <w:p w14:paraId="289A106D" w14:textId="77777777" w:rsidR="00C20512" w:rsidRPr="003E6512" w:rsidRDefault="00C20512" w:rsidP="003E6512">
            <w:pPr>
              <w:pStyle w:val="NoSpacing"/>
            </w:pPr>
            <w:r w:rsidRPr="003E6512">
              <w:rPr>
                <w:rFonts w:eastAsiaTheme="majorEastAsia"/>
              </w:rPr>
              <w:t>Ni</w:t>
            </w:r>
          </w:p>
        </w:tc>
        <w:tc>
          <w:tcPr>
            <w:tcW w:w="1308" w:type="dxa"/>
            <w:tcBorders>
              <w:top w:val="single" w:sz="4" w:space="0" w:color="auto"/>
              <w:left w:val="single" w:sz="4" w:space="0" w:color="auto"/>
              <w:bottom w:val="single" w:sz="4" w:space="0" w:color="auto"/>
              <w:right w:val="single" w:sz="4" w:space="0" w:color="auto"/>
            </w:tcBorders>
            <w:hideMark/>
          </w:tcPr>
          <w:p w14:paraId="3974DB66" w14:textId="77777777" w:rsidR="00C20512" w:rsidRPr="003E6512" w:rsidRDefault="00C20512" w:rsidP="003E6512">
            <w:pPr>
              <w:pStyle w:val="NoSpacing"/>
            </w:pPr>
            <w:r w:rsidRPr="003E6512">
              <w:rPr>
                <w:rFonts w:eastAsiaTheme="majorEastAsia"/>
              </w:rPr>
              <w:t>Pb</w:t>
            </w:r>
          </w:p>
        </w:tc>
      </w:tr>
      <w:tr w:rsidR="000C6957" w:rsidRPr="003E6512" w14:paraId="46F0A35A" w14:textId="77777777" w:rsidTr="007B657E">
        <w:trPr>
          <w:trHeight w:val="406"/>
        </w:trPr>
        <w:tc>
          <w:tcPr>
            <w:tcW w:w="1760" w:type="dxa"/>
            <w:tcBorders>
              <w:top w:val="single" w:sz="4" w:space="0" w:color="auto"/>
              <w:left w:val="single" w:sz="4" w:space="0" w:color="auto"/>
              <w:bottom w:val="single" w:sz="4" w:space="0" w:color="auto"/>
              <w:right w:val="single" w:sz="4" w:space="0" w:color="auto"/>
            </w:tcBorders>
            <w:hideMark/>
          </w:tcPr>
          <w:p w14:paraId="6589D666" w14:textId="77777777" w:rsidR="00C20512" w:rsidRPr="003E6512" w:rsidRDefault="00C20512" w:rsidP="003E6512">
            <w:pPr>
              <w:pStyle w:val="NoSpacing"/>
            </w:pPr>
            <w:r w:rsidRPr="003E6512">
              <w:t>Green tea</w:t>
            </w:r>
          </w:p>
        </w:tc>
        <w:tc>
          <w:tcPr>
            <w:tcW w:w="1308" w:type="dxa"/>
            <w:tcBorders>
              <w:top w:val="single" w:sz="4" w:space="0" w:color="auto"/>
              <w:left w:val="single" w:sz="4" w:space="0" w:color="auto"/>
              <w:bottom w:val="single" w:sz="4" w:space="0" w:color="auto"/>
              <w:right w:val="single" w:sz="4" w:space="0" w:color="auto"/>
            </w:tcBorders>
            <w:hideMark/>
          </w:tcPr>
          <w:p w14:paraId="73F30741" w14:textId="0FEC912C" w:rsidR="00C20512" w:rsidRPr="003E6512" w:rsidRDefault="00C20512" w:rsidP="003E6512">
            <w:pPr>
              <w:pStyle w:val="NoSpacing"/>
            </w:pPr>
            <w:r w:rsidRPr="003E6512">
              <w:t>0.790</w:t>
            </w:r>
            <w:r w:rsidR="004838EA" w:rsidRPr="003E6512">
              <w:t>±0.0</w:t>
            </w:r>
            <w:r w:rsidR="007B657E" w:rsidRPr="003E6512">
              <w:t>3</w:t>
            </w:r>
          </w:p>
        </w:tc>
        <w:tc>
          <w:tcPr>
            <w:tcW w:w="1308" w:type="dxa"/>
            <w:tcBorders>
              <w:top w:val="single" w:sz="4" w:space="0" w:color="auto"/>
              <w:left w:val="single" w:sz="4" w:space="0" w:color="auto"/>
              <w:bottom w:val="single" w:sz="4" w:space="0" w:color="auto"/>
              <w:right w:val="single" w:sz="4" w:space="0" w:color="auto"/>
            </w:tcBorders>
            <w:hideMark/>
          </w:tcPr>
          <w:p w14:paraId="4D6A40A6" w14:textId="1E93CA51"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003EF9D9" w14:textId="4BC995AB" w:rsidR="00C20512" w:rsidRPr="003E6512" w:rsidRDefault="00C20512" w:rsidP="003E6512">
            <w:pPr>
              <w:pStyle w:val="NoSpacing"/>
            </w:pPr>
            <w:r w:rsidRPr="003E6512">
              <w:t>21.52</w:t>
            </w:r>
            <w:r w:rsidR="000C6957" w:rsidRPr="003E6512">
              <w:t>±0.0</w:t>
            </w:r>
            <w:r w:rsidR="007B657E" w:rsidRPr="003E6512">
              <w:t>0</w:t>
            </w:r>
          </w:p>
        </w:tc>
        <w:tc>
          <w:tcPr>
            <w:tcW w:w="1404" w:type="dxa"/>
            <w:tcBorders>
              <w:top w:val="single" w:sz="4" w:space="0" w:color="auto"/>
              <w:left w:val="single" w:sz="4" w:space="0" w:color="auto"/>
              <w:bottom w:val="single" w:sz="4" w:space="0" w:color="auto"/>
              <w:right w:val="single" w:sz="4" w:space="0" w:color="auto"/>
            </w:tcBorders>
            <w:hideMark/>
          </w:tcPr>
          <w:p w14:paraId="0B03AFA2" w14:textId="595E91D5" w:rsidR="00C20512" w:rsidRPr="003E6512" w:rsidRDefault="00C20512" w:rsidP="003E6512">
            <w:pPr>
              <w:pStyle w:val="NoSpacing"/>
            </w:pPr>
            <w:r w:rsidRPr="003E6512">
              <w:t>55.94</w:t>
            </w:r>
            <w:r w:rsidR="000C6957" w:rsidRPr="003E6512">
              <w:t xml:space="preserve"> ±0.0</w:t>
            </w:r>
            <w:r w:rsidR="007B657E" w:rsidRPr="003E6512">
              <w:t>0</w:t>
            </w:r>
          </w:p>
        </w:tc>
        <w:tc>
          <w:tcPr>
            <w:tcW w:w="1332" w:type="dxa"/>
            <w:tcBorders>
              <w:top w:val="single" w:sz="4" w:space="0" w:color="auto"/>
              <w:left w:val="single" w:sz="4" w:space="0" w:color="auto"/>
              <w:bottom w:val="single" w:sz="4" w:space="0" w:color="auto"/>
              <w:right w:val="single" w:sz="4" w:space="0" w:color="auto"/>
            </w:tcBorders>
            <w:hideMark/>
          </w:tcPr>
          <w:p w14:paraId="27759D5E" w14:textId="4240102B" w:rsidR="00C20512" w:rsidRPr="003E6512" w:rsidRDefault="00C20512" w:rsidP="003E6512">
            <w:pPr>
              <w:pStyle w:val="NoSpacing"/>
            </w:pPr>
            <w:r w:rsidRPr="003E6512">
              <w:t>505.2</w:t>
            </w:r>
            <w:r w:rsidR="000C6957" w:rsidRPr="003E6512">
              <w:t>±0.</w:t>
            </w:r>
            <w:r w:rsidR="007B657E" w:rsidRPr="003E6512">
              <w:t>11</w:t>
            </w:r>
          </w:p>
        </w:tc>
        <w:tc>
          <w:tcPr>
            <w:tcW w:w="1308" w:type="dxa"/>
            <w:tcBorders>
              <w:top w:val="single" w:sz="4" w:space="0" w:color="auto"/>
              <w:left w:val="single" w:sz="4" w:space="0" w:color="auto"/>
              <w:bottom w:val="single" w:sz="4" w:space="0" w:color="auto"/>
              <w:right w:val="single" w:sz="4" w:space="0" w:color="auto"/>
            </w:tcBorders>
            <w:hideMark/>
          </w:tcPr>
          <w:p w14:paraId="6622D3E3" w14:textId="0D3D7AFF" w:rsidR="00C20512" w:rsidRPr="003E6512" w:rsidRDefault="00C20512" w:rsidP="003E6512">
            <w:pPr>
              <w:pStyle w:val="NoSpacing"/>
            </w:pPr>
            <w:r w:rsidRPr="003E6512">
              <w:t>6.48</w:t>
            </w:r>
            <w:r w:rsidR="000C6957" w:rsidRPr="003E6512">
              <w:t>±0.0</w:t>
            </w:r>
            <w:r w:rsidR="007B657E" w:rsidRPr="003E6512">
              <w:t>0</w:t>
            </w:r>
          </w:p>
        </w:tc>
        <w:tc>
          <w:tcPr>
            <w:tcW w:w="1308" w:type="dxa"/>
            <w:tcBorders>
              <w:top w:val="single" w:sz="4" w:space="0" w:color="auto"/>
              <w:left w:val="single" w:sz="4" w:space="0" w:color="auto"/>
              <w:bottom w:val="single" w:sz="4" w:space="0" w:color="auto"/>
              <w:right w:val="single" w:sz="4" w:space="0" w:color="auto"/>
            </w:tcBorders>
            <w:hideMark/>
          </w:tcPr>
          <w:p w14:paraId="6127979F" w14:textId="5FE9D52D" w:rsidR="00C20512" w:rsidRPr="003E6512" w:rsidRDefault="00C20512" w:rsidP="003E6512">
            <w:pPr>
              <w:pStyle w:val="NoSpacing"/>
            </w:pPr>
            <w:r w:rsidRPr="003E6512">
              <w:t>5.090</w:t>
            </w:r>
            <w:r w:rsidR="000C6957" w:rsidRPr="003E6512">
              <w:t>±0.01</w:t>
            </w:r>
          </w:p>
        </w:tc>
      </w:tr>
      <w:tr w:rsidR="000C6957" w:rsidRPr="003E6512" w14:paraId="404E9D98" w14:textId="77777777" w:rsidTr="007B657E">
        <w:trPr>
          <w:trHeight w:val="406"/>
        </w:trPr>
        <w:tc>
          <w:tcPr>
            <w:tcW w:w="1760" w:type="dxa"/>
            <w:tcBorders>
              <w:top w:val="single" w:sz="4" w:space="0" w:color="auto"/>
              <w:left w:val="single" w:sz="4" w:space="0" w:color="auto"/>
              <w:bottom w:val="single" w:sz="4" w:space="0" w:color="auto"/>
              <w:right w:val="single" w:sz="4" w:space="0" w:color="auto"/>
            </w:tcBorders>
            <w:hideMark/>
          </w:tcPr>
          <w:p w14:paraId="18B77F73" w14:textId="77777777" w:rsidR="00C20512" w:rsidRPr="003E6512" w:rsidRDefault="00C20512" w:rsidP="003E6512">
            <w:pPr>
              <w:pStyle w:val="NoSpacing"/>
            </w:pPr>
            <w:r w:rsidRPr="003E6512">
              <w:t>Guava tea</w:t>
            </w:r>
          </w:p>
        </w:tc>
        <w:tc>
          <w:tcPr>
            <w:tcW w:w="1308" w:type="dxa"/>
            <w:tcBorders>
              <w:top w:val="single" w:sz="4" w:space="0" w:color="auto"/>
              <w:left w:val="single" w:sz="4" w:space="0" w:color="auto"/>
              <w:bottom w:val="single" w:sz="4" w:space="0" w:color="auto"/>
              <w:right w:val="single" w:sz="4" w:space="0" w:color="auto"/>
            </w:tcBorders>
            <w:hideMark/>
          </w:tcPr>
          <w:p w14:paraId="52A12AC1" w14:textId="68427C38" w:rsidR="00C20512" w:rsidRPr="003E6512" w:rsidRDefault="00C20512" w:rsidP="003E6512">
            <w:pPr>
              <w:pStyle w:val="NoSpacing"/>
            </w:pPr>
            <w:r w:rsidRPr="003E6512">
              <w:t>0.390</w:t>
            </w:r>
            <w:r w:rsidR="004838EA"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0BF20F00" w14:textId="26C53D79" w:rsidR="00C20512" w:rsidRPr="003E6512" w:rsidRDefault="00C20512" w:rsidP="003E6512">
            <w:pPr>
              <w:pStyle w:val="NoSpacing"/>
            </w:pPr>
            <w:r w:rsidRPr="003E6512">
              <w:t>0.850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60362127" w14:textId="2FAD46EB" w:rsidR="00C20512" w:rsidRPr="003E6512" w:rsidRDefault="00C20512" w:rsidP="003E6512">
            <w:pPr>
              <w:pStyle w:val="NoSpacing"/>
            </w:pPr>
            <w:r w:rsidRPr="003E6512">
              <w:t>22.76</w:t>
            </w:r>
            <w:r w:rsidR="000C6957" w:rsidRPr="003E6512">
              <w:t>±0.0</w:t>
            </w:r>
            <w:r w:rsidR="007B657E" w:rsidRPr="003E6512">
              <w:t>1</w:t>
            </w:r>
          </w:p>
        </w:tc>
        <w:tc>
          <w:tcPr>
            <w:tcW w:w="1404" w:type="dxa"/>
            <w:tcBorders>
              <w:top w:val="single" w:sz="4" w:space="0" w:color="auto"/>
              <w:left w:val="single" w:sz="4" w:space="0" w:color="auto"/>
              <w:bottom w:val="single" w:sz="4" w:space="0" w:color="auto"/>
              <w:right w:val="single" w:sz="4" w:space="0" w:color="auto"/>
            </w:tcBorders>
            <w:hideMark/>
          </w:tcPr>
          <w:p w14:paraId="17A2D12D" w14:textId="0BE6F4C7" w:rsidR="00C20512" w:rsidRPr="003E6512" w:rsidRDefault="00C20512" w:rsidP="003E6512">
            <w:pPr>
              <w:pStyle w:val="NoSpacing"/>
            </w:pPr>
            <w:r w:rsidRPr="003E6512">
              <w:t>23.06</w:t>
            </w:r>
            <w:r w:rsidR="000C6957" w:rsidRPr="003E6512">
              <w:t>±0.0</w:t>
            </w:r>
            <w:r w:rsidR="007B657E" w:rsidRPr="003E6512">
              <w:t>1</w:t>
            </w:r>
          </w:p>
        </w:tc>
        <w:tc>
          <w:tcPr>
            <w:tcW w:w="1332" w:type="dxa"/>
            <w:tcBorders>
              <w:top w:val="single" w:sz="4" w:space="0" w:color="auto"/>
              <w:left w:val="single" w:sz="4" w:space="0" w:color="auto"/>
              <w:bottom w:val="single" w:sz="4" w:space="0" w:color="auto"/>
              <w:right w:val="single" w:sz="4" w:space="0" w:color="auto"/>
            </w:tcBorders>
            <w:hideMark/>
          </w:tcPr>
          <w:p w14:paraId="5C3F766D" w14:textId="1B760ECA" w:rsidR="00C20512" w:rsidRPr="003E6512" w:rsidRDefault="00C20512" w:rsidP="003E6512">
            <w:pPr>
              <w:pStyle w:val="NoSpacing"/>
            </w:pPr>
            <w:r w:rsidRPr="003E6512">
              <w:t>31.19</w:t>
            </w:r>
            <w:r w:rsidR="000C6957"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09AF0D97" w14:textId="316EDAC5" w:rsidR="00C20512" w:rsidRPr="003E6512" w:rsidRDefault="00C20512" w:rsidP="003E6512">
            <w:pPr>
              <w:pStyle w:val="NoSpacing"/>
            </w:pPr>
            <w:r w:rsidRPr="003E6512">
              <w:t>3.59</w:t>
            </w:r>
            <w:r w:rsidR="000C6957"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1BA9131A" w14:textId="28A41284" w:rsidR="00C20512" w:rsidRPr="003E6512" w:rsidRDefault="00C20512" w:rsidP="003E6512">
            <w:pPr>
              <w:pStyle w:val="NoSpacing"/>
            </w:pPr>
            <w:r w:rsidRPr="003E6512">
              <w:t>6.16</w:t>
            </w:r>
            <w:r w:rsidR="000C6957" w:rsidRPr="003E6512">
              <w:t>±0.01</w:t>
            </w:r>
          </w:p>
        </w:tc>
      </w:tr>
      <w:tr w:rsidR="000C6957" w:rsidRPr="003E6512" w14:paraId="248B372D" w14:textId="77777777" w:rsidTr="007B657E">
        <w:trPr>
          <w:trHeight w:val="406"/>
        </w:trPr>
        <w:tc>
          <w:tcPr>
            <w:tcW w:w="1760" w:type="dxa"/>
            <w:tcBorders>
              <w:top w:val="single" w:sz="4" w:space="0" w:color="auto"/>
              <w:left w:val="single" w:sz="4" w:space="0" w:color="auto"/>
              <w:bottom w:val="single" w:sz="4" w:space="0" w:color="auto"/>
              <w:right w:val="single" w:sz="4" w:space="0" w:color="auto"/>
            </w:tcBorders>
            <w:hideMark/>
          </w:tcPr>
          <w:p w14:paraId="23009F32" w14:textId="77777777" w:rsidR="00C20512" w:rsidRPr="003E6512" w:rsidRDefault="00C20512" w:rsidP="003E6512">
            <w:pPr>
              <w:pStyle w:val="NoSpacing"/>
            </w:pPr>
            <w:r w:rsidRPr="003E6512">
              <w:t>Eyes bright</w:t>
            </w:r>
          </w:p>
        </w:tc>
        <w:tc>
          <w:tcPr>
            <w:tcW w:w="1308" w:type="dxa"/>
            <w:tcBorders>
              <w:top w:val="single" w:sz="4" w:space="0" w:color="auto"/>
              <w:left w:val="single" w:sz="4" w:space="0" w:color="auto"/>
              <w:bottom w:val="single" w:sz="4" w:space="0" w:color="auto"/>
              <w:right w:val="single" w:sz="4" w:space="0" w:color="auto"/>
            </w:tcBorders>
            <w:hideMark/>
          </w:tcPr>
          <w:p w14:paraId="69E805DF" w14:textId="0AA6ECAE" w:rsidR="00C20512" w:rsidRPr="003E6512" w:rsidRDefault="00C20512" w:rsidP="003E6512">
            <w:pPr>
              <w:pStyle w:val="NoSpacing"/>
            </w:pPr>
            <w:r w:rsidRPr="003E6512">
              <w:t>0.320</w:t>
            </w:r>
            <w:r w:rsidR="004838EA"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05362B82" w14:textId="77D41FB3" w:rsidR="00C20512" w:rsidRPr="003E6512" w:rsidRDefault="00C20512" w:rsidP="003E6512">
            <w:pPr>
              <w:pStyle w:val="NoSpacing"/>
            </w:pPr>
            <w:r w:rsidRPr="003E6512">
              <w:t>0.000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0A2FD87F" w14:textId="055EA979" w:rsidR="00C20512" w:rsidRPr="003E6512" w:rsidRDefault="00C20512" w:rsidP="003E6512">
            <w:pPr>
              <w:pStyle w:val="NoSpacing"/>
            </w:pPr>
            <w:r w:rsidRPr="003E6512">
              <w:t>25.94</w:t>
            </w:r>
            <w:r w:rsidR="000C6957" w:rsidRPr="003E6512">
              <w:t>±0.0</w:t>
            </w:r>
            <w:r w:rsidR="007B657E" w:rsidRPr="003E6512">
              <w:t>2</w:t>
            </w:r>
          </w:p>
        </w:tc>
        <w:tc>
          <w:tcPr>
            <w:tcW w:w="1404" w:type="dxa"/>
            <w:tcBorders>
              <w:top w:val="single" w:sz="4" w:space="0" w:color="auto"/>
              <w:left w:val="single" w:sz="4" w:space="0" w:color="auto"/>
              <w:bottom w:val="single" w:sz="4" w:space="0" w:color="auto"/>
              <w:right w:val="single" w:sz="4" w:space="0" w:color="auto"/>
            </w:tcBorders>
            <w:hideMark/>
          </w:tcPr>
          <w:p w14:paraId="68913170" w14:textId="3901E778" w:rsidR="00C20512" w:rsidRPr="003E6512" w:rsidRDefault="00C20512" w:rsidP="003E6512">
            <w:pPr>
              <w:pStyle w:val="NoSpacing"/>
            </w:pPr>
            <w:r w:rsidRPr="003E6512">
              <w:t>29.38</w:t>
            </w:r>
            <w:r w:rsidR="000C6957" w:rsidRPr="003E6512">
              <w:t>±0.0</w:t>
            </w:r>
            <w:r w:rsidR="007B657E" w:rsidRPr="003E6512">
              <w:t>1</w:t>
            </w:r>
          </w:p>
        </w:tc>
        <w:tc>
          <w:tcPr>
            <w:tcW w:w="1332" w:type="dxa"/>
            <w:tcBorders>
              <w:top w:val="single" w:sz="4" w:space="0" w:color="auto"/>
              <w:left w:val="single" w:sz="4" w:space="0" w:color="auto"/>
              <w:bottom w:val="single" w:sz="4" w:space="0" w:color="auto"/>
              <w:right w:val="single" w:sz="4" w:space="0" w:color="auto"/>
            </w:tcBorders>
            <w:hideMark/>
          </w:tcPr>
          <w:p w14:paraId="25228376" w14:textId="13302193" w:rsidR="00C20512" w:rsidRPr="003E6512" w:rsidRDefault="00C20512" w:rsidP="003E6512">
            <w:pPr>
              <w:pStyle w:val="NoSpacing"/>
            </w:pPr>
            <w:r w:rsidRPr="003E6512">
              <w:t>527.5</w:t>
            </w:r>
            <w:r w:rsidR="000C6957" w:rsidRPr="003E6512">
              <w:t>±0.03</w:t>
            </w:r>
          </w:p>
        </w:tc>
        <w:tc>
          <w:tcPr>
            <w:tcW w:w="1308" w:type="dxa"/>
            <w:tcBorders>
              <w:top w:val="single" w:sz="4" w:space="0" w:color="auto"/>
              <w:left w:val="single" w:sz="4" w:space="0" w:color="auto"/>
              <w:bottom w:val="single" w:sz="4" w:space="0" w:color="auto"/>
              <w:right w:val="single" w:sz="4" w:space="0" w:color="auto"/>
            </w:tcBorders>
            <w:hideMark/>
          </w:tcPr>
          <w:p w14:paraId="3819FD51" w14:textId="0D3F9518" w:rsidR="00C20512" w:rsidRPr="003E6512" w:rsidRDefault="00C20512" w:rsidP="003E6512">
            <w:pPr>
              <w:pStyle w:val="NoSpacing"/>
            </w:pPr>
            <w:r w:rsidRPr="003E6512">
              <w:t>5.530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5817CFC9" w14:textId="39670C66" w:rsidR="00C20512" w:rsidRPr="003E6512" w:rsidRDefault="00C20512" w:rsidP="003E6512">
            <w:pPr>
              <w:pStyle w:val="NoSpacing"/>
            </w:pPr>
            <w:r w:rsidRPr="003E6512">
              <w:t>6.240</w:t>
            </w:r>
            <w:r w:rsidR="000C6957" w:rsidRPr="003E6512">
              <w:t>±0.01</w:t>
            </w:r>
          </w:p>
        </w:tc>
      </w:tr>
      <w:tr w:rsidR="000C6957" w:rsidRPr="003E6512" w14:paraId="1236FAE3" w14:textId="77777777" w:rsidTr="007B657E">
        <w:trPr>
          <w:trHeight w:val="406"/>
        </w:trPr>
        <w:tc>
          <w:tcPr>
            <w:tcW w:w="1760" w:type="dxa"/>
            <w:tcBorders>
              <w:top w:val="single" w:sz="4" w:space="0" w:color="auto"/>
              <w:left w:val="single" w:sz="4" w:space="0" w:color="auto"/>
              <w:bottom w:val="single" w:sz="4" w:space="0" w:color="auto"/>
              <w:right w:val="single" w:sz="4" w:space="0" w:color="auto"/>
            </w:tcBorders>
            <w:hideMark/>
          </w:tcPr>
          <w:p w14:paraId="0BD07512" w14:textId="77777777" w:rsidR="00C20512" w:rsidRPr="003E6512" w:rsidRDefault="00C20512" w:rsidP="003E6512">
            <w:pPr>
              <w:pStyle w:val="NoSpacing"/>
            </w:pPr>
            <w:r w:rsidRPr="003E6512">
              <w:t>Moringa tea</w:t>
            </w:r>
          </w:p>
        </w:tc>
        <w:tc>
          <w:tcPr>
            <w:tcW w:w="1308" w:type="dxa"/>
            <w:tcBorders>
              <w:top w:val="single" w:sz="4" w:space="0" w:color="auto"/>
              <w:left w:val="single" w:sz="4" w:space="0" w:color="auto"/>
              <w:bottom w:val="single" w:sz="4" w:space="0" w:color="auto"/>
              <w:right w:val="single" w:sz="4" w:space="0" w:color="auto"/>
            </w:tcBorders>
            <w:hideMark/>
          </w:tcPr>
          <w:p w14:paraId="5727DE19" w14:textId="74F5BB82" w:rsidR="00C20512" w:rsidRPr="003E6512" w:rsidRDefault="00C20512" w:rsidP="003E6512">
            <w:pPr>
              <w:pStyle w:val="NoSpacing"/>
            </w:pPr>
            <w:r w:rsidRPr="003E6512">
              <w:t>0.600</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tcPr>
          <w:p w14:paraId="2F804584" w14:textId="08A80BF0"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66F7AA06" w14:textId="1B98400E" w:rsidR="00C20512" w:rsidRPr="003E6512" w:rsidRDefault="00C20512" w:rsidP="003E6512">
            <w:pPr>
              <w:pStyle w:val="NoSpacing"/>
            </w:pPr>
            <w:r w:rsidRPr="003E6512">
              <w:t>5.930</w:t>
            </w:r>
            <w:r w:rsidR="000C6957" w:rsidRPr="003E6512">
              <w:t>±0.0</w:t>
            </w:r>
            <w:r w:rsidR="007B657E" w:rsidRPr="003E6512">
              <w:t>1</w:t>
            </w:r>
          </w:p>
        </w:tc>
        <w:tc>
          <w:tcPr>
            <w:tcW w:w="1404" w:type="dxa"/>
            <w:tcBorders>
              <w:top w:val="single" w:sz="4" w:space="0" w:color="auto"/>
              <w:left w:val="single" w:sz="4" w:space="0" w:color="auto"/>
              <w:bottom w:val="single" w:sz="4" w:space="0" w:color="auto"/>
              <w:right w:val="single" w:sz="4" w:space="0" w:color="auto"/>
            </w:tcBorders>
            <w:hideMark/>
          </w:tcPr>
          <w:p w14:paraId="4642968D" w14:textId="3D5547A9" w:rsidR="00C20512" w:rsidRPr="003E6512" w:rsidRDefault="00C20512" w:rsidP="003E6512">
            <w:pPr>
              <w:pStyle w:val="NoSpacing"/>
            </w:pPr>
            <w:r w:rsidRPr="003E6512">
              <w:t>15.63</w:t>
            </w:r>
            <w:r w:rsidR="000C6957" w:rsidRPr="003E6512">
              <w:t>±0.0</w:t>
            </w:r>
            <w:r w:rsidR="007B657E" w:rsidRPr="003E6512">
              <w:t>0</w:t>
            </w:r>
          </w:p>
        </w:tc>
        <w:tc>
          <w:tcPr>
            <w:tcW w:w="1332" w:type="dxa"/>
            <w:tcBorders>
              <w:top w:val="single" w:sz="4" w:space="0" w:color="auto"/>
              <w:left w:val="single" w:sz="4" w:space="0" w:color="auto"/>
              <w:bottom w:val="single" w:sz="4" w:space="0" w:color="auto"/>
              <w:right w:val="single" w:sz="4" w:space="0" w:color="auto"/>
            </w:tcBorders>
            <w:hideMark/>
          </w:tcPr>
          <w:p w14:paraId="0396680F" w14:textId="3EE19D60" w:rsidR="00C20512" w:rsidRPr="003E6512" w:rsidRDefault="00C20512" w:rsidP="003E6512">
            <w:pPr>
              <w:pStyle w:val="NoSpacing"/>
            </w:pPr>
            <w:r w:rsidRPr="003E6512">
              <w:t>50.05</w:t>
            </w:r>
            <w:r w:rsidR="000C6957" w:rsidRPr="003E6512">
              <w:t>±0.02</w:t>
            </w:r>
          </w:p>
        </w:tc>
        <w:tc>
          <w:tcPr>
            <w:tcW w:w="1308" w:type="dxa"/>
            <w:tcBorders>
              <w:top w:val="single" w:sz="4" w:space="0" w:color="auto"/>
              <w:left w:val="single" w:sz="4" w:space="0" w:color="auto"/>
              <w:bottom w:val="single" w:sz="4" w:space="0" w:color="auto"/>
              <w:right w:val="single" w:sz="4" w:space="0" w:color="auto"/>
            </w:tcBorders>
            <w:hideMark/>
          </w:tcPr>
          <w:p w14:paraId="3C22A9D8" w14:textId="5B477895" w:rsidR="00C20512" w:rsidRPr="003E6512" w:rsidRDefault="00C20512" w:rsidP="003E6512">
            <w:pPr>
              <w:pStyle w:val="NoSpacing"/>
            </w:pPr>
            <w:r w:rsidRPr="003E6512">
              <w:t>2.940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18DA8542" w14:textId="4153729B" w:rsidR="00C20512" w:rsidRPr="003E6512" w:rsidRDefault="00C20512" w:rsidP="003E6512">
            <w:pPr>
              <w:pStyle w:val="NoSpacing"/>
            </w:pPr>
            <w:r w:rsidRPr="003E6512">
              <w:t>77.00</w:t>
            </w:r>
            <w:r w:rsidR="000C6957" w:rsidRPr="003E6512">
              <w:t>±0.01</w:t>
            </w:r>
          </w:p>
        </w:tc>
      </w:tr>
      <w:tr w:rsidR="000C6957" w:rsidRPr="003E6512" w14:paraId="4A253244" w14:textId="77777777" w:rsidTr="007B657E">
        <w:trPr>
          <w:trHeight w:val="433"/>
        </w:trPr>
        <w:tc>
          <w:tcPr>
            <w:tcW w:w="1760" w:type="dxa"/>
            <w:tcBorders>
              <w:top w:val="single" w:sz="4" w:space="0" w:color="auto"/>
              <w:left w:val="single" w:sz="4" w:space="0" w:color="auto"/>
              <w:bottom w:val="single" w:sz="4" w:space="0" w:color="auto"/>
              <w:right w:val="single" w:sz="4" w:space="0" w:color="auto"/>
            </w:tcBorders>
            <w:hideMark/>
          </w:tcPr>
          <w:p w14:paraId="62439BFF" w14:textId="77777777" w:rsidR="00C20512" w:rsidRPr="003E6512" w:rsidRDefault="00C20512" w:rsidP="003E6512">
            <w:pPr>
              <w:pStyle w:val="NoSpacing"/>
            </w:pPr>
            <w:r w:rsidRPr="003E6512">
              <w:t>Tummy and body fat-reducing tea</w:t>
            </w:r>
          </w:p>
        </w:tc>
        <w:tc>
          <w:tcPr>
            <w:tcW w:w="1308" w:type="dxa"/>
            <w:tcBorders>
              <w:top w:val="single" w:sz="4" w:space="0" w:color="auto"/>
              <w:left w:val="single" w:sz="4" w:space="0" w:color="auto"/>
              <w:bottom w:val="single" w:sz="4" w:space="0" w:color="auto"/>
              <w:right w:val="single" w:sz="4" w:space="0" w:color="auto"/>
            </w:tcBorders>
            <w:hideMark/>
          </w:tcPr>
          <w:p w14:paraId="56C4750E" w14:textId="2C662E2D" w:rsidR="00C20512" w:rsidRPr="003E6512" w:rsidRDefault="00C20512" w:rsidP="003E6512">
            <w:pPr>
              <w:pStyle w:val="NoSpacing"/>
            </w:pPr>
            <w:r w:rsidRPr="003E6512">
              <w:t>1.450</w:t>
            </w:r>
            <w:r w:rsidR="000C6957" w:rsidRPr="003E6512">
              <w:t>±0.0</w:t>
            </w:r>
            <w:r w:rsidR="007B657E" w:rsidRPr="003E6512">
              <w:t>0</w:t>
            </w:r>
          </w:p>
        </w:tc>
        <w:tc>
          <w:tcPr>
            <w:tcW w:w="1308" w:type="dxa"/>
            <w:tcBorders>
              <w:top w:val="single" w:sz="4" w:space="0" w:color="auto"/>
              <w:left w:val="single" w:sz="4" w:space="0" w:color="auto"/>
              <w:bottom w:val="single" w:sz="4" w:space="0" w:color="auto"/>
              <w:right w:val="single" w:sz="4" w:space="0" w:color="auto"/>
            </w:tcBorders>
            <w:hideMark/>
          </w:tcPr>
          <w:p w14:paraId="49CB77BF" w14:textId="4936CEFB"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tcPr>
          <w:p w14:paraId="1DBDB62D" w14:textId="1E35B2BF" w:rsidR="00C20512" w:rsidRPr="003E6512" w:rsidRDefault="000C6957" w:rsidP="003E6512">
            <w:pPr>
              <w:pStyle w:val="NoSpacing"/>
            </w:pPr>
            <w:r w:rsidRPr="003E6512">
              <w:t>BDL</w:t>
            </w:r>
          </w:p>
        </w:tc>
        <w:tc>
          <w:tcPr>
            <w:tcW w:w="1404" w:type="dxa"/>
            <w:tcBorders>
              <w:top w:val="single" w:sz="4" w:space="0" w:color="auto"/>
              <w:left w:val="single" w:sz="4" w:space="0" w:color="auto"/>
              <w:bottom w:val="single" w:sz="4" w:space="0" w:color="auto"/>
              <w:right w:val="single" w:sz="4" w:space="0" w:color="auto"/>
            </w:tcBorders>
            <w:hideMark/>
          </w:tcPr>
          <w:p w14:paraId="1202A362" w14:textId="13BA3B98" w:rsidR="00C20512" w:rsidRPr="003E6512" w:rsidRDefault="00C20512" w:rsidP="003E6512">
            <w:pPr>
              <w:pStyle w:val="NoSpacing"/>
            </w:pPr>
            <w:r w:rsidRPr="003E6512">
              <w:t>12.65</w:t>
            </w:r>
            <w:r w:rsidR="000C6957" w:rsidRPr="003E6512">
              <w:t>±0.0</w:t>
            </w:r>
            <w:r w:rsidR="007B657E" w:rsidRPr="003E6512">
              <w:t>1</w:t>
            </w:r>
          </w:p>
        </w:tc>
        <w:tc>
          <w:tcPr>
            <w:tcW w:w="1332" w:type="dxa"/>
            <w:tcBorders>
              <w:top w:val="single" w:sz="4" w:space="0" w:color="auto"/>
              <w:left w:val="single" w:sz="4" w:space="0" w:color="auto"/>
              <w:bottom w:val="single" w:sz="4" w:space="0" w:color="auto"/>
              <w:right w:val="single" w:sz="4" w:space="0" w:color="auto"/>
            </w:tcBorders>
            <w:hideMark/>
          </w:tcPr>
          <w:p w14:paraId="0A42A193" w14:textId="247E7896" w:rsidR="00C20512" w:rsidRPr="003E6512" w:rsidRDefault="00C20512" w:rsidP="003E6512">
            <w:pPr>
              <w:pStyle w:val="NoSpacing"/>
            </w:pPr>
            <w:r w:rsidRPr="003E6512">
              <w:t>58.64</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393D3601" w14:textId="15A31224" w:rsidR="00C20512" w:rsidRPr="003E6512" w:rsidRDefault="00C20512" w:rsidP="003E6512">
            <w:pPr>
              <w:pStyle w:val="NoSpacing"/>
            </w:pPr>
            <w:r w:rsidRPr="003E6512">
              <w:t>4.220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7C4DA7A4" w14:textId="153495BF" w:rsidR="00C20512" w:rsidRPr="003E6512" w:rsidRDefault="00C20512" w:rsidP="003E6512">
            <w:pPr>
              <w:pStyle w:val="NoSpacing"/>
            </w:pPr>
            <w:r w:rsidRPr="003E6512">
              <w:t>5.340</w:t>
            </w:r>
            <w:r w:rsidR="000C6957" w:rsidRPr="003E6512">
              <w:t>±0.01</w:t>
            </w:r>
          </w:p>
        </w:tc>
      </w:tr>
      <w:tr w:rsidR="000C6957" w:rsidRPr="003E6512" w14:paraId="6BCA58F0" w14:textId="77777777" w:rsidTr="007B657E">
        <w:trPr>
          <w:trHeight w:val="414"/>
        </w:trPr>
        <w:tc>
          <w:tcPr>
            <w:tcW w:w="1760" w:type="dxa"/>
            <w:tcBorders>
              <w:top w:val="single" w:sz="4" w:space="0" w:color="auto"/>
              <w:left w:val="single" w:sz="4" w:space="0" w:color="auto"/>
              <w:bottom w:val="single" w:sz="4" w:space="0" w:color="auto"/>
              <w:right w:val="single" w:sz="4" w:space="0" w:color="auto"/>
            </w:tcBorders>
            <w:hideMark/>
          </w:tcPr>
          <w:p w14:paraId="100645EE" w14:textId="77777777" w:rsidR="00C20512" w:rsidRPr="003E6512" w:rsidRDefault="00C20512" w:rsidP="003E6512">
            <w:pPr>
              <w:pStyle w:val="NoSpacing"/>
            </w:pPr>
            <w:r w:rsidRPr="003E6512">
              <w:t>Lipton tea</w:t>
            </w:r>
          </w:p>
        </w:tc>
        <w:tc>
          <w:tcPr>
            <w:tcW w:w="1308" w:type="dxa"/>
            <w:tcBorders>
              <w:top w:val="single" w:sz="4" w:space="0" w:color="auto"/>
              <w:left w:val="single" w:sz="4" w:space="0" w:color="auto"/>
              <w:bottom w:val="single" w:sz="4" w:space="0" w:color="auto"/>
              <w:right w:val="single" w:sz="4" w:space="0" w:color="auto"/>
            </w:tcBorders>
            <w:hideMark/>
          </w:tcPr>
          <w:p w14:paraId="5BB56C2A" w14:textId="552FE320" w:rsidR="00C20512" w:rsidRPr="003E6512" w:rsidRDefault="00C20512" w:rsidP="003E6512">
            <w:pPr>
              <w:pStyle w:val="NoSpacing"/>
            </w:pPr>
            <w:r w:rsidRPr="003E6512">
              <w:t>0.270</w:t>
            </w:r>
            <w:r w:rsidR="000C6957" w:rsidRPr="003E6512">
              <w:t>±0.0</w:t>
            </w:r>
            <w:r w:rsidR="007B657E" w:rsidRPr="003E6512">
              <w:t>0</w:t>
            </w:r>
          </w:p>
        </w:tc>
        <w:tc>
          <w:tcPr>
            <w:tcW w:w="1308" w:type="dxa"/>
            <w:tcBorders>
              <w:top w:val="single" w:sz="4" w:space="0" w:color="auto"/>
              <w:left w:val="single" w:sz="4" w:space="0" w:color="auto"/>
              <w:bottom w:val="single" w:sz="4" w:space="0" w:color="auto"/>
              <w:right w:val="single" w:sz="4" w:space="0" w:color="auto"/>
            </w:tcBorders>
            <w:hideMark/>
          </w:tcPr>
          <w:p w14:paraId="5A0363A5" w14:textId="33B8939A" w:rsidR="00C20512" w:rsidRPr="003E6512" w:rsidRDefault="00C20512" w:rsidP="003E6512">
            <w:pPr>
              <w:pStyle w:val="NoSpacing"/>
            </w:pPr>
            <w:r w:rsidRPr="003E6512">
              <w:t>1.310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tcPr>
          <w:p w14:paraId="4F12895B" w14:textId="6975EF86" w:rsidR="00C20512" w:rsidRPr="003E6512" w:rsidRDefault="000C6957" w:rsidP="003E6512">
            <w:pPr>
              <w:pStyle w:val="NoSpacing"/>
            </w:pPr>
            <w:r w:rsidRPr="003E6512">
              <w:t>BDL</w:t>
            </w:r>
          </w:p>
        </w:tc>
        <w:tc>
          <w:tcPr>
            <w:tcW w:w="1404" w:type="dxa"/>
            <w:tcBorders>
              <w:top w:val="single" w:sz="4" w:space="0" w:color="auto"/>
              <w:left w:val="single" w:sz="4" w:space="0" w:color="auto"/>
              <w:bottom w:val="single" w:sz="4" w:space="0" w:color="auto"/>
              <w:right w:val="single" w:sz="4" w:space="0" w:color="auto"/>
            </w:tcBorders>
            <w:hideMark/>
          </w:tcPr>
          <w:p w14:paraId="152C4ECA" w14:textId="6C72D6B9" w:rsidR="00C20512" w:rsidRPr="003E6512" w:rsidRDefault="00C20512" w:rsidP="003E6512">
            <w:pPr>
              <w:pStyle w:val="NoSpacing"/>
            </w:pPr>
            <w:r w:rsidRPr="003E6512">
              <w:t>31.65</w:t>
            </w:r>
            <w:r w:rsidR="000C6957" w:rsidRPr="003E6512">
              <w:t>±0.01</w:t>
            </w:r>
          </w:p>
        </w:tc>
        <w:tc>
          <w:tcPr>
            <w:tcW w:w="1332" w:type="dxa"/>
            <w:tcBorders>
              <w:top w:val="single" w:sz="4" w:space="0" w:color="auto"/>
              <w:left w:val="single" w:sz="4" w:space="0" w:color="auto"/>
              <w:bottom w:val="single" w:sz="4" w:space="0" w:color="auto"/>
              <w:right w:val="single" w:sz="4" w:space="0" w:color="auto"/>
            </w:tcBorders>
            <w:hideMark/>
          </w:tcPr>
          <w:p w14:paraId="5FD74FFB" w14:textId="03FFE6D7" w:rsidR="00C20512" w:rsidRPr="003E6512" w:rsidRDefault="00C20512" w:rsidP="003E6512">
            <w:pPr>
              <w:pStyle w:val="NoSpacing"/>
            </w:pPr>
            <w:r w:rsidRPr="003E6512">
              <w:t>1369.</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hideMark/>
          </w:tcPr>
          <w:p w14:paraId="62243DA7" w14:textId="401F4604" w:rsidR="00C20512" w:rsidRPr="003E6512" w:rsidRDefault="00C20512" w:rsidP="003E6512">
            <w:pPr>
              <w:pStyle w:val="NoSpacing"/>
            </w:pPr>
            <w:r w:rsidRPr="003E6512">
              <w:t>8.340</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235E17F8" w14:textId="6E010127" w:rsidR="00C20512" w:rsidRPr="003E6512" w:rsidRDefault="00C20512" w:rsidP="003E6512">
            <w:pPr>
              <w:pStyle w:val="NoSpacing"/>
            </w:pPr>
            <w:r w:rsidRPr="003E6512">
              <w:t>1.370</w:t>
            </w:r>
            <w:r w:rsidR="000C6957" w:rsidRPr="003E6512">
              <w:t>±0.00</w:t>
            </w:r>
          </w:p>
        </w:tc>
      </w:tr>
      <w:tr w:rsidR="000C6957" w:rsidRPr="003E6512" w14:paraId="5EE4C280" w14:textId="77777777" w:rsidTr="007B657E">
        <w:trPr>
          <w:trHeight w:val="475"/>
        </w:trPr>
        <w:tc>
          <w:tcPr>
            <w:tcW w:w="1760" w:type="dxa"/>
            <w:tcBorders>
              <w:top w:val="single" w:sz="4" w:space="0" w:color="auto"/>
              <w:left w:val="single" w:sz="4" w:space="0" w:color="auto"/>
              <w:bottom w:val="single" w:sz="4" w:space="0" w:color="auto"/>
              <w:right w:val="single" w:sz="4" w:space="0" w:color="auto"/>
            </w:tcBorders>
            <w:hideMark/>
          </w:tcPr>
          <w:p w14:paraId="4CC2D2D7" w14:textId="77777777" w:rsidR="00C20512" w:rsidRPr="003E6512" w:rsidRDefault="00C20512" w:rsidP="003E6512">
            <w:pPr>
              <w:pStyle w:val="NoSpacing"/>
            </w:pPr>
            <w:r w:rsidRPr="003E6512">
              <w:lastRenderedPageBreak/>
              <w:t>Nals pure natural mint leaves</w:t>
            </w:r>
          </w:p>
        </w:tc>
        <w:tc>
          <w:tcPr>
            <w:tcW w:w="1308" w:type="dxa"/>
            <w:tcBorders>
              <w:top w:val="single" w:sz="4" w:space="0" w:color="auto"/>
              <w:left w:val="single" w:sz="4" w:space="0" w:color="auto"/>
              <w:bottom w:val="single" w:sz="4" w:space="0" w:color="auto"/>
              <w:right w:val="single" w:sz="4" w:space="0" w:color="auto"/>
            </w:tcBorders>
            <w:hideMark/>
          </w:tcPr>
          <w:p w14:paraId="691F726C" w14:textId="0A1F3F16" w:rsidR="00C20512" w:rsidRPr="003E6512" w:rsidRDefault="00C20512" w:rsidP="003E6512">
            <w:pPr>
              <w:pStyle w:val="NoSpacing"/>
            </w:pPr>
            <w:r w:rsidRPr="003E6512">
              <w:t>0.620</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hideMark/>
          </w:tcPr>
          <w:p w14:paraId="76757DC9" w14:textId="0AA155E3"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14677F15" w14:textId="6A68A514" w:rsidR="00C20512" w:rsidRPr="003E6512" w:rsidRDefault="00C20512" w:rsidP="003E6512">
            <w:pPr>
              <w:pStyle w:val="NoSpacing"/>
            </w:pPr>
            <w:r w:rsidRPr="003E6512">
              <w:t>10.41</w:t>
            </w:r>
            <w:r w:rsidR="000C6957" w:rsidRPr="003E6512">
              <w:t>±0.01</w:t>
            </w:r>
          </w:p>
        </w:tc>
        <w:tc>
          <w:tcPr>
            <w:tcW w:w="1404" w:type="dxa"/>
            <w:tcBorders>
              <w:top w:val="single" w:sz="4" w:space="0" w:color="auto"/>
              <w:left w:val="single" w:sz="4" w:space="0" w:color="auto"/>
              <w:bottom w:val="single" w:sz="4" w:space="0" w:color="auto"/>
              <w:right w:val="single" w:sz="4" w:space="0" w:color="auto"/>
            </w:tcBorders>
            <w:hideMark/>
          </w:tcPr>
          <w:p w14:paraId="6183143B" w14:textId="25B52FEC" w:rsidR="00C20512" w:rsidRPr="003E6512" w:rsidRDefault="00C20512" w:rsidP="003E6512">
            <w:pPr>
              <w:pStyle w:val="NoSpacing"/>
            </w:pPr>
            <w:r w:rsidRPr="003E6512">
              <w:t>33.74</w:t>
            </w:r>
            <w:r w:rsidR="000C6957" w:rsidRPr="003E6512">
              <w:t>±0.0</w:t>
            </w:r>
            <w:r w:rsidR="007B657E" w:rsidRPr="003E6512">
              <w:t>2</w:t>
            </w:r>
          </w:p>
        </w:tc>
        <w:tc>
          <w:tcPr>
            <w:tcW w:w="1332" w:type="dxa"/>
            <w:tcBorders>
              <w:top w:val="single" w:sz="4" w:space="0" w:color="auto"/>
              <w:left w:val="single" w:sz="4" w:space="0" w:color="auto"/>
              <w:bottom w:val="single" w:sz="4" w:space="0" w:color="auto"/>
              <w:right w:val="single" w:sz="4" w:space="0" w:color="auto"/>
            </w:tcBorders>
            <w:hideMark/>
          </w:tcPr>
          <w:p w14:paraId="7CABFFD6" w14:textId="5015DA8B" w:rsidR="00C20512" w:rsidRPr="003E6512" w:rsidRDefault="00C20512" w:rsidP="003E6512">
            <w:pPr>
              <w:pStyle w:val="NoSpacing"/>
            </w:pPr>
            <w:r w:rsidRPr="003E6512">
              <w:t>110.9</w:t>
            </w:r>
            <w:r w:rsidR="000C6957"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6D829DDD" w14:textId="16CD317B" w:rsidR="00C20512" w:rsidRPr="003E6512" w:rsidRDefault="00C20512" w:rsidP="003E6512">
            <w:pPr>
              <w:pStyle w:val="NoSpacing"/>
            </w:pPr>
            <w:r w:rsidRPr="003E6512">
              <w:t>5.940</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46EF217E" w14:textId="284CDE73" w:rsidR="00C20512" w:rsidRPr="003E6512" w:rsidRDefault="00C20512" w:rsidP="003E6512">
            <w:pPr>
              <w:pStyle w:val="NoSpacing"/>
            </w:pPr>
            <w:r w:rsidRPr="003E6512">
              <w:t>1.680</w:t>
            </w:r>
            <w:r w:rsidR="000C6957" w:rsidRPr="003E6512">
              <w:t>±0.00</w:t>
            </w:r>
          </w:p>
        </w:tc>
      </w:tr>
      <w:tr w:rsidR="000C6957" w:rsidRPr="003E6512" w14:paraId="283E2018" w14:textId="77777777" w:rsidTr="007B657E">
        <w:trPr>
          <w:trHeight w:val="351"/>
        </w:trPr>
        <w:tc>
          <w:tcPr>
            <w:tcW w:w="1760" w:type="dxa"/>
            <w:tcBorders>
              <w:top w:val="single" w:sz="4" w:space="0" w:color="auto"/>
              <w:left w:val="single" w:sz="4" w:space="0" w:color="auto"/>
              <w:bottom w:val="single" w:sz="4" w:space="0" w:color="auto"/>
              <w:right w:val="single" w:sz="4" w:space="0" w:color="auto"/>
            </w:tcBorders>
            <w:hideMark/>
          </w:tcPr>
          <w:p w14:paraId="09069FA4" w14:textId="77777777" w:rsidR="00C20512" w:rsidRPr="003E6512" w:rsidRDefault="00C20512" w:rsidP="003E6512">
            <w:pPr>
              <w:pStyle w:val="NoSpacing"/>
            </w:pPr>
            <w:r w:rsidRPr="003E6512">
              <w:t xml:space="preserve"> Lemon-ginger tea</w:t>
            </w:r>
          </w:p>
        </w:tc>
        <w:tc>
          <w:tcPr>
            <w:tcW w:w="1308" w:type="dxa"/>
            <w:tcBorders>
              <w:top w:val="single" w:sz="4" w:space="0" w:color="auto"/>
              <w:left w:val="single" w:sz="4" w:space="0" w:color="auto"/>
              <w:bottom w:val="single" w:sz="4" w:space="0" w:color="auto"/>
              <w:right w:val="single" w:sz="4" w:space="0" w:color="auto"/>
            </w:tcBorders>
            <w:hideMark/>
          </w:tcPr>
          <w:p w14:paraId="5E2702B6" w14:textId="184DDEF5" w:rsidR="00C20512" w:rsidRPr="003E6512" w:rsidRDefault="00C20512" w:rsidP="003E6512">
            <w:pPr>
              <w:pStyle w:val="NoSpacing"/>
            </w:pPr>
            <w:r w:rsidRPr="003E6512">
              <w:t>0.940</w:t>
            </w:r>
            <w:r w:rsidR="000C6957" w:rsidRPr="003E6512">
              <w:t>±0.0</w:t>
            </w:r>
            <w:r w:rsidR="007B657E" w:rsidRPr="003E6512">
              <w:t>0</w:t>
            </w:r>
          </w:p>
        </w:tc>
        <w:tc>
          <w:tcPr>
            <w:tcW w:w="1308" w:type="dxa"/>
            <w:tcBorders>
              <w:top w:val="single" w:sz="4" w:space="0" w:color="auto"/>
              <w:left w:val="single" w:sz="4" w:space="0" w:color="auto"/>
              <w:bottom w:val="single" w:sz="4" w:space="0" w:color="auto"/>
              <w:right w:val="single" w:sz="4" w:space="0" w:color="auto"/>
            </w:tcBorders>
            <w:hideMark/>
          </w:tcPr>
          <w:p w14:paraId="199FD96F" w14:textId="5F383F2F"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24653E95" w14:textId="459DC512" w:rsidR="00C20512" w:rsidRPr="003E6512" w:rsidRDefault="00C20512" w:rsidP="003E6512">
            <w:pPr>
              <w:pStyle w:val="NoSpacing"/>
            </w:pPr>
            <w:r w:rsidRPr="003E6512">
              <w:t>9.480</w:t>
            </w:r>
            <w:r w:rsidR="000C6957" w:rsidRPr="003E6512">
              <w:t>±0.0</w:t>
            </w:r>
            <w:r w:rsidR="007B657E" w:rsidRPr="003E6512">
              <w:t>0</w:t>
            </w:r>
          </w:p>
        </w:tc>
        <w:tc>
          <w:tcPr>
            <w:tcW w:w="1404" w:type="dxa"/>
            <w:tcBorders>
              <w:top w:val="single" w:sz="4" w:space="0" w:color="auto"/>
              <w:left w:val="single" w:sz="4" w:space="0" w:color="auto"/>
              <w:bottom w:val="single" w:sz="4" w:space="0" w:color="auto"/>
              <w:right w:val="single" w:sz="4" w:space="0" w:color="auto"/>
            </w:tcBorders>
            <w:hideMark/>
          </w:tcPr>
          <w:p w14:paraId="5B1EAA00" w14:textId="3DF7DE2E" w:rsidR="00C20512" w:rsidRPr="003E6512" w:rsidRDefault="00C20512" w:rsidP="003E6512">
            <w:pPr>
              <w:pStyle w:val="NoSpacing"/>
            </w:pPr>
            <w:r w:rsidRPr="003E6512">
              <w:t>11.73</w:t>
            </w:r>
            <w:r w:rsidR="000C6957" w:rsidRPr="003E6512">
              <w:t>±0.</w:t>
            </w:r>
            <w:r w:rsidR="007B657E" w:rsidRPr="003E6512">
              <w:t>11</w:t>
            </w:r>
          </w:p>
        </w:tc>
        <w:tc>
          <w:tcPr>
            <w:tcW w:w="1332" w:type="dxa"/>
            <w:tcBorders>
              <w:top w:val="single" w:sz="4" w:space="0" w:color="auto"/>
              <w:left w:val="single" w:sz="4" w:space="0" w:color="auto"/>
              <w:bottom w:val="single" w:sz="4" w:space="0" w:color="auto"/>
              <w:right w:val="single" w:sz="4" w:space="0" w:color="auto"/>
            </w:tcBorders>
            <w:hideMark/>
          </w:tcPr>
          <w:p w14:paraId="426CB3F7" w14:textId="1DF6A3EB" w:rsidR="00C20512" w:rsidRPr="003E6512" w:rsidRDefault="00C20512" w:rsidP="003E6512">
            <w:pPr>
              <w:pStyle w:val="NoSpacing"/>
            </w:pPr>
            <w:r w:rsidRPr="003E6512">
              <w:t>198.6</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hideMark/>
          </w:tcPr>
          <w:p w14:paraId="5F40EF22" w14:textId="12355E77" w:rsidR="00C20512" w:rsidRPr="003E6512" w:rsidRDefault="00C20512" w:rsidP="003E6512">
            <w:pPr>
              <w:pStyle w:val="NoSpacing"/>
            </w:pPr>
            <w:r w:rsidRPr="003E6512">
              <w:t>3.060</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5922D47A" w14:textId="738182B2" w:rsidR="00C20512" w:rsidRPr="003E6512" w:rsidRDefault="00C20512" w:rsidP="003E6512">
            <w:pPr>
              <w:pStyle w:val="NoSpacing"/>
            </w:pPr>
            <w:r w:rsidRPr="003E6512">
              <w:t>1.620</w:t>
            </w:r>
            <w:r w:rsidR="000C6957" w:rsidRPr="003E6512">
              <w:t>±0.00</w:t>
            </w:r>
          </w:p>
        </w:tc>
      </w:tr>
      <w:tr w:rsidR="000C6957" w:rsidRPr="003E6512" w14:paraId="3A9ACA70" w14:textId="77777777" w:rsidTr="007B657E">
        <w:trPr>
          <w:trHeight w:val="218"/>
        </w:trPr>
        <w:tc>
          <w:tcPr>
            <w:tcW w:w="1760" w:type="dxa"/>
            <w:tcBorders>
              <w:top w:val="single" w:sz="4" w:space="0" w:color="auto"/>
              <w:left w:val="single" w:sz="4" w:space="0" w:color="auto"/>
              <w:bottom w:val="single" w:sz="4" w:space="0" w:color="auto"/>
              <w:right w:val="single" w:sz="4" w:space="0" w:color="auto"/>
            </w:tcBorders>
            <w:hideMark/>
          </w:tcPr>
          <w:p w14:paraId="7261EF0A" w14:textId="77777777" w:rsidR="00C20512" w:rsidRPr="003E6512" w:rsidRDefault="00C20512" w:rsidP="003E6512">
            <w:pPr>
              <w:pStyle w:val="NoSpacing"/>
            </w:pPr>
            <w:r w:rsidRPr="003E6512">
              <w:t>Top tea</w:t>
            </w:r>
          </w:p>
        </w:tc>
        <w:tc>
          <w:tcPr>
            <w:tcW w:w="1308" w:type="dxa"/>
            <w:tcBorders>
              <w:top w:val="single" w:sz="4" w:space="0" w:color="auto"/>
              <w:left w:val="single" w:sz="4" w:space="0" w:color="auto"/>
              <w:bottom w:val="single" w:sz="4" w:space="0" w:color="auto"/>
              <w:right w:val="single" w:sz="4" w:space="0" w:color="auto"/>
            </w:tcBorders>
            <w:hideMark/>
          </w:tcPr>
          <w:p w14:paraId="321C46EC" w14:textId="7CF6F653" w:rsidR="00C20512" w:rsidRPr="003E6512" w:rsidRDefault="00C20512" w:rsidP="003E6512">
            <w:pPr>
              <w:pStyle w:val="NoSpacing"/>
            </w:pPr>
            <w:r w:rsidRPr="003E6512">
              <w:t>0.690</w:t>
            </w:r>
            <w:r w:rsidR="000C6957" w:rsidRPr="003E6512">
              <w:t>±0.0</w:t>
            </w:r>
            <w:r w:rsidR="007B657E" w:rsidRPr="003E6512">
              <w:t>0</w:t>
            </w:r>
          </w:p>
        </w:tc>
        <w:tc>
          <w:tcPr>
            <w:tcW w:w="1308" w:type="dxa"/>
            <w:tcBorders>
              <w:top w:val="single" w:sz="4" w:space="0" w:color="auto"/>
              <w:left w:val="single" w:sz="4" w:space="0" w:color="auto"/>
              <w:bottom w:val="single" w:sz="4" w:space="0" w:color="auto"/>
              <w:right w:val="single" w:sz="4" w:space="0" w:color="auto"/>
            </w:tcBorders>
            <w:hideMark/>
          </w:tcPr>
          <w:p w14:paraId="01D9A1FB" w14:textId="0E2CF527"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1527D049" w14:textId="5A30A28F" w:rsidR="00C20512" w:rsidRPr="003E6512" w:rsidRDefault="00C20512" w:rsidP="003E6512">
            <w:pPr>
              <w:pStyle w:val="NoSpacing"/>
            </w:pPr>
            <w:r w:rsidRPr="003E6512">
              <w:t>11.23</w:t>
            </w:r>
            <w:r w:rsidR="000C6957" w:rsidRPr="003E6512">
              <w:t>±0.0</w:t>
            </w:r>
            <w:r w:rsidR="007B657E" w:rsidRPr="003E6512">
              <w:t>1</w:t>
            </w:r>
          </w:p>
        </w:tc>
        <w:tc>
          <w:tcPr>
            <w:tcW w:w="1404" w:type="dxa"/>
            <w:tcBorders>
              <w:top w:val="single" w:sz="4" w:space="0" w:color="auto"/>
              <w:left w:val="single" w:sz="4" w:space="0" w:color="auto"/>
              <w:bottom w:val="single" w:sz="4" w:space="0" w:color="auto"/>
              <w:right w:val="single" w:sz="4" w:space="0" w:color="auto"/>
            </w:tcBorders>
            <w:hideMark/>
          </w:tcPr>
          <w:p w14:paraId="336E398B" w14:textId="2F9ABEB7" w:rsidR="00C20512" w:rsidRPr="003E6512" w:rsidRDefault="00C20512" w:rsidP="003E6512">
            <w:pPr>
              <w:pStyle w:val="NoSpacing"/>
            </w:pPr>
            <w:r w:rsidRPr="003E6512">
              <w:t>42.87</w:t>
            </w:r>
            <w:r w:rsidR="000C6957" w:rsidRPr="003E6512">
              <w:t>±0.0</w:t>
            </w:r>
            <w:r w:rsidR="007B657E" w:rsidRPr="003E6512">
              <w:t>1</w:t>
            </w:r>
          </w:p>
        </w:tc>
        <w:tc>
          <w:tcPr>
            <w:tcW w:w="1332" w:type="dxa"/>
            <w:tcBorders>
              <w:top w:val="single" w:sz="4" w:space="0" w:color="auto"/>
              <w:left w:val="single" w:sz="4" w:space="0" w:color="auto"/>
              <w:bottom w:val="single" w:sz="4" w:space="0" w:color="auto"/>
              <w:right w:val="single" w:sz="4" w:space="0" w:color="auto"/>
            </w:tcBorders>
            <w:hideMark/>
          </w:tcPr>
          <w:p w14:paraId="26A25CBE" w14:textId="54E93580" w:rsidR="00C20512" w:rsidRPr="003E6512" w:rsidRDefault="00C20512" w:rsidP="003E6512">
            <w:pPr>
              <w:pStyle w:val="NoSpacing"/>
            </w:pPr>
            <w:r w:rsidRPr="003E6512">
              <w:t>1661</w:t>
            </w:r>
            <w:r w:rsidR="000C6957" w:rsidRPr="003E6512">
              <w:t>±0.0</w:t>
            </w:r>
            <w:r w:rsidR="007B657E" w:rsidRPr="003E6512">
              <w:t>3</w:t>
            </w:r>
          </w:p>
        </w:tc>
        <w:tc>
          <w:tcPr>
            <w:tcW w:w="1308" w:type="dxa"/>
            <w:tcBorders>
              <w:top w:val="single" w:sz="4" w:space="0" w:color="auto"/>
              <w:left w:val="single" w:sz="4" w:space="0" w:color="auto"/>
              <w:bottom w:val="single" w:sz="4" w:space="0" w:color="auto"/>
              <w:right w:val="single" w:sz="4" w:space="0" w:color="auto"/>
            </w:tcBorders>
            <w:hideMark/>
          </w:tcPr>
          <w:p w14:paraId="3DCCB74C" w14:textId="4468824A" w:rsidR="00C20512" w:rsidRPr="003E6512" w:rsidRDefault="00C20512" w:rsidP="003E6512">
            <w:pPr>
              <w:pStyle w:val="NoSpacing"/>
            </w:pPr>
            <w:r w:rsidRPr="003E6512">
              <w:t>10.22</w:t>
            </w:r>
            <w:r w:rsidR="000C6957" w:rsidRPr="003E6512">
              <w:t>±0.02</w:t>
            </w:r>
          </w:p>
        </w:tc>
        <w:tc>
          <w:tcPr>
            <w:tcW w:w="1308" w:type="dxa"/>
            <w:tcBorders>
              <w:top w:val="single" w:sz="4" w:space="0" w:color="auto"/>
              <w:left w:val="single" w:sz="4" w:space="0" w:color="auto"/>
              <w:bottom w:val="single" w:sz="4" w:space="0" w:color="auto"/>
              <w:right w:val="single" w:sz="4" w:space="0" w:color="auto"/>
            </w:tcBorders>
            <w:hideMark/>
          </w:tcPr>
          <w:p w14:paraId="71A0A304" w14:textId="3D2960CF" w:rsidR="00C20512" w:rsidRPr="003E6512" w:rsidRDefault="00C20512" w:rsidP="003E6512">
            <w:pPr>
              <w:pStyle w:val="NoSpacing"/>
            </w:pPr>
            <w:r w:rsidRPr="003E6512">
              <w:t>35.12</w:t>
            </w:r>
            <w:r w:rsidR="000C6957" w:rsidRPr="003E6512">
              <w:t>±0.01</w:t>
            </w:r>
          </w:p>
        </w:tc>
      </w:tr>
      <w:tr w:rsidR="000C6957" w:rsidRPr="003E6512" w14:paraId="748EAB3F" w14:textId="77777777" w:rsidTr="007B657E">
        <w:trPr>
          <w:trHeight w:val="414"/>
        </w:trPr>
        <w:tc>
          <w:tcPr>
            <w:tcW w:w="1760" w:type="dxa"/>
            <w:tcBorders>
              <w:top w:val="single" w:sz="4" w:space="0" w:color="auto"/>
              <w:left w:val="single" w:sz="4" w:space="0" w:color="auto"/>
              <w:bottom w:val="single" w:sz="4" w:space="0" w:color="auto"/>
              <w:right w:val="single" w:sz="4" w:space="0" w:color="auto"/>
            </w:tcBorders>
            <w:hideMark/>
          </w:tcPr>
          <w:p w14:paraId="5F54F970" w14:textId="77777777" w:rsidR="00C20512" w:rsidRPr="003E6512" w:rsidRDefault="00C20512" w:rsidP="003E6512">
            <w:pPr>
              <w:pStyle w:val="NoSpacing"/>
            </w:pPr>
            <w:r w:rsidRPr="003E6512">
              <w:t>Mango tea</w:t>
            </w:r>
          </w:p>
        </w:tc>
        <w:tc>
          <w:tcPr>
            <w:tcW w:w="1308" w:type="dxa"/>
            <w:tcBorders>
              <w:top w:val="single" w:sz="4" w:space="0" w:color="auto"/>
              <w:left w:val="single" w:sz="4" w:space="0" w:color="auto"/>
              <w:bottom w:val="single" w:sz="4" w:space="0" w:color="auto"/>
              <w:right w:val="single" w:sz="4" w:space="0" w:color="auto"/>
            </w:tcBorders>
            <w:hideMark/>
          </w:tcPr>
          <w:p w14:paraId="59F213DB" w14:textId="4A8FF63A" w:rsidR="00C20512" w:rsidRPr="003E6512" w:rsidRDefault="00C20512" w:rsidP="003E6512">
            <w:pPr>
              <w:pStyle w:val="NoSpacing"/>
            </w:pPr>
            <w:r w:rsidRPr="003E6512">
              <w:t>0.600</w:t>
            </w:r>
            <w:r w:rsidR="000C6957" w:rsidRPr="003E6512">
              <w:t>±0.</w:t>
            </w:r>
            <w:r w:rsidR="007B657E" w:rsidRPr="003E6512">
              <w:t>11</w:t>
            </w:r>
          </w:p>
        </w:tc>
        <w:tc>
          <w:tcPr>
            <w:tcW w:w="1308" w:type="dxa"/>
            <w:tcBorders>
              <w:top w:val="single" w:sz="4" w:space="0" w:color="auto"/>
              <w:left w:val="single" w:sz="4" w:space="0" w:color="auto"/>
              <w:bottom w:val="single" w:sz="4" w:space="0" w:color="auto"/>
              <w:right w:val="single" w:sz="4" w:space="0" w:color="auto"/>
            </w:tcBorders>
            <w:hideMark/>
          </w:tcPr>
          <w:p w14:paraId="36F08E0D" w14:textId="6D3BC502"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45866C3A" w14:textId="25845671" w:rsidR="00C20512" w:rsidRPr="003E6512" w:rsidRDefault="00C20512" w:rsidP="003E6512">
            <w:pPr>
              <w:pStyle w:val="NoSpacing"/>
            </w:pPr>
            <w:r w:rsidRPr="003E6512">
              <w:t>9.130</w:t>
            </w:r>
            <w:r w:rsidR="000C6957" w:rsidRPr="003E6512">
              <w:t>±0.0</w:t>
            </w:r>
            <w:r w:rsidR="007B657E" w:rsidRPr="003E6512">
              <w:t>3</w:t>
            </w:r>
          </w:p>
        </w:tc>
        <w:tc>
          <w:tcPr>
            <w:tcW w:w="1404" w:type="dxa"/>
            <w:tcBorders>
              <w:top w:val="single" w:sz="4" w:space="0" w:color="auto"/>
              <w:left w:val="single" w:sz="4" w:space="0" w:color="auto"/>
              <w:bottom w:val="single" w:sz="4" w:space="0" w:color="auto"/>
              <w:right w:val="single" w:sz="4" w:space="0" w:color="auto"/>
            </w:tcBorders>
            <w:hideMark/>
          </w:tcPr>
          <w:p w14:paraId="50F2CF4D" w14:textId="59D9F452" w:rsidR="00C20512" w:rsidRPr="003E6512" w:rsidRDefault="00C20512" w:rsidP="003E6512">
            <w:pPr>
              <w:pStyle w:val="NoSpacing"/>
            </w:pPr>
            <w:r w:rsidRPr="003E6512">
              <w:t>66.97</w:t>
            </w:r>
            <w:r w:rsidR="000C6957" w:rsidRPr="003E6512">
              <w:t>±0.0</w:t>
            </w:r>
            <w:r w:rsidR="007B657E" w:rsidRPr="003E6512">
              <w:t>0</w:t>
            </w:r>
          </w:p>
        </w:tc>
        <w:tc>
          <w:tcPr>
            <w:tcW w:w="1332" w:type="dxa"/>
            <w:tcBorders>
              <w:top w:val="single" w:sz="4" w:space="0" w:color="auto"/>
              <w:left w:val="single" w:sz="4" w:space="0" w:color="auto"/>
              <w:bottom w:val="single" w:sz="4" w:space="0" w:color="auto"/>
              <w:right w:val="single" w:sz="4" w:space="0" w:color="auto"/>
            </w:tcBorders>
            <w:hideMark/>
          </w:tcPr>
          <w:p w14:paraId="0E079BD6" w14:textId="198A1BE2" w:rsidR="00C20512" w:rsidRPr="003E6512" w:rsidRDefault="00C20512" w:rsidP="003E6512">
            <w:pPr>
              <w:pStyle w:val="NoSpacing"/>
            </w:pPr>
            <w:r w:rsidRPr="003E6512">
              <w:t>355.44</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hideMark/>
          </w:tcPr>
          <w:p w14:paraId="54F21292" w14:textId="5AB121D4" w:rsidR="00C20512" w:rsidRPr="003E6512" w:rsidRDefault="00C20512" w:rsidP="003E6512">
            <w:pPr>
              <w:pStyle w:val="NoSpacing"/>
            </w:pPr>
            <w:r w:rsidRPr="003E6512">
              <w:t>5.710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65BF3CDC" w14:textId="1BF6C691" w:rsidR="00C20512" w:rsidRPr="003E6512" w:rsidRDefault="00C20512" w:rsidP="003E6512">
            <w:pPr>
              <w:pStyle w:val="NoSpacing"/>
            </w:pPr>
            <w:r w:rsidRPr="003E6512">
              <w:t>2.560</w:t>
            </w:r>
            <w:r w:rsidR="000C6957" w:rsidRPr="003E6512">
              <w:t>±0.00</w:t>
            </w:r>
          </w:p>
        </w:tc>
      </w:tr>
      <w:tr w:rsidR="000C6957" w:rsidRPr="003E6512" w14:paraId="16B94450" w14:textId="77777777" w:rsidTr="007B657E">
        <w:trPr>
          <w:trHeight w:val="414"/>
        </w:trPr>
        <w:tc>
          <w:tcPr>
            <w:tcW w:w="1760" w:type="dxa"/>
            <w:tcBorders>
              <w:top w:val="single" w:sz="4" w:space="0" w:color="auto"/>
              <w:left w:val="single" w:sz="4" w:space="0" w:color="auto"/>
              <w:bottom w:val="single" w:sz="4" w:space="0" w:color="auto"/>
              <w:right w:val="single" w:sz="4" w:space="0" w:color="auto"/>
            </w:tcBorders>
            <w:hideMark/>
          </w:tcPr>
          <w:p w14:paraId="204C7C3C" w14:textId="77777777" w:rsidR="00C20512" w:rsidRPr="003E6512" w:rsidRDefault="00C20512" w:rsidP="003E6512">
            <w:pPr>
              <w:pStyle w:val="NoSpacing"/>
            </w:pPr>
            <w:r w:rsidRPr="003E6512">
              <w:t>Highland tea</w:t>
            </w:r>
          </w:p>
        </w:tc>
        <w:tc>
          <w:tcPr>
            <w:tcW w:w="1308" w:type="dxa"/>
            <w:tcBorders>
              <w:top w:val="single" w:sz="4" w:space="0" w:color="auto"/>
              <w:left w:val="single" w:sz="4" w:space="0" w:color="auto"/>
              <w:bottom w:val="single" w:sz="4" w:space="0" w:color="auto"/>
              <w:right w:val="single" w:sz="4" w:space="0" w:color="auto"/>
            </w:tcBorders>
            <w:hideMark/>
          </w:tcPr>
          <w:p w14:paraId="3146D673" w14:textId="7CCCB26A" w:rsidR="00C20512" w:rsidRPr="003E6512" w:rsidRDefault="00C20512" w:rsidP="003E6512">
            <w:pPr>
              <w:pStyle w:val="NoSpacing"/>
            </w:pPr>
            <w:r w:rsidRPr="003E6512">
              <w:t>0.750</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hideMark/>
          </w:tcPr>
          <w:p w14:paraId="059DCCA7" w14:textId="385863E9"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11C0D21A" w14:textId="2F9272FB" w:rsidR="00C20512" w:rsidRPr="003E6512" w:rsidRDefault="00C20512" w:rsidP="003E6512">
            <w:pPr>
              <w:pStyle w:val="NoSpacing"/>
            </w:pPr>
            <w:r w:rsidRPr="003E6512">
              <w:t>12.41</w:t>
            </w:r>
            <w:r w:rsidR="000C6957" w:rsidRPr="003E6512">
              <w:t>±0.0</w:t>
            </w:r>
            <w:r w:rsidR="007B657E" w:rsidRPr="003E6512">
              <w:t>0</w:t>
            </w:r>
          </w:p>
        </w:tc>
        <w:tc>
          <w:tcPr>
            <w:tcW w:w="1404" w:type="dxa"/>
            <w:tcBorders>
              <w:top w:val="single" w:sz="4" w:space="0" w:color="auto"/>
              <w:left w:val="single" w:sz="4" w:space="0" w:color="auto"/>
              <w:bottom w:val="single" w:sz="4" w:space="0" w:color="auto"/>
              <w:right w:val="single" w:sz="4" w:space="0" w:color="auto"/>
            </w:tcBorders>
            <w:hideMark/>
          </w:tcPr>
          <w:p w14:paraId="2D48E219" w14:textId="211B01EE" w:rsidR="00C20512" w:rsidRPr="003E6512" w:rsidRDefault="00C20512" w:rsidP="003E6512">
            <w:pPr>
              <w:pStyle w:val="NoSpacing"/>
            </w:pPr>
            <w:r w:rsidRPr="003E6512">
              <w:t>28.68</w:t>
            </w:r>
            <w:r w:rsidR="000C6957" w:rsidRPr="003E6512">
              <w:t>±0.</w:t>
            </w:r>
            <w:r w:rsidR="007B657E" w:rsidRPr="003E6512">
              <w:t>01</w:t>
            </w:r>
          </w:p>
        </w:tc>
        <w:tc>
          <w:tcPr>
            <w:tcW w:w="1332" w:type="dxa"/>
            <w:tcBorders>
              <w:top w:val="single" w:sz="4" w:space="0" w:color="auto"/>
              <w:left w:val="single" w:sz="4" w:space="0" w:color="auto"/>
              <w:bottom w:val="single" w:sz="4" w:space="0" w:color="auto"/>
              <w:right w:val="single" w:sz="4" w:space="0" w:color="auto"/>
            </w:tcBorders>
            <w:hideMark/>
          </w:tcPr>
          <w:p w14:paraId="6016AAD4" w14:textId="219D8968" w:rsidR="00C20512" w:rsidRPr="003E6512" w:rsidRDefault="00C20512" w:rsidP="003E6512">
            <w:pPr>
              <w:pStyle w:val="NoSpacing"/>
            </w:pPr>
            <w:r w:rsidRPr="003E6512">
              <w:t>419.14</w:t>
            </w:r>
            <w:r w:rsidR="000C6957" w:rsidRPr="003E6512">
              <w:t>±0.11</w:t>
            </w:r>
          </w:p>
        </w:tc>
        <w:tc>
          <w:tcPr>
            <w:tcW w:w="1308" w:type="dxa"/>
            <w:tcBorders>
              <w:top w:val="single" w:sz="4" w:space="0" w:color="auto"/>
              <w:left w:val="single" w:sz="4" w:space="0" w:color="auto"/>
              <w:bottom w:val="single" w:sz="4" w:space="0" w:color="auto"/>
              <w:right w:val="single" w:sz="4" w:space="0" w:color="auto"/>
            </w:tcBorders>
            <w:hideMark/>
          </w:tcPr>
          <w:p w14:paraId="60A4675F" w14:textId="3585D85E" w:rsidR="00C20512" w:rsidRPr="003E6512" w:rsidRDefault="00C20512" w:rsidP="003E6512">
            <w:pPr>
              <w:pStyle w:val="NoSpacing"/>
            </w:pPr>
            <w:r w:rsidRPr="003E6512">
              <w:t>7.970</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1E1E97FB" w14:textId="528A0CE4" w:rsidR="00C20512" w:rsidRPr="003E6512" w:rsidRDefault="000C6957" w:rsidP="003E6512">
            <w:pPr>
              <w:pStyle w:val="NoSpacing"/>
            </w:pPr>
            <w:r w:rsidRPr="003E6512">
              <w:t>BDL</w:t>
            </w:r>
          </w:p>
        </w:tc>
      </w:tr>
      <w:tr w:rsidR="000C6957" w:rsidRPr="003E6512" w14:paraId="56580983" w14:textId="77777777" w:rsidTr="007B657E">
        <w:trPr>
          <w:trHeight w:val="414"/>
        </w:trPr>
        <w:tc>
          <w:tcPr>
            <w:tcW w:w="1760" w:type="dxa"/>
            <w:tcBorders>
              <w:top w:val="single" w:sz="4" w:space="0" w:color="auto"/>
              <w:left w:val="single" w:sz="4" w:space="0" w:color="auto"/>
              <w:bottom w:val="single" w:sz="4" w:space="0" w:color="auto"/>
              <w:right w:val="single" w:sz="4" w:space="0" w:color="auto"/>
            </w:tcBorders>
            <w:hideMark/>
          </w:tcPr>
          <w:p w14:paraId="5C7E7984" w14:textId="77777777" w:rsidR="00C20512" w:rsidRPr="003E6512" w:rsidRDefault="00C20512" w:rsidP="003E6512">
            <w:pPr>
              <w:pStyle w:val="NoSpacing"/>
            </w:pPr>
            <w:r w:rsidRPr="003E6512">
              <w:t>Beetroot tea</w:t>
            </w:r>
          </w:p>
        </w:tc>
        <w:tc>
          <w:tcPr>
            <w:tcW w:w="1308" w:type="dxa"/>
            <w:tcBorders>
              <w:top w:val="single" w:sz="4" w:space="0" w:color="auto"/>
              <w:left w:val="single" w:sz="4" w:space="0" w:color="auto"/>
              <w:bottom w:val="single" w:sz="4" w:space="0" w:color="auto"/>
              <w:right w:val="single" w:sz="4" w:space="0" w:color="auto"/>
            </w:tcBorders>
            <w:hideMark/>
          </w:tcPr>
          <w:p w14:paraId="7B08AF97" w14:textId="75771BC1" w:rsidR="00C20512" w:rsidRPr="003E6512" w:rsidRDefault="00C20512" w:rsidP="003E6512">
            <w:pPr>
              <w:pStyle w:val="NoSpacing"/>
            </w:pPr>
            <w:r w:rsidRPr="003E6512">
              <w:t>0.430</w:t>
            </w:r>
            <w:r w:rsidR="000C6957"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1745309D" w14:textId="3EC78811"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5466BB25" w14:textId="7DF66E95" w:rsidR="00C20512" w:rsidRPr="003E6512" w:rsidRDefault="00C20512" w:rsidP="003E6512">
            <w:pPr>
              <w:pStyle w:val="NoSpacing"/>
            </w:pPr>
            <w:r w:rsidRPr="003E6512">
              <w:t>10.25</w:t>
            </w:r>
            <w:r w:rsidR="000C6957" w:rsidRPr="003E6512">
              <w:t>±0.0</w:t>
            </w:r>
            <w:r w:rsidR="007B657E" w:rsidRPr="003E6512">
              <w:t>0</w:t>
            </w:r>
          </w:p>
        </w:tc>
        <w:tc>
          <w:tcPr>
            <w:tcW w:w="1404" w:type="dxa"/>
            <w:tcBorders>
              <w:top w:val="single" w:sz="4" w:space="0" w:color="auto"/>
              <w:left w:val="single" w:sz="4" w:space="0" w:color="auto"/>
              <w:bottom w:val="single" w:sz="4" w:space="0" w:color="auto"/>
              <w:right w:val="single" w:sz="4" w:space="0" w:color="auto"/>
            </w:tcBorders>
            <w:hideMark/>
          </w:tcPr>
          <w:p w14:paraId="0426588E" w14:textId="0EE04932" w:rsidR="00C20512" w:rsidRPr="003E6512" w:rsidRDefault="00C20512" w:rsidP="003E6512">
            <w:pPr>
              <w:pStyle w:val="NoSpacing"/>
            </w:pPr>
            <w:r w:rsidRPr="003E6512">
              <w:t>17.27</w:t>
            </w:r>
            <w:r w:rsidR="000C6957" w:rsidRPr="003E6512">
              <w:t>±0.0</w:t>
            </w:r>
            <w:r w:rsidR="007B657E" w:rsidRPr="003E6512">
              <w:t>0</w:t>
            </w:r>
          </w:p>
        </w:tc>
        <w:tc>
          <w:tcPr>
            <w:tcW w:w="1332" w:type="dxa"/>
            <w:tcBorders>
              <w:top w:val="single" w:sz="4" w:space="0" w:color="auto"/>
              <w:left w:val="single" w:sz="4" w:space="0" w:color="auto"/>
              <w:bottom w:val="single" w:sz="4" w:space="0" w:color="auto"/>
              <w:right w:val="single" w:sz="4" w:space="0" w:color="auto"/>
            </w:tcBorders>
            <w:hideMark/>
          </w:tcPr>
          <w:p w14:paraId="4E1FF875" w14:textId="3250329D" w:rsidR="00C20512" w:rsidRPr="003E6512" w:rsidRDefault="00C20512" w:rsidP="003E6512">
            <w:pPr>
              <w:pStyle w:val="NoSpacing"/>
            </w:pPr>
            <w:r w:rsidRPr="003E6512">
              <w:t>63.83</w:t>
            </w:r>
            <w:r w:rsidR="000C6957" w:rsidRPr="003E6512">
              <w:t>±0.02</w:t>
            </w:r>
          </w:p>
        </w:tc>
        <w:tc>
          <w:tcPr>
            <w:tcW w:w="1308" w:type="dxa"/>
            <w:tcBorders>
              <w:top w:val="single" w:sz="4" w:space="0" w:color="auto"/>
              <w:left w:val="single" w:sz="4" w:space="0" w:color="auto"/>
              <w:bottom w:val="single" w:sz="4" w:space="0" w:color="auto"/>
              <w:right w:val="single" w:sz="4" w:space="0" w:color="auto"/>
            </w:tcBorders>
            <w:hideMark/>
          </w:tcPr>
          <w:p w14:paraId="3B8B752C" w14:textId="6F2A076E" w:rsidR="00C20512" w:rsidRPr="003E6512" w:rsidRDefault="00C20512" w:rsidP="003E6512">
            <w:pPr>
              <w:pStyle w:val="NoSpacing"/>
            </w:pPr>
            <w:r w:rsidRPr="003E6512">
              <w:t>3.090</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701AFC90" w14:textId="68308E23" w:rsidR="00C20512" w:rsidRPr="003E6512" w:rsidRDefault="00C20512" w:rsidP="003E6512">
            <w:pPr>
              <w:pStyle w:val="NoSpacing"/>
            </w:pPr>
            <w:r w:rsidRPr="003E6512">
              <w:t>30.90</w:t>
            </w:r>
            <w:r w:rsidR="000C6957" w:rsidRPr="003E6512">
              <w:t>±0.03</w:t>
            </w:r>
          </w:p>
        </w:tc>
      </w:tr>
      <w:tr w:rsidR="000C6957" w:rsidRPr="003E6512" w14:paraId="568A5F2D" w14:textId="77777777" w:rsidTr="007B657E">
        <w:trPr>
          <w:trHeight w:val="414"/>
        </w:trPr>
        <w:tc>
          <w:tcPr>
            <w:tcW w:w="1760" w:type="dxa"/>
            <w:tcBorders>
              <w:top w:val="single" w:sz="4" w:space="0" w:color="auto"/>
              <w:left w:val="single" w:sz="4" w:space="0" w:color="auto"/>
              <w:bottom w:val="single" w:sz="4" w:space="0" w:color="auto"/>
              <w:right w:val="single" w:sz="4" w:space="0" w:color="auto"/>
            </w:tcBorders>
            <w:vAlign w:val="bottom"/>
            <w:hideMark/>
          </w:tcPr>
          <w:p w14:paraId="0A71C155" w14:textId="5C9CB7E6" w:rsidR="00C20512" w:rsidRPr="00291D94" w:rsidRDefault="00C20512" w:rsidP="003E6512">
            <w:pPr>
              <w:pStyle w:val="NoSpacing"/>
            </w:pPr>
            <w:r w:rsidRPr="00291D94">
              <w:t>Limit</w:t>
            </w:r>
            <w:r w:rsidR="00291D94" w:rsidRPr="00291D94">
              <w:t xml:space="preserve"> </w:t>
            </w:r>
            <w:r w:rsidR="00291D94" w:rsidRPr="00291D94">
              <w:rPr>
                <w:rFonts w:eastAsiaTheme="majorEastAsia"/>
              </w:rPr>
              <w:t>(mg kg</w:t>
            </w:r>
            <w:r w:rsidR="00291D94" w:rsidRPr="00291D94">
              <w:rPr>
                <w:rFonts w:eastAsiaTheme="majorEastAsia"/>
                <w:vertAlign w:val="superscript"/>
              </w:rPr>
              <w:t>-1</w:t>
            </w:r>
            <w:r w:rsidR="00291D94" w:rsidRPr="00291D94">
              <w:rPr>
                <w:rFonts w:eastAsiaTheme="majorEastAsia"/>
              </w:rPr>
              <w:t>)</w:t>
            </w:r>
          </w:p>
        </w:tc>
        <w:tc>
          <w:tcPr>
            <w:tcW w:w="1308" w:type="dxa"/>
            <w:tcBorders>
              <w:top w:val="single" w:sz="4" w:space="0" w:color="auto"/>
              <w:left w:val="single" w:sz="4" w:space="0" w:color="auto"/>
              <w:bottom w:val="single" w:sz="4" w:space="0" w:color="auto"/>
              <w:right w:val="single" w:sz="4" w:space="0" w:color="auto"/>
            </w:tcBorders>
            <w:vAlign w:val="bottom"/>
            <w:hideMark/>
          </w:tcPr>
          <w:p w14:paraId="49128C15" w14:textId="6DAB3EE5" w:rsidR="00C20512" w:rsidRPr="003E6512" w:rsidRDefault="00C20512" w:rsidP="003E6512">
            <w:pPr>
              <w:pStyle w:val="NoSpacing"/>
            </w:pPr>
            <w:r w:rsidRPr="003E6512">
              <w:t>0.100</w:t>
            </w:r>
          </w:p>
        </w:tc>
        <w:tc>
          <w:tcPr>
            <w:tcW w:w="1308" w:type="dxa"/>
            <w:tcBorders>
              <w:top w:val="single" w:sz="4" w:space="0" w:color="auto"/>
              <w:left w:val="single" w:sz="4" w:space="0" w:color="auto"/>
              <w:bottom w:val="single" w:sz="4" w:space="0" w:color="auto"/>
              <w:right w:val="single" w:sz="4" w:space="0" w:color="auto"/>
            </w:tcBorders>
            <w:vAlign w:val="bottom"/>
            <w:hideMark/>
          </w:tcPr>
          <w:p w14:paraId="6794CFED" w14:textId="481D6306" w:rsidR="00C20512" w:rsidRPr="003E6512" w:rsidRDefault="00C20512" w:rsidP="003E6512">
            <w:pPr>
              <w:pStyle w:val="NoSpacing"/>
            </w:pPr>
            <w:r w:rsidRPr="003E6512">
              <w:t>0.200</w:t>
            </w:r>
          </w:p>
        </w:tc>
        <w:tc>
          <w:tcPr>
            <w:tcW w:w="1308" w:type="dxa"/>
            <w:tcBorders>
              <w:top w:val="single" w:sz="4" w:space="0" w:color="auto"/>
              <w:left w:val="single" w:sz="4" w:space="0" w:color="auto"/>
              <w:bottom w:val="single" w:sz="4" w:space="0" w:color="auto"/>
              <w:right w:val="single" w:sz="4" w:space="0" w:color="auto"/>
            </w:tcBorders>
            <w:vAlign w:val="bottom"/>
            <w:hideMark/>
          </w:tcPr>
          <w:p w14:paraId="52F9B02E" w14:textId="07F83495" w:rsidR="00C20512" w:rsidRPr="003E6512" w:rsidRDefault="00C20512" w:rsidP="003E6512">
            <w:pPr>
              <w:pStyle w:val="NoSpacing"/>
            </w:pPr>
            <w:r w:rsidRPr="003E6512">
              <w:t>2.000</w:t>
            </w:r>
          </w:p>
        </w:tc>
        <w:tc>
          <w:tcPr>
            <w:tcW w:w="1404" w:type="dxa"/>
            <w:tcBorders>
              <w:top w:val="single" w:sz="4" w:space="0" w:color="auto"/>
              <w:left w:val="single" w:sz="4" w:space="0" w:color="auto"/>
              <w:bottom w:val="single" w:sz="4" w:space="0" w:color="auto"/>
              <w:right w:val="single" w:sz="4" w:space="0" w:color="auto"/>
            </w:tcBorders>
            <w:vAlign w:val="bottom"/>
            <w:hideMark/>
          </w:tcPr>
          <w:p w14:paraId="4FE8C2EE" w14:textId="768C482C" w:rsidR="00C20512" w:rsidRPr="003E6512" w:rsidRDefault="00C20512" w:rsidP="003E6512">
            <w:pPr>
              <w:pStyle w:val="NoSpacing"/>
            </w:pPr>
            <w:r w:rsidRPr="003E6512">
              <w:t>20.00</w:t>
            </w:r>
          </w:p>
        </w:tc>
        <w:tc>
          <w:tcPr>
            <w:tcW w:w="1332" w:type="dxa"/>
            <w:tcBorders>
              <w:top w:val="single" w:sz="4" w:space="0" w:color="auto"/>
              <w:left w:val="single" w:sz="4" w:space="0" w:color="auto"/>
              <w:bottom w:val="single" w:sz="4" w:space="0" w:color="auto"/>
              <w:right w:val="single" w:sz="4" w:space="0" w:color="auto"/>
            </w:tcBorders>
            <w:vAlign w:val="bottom"/>
            <w:hideMark/>
          </w:tcPr>
          <w:p w14:paraId="2F8B05B8" w14:textId="6FD08F8E" w:rsidR="00C20512" w:rsidRPr="003E6512" w:rsidRDefault="00C20512" w:rsidP="003E6512">
            <w:pPr>
              <w:pStyle w:val="NoSpacing"/>
            </w:pPr>
            <w:r w:rsidRPr="003E6512">
              <w:t>0.120</w:t>
            </w:r>
          </w:p>
        </w:tc>
        <w:tc>
          <w:tcPr>
            <w:tcW w:w="1308" w:type="dxa"/>
            <w:tcBorders>
              <w:top w:val="single" w:sz="4" w:space="0" w:color="auto"/>
              <w:left w:val="single" w:sz="4" w:space="0" w:color="auto"/>
              <w:bottom w:val="single" w:sz="4" w:space="0" w:color="auto"/>
              <w:right w:val="single" w:sz="4" w:space="0" w:color="auto"/>
            </w:tcBorders>
            <w:vAlign w:val="bottom"/>
            <w:hideMark/>
          </w:tcPr>
          <w:p w14:paraId="036734D8" w14:textId="6696EC11" w:rsidR="00C20512" w:rsidRPr="003E6512" w:rsidRDefault="00C20512" w:rsidP="003E6512">
            <w:pPr>
              <w:pStyle w:val="NoSpacing"/>
            </w:pPr>
            <w:r w:rsidRPr="003E6512">
              <w:t>1.630</w:t>
            </w:r>
          </w:p>
        </w:tc>
        <w:tc>
          <w:tcPr>
            <w:tcW w:w="1308" w:type="dxa"/>
            <w:tcBorders>
              <w:top w:val="single" w:sz="4" w:space="0" w:color="auto"/>
              <w:left w:val="single" w:sz="4" w:space="0" w:color="auto"/>
              <w:bottom w:val="single" w:sz="4" w:space="0" w:color="auto"/>
              <w:right w:val="single" w:sz="4" w:space="0" w:color="auto"/>
            </w:tcBorders>
            <w:vAlign w:val="bottom"/>
            <w:hideMark/>
          </w:tcPr>
          <w:p w14:paraId="29630382" w14:textId="5A0FC89B" w:rsidR="00C20512" w:rsidRPr="003E6512" w:rsidRDefault="00C20512" w:rsidP="003E6512">
            <w:pPr>
              <w:pStyle w:val="NoSpacing"/>
            </w:pPr>
            <w:r w:rsidRPr="003E6512">
              <w:t>10</w:t>
            </w:r>
            <w:r w:rsidR="000C6957" w:rsidRPr="003E6512">
              <w:t>.0</w:t>
            </w:r>
            <w:r w:rsidR="00F46EA5" w:rsidRPr="003E6512">
              <w:t>0</w:t>
            </w:r>
          </w:p>
        </w:tc>
      </w:tr>
    </w:tbl>
    <w:p w14:paraId="128CAA28" w14:textId="77777777" w:rsidR="003C5582" w:rsidRDefault="003C5582" w:rsidP="003C5582">
      <w:pPr>
        <w:spacing w:line="480" w:lineRule="auto"/>
        <w:rPr>
          <w:rFonts w:ascii="Times New Roman" w:hAnsi="Times New Roman" w:cs="Times New Roman"/>
        </w:rPr>
      </w:pPr>
      <w:bookmarkStart w:id="4" w:name="_Hlk196926998"/>
    </w:p>
    <w:p w14:paraId="6756EF2C" w14:textId="5EDB7E75" w:rsidR="003C5582" w:rsidRPr="004A1EC2" w:rsidRDefault="00291D94" w:rsidP="003C5582">
      <w:pPr>
        <w:spacing w:line="480" w:lineRule="auto"/>
        <w:jc w:val="both"/>
        <w:rPr>
          <w:rFonts w:ascii="Times New Roman" w:hAnsi="Times New Roman" w:cs="Times New Roman"/>
        </w:rPr>
      </w:pPr>
      <w:r w:rsidRPr="003C5582">
        <w:rPr>
          <w:rFonts w:ascii="Times New Roman" w:hAnsi="Times New Roman" w:cs="Times New Roman"/>
        </w:rPr>
        <w:t xml:space="preserve">Tables </w:t>
      </w:r>
      <w:r w:rsidR="003748B3">
        <w:rPr>
          <w:rFonts w:ascii="Times New Roman" w:hAnsi="Times New Roman" w:cs="Times New Roman"/>
        </w:rPr>
        <w:t>3</w:t>
      </w:r>
      <w:r w:rsidRPr="003C5582">
        <w:rPr>
          <w:rFonts w:ascii="Times New Roman" w:hAnsi="Times New Roman" w:cs="Times New Roman"/>
        </w:rPr>
        <w:t xml:space="preserve"> and </w:t>
      </w:r>
      <w:r w:rsidR="003748B3">
        <w:rPr>
          <w:rFonts w:ascii="Times New Roman" w:hAnsi="Times New Roman" w:cs="Times New Roman"/>
        </w:rPr>
        <w:t>4</w:t>
      </w:r>
      <w:r w:rsidRPr="003C5582">
        <w:rPr>
          <w:rFonts w:ascii="Times New Roman" w:hAnsi="Times New Roman" w:cs="Times New Roman"/>
        </w:rPr>
        <w:t xml:space="preserve"> </w:t>
      </w:r>
      <w:r w:rsidR="003C5582">
        <w:rPr>
          <w:rFonts w:ascii="Times New Roman" w:hAnsi="Times New Roman" w:cs="Times New Roman"/>
        </w:rPr>
        <w:t xml:space="preserve">present the levels of seven heavy metals, namely </w:t>
      </w:r>
      <w:r w:rsidRPr="003C5582">
        <w:rPr>
          <w:rFonts w:ascii="Times New Roman" w:hAnsi="Times New Roman" w:cs="Times New Roman"/>
        </w:rPr>
        <w:t>Cd, Co, Cr, Cu, Mn, Ni, and Pb, in spice and herbal tea samples. The residual heavy metal concentrations (mg kg⁻¹) were compared to</w:t>
      </w:r>
      <w:r w:rsidR="003C5582">
        <w:rPr>
          <w:rFonts w:ascii="Times New Roman" w:hAnsi="Times New Roman" w:cs="Times New Roman"/>
        </w:rPr>
        <w:t xml:space="preserve"> </w:t>
      </w:r>
      <w:r w:rsidRPr="003C5582">
        <w:rPr>
          <w:rFonts w:ascii="Times New Roman" w:hAnsi="Times New Roman" w:cs="Times New Roman"/>
        </w:rPr>
        <w:t xml:space="preserve">maximum permissible limits (MPLs) to assess safety. </w:t>
      </w:r>
      <w:r w:rsidR="003C5582" w:rsidRPr="004A1EC2">
        <w:rPr>
          <w:rFonts w:ascii="Times New Roman" w:hAnsi="Times New Roman" w:cs="Times New Roman"/>
        </w:rPr>
        <w:t>Analysis of heavy metal concentrations in spices and herbal teas from Nigeria’s Federal Capital Territory (FCT) revealed significant exceedances of maximum permissible limits (MPLs) for Cd,</w:t>
      </w:r>
      <w:r w:rsidR="00A70A03">
        <w:rPr>
          <w:rFonts w:ascii="Times New Roman" w:hAnsi="Times New Roman" w:cs="Times New Roman"/>
        </w:rPr>
        <w:t xml:space="preserve"> </w:t>
      </w:r>
      <w:r w:rsidR="003C5582" w:rsidRPr="004A1EC2">
        <w:rPr>
          <w:rFonts w:ascii="Times New Roman" w:hAnsi="Times New Roman" w:cs="Times New Roman"/>
        </w:rPr>
        <w:t>Co, Cr, Cu,</w:t>
      </w:r>
      <w:r w:rsidR="00A70A03">
        <w:rPr>
          <w:rFonts w:ascii="Times New Roman" w:hAnsi="Times New Roman" w:cs="Times New Roman"/>
        </w:rPr>
        <w:t xml:space="preserve"> </w:t>
      </w:r>
      <w:r w:rsidR="003C5582" w:rsidRPr="004A1EC2">
        <w:rPr>
          <w:rFonts w:ascii="Times New Roman" w:hAnsi="Times New Roman" w:cs="Times New Roman"/>
        </w:rPr>
        <w:t>Mn, Ni, and Pb, posing substantial public health risks. In spices, manganese levels were exceptionally high, with ginger powder reaching 598.75 mg kg⁻¹, a 4,989-fold exceedance of the 0.120 mg kg⁻¹ MPL, and turmeric powder at 403.77 mg kg⁻¹.</w:t>
      </w:r>
      <w:r w:rsidR="003C5582">
        <w:rPr>
          <w:rFonts w:ascii="Times New Roman" w:hAnsi="Times New Roman" w:cs="Times New Roman"/>
        </w:rPr>
        <w:t xml:space="preserve"> </w:t>
      </w:r>
      <w:r w:rsidR="003C5582" w:rsidRPr="004A1EC2">
        <w:rPr>
          <w:rFonts w:ascii="Times New Roman" w:hAnsi="Times New Roman" w:cs="Times New Roman"/>
        </w:rPr>
        <w:t xml:space="preserve">These values far surpass those reported elsewhere, such as 45.8 mg kg⁻¹ in turmeric by Karami </w:t>
      </w:r>
      <w:r w:rsidR="003C5582" w:rsidRPr="004A1EC2">
        <w:rPr>
          <w:rFonts w:ascii="Times New Roman" w:hAnsi="Times New Roman" w:cs="Times New Roman"/>
          <w:i/>
          <w:iCs/>
        </w:rPr>
        <w:t>et al</w:t>
      </w:r>
      <w:r w:rsidR="003C5582" w:rsidRPr="004A1EC2">
        <w:rPr>
          <w:rFonts w:ascii="Times New Roman" w:hAnsi="Times New Roman" w:cs="Times New Roman"/>
        </w:rPr>
        <w:t xml:space="preserve">. (2019) and 93.70 mg kg⁻¹ in ginger by Sadeghi </w:t>
      </w:r>
      <w:r w:rsidR="003C5582" w:rsidRPr="004A1EC2">
        <w:rPr>
          <w:rFonts w:ascii="Times New Roman" w:hAnsi="Times New Roman" w:cs="Times New Roman"/>
          <w:i/>
          <w:iCs/>
        </w:rPr>
        <w:t>et al</w:t>
      </w:r>
      <w:r w:rsidR="003C5582" w:rsidRPr="004A1EC2">
        <w:rPr>
          <w:rFonts w:ascii="Times New Roman" w:hAnsi="Times New Roman" w:cs="Times New Roman"/>
        </w:rPr>
        <w:t xml:space="preserve">. (2022). Similarly, herbal teas exhibited extreme manganese </w:t>
      </w:r>
      <w:r w:rsidR="008A4A28">
        <w:rPr>
          <w:rFonts w:ascii="Times New Roman" w:hAnsi="Times New Roman" w:cs="Times New Roman"/>
        </w:rPr>
        <w:t xml:space="preserve">residual </w:t>
      </w:r>
      <w:r w:rsidR="003C5582" w:rsidRPr="004A1EC2">
        <w:rPr>
          <w:rFonts w:ascii="Times New Roman" w:hAnsi="Times New Roman" w:cs="Times New Roman"/>
        </w:rPr>
        <w:t xml:space="preserve">contamination, with Top tea at 1,661 mg kg⁻¹, a 13,842-fold exceedance, Lipton tea at 1,369.04 mg kg⁻¹, and green tea at 505.2 mg kg⁻¹, compared to Wu </w:t>
      </w:r>
      <w:r w:rsidR="003C5582" w:rsidRPr="004A1EC2">
        <w:rPr>
          <w:rFonts w:ascii="Times New Roman" w:hAnsi="Times New Roman" w:cs="Times New Roman"/>
          <w:i/>
          <w:iCs/>
        </w:rPr>
        <w:t>et al</w:t>
      </w:r>
      <w:r w:rsidR="003C5582" w:rsidRPr="004A1EC2">
        <w:rPr>
          <w:rFonts w:ascii="Times New Roman" w:hAnsi="Times New Roman" w:cs="Times New Roman"/>
        </w:rPr>
        <w:t xml:space="preserve">.’s (2019) range of 10–200 mg kg⁻¹ and Ali </w:t>
      </w:r>
      <w:r w:rsidR="003C5582" w:rsidRPr="004A1EC2">
        <w:rPr>
          <w:rFonts w:ascii="Times New Roman" w:hAnsi="Times New Roman" w:cs="Times New Roman"/>
          <w:i/>
          <w:iCs/>
        </w:rPr>
        <w:t>et al</w:t>
      </w:r>
      <w:r w:rsidR="003C5582" w:rsidRPr="004A1EC2">
        <w:rPr>
          <w:rFonts w:ascii="Times New Roman" w:hAnsi="Times New Roman" w:cs="Times New Roman"/>
        </w:rPr>
        <w:t xml:space="preserve">.’s (2020) 62.1 mg kg⁻¹ in green tea. These elevated manganese levels, linked to neurotoxicity and manganism (Peres </w:t>
      </w:r>
      <w:r w:rsidR="003C5582" w:rsidRPr="004A1EC2">
        <w:rPr>
          <w:rFonts w:ascii="Times New Roman" w:hAnsi="Times New Roman" w:cs="Times New Roman"/>
          <w:i/>
          <w:iCs/>
        </w:rPr>
        <w:t>et al</w:t>
      </w:r>
      <w:r w:rsidR="003C5582" w:rsidRPr="004A1EC2">
        <w:rPr>
          <w:rFonts w:ascii="Times New Roman" w:hAnsi="Times New Roman" w:cs="Times New Roman"/>
        </w:rPr>
        <w:t xml:space="preserve">., 2018; Kulshreshtha </w:t>
      </w:r>
      <w:r w:rsidR="003C5582" w:rsidRPr="004A1EC2">
        <w:rPr>
          <w:rFonts w:ascii="Times New Roman" w:hAnsi="Times New Roman" w:cs="Times New Roman"/>
          <w:i/>
          <w:iCs/>
        </w:rPr>
        <w:t>et al</w:t>
      </w:r>
      <w:r w:rsidR="003C5582" w:rsidRPr="004A1EC2">
        <w:rPr>
          <w:rFonts w:ascii="Times New Roman" w:hAnsi="Times New Roman" w:cs="Times New Roman"/>
        </w:rPr>
        <w:t xml:space="preserve">., 2021), suggest localized contamination from soil, water, or industrial emissions in the FCT, as </w:t>
      </w:r>
      <w:r w:rsidR="008A4A28">
        <w:rPr>
          <w:rFonts w:ascii="Times New Roman" w:hAnsi="Times New Roman" w:cs="Times New Roman"/>
        </w:rPr>
        <w:t xml:space="preserve">earlier revealed </w:t>
      </w:r>
      <w:r w:rsidR="003C5582" w:rsidRPr="004A1EC2">
        <w:rPr>
          <w:rFonts w:ascii="Times New Roman" w:hAnsi="Times New Roman" w:cs="Times New Roman"/>
        </w:rPr>
        <w:t xml:space="preserve">by Ade </w:t>
      </w:r>
      <w:r w:rsidR="003C5582" w:rsidRPr="004A1EC2">
        <w:rPr>
          <w:rFonts w:ascii="Times New Roman" w:hAnsi="Times New Roman" w:cs="Times New Roman"/>
          <w:i/>
          <w:iCs/>
        </w:rPr>
        <w:t>et al</w:t>
      </w:r>
      <w:r w:rsidR="003C5582" w:rsidRPr="004A1EC2">
        <w:rPr>
          <w:rFonts w:ascii="Times New Roman" w:hAnsi="Times New Roman" w:cs="Times New Roman"/>
        </w:rPr>
        <w:t xml:space="preserve">. (2020) and Musa </w:t>
      </w:r>
      <w:r w:rsidR="003C5582" w:rsidRPr="004A1EC2">
        <w:rPr>
          <w:rFonts w:ascii="Times New Roman" w:hAnsi="Times New Roman" w:cs="Times New Roman"/>
          <w:i/>
          <w:iCs/>
        </w:rPr>
        <w:t>et al</w:t>
      </w:r>
      <w:r w:rsidR="003C5582" w:rsidRPr="004A1EC2">
        <w:rPr>
          <w:rFonts w:ascii="Times New Roman" w:hAnsi="Times New Roman" w:cs="Times New Roman"/>
        </w:rPr>
        <w:t>. (2022).</w:t>
      </w:r>
    </w:p>
    <w:p w14:paraId="0D226B44" w14:textId="09F167B9" w:rsidR="003C5582" w:rsidRPr="004A1EC2" w:rsidRDefault="003C5582" w:rsidP="003C5582">
      <w:pPr>
        <w:spacing w:line="480" w:lineRule="auto"/>
        <w:jc w:val="both"/>
        <w:rPr>
          <w:rFonts w:ascii="Times New Roman" w:hAnsi="Times New Roman" w:cs="Times New Roman"/>
        </w:rPr>
      </w:pPr>
      <w:r w:rsidRPr="004A1EC2">
        <w:rPr>
          <w:rFonts w:ascii="Times New Roman" w:hAnsi="Times New Roman" w:cs="Times New Roman"/>
        </w:rPr>
        <w:lastRenderedPageBreak/>
        <w:t xml:space="preserve">Cadmium concentrations exceeded the 0.100 mg kg⁻¹ MPL in all spice samples, with yellow pepper at 2.28 mg kg⁻¹ and fried seasoning at 0.680 mg kg⁻¹, higher than Marwat </w:t>
      </w:r>
      <w:r w:rsidRPr="008A4A28">
        <w:rPr>
          <w:rFonts w:ascii="Times New Roman" w:hAnsi="Times New Roman" w:cs="Times New Roman"/>
          <w:i/>
          <w:iCs/>
        </w:rPr>
        <w:t>et al</w:t>
      </w:r>
      <w:r w:rsidRPr="004A1EC2">
        <w:rPr>
          <w:rFonts w:ascii="Times New Roman" w:hAnsi="Times New Roman" w:cs="Times New Roman"/>
        </w:rPr>
        <w:t>.’s (2020) 1.0 mg kg⁻¹ in chili powder and</w:t>
      </w:r>
      <w:r w:rsidR="006904FA">
        <w:rPr>
          <w:rFonts w:ascii="Times New Roman" w:hAnsi="Times New Roman" w:cs="Times New Roman"/>
        </w:rPr>
        <w:t xml:space="preserve"> those of </w:t>
      </w:r>
      <w:r w:rsidRPr="004A1EC2">
        <w:rPr>
          <w:rFonts w:ascii="Times New Roman" w:hAnsi="Times New Roman" w:cs="Times New Roman"/>
        </w:rPr>
        <w:t xml:space="preserve">She </w:t>
      </w:r>
      <w:r w:rsidRPr="006904FA">
        <w:rPr>
          <w:rFonts w:ascii="Times New Roman" w:hAnsi="Times New Roman" w:cs="Times New Roman"/>
          <w:i/>
          <w:iCs/>
        </w:rPr>
        <w:t>et al</w:t>
      </w:r>
      <w:r w:rsidR="006904FA">
        <w:rPr>
          <w:rFonts w:ascii="Times New Roman" w:hAnsi="Times New Roman" w:cs="Times New Roman"/>
        </w:rPr>
        <w:t xml:space="preserve">. </w:t>
      </w:r>
      <w:r w:rsidRPr="004A1EC2">
        <w:rPr>
          <w:rFonts w:ascii="Times New Roman" w:hAnsi="Times New Roman" w:cs="Times New Roman"/>
        </w:rPr>
        <w:t xml:space="preserve"> (2021)</w:t>
      </w:r>
      <w:r w:rsidR="006904FA">
        <w:rPr>
          <w:rFonts w:ascii="Times New Roman" w:hAnsi="Times New Roman" w:cs="Times New Roman"/>
        </w:rPr>
        <w:t xml:space="preserve">, who recorded </w:t>
      </w:r>
      <w:r w:rsidR="006904FA" w:rsidRPr="004A1EC2">
        <w:rPr>
          <w:rFonts w:ascii="Times New Roman" w:hAnsi="Times New Roman" w:cs="Times New Roman"/>
        </w:rPr>
        <w:t>0.22</w:t>
      </w:r>
      <w:r w:rsidRPr="004A1EC2">
        <w:rPr>
          <w:rFonts w:ascii="Times New Roman" w:hAnsi="Times New Roman" w:cs="Times New Roman"/>
        </w:rPr>
        <w:t xml:space="preserve"> mg kg⁻¹ in black pepper. In herbal teas, cadmium </w:t>
      </w:r>
      <w:r w:rsidR="006904FA">
        <w:rPr>
          <w:rFonts w:ascii="Times New Roman" w:hAnsi="Times New Roman" w:cs="Times New Roman"/>
        </w:rPr>
        <w:t xml:space="preserve">levels reached 1.450 mg kg⁻¹ in Tummy and Body Fat-Reducing teas and 0.79 mg kg⁻¹ in green tea, surpassing the 0.200 mg kg ¹ average reported by Li </w:t>
      </w:r>
      <w:r w:rsidR="006904FA" w:rsidRPr="006904FA">
        <w:rPr>
          <w:rFonts w:ascii="Times New Roman" w:hAnsi="Times New Roman" w:cs="Times New Roman"/>
          <w:i/>
          <w:iCs/>
        </w:rPr>
        <w:t>et al</w:t>
      </w:r>
      <w:r w:rsidR="006904FA">
        <w:rPr>
          <w:rFonts w:ascii="Times New Roman" w:hAnsi="Times New Roman" w:cs="Times New Roman"/>
        </w:rPr>
        <w:t>. (2020)</w:t>
      </w:r>
      <w:r w:rsidRPr="004A1EC2">
        <w:rPr>
          <w:rFonts w:ascii="Times New Roman" w:hAnsi="Times New Roman" w:cs="Times New Roman"/>
        </w:rPr>
        <w:t xml:space="preserve">. These levels, associated with renal dysfunction, bone demineralization, and carcinogenesis (Chen </w:t>
      </w:r>
      <w:r w:rsidRPr="009A07E6">
        <w:rPr>
          <w:rFonts w:ascii="Times New Roman" w:hAnsi="Times New Roman" w:cs="Times New Roman"/>
          <w:i/>
          <w:iCs/>
        </w:rPr>
        <w:t>et al</w:t>
      </w:r>
      <w:r w:rsidRPr="004A1EC2">
        <w:rPr>
          <w:rFonts w:ascii="Times New Roman" w:hAnsi="Times New Roman" w:cs="Times New Roman"/>
        </w:rPr>
        <w:t xml:space="preserve">., 2019; Genchi </w:t>
      </w:r>
      <w:r w:rsidRPr="009A07E6">
        <w:rPr>
          <w:rFonts w:ascii="Times New Roman" w:hAnsi="Times New Roman" w:cs="Times New Roman"/>
          <w:i/>
          <w:iCs/>
        </w:rPr>
        <w:t>et al</w:t>
      </w:r>
      <w:r w:rsidRPr="004A1EC2">
        <w:rPr>
          <w:rFonts w:ascii="Times New Roman" w:hAnsi="Times New Roman" w:cs="Times New Roman"/>
        </w:rPr>
        <w:t xml:space="preserve">., 2020), indicate environmental or industrial contamination sources more severe in the FCT than in regions like Ado Ekiti, where cadmium was undetected (Olumide </w:t>
      </w:r>
      <w:r w:rsidRPr="00A60C09">
        <w:rPr>
          <w:rFonts w:ascii="Times New Roman" w:hAnsi="Times New Roman" w:cs="Times New Roman"/>
          <w:i/>
          <w:iCs/>
        </w:rPr>
        <w:t>et al</w:t>
      </w:r>
      <w:r w:rsidRPr="004A1EC2">
        <w:rPr>
          <w:rFonts w:ascii="Times New Roman" w:hAnsi="Times New Roman" w:cs="Times New Roman"/>
        </w:rPr>
        <w:t xml:space="preserve">., 2021), or Kano, with 0.08–0.60 mg kg⁻¹ (Idris </w:t>
      </w:r>
      <w:r w:rsidRPr="009A07E6">
        <w:rPr>
          <w:rFonts w:ascii="Times New Roman" w:hAnsi="Times New Roman" w:cs="Times New Roman"/>
          <w:i/>
          <w:iCs/>
        </w:rPr>
        <w:t>et al</w:t>
      </w:r>
      <w:r w:rsidRPr="004A1EC2">
        <w:rPr>
          <w:rFonts w:ascii="Times New Roman" w:hAnsi="Times New Roman" w:cs="Times New Roman"/>
        </w:rPr>
        <w:t>., 2021).</w:t>
      </w:r>
    </w:p>
    <w:p w14:paraId="7C79C1FA" w14:textId="53D57BEA" w:rsidR="003C5582" w:rsidRPr="004A1EC2" w:rsidRDefault="009A07E6" w:rsidP="003C5582">
      <w:pPr>
        <w:spacing w:line="480" w:lineRule="auto"/>
        <w:jc w:val="both"/>
        <w:rPr>
          <w:rFonts w:ascii="Times New Roman" w:hAnsi="Times New Roman" w:cs="Times New Roman"/>
        </w:rPr>
      </w:pPr>
      <w:r>
        <w:rPr>
          <w:rFonts w:ascii="Times New Roman" w:hAnsi="Times New Roman" w:cs="Times New Roman"/>
        </w:rPr>
        <w:t>Copper</w:t>
      </w:r>
      <w:r w:rsidR="003C5582" w:rsidRPr="004A1EC2">
        <w:rPr>
          <w:rFonts w:ascii="Times New Roman" w:hAnsi="Times New Roman" w:cs="Times New Roman"/>
        </w:rPr>
        <w:t xml:space="preserve"> levels exceeded the 20.00 mg kg⁻¹ MPL in spices, with black pepper at 58.30 mg kg⁻¹, nutmeg at 55.36 mg kg⁻¹, and cayenne at 36.36 mg kg⁻¹, compared to Sharma et al.’s (2017) 13.6 mg kg⁻¹ for black pepper and 21.3 mg kg⁻¹ for chili powder. In teas, copper reached 66.97 mg kg⁻¹ in Mango tea, 55.94 mg kg⁻¹ in green tea, and 42.87 mg kg⁻¹ in Top tea, exceeding levels reported by Onyekwere et al. (2019) at 0.06–15.08 mg kg⁻¹ in southeastern spices and Afolabi et al. (2020) at 11.02–24.12 mg kg⁻¹ in Ibadan teas. These elevated concentrations, linked to oxidative stress, hepatotoxicity, and nephrotoxicity (</w:t>
      </w:r>
      <w:proofErr w:type="spellStart"/>
      <w:r w:rsidR="003C5582" w:rsidRPr="009A07E6">
        <w:rPr>
          <w:rFonts w:ascii="Times New Roman" w:hAnsi="Times New Roman" w:cs="Times New Roman"/>
          <w:lang w:val="en-GB"/>
        </w:rPr>
        <w:t>Borobia</w:t>
      </w:r>
      <w:proofErr w:type="spellEnd"/>
      <w:r w:rsidR="003C5582" w:rsidRPr="004A1EC2">
        <w:rPr>
          <w:rFonts w:ascii="Times New Roman" w:hAnsi="Times New Roman" w:cs="Times New Roman"/>
        </w:rPr>
        <w:t xml:space="preserve"> </w:t>
      </w:r>
      <w:r w:rsidR="003C5582" w:rsidRPr="005B0D04">
        <w:rPr>
          <w:rFonts w:ascii="Times New Roman" w:hAnsi="Times New Roman" w:cs="Times New Roman"/>
          <w:i/>
          <w:iCs/>
        </w:rPr>
        <w:t>et al</w:t>
      </w:r>
      <w:r w:rsidR="003C5582" w:rsidRPr="004A1EC2">
        <w:rPr>
          <w:rFonts w:ascii="Times New Roman" w:hAnsi="Times New Roman" w:cs="Times New Roman"/>
        </w:rPr>
        <w:t xml:space="preserve">., 2020; Chukwu </w:t>
      </w:r>
      <w:r w:rsidR="003C5582" w:rsidRPr="005B0D04">
        <w:rPr>
          <w:rFonts w:ascii="Times New Roman" w:hAnsi="Times New Roman" w:cs="Times New Roman"/>
          <w:i/>
          <w:iCs/>
        </w:rPr>
        <w:t>et al</w:t>
      </w:r>
      <w:r w:rsidR="003C5582" w:rsidRPr="004A1EC2">
        <w:rPr>
          <w:rFonts w:ascii="Times New Roman" w:hAnsi="Times New Roman" w:cs="Times New Roman"/>
        </w:rPr>
        <w:t xml:space="preserve">., 2019), suggest contamination during </w:t>
      </w:r>
      <w:r>
        <w:rPr>
          <w:rFonts w:ascii="Times New Roman" w:hAnsi="Times New Roman" w:cs="Times New Roman"/>
        </w:rPr>
        <w:t>processing</w:t>
      </w:r>
      <w:r w:rsidR="003C5582" w:rsidRPr="004A1EC2">
        <w:rPr>
          <w:rFonts w:ascii="Times New Roman" w:hAnsi="Times New Roman" w:cs="Times New Roman"/>
        </w:rPr>
        <w:t xml:space="preserve"> or from environmental sources.</w:t>
      </w:r>
    </w:p>
    <w:p w14:paraId="66138F73" w14:textId="77777777" w:rsidR="003C5582" w:rsidRPr="004A1EC2" w:rsidRDefault="003C5582" w:rsidP="003C5582">
      <w:pPr>
        <w:spacing w:line="480" w:lineRule="auto"/>
        <w:jc w:val="both"/>
        <w:rPr>
          <w:rFonts w:ascii="Times New Roman" w:hAnsi="Times New Roman" w:cs="Times New Roman"/>
        </w:rPr>
      </w:pPr>
      <w:r w:rsidRPr="004A1EC2">
        <w:rPr>
          <w:rFonts w:ascii="Times New Roman" w:hAnsi="Times New Roman" w:cs="Times New Roman"/>
        </w:rPr>
        <w:t xml:space="preserve">Nickel surpassed the 1.63 mg kg⁻¹ MPL in all spices, with black pepper at 6.11 mg kg⁻¹, ginger at 3.71 mg kg⁻¹, and turmeric at 2.74 mg kg⁻¹, higher than Ozdemir </w:t>
      </w:r>
      <w:r w:rsidRPr="005B0D04">
        <w:rPr>
          <w:rFonts w:ascii="Times New Roman" w:hAnsi="Times New Roman" w:cs="Times New Roman"/>
          <w:i/>
          <w:iCs/>
        </w:rPr>
        <w:t>et al</w:t>
      </w:r>
      <w:r w:rsidRPr="004A1EC2">
        <w:rPr>
          <w:rFonts w:ascii="Times New Roman" w:hAnsi="Times New Roman" w:cs="Times New Roman"/>
        </w:rPr>
        <w:t xml:space="preserve">.’s (2018) 1.2 mg kg⁻¹. In teas, nickel reached 10.22 mg kg⁻¹ in Top tea and 8.34 mg kg⁻¹ in Lipton tea, exceeding Zhang </w:t>
      </w:r>
      <w:r w:rsidRPr="005B0D04">
        <w:rPr>
          <w:rFonts w:ascii="Times New Roman" w:hAnsi="Times New Roman" w:cs="Times New Roman"/>
          <w:i/>
          <w:iCs/>
        </w:rPr>
        <w:t>et al</w:t>
      </w:r>
      <w:r w:rsidRPr="004A1EC2">
        <w:rPr>
          <w:rFonts w:ascii="Times New Roman" w:hAnsi="Times New Roman" w:cs="Times New Roman"/>
        </w:rPr>
        <w:t>.’s (2020) 1.2–3.0 mg kg⁻¹ range. These levels, associated with allergic dermatitis, respiratory complications, and kidney damage (</w:t>
      </w:r>
      <w:proofErr w:type="spellStart"/>
      <w:r w:rsidRPr="004A1EC2">
        <w:rPr>
          <w:rFonts w:ascii="Times New Roman" w:hAnsi="Times New Roman" w:cs="Times New Roman"/>
        </w:rPr>
        <w:t>Filalova</w:t>
      </w:r>
      <w:proofErr w:type="spellEnd"/>
      <w:r w:rsidRPr="004A1EC2">
        <w:rPr>
          <w:rFonts w:ascii="Times New Roman" w:hAnsi="Times New Roman" w:cs="Times New Roman"/>
        </w:rPr>
        <w:t xml:space="preserve"> &amp; </w:t>
      </w:r>
      <w:proofErr w:type="spellStart"/>
      <w:r w:rsidRPr="004A1EC2">
        <w:rPr>
          <w:rFonts w:ascii="Times New Roman" w:hAnsi="Times New Roman" w:cs="Times New Roman"/>
        </w:rPr>
        <w:t>Chepak</w:t>
      </w:r>
      <w:proofErr w:type="spellEnd"/>
      <w:r w:rsidRPr="004A1EC2">
        <w:rPr>
          <w:rFonts w:ascii="Times New Roman" w:hAnsi="Times New Roman" w:cs="Times New Roman"/>
        </w:rPr>
        <w:t xml:space="preserve">, 2020; Martins </w:t>
      </w:r>
      <w:r w:rsidRPr="005B0D04">
        <w:rPr>
          <w:rFonts w:ascii="Times New Roman" w:hAnsi="Times New Roman" w:cs="Times New Roman"/>
          <w:i/>
          <w:iCs/>
        </w:rPr>
        <w:t>et al</w:t>
      </w:r>
      <w:r w:rsidRPr="004A1EC2">
        <w:rPr>
          <w:rFonts w:ascii="Times New Roman" w:hAnsi="Times New Roman" w:cs="Times New Roman"/>
        </w:rPr>
        <w:t xml:space="preserve">., 2020), align with </w:t>
      </w:r>
      <w:r w:rsidRPr="004A1EC2">
        <w:rPr>
          <w:rFonts w:ascii="Times New Roman" w:hAnsi="Times New Roman" w:cs="Times New Roman"/>
        </w:rPr>
        <w:lastRenderedPageBreak/>
        <w:t xml:space="preserve">Nigerian studies reporting elevated nickel in Awka spices (0.34–2.89 mg kg⁻¹, Eze </w:t>
      </w:r>
      <w:r w:rsidRPr="009A07E6">
        <w:rPr>
          <w:rFonts w:ascii="Times New Roman" w:hAnsi="Times New Roman" w:cs="Times New Roman"/>
          <w:i/>
          <w:iCs/>
        </w:rPr>
        <w:t>et al</w:t>
      </w:r>
      <w:r w:rsidRPr="004A1EC2">
        <w:rPr>
          <w:rFonts w:ascii="Times New Roman" w:hAnsi="Times New Roman" w:cs="Times New Roman"/>
        </w:rPr>
        <w:t xml:space="preserve">., 2023) and Ibadan teas (3.50–8.00 mg kg⁻¹, Afolabi </w:t>
      </w:r>
      <w:r w:rsidRPr="009A07E6">
        <w:rPr>
          <w:rFonts w:ascii="Times New Roman" w:hAnsi="Times New Roman" w:cs="Times New Roman"/>
          <w:i/>
          <w:iCs/>
        </w:rPr>
        <w:t>et al</w:t>
      </w:r>
      <w:r w:rsidRPr="004A1EC2">
        <w:rPr>
          <w:rFonts w:ascii="Times New Roman" w:hAnsi="Times New Roman" w:cs="Times New Roman"/>
        </w:rPr>
        <w:t>., 2020).</w:t>
      </w:r>
    </w:p>
    <w:p w14:paraId="177323E5" w14:textId="77777777" w:rsidR="003C5582" w:rsidRPr="004A1EC2" w:rsidRDefault="003C5582" w:rsidP="003C5582">
      <w:pPr>
        <w:spacing w:line="480" w:lineRule="auto"/>
        <w:jc w:val="both"/>
        <w:rPr>
          <w:rFonts w:ascii="Times New Roman" w:hAnsi="Times New Roman" w:cs="Times New Roman"/>
        </w:rPr>
      </w:pPr>
      <w:r w:rsidRPr="004A1EC2">
        <w:rPr>
          <w:rFonts w:ascii="Times New Roman" w:hAnsi="Times New Roman" w:cs="Times New Roman"/>
        </w:rPr>
        <w:t xml:space="preserve">Lead contamination was particularly severe in teas, with Moringa tea at 77.00 mg kg⁻¹, Top tea at 35.12 mg kg⁻¹, and Beetroot tea at 30.90 mg kg⁻¹, exceeding the 10.00 mg kg⁻¹ MPL, compared to Ahmad et al.’s (2019) 5.0–10.0 mg kg⁻¹ in teas. In spices, yellow pepper (7.89 mg kg⁻¹) and black pepper (6.83 mg kg⁻¹) approached the limit, surpassing Beatriz </w:t>
      </w:r>
      <w:r w:rsidRPr="004A1EC2">
        <w:rPr>
          <w:rFonts w:ascii="Times New Roman" w:hAnsi="Times New Roman" w:cs="Times New Roman"/>
          <w:i/>
          <w:iCs/>
        </w:rPr>
        <w:t>et al</w:t>
      </w:r>
      <w:r w:rsidRPr="004A1EC2">
        <w:rPr>
          <w:rFonts w:ascii="Times New Roman" w:hAnsi="Times New Roman" w:cs="Times New Roman"/>
        </w:rPr>
        <w:t xml:space="preserve">.’s (2021) 5.0 mg kg⁻¹ for black pepper. These levels, linked to neurotoxicity and developmental issues (Mohammed </w:t>
      </w:r>
      <w:r w:rsidRPr="009A07E6">
        <w:rPr>
          <w:rFonts w:ascii="Times New Roman" w:hAnsi="Times New Roman" w:cs="Times New Roman"/>
          <w:i/>
          <w:iCs/>
        </w:rPr>
        <w:t>et al</w:t>
      </w:r>
      <w:r w:rsidRPr="004A1EC2">
        <w:rPr>
          <w:rFonts w:ascii="Times New Roman" w:hAnsi="Times New Roman" w:cs="Times New Roman"/>
        </w:rPr>
        <w:t xml:space="preserve">., 2019; Okeke </w:t>
      </w:r>
      <w:r w:rsidRPr="004A1EC2">
        <w:rPr>
          <w:rFonts w:ascii="Times New Roman" w:hAnsi="Times New Roman" w:cs="Times New Roman"/>
          <w:i/>
          <w:iCs/>
        </w:rPr>
        <w:t>et al</w:t>
      </w:r>
      <w:r w:rsidRPr="004A1EC2">
        <w:rPr>
          <w:rFonts w:ascii="Times New Roman" w:hAnsi="Times New Roman" w:cs="Times New Roman"/>
        </w:rPr>
        <w:t xml:space="preserve">., 2020), are higher than in other Nigerian regions, such as Awka (2.61–8.97 mg kg⁻¹, Eze </w:t>
      </w:r>
      <w:r w:rsidRPr="004A1EC2">
        <w:rPr>
          <w:rFonts w:ascii="Times New Roman" w:hAnsi="Times New Roman" w:cs="Times New Roman"/>
          <w:i/>
          <w:iCs/>
        </w:rPr>
        <w:t>et al</w:t>
      </w:r>
      <w:r w:rsidRPr="004A1EC2">
        <w:rPr>
          <w:rFonts w:ascii="Times New Roman" w:hAnsi="Times New Roman" w:cs="Times New Roman"/>
        </w:rPr>
        <w:t xml:space="preserve">., 2023) and Port Harcourt (0.76–3.56 mg kg⁻¹, </w:t>
      </w:r>
      <w:proofErr w:type="spellStart"/>
      <w:r w:rsidRPr="004A1EC2">
        <w:rPr>
          <w:rFonts w:ascii="Times New Roman" w:hAnsi="Times New Roman" w:cs="Times New Roman"/>
        </w:rPr>
        <w:t>Ukom</w:t>
      </w:r>
      <w:proofErr w:type="spellEnd"/>
      <w:r w:rsidRPr="004A1EC2">
        <w:rPr>
          <w:rFonts w:ascii="Times New Roman" w:hAnsi="Times New Roman" w:cs="Times New Roman"/>
        </w:rPr>
        <w:t xml:space="preserve"> </w:t>
      </w:r>
      <w:r w:rsidRPr="004A1EC2">
        <w:rPr>
          <w:rFonts w:ascii="Times New Roman" w:hAnsi="Times New Roman" w:cs="Times New Roman"/>
          <w:i/>
          <w:iCs/>
        </w:rPr>
        <w:t>et al</w:t>
      </w:r>
      <w:r w:rsidRPr="004A1EC2">
        <w:rPr>
          <w:rFonts w:ascii="Times New Roman" w:hAnsi="Times New Roman" w:cs="Times New Roman"/>
        </w:rPr>
        <w:t>., 2022).</w:t>
      </w:r>
    </w:p>
    <w:p w14:paraId="01D4A08C" w14:textId="77777777" w:rsidR="003748B3" w:rsidRDefault="003C5582" w:rsidP="00B8704C">
      <w:pPr>
        <w:spacing w:line="480" w:lineRule="auto"/>
        <w:jc w:val="both"/>
        <w:rPr>
          <w:rFonts w:ascii="Times New Roman" w:hAnsi="Times New Roman" w:cs="Times New Roman"/>
        </w:rPr>
      </w:pPr>
      <w:r w:rsidRPr="004A1EC2">
        <w:rPr>
          <w:rFonts w:ascii="Times New Roman" w:hAnsi="Times New Roman" w:cs="Times New Roman"/>
        </w:rPr>
        <w:t xml:space="preserve">Chromium exceeded the 2.00 mg kg⁻¹ MPL in most spices, with thyme leaves at 18.40 mg kg⁻¹ and ginger at 15.13 mg kg⁻¹, and in teas, with Eyes Bright tea at 25.94 mg kg⁻¹ and Guava tea at 22.76 mg kg⁻¹, far above Hossain </w:t>
      </w:r>
      <w:r w:rsidRPr="009A07E6">
        <w:rPr>
          <w:rFonts w:ascii="Times New Roman" w:hAnsi="Times New Roman" w:cs="Times New Roman"/>
          <w:i/>
          <w:iCs/>
        </w:rPr>
        <w:t>et al</w:t>
      </w:r>
      <w:r w:rsidRPr="004A1EC2">
        <w:rPr>
          <w:rFonts w:ascii="Times New Roman" w:hAnsi="Times New Roman" w:cs="Times New Roman"/>
        </w:rPr>
        <w:t xml:space="preserve">.’s (2018) 0.2 mg kg⁻¹ in tea leaves. These levels, potentially including carcinogenic hexavalent chromium (Adeyemi </w:t>
      </w:r>
      <w:r w:rsidRPr="00A70A03">
        <w:rPr>
          <w:rFonts w:ascii="Times New Roman" w:hAnsi="Times New Roman" w:cs="Times New Roman"/>
          <w:i/>
          <w:iCs/>
        </w:rPr>
        <w:t>et al</w:t>
      </w:r>
      <w:r w:rsidRPr="004A1EC2">
        <w:rPr>
          <w:rFonts w:ascii="Times New Roman" w:hAnsi="Times New Roman" w:cs="Times New Roman"/>
        </w:rPr>
        <w:t xml:space="preserve">., 2020), exceed values from Awka (0.001–3.81 mg kg⁻¹, Eze </w:t>
      </w:r>
      <w:r w:rsidRPr="00A70A03">
        <w:rPr>
          <w:rFonts w:ascii="Times New Roman" w:hAnsi="Times New Roman" w:cs="Times New Roman"/>
          <w:i/>
          <w:iCs/>
        </w:rPr>
        <w:t>et al</w:t>
      </w:r>
      <w:r w:rsidRPr="004A1EC2">
        <w:rPr>
          <w:rFonts w:ascii="Times New Roman" w:hAnsi="Times New Roman" w:cs="Times New Roman"/>
        </w:rPr>
        <w:t xml:space="preserve">., 2023) and Kano (0.6–6.5 mg kg⁻¹, Idris </w:t>
      </w:r>
      <w:r w:rsidRPr="00A70A03">
        <w:rPr>
          <w:rFonts w:ascii="Times New Roman" w:hAnsi="Times New Roman" w:cs="Times New Roman"/>
          <w:i/>
          <w:iCs/>
        </w:rPr>
        <w:t>et al</w:t>
      </w:r>
      <w:r w:rsidRPr="004A1EC2">
        <w:rPr>
          <w:rFonts w:ascii="Times New Roman" w:hAnsi="Times New Roman" w:cs="Times New Roman"/>
        </w:rPr>
        <w:t xml:space="preserve">., 2021). Cobalt, exceeding the 0.200 mg kg⁻¹ MPL, was detected in cayenne pepper (3.50 mg kg⁻¹), Guava tea (0.850 mg kg⁻¹), and Lipton tea (1.310 mg kg⁻¹), higher than typical Nigerian levels (0.28–3.07 mg kg⁻¹, Eze </w:t>
      </w:r>
      <w:r w:rsidRPr="004A1EC2">
        <w:rPr>
          <w:rFonts w:ascii="Times New Roman" w:hAnsi="Times New Roman" w:cs="Times New Roman"/>
          <w:i/>
          <w:iCs/>
        </w:rPr>
        <w:t>et al</w:t>
      </w:r>
      <w:r w:rsidRPr="004A1EC2">
        <w:rPr>
          <w:rFonts w:ascii="Times New Roman" w:hAnsi="Times New Roman" w:cs="Times New Roman"/>
        </w:rPr>
        <w:t xml:space="preserve">., 2023), raising concerns about cardiotoxicity and thyroid dysfunction (Genchi </w:t>
      </w:r>
      <w:r w:rsidRPr="00A70A03">
        <w:rPr>
          <w:rFonts w:ascii="Times New Roman" w:hAnsi="Times New Roman" w:cs="Times New Roman"/>
          <w:i/>
          <w:iCs/>
        </w:rPr>
        <w:t>et al</w:t>
      </w:r>
      <w:r w:rsidRPr="004A1EC2">
        <w:rPr>
          <w:rFonts w:ascii="Times New Roman" w:hAnsi="Times New Roman" w:cs="Times New Roman"/>
        </w:rPr>
        <w:t xml:space="preserve">., 2023).Comparatively, herbal teas exhibited more extreme exceedances for manganese, lead, and chromium, while spices showed higher nickel, copper, and cadmium contamination. These findings align with prior Nigerian studies, such as </w:t>
      </w:r>
      <w:proofErr w:type="spellStart"/>
      <w:r w:rsidRPr="004A1EC2">
        <w:rPr>
          <w:rFonts w:ascii="Times New Roman" w:hAnsi="Times New Roman" w:cs="Times New Roman"/>
        </w:rPr>
        <w:t>Okwelle</w:t>
      </w:r>
      <w:proofErr w:type="spellEnd"/>
      <w:r w:rsidRPr="004A1EC2">
        <w:rPr>
          <w:rFonts w:ascii="Times New Roman" w:hAnsi="Times New Roman" w:cs="Times New Roman"/>
        </w:rPr>
        <w:t xml:space="preserve"> and </w:t>
      </w:r>
      <w:proofErr w:type="spellStart"/>
      <w:r w:rsidRPr="004A1EC2">
        <w:rPr>
          <w:rFonts w:ascii="Times New Roman" w:hAnsi="Times New Roman" w:cs="Times New Roman"/>
        </w:rPr>
        <w:t>Pepple</w:t>
      </w:r>
      <w:proofErr w:type="spellEnd"/>
      <w:r w:rsidRPr="004A1EC2">
        <w:rPr>
          <w:rFonts w:ascii="Times New Roman" w:hAnsi="Times New Roman" w:cs="Times New Roman"/>
        </w:rPr>
        <w:t xml:space="preserve"> (2020), reporting lower chromium in Port Harcourt spices (0.05–2.75 mg kg⁻¹), and Onyekwere </w:t>
      </w:r>
      <w:r w:rsidRPr="004A1EC2">
        <w:rPr>
          <w:rFonts w:ascii="Times New Roman" w:hAnsi="Times New Roman" w:cs="Times New Roman"/>
          <w:i/>
          <w:iCs/>
        </w:rPr>
        <w:t>et al</w:t>
      </w:r>
      <w:r w:rsidRPr="004A1EC2">
        <w:rPr>
          <w:rFonts w:ascii="Times New Roman" w:hAnsi="Times New Roman" w:cs="Times New Roman"/>
        </w:rPr>
        <w:t xml:space="preserve">. (2019), noting manganese up to 182 mg kg⁻¹ in southeastern spices. The FCT’s elevated levels, particularly in teas, suggest unique contamination pathways, possibly from soil, water, or industrial emissions, as </w:t>
      </w:r>
      <w:r w:rsidRPr="004A1EC2">
        <w:rPr>
          <w:rFonts w:ascii="Times New Roman" w:hAnsi="Times New Roman" w:cs="Times New Roman"/>
        </w:rPr>
        <w:lastRenderedPageBreak/>
        <w:t xml:space="preserve">noted by Ade </w:t>
      </w:r>
      <w:r w:rsidRPr="00A70A03">
        <w:rPr>
          <w:rFonts w:ascii="Times New Roman" w:hAnsi="Times New Roman" w:cs="Times New Roman"/>
          <w:i/>
          <w:iCs/>
        </w:rPr>
        <w:t>et al</w:t>
      </w:r>
      <w:r w:rsidRPr="004A1EC2">
        <w:rPr>
          <w:rFonts w:ascii="Times New Roman" w:hAnsi="Times New Roman" w:cs="Times New Roman"/>
        </w:rPr>
        <w:t xml:space="preserve">. (2020) and Musa </w:t>
      </w:r>
      <w:r w:rsidRPr="00A70A03">
        <w:rPr>
          <w:rFonts w:ascii="Times New Roman" w:hAnsi="Times New Roman" w:cs="Times New Roman"/>
          <w:i/>
          <w:iCs/>
        </w:rPr>
        <w:t>et al</w:t>
      </w:r>
      <w:r w:rsidRPr="004A1EC2">
        <w:rPr>
          <w:rFonts w:ascii="Times New Roman" w:hAnsi="Times New Roman" w:cs="Times New Roman"/>
        </w:rPr>
        <w:t xml:space="preserve">. (2022). The severe contamination in Abuja, exceeding levels in Ado Ekiti, Kano, Awka, Enugu, and Port Harcourt, underscores the urgent need for environmental investigations, source-control measures, and robust consumer safety regulations to mitigate public health risks in Nigeria’s herbal tea and spice markets (Afolabi </w:t>
      </w:r>
      <w:r w:rsidRPr="008A2875">
        <w:rPr>
          <w:rFonts w:ascii="Times New Roman" w:hAnsi="Times New Roman" w:cs="Times New Roman"/>
          <w:i/>
          <w:iCs/>
        </w:rPr>
        <w:t>et al</w:t>
      </w:r>
      <w:r w:rsidRPr="004A1EC2">
        <w:rPr>
          <w:rFonts w:ascii="Times New Roman" w:hAnsi="Times New Roman" w:cs="Times New Roman"/>
        </w:rPr>
        <w:t xml:space="preserve">., 2020; Onyekwere </w:t>
      </w:r>
      <w:r w:rsidRPr="00843996">
        <w:rPr>
          <w:rFonts w:ascii="Times New Roman" w:hAnsi="Times New Roman" w:cs="Times New Roman"/>
          <w:i/>
          <w:iCs/>
        </w:rPr>
        <w:t>et al</w:t>
      </w:r>
      <w:r w:rsidRPr="004A1EC2">
        <w:rPr>
          <w:rFonts w:ascii="Times New Roman" w:hAnsi="Times New Roman" w:cs="Times New Roman"/>
        </w:rPr>
        <w:t>., 2019).</w:t>
      </w:r>
    </w:p>
    <w:p w14:paraId="3E80DED5" w14:textId="77777777" w:rsidR="003748B3" w:rsidRDefault="003748B3" w:rsidP="00B8704C">
      <w:pPr>
        <w:spacing w:line="480" w:lineRule="auto"/>
        <w:jc w:val="both"/>
        <w:rPr>
          <w:rFonts w:ascii="Times New Roman" w:hAnsi="Times New Roman" w:cs="Times New Roman"/>
        </w:rPr>
      </w:pPr>
    </w:p>
    <w:p w14:paraId="021D4E0A" w14:textId="34FC1146" w:rsidR="00C20512" w:rsidRPr="00D837E6" w:rsidRDefault="003748B3" w:rsidP="00B8704C">
      <w:pPr>
        <w:spacing w:line="480" w:lineRule="auto"/>
        <w:jc w:val="both"/>
        <w:rPr>
          <w:rFonts w:ascii="Times New Roman" w:hAnsi="Times New Roman" w:cs="Times New Roman"/>
        </w:rPr>
      </w:pPr>
      <w:r>
        <w:rPr>
          <w:rFonts w:ascii="Times New Roman" w:hAnsi="Times New Roman" w:cs="Times New Roman"/>
        </w:rPr>
        <w:t>\\\\\\\\\\\\\</w:t>
      </w:r>
      <w:r w:rsidR="0049454E" w:rsidRPr="0049454E">
        <w:rPr>
          <w:rFonts w:ascii="Times New Roman" w:hAnsi="Times New Roman" w:cs="Times New Roman"/>
        </w:rPr>
        <w:br/>
      </w:r>
      <w:bookmarkStart w:id="5" w:name="_Hlk205362796"/>
      <w:r w:rsidR="00C96DB6" w:rsidRPr="00C96DB6">
        <w:rPr>
          <w:b/>
          <w:bCs/>
        </w:rPr>
        <w:t xml:space="preserve">TABLE </w:t>
      </w:r>
      <w:r w:rsidR="00D60F6C">
        <w:rPr>
          <w:b/>
          <w:bCs/>
        </w:rPr>
        <w:t>5</w:t>
      </w:r>
      <w:r w:rsidR="00C96DB6" w:rsidRPr="00C96DB6">
        <w:rPr>
          <w:b/>
          <w:bCs/>
        </w:rPr>
        <w:t xml:space="preserve">: </w:t>
      </w:r>
      <w:r w:rsidR="0048068D" w:rsidRPr="00C96DB6">
        <w:rPr>
          <w:b/>
          <w:bCs/>
        </w:rPr>
        <w:t xml:space="preserve">Detected Heavy Metal </w:t>
      </w:r>
      <w:r w:rsidR="003A0A8E" w:rsidRPr="00C96DB6">
        <w:rPr>
          <w:b/>
          <w:bCs/>
        </w:rPr>
        <w:t xml:space="preserve">Levels </w:t>
      </w:r>
      <w:r w:rsidR="003A0A8E">
        <w:rPr>
          <w:b/>
          <w:bCs/>
        </w:rPr>
        <w:t>in</w:t>
      </w:r>
      <w:r w:rsidR="00D60F6C">
        <w:rPr>
          <w:b/>
          <w:bCs/>
        </w:rPr>
        <w:t xml:space="preserve"> Herbal </w:t>
      </w:r>
      <w:r w:rsidR="00D837E6">
        <w:rPr>
          <w:b/>
          <w:bCs/>
        </w:rPr>
        <w:t>Teas</w:t>
      </w:r>
      <w:r w:rsidR="00D60F6C">
        <w:rPr>
          <w:b/>
          <w:bCs/>
        </w:rPr>
        <w:t xml:space="preserve"> </w:t>
      </w:r>
      <w:r w:rsidR="00D60F6C" w:rsidRPr="00C96DB6">
        <w:rPr>
          <w:b/>
          <w:bCs/>
        </w:rPr>
        <w:t>with</w:t>
      </w:r>
      <w:r w:rsidR="0048068D" w:rsidRPr="00C96DB6">
        <w:rPr>
          <w:b/>
          <w:bCs/>
        </w:rPr>
        <w:t xml:space="preserve"> Permissible Limits</w:t>
      </w:r>
      <w:bookmarkEnd w:id="5"/>
    </w:p>
    <w:tbl>
      <w:tblPr>
        <w:tblW w:w="102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0"/>
        <w:gridCol w:w="1870"/>
        <w:gridCol w:w="1870"/>
        <w:gridCol w:w="4590"/>
      </w:tblGrid>
      <w:tr w:rsidR="00C20512" w:rsidRPr="00125810" w14:paraId="22F25A1B"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3947830A" w14:textId="77777777" w:rsidR="00C20512" w:rsidRPr="0048068D" w:rsidRDefault="00C20512" w:rsidP="0048068D">
            <w:pPr>
              <w:pStyle w:val="NoSpacing"/>
              <w:rPr>
                <w:b/>
                <w:bCs/>
              </w:rPr>
            </w:pPr>
            <w:r w:rsidRPr="0048068D">
              <w:rPr>
                <w:b/>
                <w:bCs/>
              </w:rPr>
              <w:t>Element</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77AF353" w14:textId="77777777" w:rsidR="00C20512" w:rsidRPr="0048068D" w:rsidRDefault="00C20512" w:rsidP="0048068D">
            <w:pPr>
              <w:pStyle w:val="NoSpacing"/>
              <w:rPr>
                <w:b/>
                <w:bCs/>
              </w:rPr>
            </w:pPr>
            <w:r w:rsidRPr="0048068D">
              <w:rPr>
                <w:b/>
                <w:bCs/>
              </w:rPr>
              <w:t>Limit (mg kg</w:t>
            </w:r>
            <w:r w:rsidRPr="0048068D">
              <w:rPr>
                <w:b/>
                <w:bCs/>
                <w:vertAlign w:val="superscript"/>
              </w:rPr>
              <w:t>-1</w:t>
            </w:r>
            <w:r w:rsidRPr="0048068D">
              <w:rPr>
                <w:b/>
                <w:bCs/>
              </w:rPr>
              <w:t>)</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2D575B8" w14:textId="77777777" w:rsidR="00C20512" w:rsidRPr="0048068D" w:rsidRDefault="00C20512" w:rsidP="0048068D">
            <w:pPr>
              <w:pStyle w:val="NoSpacing"/>
              <w:rPr>
                <w:b/>
                <w:bCs/>
              </w:rPr>
            </w:pPr>
            <w:r w:rsidRPr="0048068D">
              <w:rPr>
                <w:b/>
                <w:bCs/>
              </w:rPr>
              <w:t>Number of samples above the limit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2211E106" w14:textId="77777777" w:rsidR="00C20512" w:rsidRPr="0048068D" w:rsidRDefault="00C20512" w:rsidP="0048068D">
            <w:pPr>
              <w:pStyle w:val="NoSpacing"/>
              <w:rPr>
                <w:b/>
                <w:bCs/>
              </w:rPr>
            </w:pPr>
            <w:r w:rsidRPr="0048068D">
              <w:rPr>
                <w:b/>
                <w:bCs/>
              </w:rPr>
              <w:t>Samples above the limit (mg kg</w:t>
            </w:r>
            <w:r w:rsidRPr="0048068D">
              <w:rPr>
                <w:b/>
                <w:bCs/>
                <w:vertAlign w:val="superscript"/>
              </w:rPr>
              <w:t>-1</w:t>
            </w:r>
            <w:r w:rsidRPr="0048068D">
              <w:rPr>
                <w:b/>
                <w:bCs/>
              </w:rPr>
              <w:t>)</w:t>
            </w:r>
          </w:p>
        </w:tc>
      </w:tr>
      <w:tr w:rsidR="00C20512" w:rsidRPr="00125810" w14:paraId="3FEF53F9"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467776C1" w14:textId="77777777" w:rsidR="00C20512" w:rsidRPr="00125810" w:rsidRDefault="00C20512" w:rsidP="0048068D">
            <w:pPr>
              <w:pStyle w:val="NoSpacing"/>
            </w:pPr>
            <w:r w:rsidRPr="00125810">
              <w:t>Cadmium (Cd)</w:t>
            </w:r>
          </w:p>
        </w:tc>
        <w:tc>
          <w:tcPr>
            <w:tcW w:w="1870" w:type="dxa"/>
            <w:tcBorders>
              <w:top w:val="single" w:sz="4" w:space="0" w:color="auto"/>
              <w:left w:val="single" w:sz="4" w:space="0" w:color="auto"/>
              <w:bottom w:val="single" w:sz="4" w:space="0" w:color="auto"/>
              <w:right w:val="single" w:sz="4" w:space="0" w:color="auto"/>
            </w:tcBorders>
            <w:vAlign w:val="center"/>
            <w:hideMark/>
          </w:tcPr>
          <w:p w14:paraId="7013A5BF" w14:textId="77777777" w:rsidR="00C20512" w:rsidRPr="00125810" w:rsidRDefault="00C20512" w:rsidP="0048068D">
            <w:pPr>
              <w:pStyle w:val="NoSpacing"/>
            </w:pPr>
            <w:r w:rsidRPr="00125810">
              <w:t>0.100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CCA9636" w14:textId="77777777" w:rsidR="00C20512" w:rsidRPr="00125810" w:rsidRDefault="00C20512" w:rsidP="0048068D">
            <w:pPr>
              <w:pStyle w:val="NoSpacing"/>
            </w:pPr>
            <w:r w:rsidRPr="00125810">
              <w:t>12 out of 12</w:t>
            </w:r>
          </w:p>
        </w:tc>
        <w:tc>
          <w:tcPr>
            <w:tcW w:w="4590" w:type="dxa"/>
            <w:tcBorders>
              <w:top w:val="single" w:sz="4" w:space="0" w:color="auto"/>
              <w:left w:val="single" w:sz="4" w:space="0" w:color="auto"/>
              <w:bottom w:val="single" w:sz="4" w:space="0" w:color="auto"/>
              <w:right w:val="single" w:sz="4" w:space="0" w:color="auto"/>
            </w:tcBorders>
            <w:vAlign w:val="center"/>
            <w:hideMark/>
          </w:tcPr>
          <w:p w14:paraId="42F158FA" w14:textId="77777777" w:rsidR="00C20512" w:rsidRPr="00125810" w:rsidRDefault="00C20512" w:rsidP="0048068D">
            <w:pPr>
              <w:pStyle w:val="NoSpacing"/>
            </w:pPr>
            <w:r w:rsidRPr="00125810">
              <w:t>All samples</w:t>
            </w:r>
          </w:p>
        </w:tc>
      </w:tr>
      <w:tr w:rsidR="00C20512" w:rsidRPr="00125810" w14:paraId="476DCC56"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5B755989" w14:textId="77777777" w:rsidR="00C20512" w:rsidRPr="00125810" w:rsidRDefault="00C20512" w:rsidP="0048068D">
            <w:pPr>
              <w:pStyle w:val="NoSpacing"/>
            </w:pPr>
            <w:r w:rsidRPr="00125810">
              <w:t>Cobalt (Co)</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FF8D40E" w14:textId="77777777" w:rsidR="00C20512" w:rsidRPr="00125810" w:rsidRDefault="00C20512" w:rsidP="0048068D">
            <w:pPr>
              <w:pStyle w:val="NoSpacing"/>
            </w:pPr>
            <w:r w:rsidRPr="00125810">
              <w:t>0.200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7EBFD85" w14:textId="77777777" w:rsidR="00C20512" w:rsidRPr="00125810" w:rsidRDefault="00C20512" w:rsidP="0048068D">
            <w:pPr>
              <w:pStyle w:val="NoSpacing"/>
            </w:pPr>
            <w:r w:rsidRPr="00125810">
              <w:t>2</w:t>
            </w:r>
          </w:p>
        </w:tc>
        <w:tc>
          <w:tcPr>
            <w:tcW w:w="4590" w:type="dxa"/>
            <w:tcBorders>
              <w:top w:val="single" w:sz="4" w:space="0" w:color="auto"/>
              <w:left w:val="single" w:sz="4" w:space="0" w:color="auto"/>
              <w:bottom w:val="single" w:sz="4" w:space="0" w:color="auto"/>
              <w:right w:val="single" w:sz="4" w:space="0" w:color="auto"/>
            </w:tcBorders>
            <w:vAlign w:val="center"/>
            <w:hideMark/>
          </w:tcPr>
          <w:p w14:paraId="4369A864" w14:textId="77777777" w:rsidR="00C20512" w:rsidRPr="00125810" w:rsidRDefault="00C20512" w:rsidP="0048068D">
            <w:pPr>
              <w:pStyle w:val="NoSpacing"/>
            </w:pPr>
            <w:r w:rsidRPr="00125810">
              <w:t>Guava tea (0.85) and Lipton (1.31)</w:t>
            </w:r>
          </w:p>
        </w:tc>
      </w:tr>
      <w:tr w:rsidR="00C20512" w:rsidRPr="00125810" w14:paraId="4A620314"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5A44C812" w14:textId="77777777" w:rsidR="00C20512" w:rsidRPr="00125810" w:rsidRDefault="00C20512" w:rsidP="0048068D">
            <w:pPr>
              <w:pStyle w:val="NoSpacing"/>
            </w:pPr>
            <w:r w:rsidRPr="00125810">
              <w:t>Chromium (Cr)</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BBC49A9" w14:textId="77777777" w:rsidR="00C20512" w:rsidRPr="00125810" w:rsidRDefault="00C20512" w:rsidP="0048068D">
            <w:pPr>
              <w:pStyle w:val="NoSpacing"/>
            </w:pPr>
            <w:r w:rsidRPr="00125810">
              <w:t>2.000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1629A2F" w14:textId="77777777" w:rsidR="00C20512" w:rsidRPr="00125810" w:rsidRDefault="00C20512" w:rsidP="0048068D">
            <w:pPr>
              <w:pStyle w:val="NoSpacing"/>
            </w:pPr>
            <w:r w:rsidRPr="00125810">
              <w:t>11</w:t>
            </w:r>
          </w:p>
        </w:tc>
        <w:tc>
          <w:tcPr>
            <w:tcW w:w="4590" w:type="dxa"/>
            <w:tcBorders>
              <w:top w:val="single" w:sz="4" w:space="0" w:color="auto"/>
              <w:left w:val="single" w:sz="4" w:space="0" w:color="auto"/>
              <w:bottom w:val="single" w:sz="4" w:space="0" w:color="auto"/>
              <w:right w:val="single" w:sz="4" w:space="0" w:color="auto"/>
            </w:tcBorders>
            <w:vAlign w:val="center"/>
            <w:hideMark/>
          </w:tcPr>
          <w:p w14:paraId="5EC1C2FB" w14:textId="77777777" w:rsidR="00C20512" w:rsidRPr="00125810" w:rsidRDefault="00C20512" w:rsidP="0048068D">
            <w:pPr>
              <w:pStyle w:val="NoSpacing"/>
            </w:pPr>
            <w:r w:rsidRPr="00125810">
              <w:t>All except tummy tea (0.000)</w:t>
            </w:r>
          </w:p>
        </w:tc>
      </w:tr>
      <w:tr w:rsidR="00C20512" w:rsidRPr="00125810" w14:paraId="27617C03"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2D1D05AF" w14:textId="77777777" w:rsidR="00C20512" w:rsidRPr="00125810" w:rsidRDefault="00C20512" w:rsidP="0048068D">
            <w:pPr>
              <w:pStyle w:val="NoSpacing"/>
            </w:pPr>
            <w:r w:rsidRPr="00125810">
              <w:t>Copper (Cu)</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D6FE83C" w14:textId="77777777" w:rsidR="00C20512" w:rsidRPr="00125810" w:rsidRDefault="00C20512" w:rsidP="0048068D">
            <w:pPr>
              <w:pStyle w:val="NoSpacing"/>
            </w:pPr>
            <w:r w:rsidRPr="00125810">
              <w:t>20.00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92D2195" w14:textId="77777777" w:rsidR="00C20512" w:rsidRPr="00125810" w:rsidRDefault="00C20512" w:rsidP="0048068D">
            <w:pPr>
              <w:pStyle w:val="NoSpacing"/>
            </w:pPr>
            <w:r w:rsidRPr="00125810">
              <w:t>8</w:t>
            </w:r>
          </w:p>
        </w:tc>
        <w:tc>
          <w:tcPr>
            <w:tcW w:w="4590" w:type="dxa"/>
            <w:tcBorders>
              <w:top w:val="single" w:sz="4" w:space="0" w:color="auto"/>
              <w:left w:val="single" w:sz="4" w:space="0" w:color="auto"/>
              <w:bottom w:val="single" w:sz="4" w:space="0" w:color="auto"/>
              <w:right w:val="single" w:sz="4" w:space="0" w:color="auto"/>
            </w:tcBorders>
            <w:vAlign w:val="center"/>
            <w:hideMark/>
          </w:tcPr>
          <w:p w14:paraId="336E3E86" w14:textId="77777777" w:rsidR="00C20512" w:rsidRPr="00125810" w:rsidRDefault="00C20512" w:rsidP="0048068D">
            <w:pPr>
              <w:pStyle w:val="NoSpacing"/>
            </w:pPr>
            <w:r w:rsidRPr="00125810">
              <w:t>Green tea, Guava, Eyes bright, Lipton, Nals mint, Top tea, Mango, Highland</w:t>
            </w:r>
          </w:p>
        </w:tc>
      </w:tr>
      <w:tr w:rsidR="00C20512" w:rsidRPr="00125810" w14:paraId="237EA2C8"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61DF570E" w14:textId="77777777" w:rsidR="00C20512" w:rsidRPr="00125810" w:rsidRDefault="00C20512" w:rsidP="0048068D">
            <w:pPr>
              <w:pStyle w:val="NoSpacing"/>
            </w:pPr>
            <w:r w:rsidRPr="00125810">
              <w:t>Manganese (Mn)</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01B975E" w14:textId="77777777" w:rsidR="00C20512" w:rsidRPr="00125810" w:rsidRDefault="00C20512" w:rsidP="0048068D">
            <w:pPr>
              <w:pStyle w:val="NoSpacing"/>
            </w:pPr>
            <w:r w:rsidRPr="00125810">
              <w:t>0.120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D8ABE79" w14:textId="77777777" w:rsidR="00C20512" w:rsidRPr="00125810" w:rsidRDefault="00C20512" w:rsidP="0048068D">
            <w:pPr>
              <w:pStyle w:val="NoSpacing"/>
            </w:pPr>
            <w:r w:rsidRPr="00125810">
              <w:t>12</w:t>
            </w:r>
          </w:p>
        </w:tc>
        <w:tc>
          <w:tcPr>
            <w:tcW w:w="4590" w:type="dxa"/>
            <w:tcBorders>
              <w:top w:val="single" w:sz="4" w:space="0" w:color="auto"/>
              <w:left w:val="single" w:sz="4" w:space="0" w:color="auto"/>
              <w:bottom w:val="single" w:sz="4" w:space="0" w:color="auto"/>
              <w:right w:val="single" w:sz="4" w:space="0" w:color="auto"/>
            </w:tcBorders>
            <w:vAlign w:val="center"/>
            <w:hideMark/>
          </w:tcPr>
          <w:p w14:paraId="5EBA132E" w14:textId="77777777" w:rsidR="00C20512" w:rsidRPr="00125810" w:rsidRDefault="00C20512" w:rsidP="0048068D">
            <w:pPr>
              <w:pStyle w:val="NoSpacing"/>
            </w:pPr>
            <w:r w:rsidRPr="00125810">
              <w:t>All samples</w:t>
            </w:r>
          </w:p>
        </w:tc>
      </w:tr>
      <w:tr w:rsidR="00C20512" w:rsidRPr="00125810" w14:paraId="173D1901"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4C3788AE" w14:textId="77777777" w:rsidR="00C20512" w:rsidRPr="00125810" w:rsidRDefault="00C20512" w:rsidP="0048068D">
            <w:pPr>
              <w:pStyle w:val="NoSpacing"/>
            </w:pPr>
            <w:r w:rsidRPr="00125810">
              <w:t>Nickel (Ni)</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98353A1" w14:textId="77777777" w:rsidR="00C20512" w:rsidRPr="00125810" w:rsidRDefault="00C20512" w:rsidP="0048068D">
            <w:pPr>
              <w:pStyle w:val="NoSpacing"/>
            </w:pPr>
            <w:r w:rsidRPr="00125810">
              <w:t>1.630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E2C07DB" w14:textId="77777777" w:rsidR="00C20512" w:rsidRPr="00125810" w:rsidRDefault="00C20512" w:rsidP="0048068D">
            <w:pPr>
              <w:pStyle w:val="NoSpacing"/>
            </w:pPr>
            <w:r w:rsidRPr="00125810">
              <w:t>12</w:t>
            </w:r>
          </w:p>
        </w:tc>
        <w:tc>
          <w:tcPr>
            <w:tcW w:w="4590" w:type="dxa"/>
            <w:tcBorders>
              <w:top w:val="single" w:sz="4" w:space="0" w:color="auto"/>
              <w:left w:val="single" w:sz="4" w:space="0" w:color="auto"/>
              <w:bottom w:val="single" w:sz="4" w:space="0" w:color="auto"/>
              <w:right w:val="single" w:sz="4" w:space="0" w:color="auto"/>
            </w:tcBorders>
            <w:vAlign w:val="center"/>
            <w:hideMark/>
          </w:tcPr>
          <w:p w14:paraId="4A361128" w14:textId="77777777" w:rsidR="00C20512" w:rsidRPr="00125810" w:rsidRDefault="00C20512" w:rsidP="0048068D">
            <w:pPr>
              <w:pStyle w:val="NoSpacing"/>
            </w:pPr>
            <w:r w:rsidRPr="00125810">
              <w:t>All samples</w:t>
            </w:r>
          </w:p>
        </w:tc>
      </w:tr>
      <w:tr w:rsidR="00C20512" w:rsidRPr="00125810" w14:paraId="0F062B72"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1DF4FD4D" w14:textId="77777777" w:rsidR="00C20512" w:rsidRPr="00125810" w:rsidRDefault="00C20512" w:rsidP="0048068D">
            <w:pPr>
              <w:pStyle w:val="NoSpacing"/>
            </w:pPr>
            <w:r w:rsidRPr="00125810">
              <w:t>Lead (Pb)</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AA646D1" w14:textId="77777777" w:rsidR="00C20512" w:rsidRPr="00125810" w:rsidRDefault="00C20512" w:rsidP="0048068D">
            <w:pPr>
              <w:pStyle w:val="NoSpacing"/>
            </w:pPr>
            <w:r w:rsidRPr="00125810">
              <w:t>10.00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7F7A395" w14:textId="77777777" w:rsidR="00C20512" w:rsidRPr="00125810" w:rsidRDefault="00C20512" w:rsidP="0048068D">
            <w:pPr>
              <w:pStyle w:val="NoSpacing"/>
            </w:pPr>
            <w:r w:rsidRPr="00125810">
              <w:t>3</w:t>
            </w:r>
          </w:p>
        </w:tc>
        <w:tc>
          <w:tcPr>
            <w:tcW w:w="4590" w:type="dxa"/>
            <w:tcBorders>
              <w:top w:val="single" w:sz="4" w:space="0" w:color="auto"/>
              <w:left w:val="single" w:sz="4" w:space="0" w:color="auto"/>
              <w:bottom w:val="single" w:sz="4" w:space="0" w:color="auto"/>
              <w:right w:val="single" w:sz="4" w:space="0" w:color="auto"/>
            </w:tcBorders>
            <w:vAlign w:val="center"/>
            <w:hideMark/>
          </w:tcPr>
          <w:p w14:paraId="324B54EF" w14:textId="77777777" w:rsidR="00C20512" w:rsidRPr="00125810" w:rsidRDefault="00C20512" w:rsidP="0048068D">
            <w:pPr>
              <w:pStyle w:val="NoSpacing"/>
            </w:pPr>
            <w:r w:rsidRPr="00125810">
              <w:t>Moringa (77.00), Top tea (35.12), and beetroot (30.90)</w:t>
            </w:r>
          </w:p>
        </w:tc>
      </w:tr>
    </w:tbl>
    <w:p w14:paraId="1EF57063" w14:textId="77777777" w:rsidR="00D837E6" w:rsidRDefault="00D837E6" w:rsidP="00D837E6">
      <w:pPr>
        <w:spacing w:after="0" w:line="480" w:lineRule="auto"/>
        <w:jc w:val="both"/>
        <w:rPr>
          <w:b/>
          <w:bCs/>
        </w:rPr>
      </w:pPr>
    </w:p>
    <w:p w14:paraId="00F93BBB" w14:textId="3BA56470" w:rsidR="00D837E6" w:rsidRPr="00D837E6" w:rsidRDefault="00D837E6" w:rsidP="00D837E6">
      <w:pPr>
        <w:spacing w:after="0" w:line="480" w:lineRule="auto"/>
        <w:jc w:val="both"/>
        <w:rPr>
          <w:rFonts w:ascii="Times New Roman" w:hAnsi="Times New Roman" w:cs="Times New Roman"/>
        </w:rPr>
      </w:pPr>
      <w:r w:rsidRPr="00125810">
        <w:rPr>
          <w:rFonts w:ascii="Times New Roman" w:hAnsi="Times New Roman" w:cs="Times New Roman"/>
          <w:b/>
          <w:bCs/>
        </w:rPr>
        <w:t xml:space="preserve">Table </w:t>
      </w:r>
      <w:r>
        <w:rPr>
          <w:rFonts w:ascii="Times New Roman" w:hAnsi="Times New Roman" w:cs="Times New Roman"/>
          <w:b/>
          <w:bCs/>
        </w:rPr>
        <w:t>6</w:t>
      </w:r>
      <w:r w:rsidRPr="00125810">
        <w:rPr>
          <w:rFonts w:ascii="Times New Roman" w:hAnsi="Times New Roman" w:cs="Times New Roman"/>
          <w:b/>
          <w:bCs/>
        </w:rPr>
        <w:t>: Detected Heavy Metal Levels</w:t>
      </w:r>
      <w:r>
        <w:rPr>
          <w:rFonts w:ascii="Times New Roman" w:hAnsi="Times New Roman" w:cs="Times New Roman"/>
          <w:b/>
          <w:bCs/>
        </w:rPr>
        <w:t xml:space="preserve"> in </w:t>
      </w:r>
      <w:r w:rsidR="009A07E6">
        <w:rPr>
          <w:rFonts w:ascii="Times New Roman" w:hAnsi="Times New Roman" w:cs="Times New Roman"/>
          <w:b/>
          <w:bCs/>
        </w:rPr>
        <w:t xml:space="preserve">Spices </w:t>
      </w:r>
      <w:r w:rsidR="009A07E6" w:rsidRPr="00125810">
        <w:rPr>
          <w:rFonts w:ascii="Times New Roman" w:hAnsi="Times New Roman" w:cs="Times New Roman"/>
          <w:b/>
          <w:bCs/>
        </w:rPr>
        <w:t>with</w:t>
      </w:r>
      <w:r w:rsidRPr="00125810">
        <w:rPr>
          <w:rFonts w:ascii="Times New Roman" w:hAnsi="Times New Roman" w:cs="Times New Roman"/>
          <w:b/>
          <w:bCs/>
        </w:rPr>
        <w:t xml:space="preserve"> Permissible Limits</w:t>
      </w:r>
    </w:p>
    <w:tbl>
      <w:tblPr>
        <w:tblW w:w="99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8"/>
        <w:gridCol w:w="1701"/>
        <w:gridCol w:w="2267"/>
        <w:gridCol w:w="4109"/>
      </w:tblGrid>
      <w:tr w:rsidR="00D837E6" w:rsidRPr="00125810" w14:paraId="72AD275B"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541A8476" w14:textId="77777777" w:rsidR="00D837E6" w:rsidRPr="00D60F6C" w:rsidRDefault="00D837E6" w:rsidP="00D837E6">
            <w:pPr>
              <w:pStyle w:val="NoSpacing"/>
              <w:spacing w:after="0" w:afterAutospacing="0"/>
              <w:rPr>
                <w:b/>
                <w:bCs/>
              </w:rPr>
            </w:pPr>
            <w:r w:rsidRPr="00D60F6C">
              <w:rPr>
                <w:b/>
                <w:bCs/>
              </w:rPr>
              <w:t>Heavy Metal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587272" w14:textId="77777777" w:rsidR="00D837E6" w:rsidRPr="00D60F6C" w:rsidRDefault="00D837E6" w:rsidP="00D837E6">
            <w:pPr>
              <w:pStyle w:val="NoSpacing"/>
              <w:spacing w:after="0" w:afterAutospacing="0"/>
              <w:rPr>
                <w:b/>
                <w:bCs/>
              </w:rPr>
            </w:pPr>
            <w:r w:rsidRPr="00D60F6C">
              <w:rPr>
                <w:b/>
                <w:bCs/>
              </w:rPr>
              <w:t>Permissible Limit (mg kg</w:t>
            </w:r>
            <w:r w:rsidRPr="00D60F6C">
              <w:rPr>
                <w:b/>
                <w:bCs/>
                <w:vertAlign w:val="superscript"/>
              </w:rPr>
              <w:t>-1</w:t>
            </w:r>
            <w:r w:rsidRPr="00D60F6C">
              <w:rPr>
                <w:b/>
                <w:bCs/>
              </w:rPr>
              <w: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42B2F25" w14:textId="77777777" w:rsidR="00D837E6" w:rsidRPr="00D60F6C" w:rsidRDefault="00D837E6" w:rsidP="00D837E6">
            <w:pPr>
              <w:pStyle w:val="NoSpacing"/>
              <w:spacing w:after="0" w:afterAutospacing="0"/>
              <w:rPr>
                <w:b/>
                <w:bCs/>
              </w:rPr>
            </w:pPr>
            <w:r w:rsidRPr="00D60F6C">
              <w:rPr>
                <w:b/>
                <w:bCs/>
              </w:rPr>
              <w:t>No. of samples above the limit</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7BC6CF7" w14:textId="77777777" w:rsidR="00D837E6" w:rsidRPr="00D60F6C" w:rsidRDefault="00D837E6" w:rsidP="00D837E6">
            <w:pPr>
              <w:pStyle w:val="NoSpacing"/>
              <w:spacing w:after="0" w:afterAutospacing="0"/>
              <w:rPr>
                <w:b/>
                <w:bCs/>
              </w:rPr>
            </w:pPr>
            <w:r w:rsidRPr="00D60F6C">
              <w:rPr>
                <w:b/>
                <w:bCs/>
              </w:rPr>
              <w:t>Samples above the limit</w:t>
            </w:r>
          </w:p>
        </w:tc>
      </w:tr>
      <w:tr w:rsidR="00D837E6" w:rsidRPr="00125810" w14:paraId="17FEFA41"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77CBAFE9" w14:textId="77777777" w:rsidR="00D837E6" w:rsidRPr="00125810" w:rsidRDefault="00D837E6" w:rsidP="00D837E6">
            <w:pPr>
              <w:pStyle w:val="NoSpacing"/>
            </w:pPr>
            <w:r w:rsidRPr="00125810">
              <w:t>Cadmium (Cd)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28868A" w14:textId="77777777" w:rsidR="00D837E6" w:rsidRPr="00125810" w:rsidRDefault="00D837E6" w:rsidP="00D837E6">
            <w:pPr>
              <w:pStyle w:val="NoSpacing"/>
            </w:pPr>
            <w:r w:rsidRPr="00125810">
              <w:t>0.100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9BE3094" w14:textId="77777777" w:rsidR="00D837E6" w:rsidRPr="00125810" w:rsidRDefault="00D837E6" w:rsidP="00D837E6">
            <w:pPr>
              <w:pStyle w:val="NoSpacing"/>
            </w:pPr>
            <w:r w:rsidRPr="00125810">
              <w:t>11 / 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05A6C71" w14:textId="77777777" w:rsidR="00D837E6" w:rsidRPr="00125810" w:rsidRDefault="00D837E6" w:rsidP="00D837E6">
            <w:pPr>
              <w:pStyle w:val="NoSpacing"/>
            </w:pPr>
            <w:r w:rsidRPr="00125810">
              <w:t>All samples</w:t>
            </w:r>
          </w:p>
        </w:tc>
      </w:tr>
      <w:tr w:rsidR="00D837E6" w:rsidRPr="00125810" w14:paraId="6A49CF71"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2BD342DE" w14:textId="77777777" w:rsidR="00D837E6" w:rsidRPr="00125810" w:rsidRDefault="00D837E6" w:rsidP="00D837E6">
            <w:pPr>
              <w:pStyle w:val="NoSpacing"/>
            </w:pPr>
            <w:r w:rsidRPr="00125810">
              <w:t>Cobalt (Co)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B8FB6A" w14:textId="77777777" w:rsidR="00D837E6" w:rsidRPr="00125810" w:rsidRDefault="00D837E6" w:rsidP="00D837E6">
            <w:pPr>
              <w:pStyle w:val="NoSpacing"/>
            </w:pPr>
            <w:r w:rsidRPr="00125810">
              <w:t>0.200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D91F742" w14:textId="77777777" w:rsidR="00D837E6" w:rsidRPr="00125810" w:rsidRDefault="00D837E6" w:rsidP="00D837E6">
            <w:pPr>
              <w:pStyle w:val="NoSpacing"/>
            </w:pPr>
            <w:r w:rsidRPr="00125810">
              <w:t>8/11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3C79272" w14:textId="25EC36D1" w:rsidR="00D837E6" w:rsidRPr="00125810" w:rsidRDefault="00D837E6" w:rsidP="00D837E6">
            <w:pPr>
              <w:pStyle w:val="NoSpacing"/>
            </w:pPr>
            <w:r w:rsidRPr="00125810">
              <w:t xml:space="preserve">Black pepper, Cayenne pepper, Curry powder, chicken seasoning, yellow </w:t>
            </w:r>
            <w:r w:rsidR="008A4A28">
              <w:t>pepper,</w:t>
            </w:r>
            <w:r>
              <w:t xml:space="preserve"> </w:t>
            </w:r>
            <w:r w:rsidRPr="00125810">
              <w:t>turmeric powder, and garlic powder</w:t>
            </w:r>
          </w:p>
        </w:tc>
      </w:tr>
      <w:tr w:rsidR="00D837E6" w:rsidRPr="00125810" w14:paraId="332B9C64"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2CA80C73" w14:textId="77777777" w:rsidR="00D837E6" w:rsidRPr="00125810" w:rsidRDefault="00D837E6" w:rsidP="00D837E6">
            <w:pPr>
              <w:pStyle w:val="NoSpacing"/>
            </w:pPr>
            <w:r w:rsidRPr="00125810">
              <w:t>Chromium (Cr)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F26EEB" w14:textId="77777777" w:rsidR="00D837E6" w:rsidRPr="00125810" w:rsidRDefault="00D837E6" w:rsidP="00D837E6">
            <w:pPr>
              <w:pStyle w:val="NoSpacing"/>
            </w:pPr>
            <w:r w:rsidRPr="00125810">
              <w:t>2.000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09610BB" w14:textId="77777777" w:rsidR="00D837E6" w:rsidRPr="00125810" w:rsidRDefault="00D837E6" w:rsidP="00D837E6">
            <w:pPr>
              <w:pStyle w:val="NoSpacing"/>
            </w:pPr>
            <w:r w:rsidRPr="00125810">
              <w:t>10/11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80C83DE" w14:textId="7BA5FE65" w:rsidR="00D837E6" w:rsidRPr="00125810" w:rsidRDefault="00D837E6" w:rsidP="00D837E6">
            <w:pPr>
              <w:pStyle w:val="NoSpacing"/>
            </w:pPr>
            <w:r w:rsidRPr="00125810">
              <w:t xml:space="preserve">Cayenne, Nutmeg, Curry, Chicken seasoning, Fried seasoning, </w:t>
            </w:r>
            <w:r w:rsidR="008D6ADE" w:rsidRPr="00125810">
              <w:t>yellow</w:t>
            </w:r>
            <w:r w:rsidRPr="00125810">
              <w:t xml:space="preserve"> pepper, Garlic powder, Turmeric, Ginger, Thyme</w:t>
            </w:r>
          </w:p>
        </w:tc>
      </w:tr>
      <w:tr w:rsidR="00D837E6" w:rsidRPr="00125810" w14:paraId="29B1CB26"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2B1B64E9" w14:textId="77777777" w:rsidR="00D837E6" w:rsidRPr="00125810" w:rsidRDefault="00D837E6" w:rsidP="00D837E6">
            <w:pPr>
              <w:pStyle w:val="NoSpacing"/>
            </w:pPr>
            <w:r w:rsidRPr="00125810">
              <w:lastRenderedPageBreak/>
              <w:t>Copper (., Cu)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FAFFCB" w14:textId="77777777" w:rsidR="00D837E6" w:rsidRPr="00125810" w:rsidRDefault="00D837E6" w:rsidP="00D837E6">
            <w:pPr>
              <w:pStyle w:val="NoSpacing"/>
            </w:pPr>
            <w:r w:rsidRPr="00125810">
              <w:t>20.00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C33F955" w14:textId="77777777" w:rsidR="00D837E6" w:rsidRPr="00125810" w:rsidRDefault="00D837E6" w:rsidP="00D837E6">
            <w:pPr>
              <w:pStyle w:val="NoSpacing"/>
            </w:pPr>
            <w:r w:rsidRPr="00125810">
              <w:t>6/11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0F1074C" w14:textId="77777777" w:rsidR="00D837E6" w:rsidRPr="00125810" w:rsidRDefault="00D837E6" w:rsidP="00D837E6">
            <w:pPr>
              <w:pStyle w:val="NoSpacing"/>
            </w:pPr>
            <w:r w:rsidRPr="00125810">
              <w:t>Black pepper, cayenne, nutmeg, ginger, thyme, curry powder</w:t>
            </w:r>
          </w:p>
        </w:tc>
      </w:tr>
      <w:tr w:rsidR="00D837E6" w:rsidRPr="00125810" w14:paraId="25B2641A"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24CB30CC" w14:textId="77777777" w:rsidR="00D837E6" w:rsidRPr="00125810" w:rsidRDefault="00D837E6" w:rsidP="00D837E6">
            <w:pPr>
              <w:pStyle w:val="NoSpacing"/>
            </w:pPr>
            <w:r w:rsidRPr="00125810">
              <w:t>Manganese (Mn)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1BBA3C" w14:textId="77777777" w:rsidR="00D837E6" w:rsidRPr="00125810" w:rsidRDefault="00D837E6" w:rsidP="00D837E6">
            <w:pPr>
              <w:pStyle w:val="NoSpacing"/>
            </w:pPr>
            <w:r w:rsidRPr="00125810">
              <w:t>0.120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CC44526" w14:textId="77777777" w:rsidR="00D837E6" w:rsidRPr="00125810" w:rsidRDefault="00D837E6" w:rsidP="00D837E6">
            <w:pPr>
              <w:pStyle w:val="NoSpacing"/>
            </w:pPr>
            <w:r w:rsidRPr="00125810">
              <w:t>11 / 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09D82DF" w14:textId="77777777" w:rsidR="00D837E6" w:rsidRPr="00125810" w:rsidRDefault="00D837E6" w:rsidP="00D837E6">
            <w:pPr>
              <w:pStyle w:val="NoSpacing"/>
            </w:pPr>
            <w:r w:rsidRPr="00125810">
              <w:t>All samples</w:t>
            </w:r>
          </w:p>
        </w:tc>
      </w:tr>
      <w:tr w:rsidR="00D837E6" w:rsidRPr="00125810" w14:paraId="74542F39"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47B71109" w14:textId="77777777" w:rsidR="00D837E6" w:rsidRPr="00125810" w:rsidRDefault="00D837E6" w:rsidP="00D837E6">
            <w:pPr>
              <w:pStyle w:val="NoSpacing"/>
            </w:pPr>
            <w:r w:rsidRPr="00125810">
              <w:t>Nickel (Ni)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156D12" w14:textId="77777777" w:rsidR="00D837E6" w:rsidRPr="00125810" w:rsidRDefault="00D837E6" w:rsidP="00D837E6">
            <w:pPr>
              <w:pStyle w:val="NoSpacing"/>
            </w:pPr>
            <w:r w:rsidRPr="00125810">
              <w:t>1.630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2062D79" w14:textId="77777777" w:rsidR="00D837E6" w:rsidRPr="00125810" w:rsidRDefault="00D837E6" w:rsidP="00D837E6">
            <w:pPr>
              <w:pStyle w:val="NoSpacing"/>
            </w:pPr>
            <w:r w:rsidRPr="00125810">
              <w:t>11/11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20B3DF2" w14:textId="77777777" w:rsidR="00D837E6" w:rsidRPr="00125810" w:rsidRDefault="00D837E6" w:rsidP="00D837E6">
            <w:pPr>
              <w:pStyle w:val="NoSpacing"/>
            </w:pPr>
            <w:r w:rsidRPr="00125810">
              <w:t>All samples</w:t>
            </w:r>
          </w:p>
        </w:tc>
      </w:tr>
      <w:tr w:rsidR="00D837E6" w:rsidRPr="00125810" w14:paraId="3E17210F"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5CA49464" w14:textId="77777777" w:rsidR="00D837E6" w:rsidRPr="00125810" w:rsidRDefault="00D837E6" w:rsidP="00D837E6">
            <w:pPr>
              <w:pStyle w:val="NoSpacing"/>
            </w:pPr>
            <w:r w:rsidRPr="00125810">
              <w:t>Lead (Pb)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DDB5BE" w14:textId="77777777" w:rsidR="00D837E6" w:rsidRPr="00125810" w:rsidRDefault="00D837E6" w:rsidP="00D837E6">
            <w:pPr>
              <w:pStyle w:val="NoSpacing"/>
            </w:pPr>
            <w:r w:rsidRPr="00125810">
              <w:t>10.00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49205B3" w14:textId="77777777" w:rsidR="00D837E6" w:rsidRPr="00125810" w:rsidRDefault="00D837E6" w:rsidP="00D837E6">
            <w:pPr>
              <w:pStyle w:val="NoSpacing"/>
            </w:pPr>
            <w:r w:rsidRPr="00125810">
              <w:t>0/11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0F18F67" w14:textId="77777777" w:rsidR="00D837E6" w:rsidRPr="00125810" w:rsidRDefault="00D837E6" w:rsidP="00D837E6">
            <w:pPr>
              <w:pStyle w:val="NoSpacing"/>
            </w:pPr>
            <w:r w:rsidRPr="00125810">
              <w:t>None</w:t>
            </w:r>
          </w:p>
        </w:tc>
      </w:tr>
    </w:tbl>
    <w:p w14:paraId="4FA5C352" w14:textId="0D549588" w:rsidR="00D837E6" w:rsidRPr="00125810" w:rsidRDefault="00D837E6" w:rsidP="00125810">
      <w:pPr>
        <w:spacing w:line="480" w:lineRule="auto"/>
        <w:jc w:val="both"/>
        <w:rPr>
          <w:rFonts w:ascii="Times New Roman" w:hAnsi="Times New Roman" w:cs="Times New Roman"/>
        </w:rPr>
      </w:pPr>
    </w:p>
    <w:p w14:paraId="01049D71" w14:textId="3AE095FC" w:rsidR="00D60F6C" w:rsidRPr="00D60F6C" w:rsidRDefault="00C20512" w:rsidP="00D60F6C">
      <w:pPr>
        <w:spacing w:line="480" w:lineRule="auto"/>
        <w:jc w:val="both"/>
        <w:rPr>
          <w:rFonts w:ascii="Times New Roman" w:hAnsi="Times New Roman" w:cs="Times New Roman"/>
        </w:rPr>
      </w:pPr>
      <w:r w:rsidRPr="00125810">
        <w:rPr>
          <w:rFonts w:ascii="Times New Roman" w:hAnsi="Times New Roman" w:cs="Times New Roman"/>
        </w:rPr>
        <w:t xml:space="preserve">  </w:t>
      </w:r>
      <w:r w:rsidR="00D60F6C" w:rsidRPr="00D60F6C">
        <w:rPr>
          <w:rFonts w:ascii="Times New Roman" w:hAnsi="Times New Roman" w:cs="Times New Roman"/>
        </w:rPr>
        <w:t xml:space="preserve">Tables 5 and 6 present the prevalence of heavy metals in spices and herbal teas. The assessment of heavy metal concentrations in eleven commonly consumed spices revealed widespread contamination above internationally accepted safety limits (WHO/FAO standards). Cadmium (Cd), manganese (Mn), and nickel (Ni) consistently exceeded their permissible limits in all samples, suggesting pervasive contamination likely originating from soil, irrigation water, or post-harvest processing. Chromium (Cr) levels were also elevated in ten of the eleven spices analyzed, with thyme and ginger powders recording the highest concentrations. Cobalt (Co) surpassed the safety threshold in eight samples, particularly in cayenne pepper and turmeric powder. Copper (Cu) exceeded the permissible limit in six spices, including black pepper, nutmeg, and ginger. Although none of the samples exceeded the maximum limit for lead (Pb) of 10 </w:t>
      </w:r>
      <w:r w:rsidR="008A2875" w:rsidRPr="004A1EC2">
        <w:rPr>
          <w:rFonts w:ascii="Times New Roman" w:hAnsi="Times New Roman" w:cs="Times New Roman"/>
        </w:rPr>
        <w:t>75 mg kg⁻¹</w:t>
      </w:r>
      <w:r w:rsidR="00D60F6C" w:rsidRPr="00D60F6C">
        <w:rPr>
          <w:rFonts w:ascii="Times New Roman" w:hAnsi="Times New Roman" w:cs="Times New Roman"/>
        </w:rPr>
        <w:t xml:space="preserve">, yellow pepper (7.89 </w:t>
      </w:r>
      <w:r w:rsidR="008A2875" w:rsidRPr="004A1EC2">
        <w:rPr>
          <w:rFonts w:ascii="Times New Roman" w:hAnsi="Times New Roman" w:cs="Times New Roman"/>
        </w:rPr>
        <w:t>75 mg kg⁻¹</w:t>
      </w:r>
      <w:r w:rsidR="00D60F6C" w:rsidRPr="00D60F6C">
        <w:rPr>
          <w:rFonts w:ascii="Times New Roman" w:hAnsi="Times New Roman" w:cs="Times New Roman"/>
        </w:rPr>
        <w:t xml:space="preserve">) and black pepper (6.83 </w:t>
      </w:r>
      <w:r w:rsidR="008A2875" w:rsidRPr="004A1EC2">
        <w:rPr>
          <w:rFonts w:ascii="Times New Roman" w:hAnsi="Times New Roman" w:cs="Times New Roman"/>
        </w:rPr>
        <w:t>75 mg kg⁻¹</w:t>
      </w:r>
      <w:r w:rsidR="00D60F6C" w:rsidRPr="00D60F6C">
        <w:rPr>
          <w:rFonts w:ascii="Times New Roman" w:hAnsi="Times New Roman" w:cs="Times New Roman"/>
        </w:rPr>
        <w:t>) contained relatively high Pb levels, which may pose long-term health risks with prolonged consumption.</w:t>
      </w:r>
    </w:p>
    <w:p w14:paraId="1621871C" w14:textId="37BEA6F2" w:rsidR="00D60F6C" w:rsidRPr="00125810" w:rsidRDefault="00D60F6C" w:rsidP="00125810">
      <w:pPr>
        <w:spacing w:line="480" w:lineRule="auto"/>
        <w:jc w:val="both"/>
        <w:rPr>
          <w:rFonts w:ascii="Times New Roman" w:hAnsi="Times New Roman" w:cs="Times New Roman"/>
        </w:rPr>
      </w:pPr>
      <w:r w:rsidRPr="00D60F6C">
        <w:rPr>
          <w:rFonts w:ascii="Times New Roman" w:hAnsi="Times New Roman" w:cs="Times New Roman"/>
        </w:rPr>
        <w:t xml:space="preserve">Overall, the findings in </w:t>
      </w:r>
      <w:r>
        <w:rPr>
          <w:rFonts w:ascii="Times New Roman" w:hAnsi="Times New Roman" w:cs="Times New Roman"/>
        </w:rPr>
        <w:t>Tables</w:t>
      </w:r>
      <w:r w:rsidRPr="00D60F6C">
        <w:rPr>
          <w:rFonts w:ascii="Times New Roman" w:hAnsi="Times New Roman" w:cs="Times New Roman"/>
        </w:rPr>
        <w:t xml:space="preserve"> 5</w:t>
      </w:r>
      <w:r>
        <w:rPr>
          <w:rFonts w:ascii="Times New Roman" w:hAnsi="Times New Roman" w:cs="Times New Roman"/>
        </w:rPr>
        <w:t xml:space="preserve"> and </w:t>
      </w:r>
      <w:r w:rsidR="00827653">
        <w:rPr>
          <w:rFonts w:ascii="Times New Roman" w:hAnsi="Times New Roman" w:cs="Times New Roman"/>
        </w:rPr>
        <w:t xml:space="preserve">6 </w:t>
      </w:r>
      <w:r w:rsidR="00827653" w:rsidRPr="00D60F6C">
        <w:rPr>
          <w:rFonts w:ascii="Times New Roman" w:hAnsi="Times New Roman" w:cs="Times New Roman"/>
        </w:rPr>
        <w:t>highlight</w:t>
      </w:r>
      <w:r w:rsidRPr="00D60F6C">
        <w:rPr>
          <w:rFonts w:ascii="Times New Roman" w:hAnsi="Times New Roman" w:cs="Times New Roman"/>
        </w:rPr>
        <w:t xml:space="preserve"> a serious contamination burden in spices sold within the FCT, Nigeria, especially with toxic elements such as cadmium, nickel, and manganese. These results raise significant public health concerns and emphasize the urgent need for routine monitoring, stricter regulatory enforcement, and the adoption of safer agricultural and processing practices to minimize heavy metal exposure through dietary intake.</w:t>
      </w:r>
    </w:p>
    <w:p w14:paraId="214F8B56" w14:textId="31AB6B91" w:rsidR="00C20512" w:rsidRDefault="00C20512" w:rsidP="00125810">
      <w:pPr>
        <w:spacing w:line="480" w:lineRule="auto"/>
        <w:jc w:val="both"/>
        <w:rPr>
          <w:rFonts w:ascii="Times New Roman" w:hAnsi="Times New Roman" w:cs="Times New Roman"/>
        </w:rPr>
      </w:pPr>
      <w:r w:rsidRPr="00125810">
        <w:rPr>
          <w:rFonts w:ascii="Times New Roman" w:hAnsi="Times New Roman" w:cs="Times New Roman"/>
          <w:noProof/>
        </w:rPr>
        <w:lastRenderedPageBreak/>
        <w:drawing>
          <wp:inline distT="0" distB="0" distL="0" distR="0" wp14:anchorId="00E801FC" wp14:editId="5DD78F90">
            <wp:extent cx="5943600" cy="3232785"/>
            <wp:effectExtent l="0" t="0" r="0" b="5715"/>
            <wp:docPr id="599955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32785"/>
                    </a:xfrm>
                    <a:prstGeom prst="rect">
                      <a:avLst/>
                    </a:prstGeom>
                    <a:noFill/>
                    <a:ln>
                      <a:noFill/>
                    </a:ln>
                  </pic:spPr>
                </pic:pic>
              </a:graphicData>
            </a:graphic>
          </wp:inline>
        </w:drawing>
      </w:r>
    </w:p>
    <w:p w14:paraId="6FEBE286" w14:textId="56DC471C" w:rsidR="00C20512" w:rsidRPr="00B504D6" w:rsidRDefault="00B504D6" w:rsidP="00125810">
      <w:pPr>
        <w:spacing w:line="480" w:lineRule="auto"/>
        <w:jc w:val="both"/>
        <w:rPr>
          <w:rFonts w:ascii="Times New Roman" w:hAnsi="Times New Roman" w:cs="Times New Roman"/>
          <w:b/>
          <w:bCs/>
        </w:rPr>
      </w:pPr>
      <w:r w:rsidRPr="00B504D6">
        <w:rPr>
          <w:rFonts w:ascii="Times New Roman" w:hAnsi="Times New Roman" w:cs="Times New Roman"/>
          <w:b/>
          <w:bCs/>
        </w:rPr>
        <w:t>Figure 1: Heavy Metal Residues In 12 Spices</w:t>
      </w:r>
      <w:r w:rsidR="008A2875">
        <w:rPr>
          <w:rFonts w:ascii="Times New Roman" w:hAnsi="Times New Roman" w:cs="Times New Roman"/>
          <w:b/>
          <w:bCs/>
        </w:rPr>
        <w:t xml:space="preserve"> </w:t>
      </w:r>
      <w:r>
        <w:rPr>
          <w:rFonts w:ascii="Times New Roman" w:hAnsi="Times New Roman" w:cs="Times New Roman"/>
          <w:b/>
          <w:bCs/>
        </w:rPr>
        <w:t xml:space="preserve">and Herbal Tea </w:t>
      </w:r>
      <w:r w:rsidRPr="00B504D6">
        <w:rPr>
          <w:rFonts w:ascii="Times New Roman" w:hAnsi="Times New Roman" w:cs="Times New Roman"/>
          <w:b/>
          <w:bCs/>
        </w:rPr>
        <w:t>from Abuja, Nigeria</w:t>
      </w:r>
      <w:r w:rsidR="00C20512" w:rsidRPr="00125810">
        <w:rPr>
          <w:rFonts w:ascii="Times New Roman" w:hAnsi="Times New Roman" w:cs="Times New Roman"/>
        </w:rPr>
        <w:br/>
        <w:t> </w:t>
      </w:r>
      <w:r w:rsidR="000A24A9" w:rsidRPr="00B504D6">
        <w:rPr>
          <w:rFonts w:ascii="Times New Roman" w:hAnsi="Times New Roman" w:cs="Times New Roman"/>
        </w:rPr>
        <w:t>Prevalence</w:t>
      </w:r>
      <w:r w:rsidR="00C20512" w:rsidRPr="00B504D6">
        <w:rPr>
          <w:rFonts w:ascii="Times New Roman" w:hAnsi="Times New Roman" w:cs="Times New Roman"/>
        </w:rPr>
        <w:t xml:space="preserve"> data indicate that </w:t>
      </w:r>
      <w:r w:rsidR="000A24A9" w:rsidRPr="00B504D6">
        <w:rPr>
          <w:rFonts w:ascii="Times New Roman" w:hAnsi="Times New Roman" w:cs="Times New Roman"/>
        </w:rPr>
        <w:t>Cd</w:t>
      </w:r>
      <w:r w:rsidR="00C20512" w:rsidRPr="00B504D6">
        <w:rPr>
          <w:rFonts w:ascii="Times New Roman" w:hAnsi="Times New Roman" w:cs="Times New Roman"/>
        </w:rPr>
        <w:t xml:space="preserve">, Mn, and Ni contamination is 100% in both spices and herbal teas, reflecting systemic environmental or processing-related sources. Cr exceedance was also widespread, affecting over 90% of samples, highlighting persistent contamination likely from soil or agrochemical inputs. In contrast, Cu and Co showed moderate exceedance rates, while Pb contamination was sporadic—absent in spices but critical in certain teas such as Moringa (77.0 </w:t>
      </w:r>
      <w:r w:rsidR="008A2875" w:rsidRPr="004A1EC2">
        <w:rPr>
          <w:rFonts w:ascii="Times New Roman" w:hAnsi="Times New Roman" w:cs="Times New Roman"/>
        </w:rPr>
        <w:t>75 mg kg⁻¹</w:t>
      </w:r>
      <w:r w:rsidR="00C20512" w:rsidRPr="00B504D6">
        <w:rPr>
          <w:rFonts w:ascii="Times New Roman" w:hAnsi="Times New Roman" w:cs="Times New Roman"/>
        </w:rPr>
        <w:t xml:space="preserve">) and Top tea (35.12 </w:t>
      </w:r>
      <w:r w:rsidR="008A2875" w:rsidRPr="004A1EC2">
        <w:rPr>
          <w:rFonts w:ascii="Times New Roman" w:hAnsi="Times New Roman" w:cs="Times New Roman"/>
        </w:rPr>
        <w:t>75 mg kg⁻¹</w:t>
      </w:r>
      <w:r w:rsidR="00C20512" w:rsidRPr="00B504D6">
        <w:rPr>
          <w:rFonts w:ascii="Times New Roman" w:hAnsi="Times New Roman" w:cs="Times New Roman"/>
        </w:rPr>
        <w:t>). These findings suggest that while some metals represent background contamination, others (notably Pb in teas) may stem from localized or product-specific contamination events. The high prevalence across multiple metals underscores the potential for chronic exposure through daily consumption.</w:t>
      </w:r>
    </w:p>
    <w:p w14:paraId="00FD5F83" w14:textId="1AFE59A9" w:rsidR="00C20512" w:rsidRPr="00B504D6" w:rsidRDefault="00C20512" w:rsidP="00125810">
      <w:pPr>
        <w:spacing w:line="480" w:lineRule="auto"/>
        <w:jc w:val="both"/>
        <w:rPr>
          <w:rFonts w:ascii="Times New Roman" w:hAnsi="Times New Roman" w:cs="Times New Roman"/>
        </w:rPr>
      </w:pPr>
      <w:r w:rsidRPr="00B504D6">
        <w:rPr>
          <w:rFonts w:ascii="Times New Roman" w:hAnsi="Times New Roman" w:cs="Times New Roman"/>
        </w:rPr>
        <w:t xml:space="preserve">The 3D column chart displays the concentrations of heavy metals in spices </w:t>
      </w:r>
      <w:r w:rsidR="000A24A9" w:rsidRPr="00B504D6">
        <w:rPr>
          <w:rFonts w:ascii="Times New Roman" w:hAnsi="Times New Roman" w:cs="Times New Roman"/>
        </w:rPr>
        <w:t>relative</w:t>
      </w:r>
      <w:r w:rsidRPr="00B504D6">
        <w:rPr>
          <w:rFonts w:ascii="Times New Roman" w:hAnsi="Times New Roman" w:cs="Times New Roman"/>
        </w:rPr>
        <w:t xml:space="preserve"> </w:t>
      </w:r>
      <w:r w:rsidR="000A24A9" w:rsidRPr="00B504D6">
        <w:rPr>
          <w:rFonts w:ascii="Times New Roman" w:hAnsi="Times New Roman" w:cs="Times New Roman"/>
        </w:rPr>
        <w:t>to regulatory</w:t>
      </w:r>
      <w:r w:rsidRPr="00B504D6">
        <w:rPr>
          <w:rFonts w:ascii="Times New Roman" w:hAnsi="Times New Roman" w:cs="Times New Roman"/>
        </w:rPr>
        <w:t xml:space="preserve"> limits. According to Figure 1, the </w:t>
      </w:r>
      <w:r w:rsidR="000A24A9" w:rsidRPr="00B504D6">
        <w:rPr>
          <w:rFonts w:ascii="Times New Roman" w:hAnsi="Times New Roman" w:cs="Times New Roman"/>
        </w:rPr>
        <w:t>values</w:t>
      </w:r>
      <w:r w:rsidRPr="00B504D6">
        <w:rPr>
          <w:rFonts w:ascii="Times New Roman" w:hAnsi="Times New Roman" w:cs="Times New Roman"/>
        </w:rPr>
        <w:t xml:space="preserve"> recorded for manganese in turmeric, ginger, and black pepper powder were conspicuously higher than other heavy metals. Manganese shows the highest </w:t>
      </w:r>
      <w:r w:rsidRPr="00B504D6">
        <w:rPr>
          <w:rFonts w:ascii="Times New Roman" w:hAnsi="Times New Roman" w:cs="Times New Roman"/>
        </w:rPr>
        <w:lastRenderedPageBreak/>
        <w:t xml:space="preserve">levels, particularly in ginger (598.75 </w:t>
      </w:r>
      <w:r w:rsidR="008A2875" w:rsidRPr="004A1EC2">
        <w:rPr>
          <w:rFonts w:ascii="Times New Roman" w:hAnsi="Times New Roman" w:cs="Times New Roman"/>
        </w:rPr>
        <w:t>75 mg kg⁻¹</w:t>
      </w:r>
      <w:r w:rsidRPr="00B504D6">
        <w:rPr>
          <w:rFonts w:ascii="Times New Roman" w:hAnsi="Times New Roman" w:cs="Times New Roman"/>
        </w:rPr>
        <w:t xml:space="preserve">) and turmeric (403.77 </w:t>
      </w:r>
      <w:r w:rsidR="008A2875" w:rsidRPr="004A1EC2">
        <w:rPr>
          <w:rFonts w:ascii="Times New Roman" w:hAnsi="Times New Roman" w:cs="Times New Roman"/>
        </w:rPr>
        <w:t>75 mg kg⁻¹</w:t>
      </w:r>
      <w:r w:rsidRPr="00B504D6">
        <w:rPr>
          <w:rFonts w:ascii="Times New Roman" w:hAnsi="Times New Roman" w:cs="Times New Roman"/>
        </w:rPr>
        <w:t xml:space="preserve">), far exceeding the 0.120 mg/kg limit and indicating potential neurotoxicity. Copper is also elevated in black pepper and nutmeg, surpassing the 20.00 </w:t>
      </w:r>
      <w:r w:rsidR="008A2875" w:rsidRPr="004A1EC2">
        <w:rPr>
          <w:rFonts w:ascii="Times New Roman" w:hAnsi="Times New Roman" w:cs="Times New Roman"/>
        </w:rPr>
        <w:t>75 mg kg⁻¹</w:t>
      </w:r>
      <w:r w:rsidRPr="00B504D6">
        <w:rPr>
          <w:rFonts w:ascii="Times New Roman" w:hAnsi="Times New Roman" w:cs="Times New Roman"/>
        </w:rPr>
        <w:t xml:space="preserve"> threshold. Chromium is highest in thyme and ginger, exceeding safe levels, while it is absent in black pepper. Cadmium and nickel levels exceed limits in nearly all spices, highlighting contamination concerns. Although lead remains within limits, its levels in yellow and black pepper approach the maximum allowable value.</w:t>
      </w:r>
    </w:p>
    <w:p w14:paraId="652F42DB" w14:textId="3C2839BC" w:rsidR="00C20512" w:rsidRPr="00B504D6" w:rsidRDefault="000A24A9" w:rsidP="00125810">
      <w:pPr>
        <w:spacing w:line="480" w:lineRule="auto"/>
        <w:jc w:val="both"/>
        <w:rPr>
          <w:rFonts w:ascii="Times New Roman" w:hAnsi="Times New Roman" w:cs="Times New Roman"/>
        </w:rPr>
      </w:pPr>
      <w:r w:rsidRPr="00B504D6">
        <w:rPr>
          <w:rFonts w:ascii="Times New Roman" w:hAnsi="Times New Roman" w:cs="Times New Roman"/>
        </w:rPr>
        <w:t>The</w:t>
      </w:r>
      <w:r w:rsidR="00C20512" w:rsidRPr="00B504D6">
        <w:rPr>
          <w:rFonts w:ascii="Times New Roman" w:hAnsi="Times New Roman" w:cs="Times New Roman"/>
        </w:rPr>
        <w:t xml:space="preserve"> </w:t>
      </w:r>
      <w:r w:rsidRPr="00B504D6">
        <w:rPr>
          <w:rFonts w:ascii="Times New Roman" w:hAnsi="Times New Roman" w:cs="Times New Roman"/>
        </w:rPr>
        <w:t>above</w:t>
      </w:r>
      <w:r w:rsidR="00C20512" w:rsidRPr="00B504D6">
        <w:rPr>
          <w:rFonts w:ascii="Times New Roman" w:hAnsi="Times New Roman" w:cs="Times New Roman"/>
        </w:rPr>
        <w:t xml:space="preserve"> </w:t>
      </w:r>
      <w:r w:rsidRPr="00B504D6">
        <w:rPr>
          <w:rFonts w:ascii="Times New Roman" w:hAnsi="Times New Roman" w:cs="Times New Roman"/>
        </w:rPr>
        <w:t>limit effectively</w:t>
      </w:r>
      <w:r w:rsidR="00C20512" w:rsidRPr="00B504D6">
        <w:rPr>
          <w:rFonts w:ascii="Times New Roman" w:hAnsi="Times New Roman" w:cs="Times New Roman"/>
        </w:rPr>
        <w:t xml:space="preserve"> </w:t>
      </w:r>
      <w:r w:rsidRPr="00B504D6">
        <w:rPr>
          <w:rFonts w:ascii="Times New Roman" w:hAnsi="Times New Roman" w:cs="Times New Roman"/>
        </w:rPr>
        <w:t>highlights</w:t>
      </w:r>
      <w:r w:rsidR="00C20512" w:rsidRPr="00B504D6">
        <w:rPr>
          <w:rFonts w:ascii="Times New Roman" w:hAnsi="Times New Roman" w:cs="Times New Roman"/>
        </w:rPr>
        <w:t xml:space="preserve"> extensive contamination in spices and herbal teas sold in Nigerian markets. The results call for urgent attention to food safety enforcement, improved agricultural practices, stringent regulatory monitoring, and robust quality control protocols during production and post-harvest handling. Failure to address these issues may result in chronic exposure to toxic metals, with significant implications for public health.</w:t>
      </w:r>
    </w:p>
    <w:bookmarkEnd w:id="4"/>
    <w:p w14:paraId="760AE5EE" w14:textId="3442E2FE" w:rsidR="00C20512" w:rsidRDefault="00C20512" w:rsidP="00125810">
      <w:pPr>
        <w:spacing w:line="480" w:lineRule="auto"/>
        <w:jc w:val="both"/>
        <w:rPr>
          <w:rFonts w:ascii="Times New Roman" w:hAnsi="Times New Roman" w:cs="Times New Roman"/>
        </w:rPr>
      </w:pPr>
      <w:r w:rsidRPr="00B504D6">
        <w:rPr>
          <w:rFonts w:ascii="Times New Roman" w:hAnsi="Times New Roman" w:cs="Times New Roman"/>
        </w:rPr>
        <w:t>Contamination of spices and herbal teas with heavy metals reveals concentrations that exceed safe limits by substantial margins. This highlights the potential risks associated with the consumption of products and underscores the need for stricter monitoring and control measures in the agricultural and food processing sectors. The findings from this study contrast with other global studies, suggesting that local contamination levels may be higher due to factors such as soil quality, pesticide use, and environmental pollution.</w:t>
      </w:r>
    </w:p>
    <w:p w14:paraId="1B23D1DA" w14:textId="6A3F5E1D"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b/>
          <w:bCs/>
        </w:rPr>
        <w:t xml:space="preserve">     Table </w:t>
      </w:r>
      <w:r w:rsidR="000C10E6">
        <w:rPr>
          <w:rFonts w:ascii="Times New Roman" w:hAnsi="Times New Roman" w:cs="Times New Roman"/>
          <w:b/>
          <w:bCs/>
        </w:rPr>
        <w:t>7</w:t>
      </w:r>
      <w:r w:rsidRPr="00125810">
        <w:rPr>
          <w:rFonts w:ascii="Times New Roman" w:hAnsi="Times New Roman" w:cs="Times New Roman"/>
          <w:b/>
          <w:bCs/>
        </w:rPr>
        <w:t>: Estimated Daily Intake, Acceptable Daily Intake, and Health Risk Index of Mean Concentrations of Heavy Metals in Spices sold in Abuja, Nigeria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356"/>
        <w:gridCol w:w="1116"/>
        <w:gridCol w:w="1116"/>
        <w:gridCol w:w="1116"/>
        <w:gridCol w:w="1116"/>
        <w:gridCol w:w="1116"/>
        <w:gridCol w:w="1116"/>
      </w:tblGrid>
      <w:tr w:rsidR="00C20512" w:rsidRPr="00125810" w14:paraId="6961E467"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48364B5F" w14:textId="77777777" w:rsidR="00C20512" w:rsidRPr="00125810" w:rsidRDefault="00C20512" w:rsidP="002A3CB3">
            <w:pPr>
              <w:pStyle w:val="NoSpacing"/>
            </w:pPr>
            <w:bookmarkStart w:id="6" w:name="_Hlk212088959"/>
            <w:r w:rsidRPr="00125810">
              <w:t> Heavy Metal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F657AC" w14:textId="77777777" w:rsidR="00C20512" w:rsidRPr="00125810" w:rsidRDefault="00C20512" w:rsidP="002A3CB3">
            <w:pPr>
              <w:pStyle w:val="NoSpacing"/>
            </w:pPr>
            <w:r w:rsidRPr="00125810">
              <w:rPr>
                <w:b/>
                <w:bCs/>
              </w:rPr>
              <w:t>Cd</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68E4B5C" w14:textId="77777777" w:rsidR="00C20512" w:rsidRPr="00125810" w:rsidRDefault="00C20512" w:rsidP="002A3CB3">
            <w:pPr>
              <w:pStyle w:val="NoSpacing"/>
            </w:pPr>
            <w:r w:rsidRPr="00125810">
              <w:rPr>
                <w:b/>
                <w:bCs/>
              </w:rPr>
              <w:t>Co</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BEDD527" w14:textId="77777777" w:rsidR="00C20512" w:rsidRPr="00125810" w:rsidRDefault="00C20512" w:rsidP="002A3CB3">
            <w:pPr>
              <w:pStyle w:val="NoSpacing"/>
            </w:pPr>
            <w:r w:rsidRPr="00125810">
              <w:rPr>
                <w:b/>
                <w:bCs/>
              </w:rPr>
              <w:t>Cr</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E16ECA5" w14:textId="77777777" w:rsidR="00C20512" w:rsidRPr="00125810" w:rsidRDefault="00C20512" w:rsidP="002A3CB3">
            <w:pPr>
              <w:pStyle w:val="NoSpacing"/>
            </w:pPr>
            <w:r w:rsidRPr="00125810">
              <w:rPr>
                <w:b/>
                <w:bCs/>
              </w:rPr>
              <w:t>Cu</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081479E" w14:textId="77777777" w:rsidR="00C20512" w:rsidRPr="00125810" w:rsidRDefault="00C20512" w:rsidP="002A3CB3">
            <w:pPr>
              <w:pStyle w:val="NoSpacing"/>
            </w:pPr>
            <w:r w:rsidRPr="00125810">
              <w:rPr>
                <w:b/>
                <w:bCs/>
              </w:rPr>
              <w:t>Mn</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AA52B6D" w14:textId="77777777" w:rsidR="00C20512" w:rsidRPr="00125810" w:rsidRDefault="00C20512" w:rsidP="002A3CB3">
            <w:pPr>
              <w:pStyle w:val="NoSpacing"/>
            </w:pPr>
            <w:r w:rsidRPr="00125810">
              <w:rPr>
                <w:b/>
                <w:bCs/>
              </w:rPr>
              <w:t>Ni</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D7FC2D3" w14:textId="77777777" w:rsidR="00C20512" w:rsidRPr="00125810" w:rsidRDefault="00C20512" w:rsidP="002A3CB3">
            <w:pPr>
              <w:pStyle w:val="NoSpacing"/>
            </w:pPr>
            <w:r w:rsidRPr="00125810">
              <w:rPr>
                <w:b/>
                <w:bCs/>
              </w:rPr>
              <w:t>Pb</w:t>
            </w:r>
          </w:p>
        </w:tc>
      </w:tr>
      <w:tr w:rsidR="00C20512" w:rsidRPr="00125810" w14:paraId="250DF6C3"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6B8435C2" w14:textId="77777777" w:rsidR="00C20512" w:rsidRPr="00125810" w:rsidRDefault="00C20512" w:rsidP="002A3CB3">
            <w:pPr>
              <w:pStyle w:val="NoSpacing"/>
            </w:pPr>
            <w:bookmarkStart w:id="7" w:name="_Hlk212090654"/>
            <w:bookmarkEnd w:id="6"/>
            <w:r w:rsidRPr="00125810">
              <w:t>Avg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0F345C" w14:textId="77777777" w:rsidR="00C20512" w:rsidRPr="00125810" w:rsidRDefault="00C20512" w:rsidP="002A3CB3">
            <w:pPr>
              <w:pStyle w:val="NoSpacing"/>
            </w:pPr>
            <w:r w:rsidRPr="00125810">
              <w:t>0.654167</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4588204" w14:textId="77777777" w:rsidR="00C20512" w:rsidRPr="00125810" w:rsidRDefault="00C20512" w:rsidP="002A3CB3">
            <w:pPr>
              <w:pStyle w:val="NoSpacing"/>
            </w:pPr>
            <w:r w:rsidRPr="00125810">
              <w:t>0.18</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280B011" w14:textId="77777777" w:rsidR="00C20512" w:rsidRPr="00125810" w:rsidRDefault="00C20512" w:rsidP="002A3CB3">
            <w:pPr>
              <w:pStyle w:val="NoSpacing"/>
            </w:pPr>
            <w:r w:rsidRPr="00125810">
              <w:t>7.86375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DEF4321" w14:textId="77777777" w:rsidR="00C20512" w:rsidRPr="00125810" w:rsidRDefault="00C20512" w:rsidP="002A3CB3">
            <w:pPr>
              <w:pStyle w:val="NoSpacing"/>
            </w:pPr>
            <w:r w:rsidRPr="00125810">
              <w:t>30.7975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EEF49B8" w14:textId="77777777" w:rsidR="00C20512" w:rsidRPr="00125810" w:rsidRDefault="00C20512" w:rsidP="002A3CB3">
            <w:pPr>
              <w:pStyle w:val="NoSpacing"/>
            </w:pPr>
            <w:r w:rsidRPr="00125810">
              <w:t>445.8583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CEBCDB8" w14:textId="77777777" w:rsidR="00C20512" w:rsidRPr="00125810" w:rsidRDefault="00C20512" w:rsidP="002A3CB3">
            <w:pPr>
              <w:pStyle w:val="NoSpacing"/>
            </w:pPr>
            <w:r w:rsidRPr="00125810">
              <w:t>5.590833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D3FD652" w14:textId="77777777" w:rsidR="00C20512" w:rsidRPr="00125810" w:rsidRDefault="00C20512" w:rsidP="002A3CB3">
            <w:pPr>
              <w:pStyle w:val="NoSpacing"/>
            </w:pPr>
            <w:r w:rsidRPr="00125810">
              <w:t>14.42333</w:t>
            </w:r>
          </w:p>
        </w:tc>
      </w:tr>
      <w:bookmarkEnd w:id="7"/>
      <w:tr w:rsidR="00C20512" w:rsidRPr="00125810" w14:paraId="47A7566E"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23C04AB1" w14:textId="77777777" w:rsidR="00C20512" w:rsidRPr="00125810" w:rsidRDefault="00C20512" w:rsidP="002A3CB3">
            <w:pPr>
              <w:pStyle w:val="NoSpacing"/>
            </w:pPr>
            <w:r w:rsidRPr="00125810">
              <w:t>Max</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FE3674" w14:textId="77777777" w:rsidR="00C20512" w:rsidRPr="00125810" w:rsidRDefault="00C20512" w:rsidP="002A3CB3">
            <w:pPr>
              <w:pStyle w:val="NoSpacing"/>
            </w:pPr>
            <w:r w:rsidRPr="00125810">
              <w:t>1.45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D7BC4EE" w14:textId="77777777" w:rsidR="00C20512" w:rsidRPr="00125810" w:rsidRDefault="00C20512" w:rsidP="002A3CB3">
            <w:pPr>
              <w:pStyle w:val="NoSpacing"/>
            </w:pPr>
            <w:r w:rsidRPr="00125810">
              <w:t>1.31</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03E8832" w14:textId="77777777" w:rsidR="00C20512" w:rsidRPr="00125810" w:rsidRDefault="00C20512" w:rsidP="002A3CB3">
            <w:pPr>
              <w:pStyle w:val="NoSpacing"/>
            </w:pPr>
            <w:r w:rsidRPr="00125810">
              <w:t>12.41</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59FBC6AC" w14:textId="77777777" w:rsidR="00C20512" w:rsidRPr="00125810" w:rsidRDefault="00C20512" w:rsidP="002A3CB3">
            <w:pPr>
              <w:pStyle w:val="NoSpacing"/>
            </w:pPr>
            <w:r w:rsidRPr="00125810">
              <w:t>66.97</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2B018C87" w14:textId="77777777" w:rsidR="00C20512" w:rsidRPr="00125810" w:rsidRDefault="00C20512" w:rsidP="002A3CB3">
            <w:pPr>
              <w:pStyle w:val="NoSpacing"/>
            </w:pPr>
            <w:r w:rsidRPr="00125810">
              <w:t>1660.79</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7578DAED" w14:textId="77777777" w:rsidR="00C20512" w:rsidRPr="00125810" w:rsidRDefault="00C20512" w:rsidP="002A3CB3">
            <w:pPr>
              <w:pStyle w:val="NoSpacing"/>
            </w:pPr>
            <w:r w:rsidRPr="00125810">
              <w:t>10.22</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873A5AB" w14:textId="77777777" w:rsidR="00C20512" w:rsidRPr="00125810" w:rsidRDefault="00C20512" w:rsidP="002A3CB3">
            <w:pPr>
              <w:pStyle w:val="NoSpacing"/>
            </w:pPr>
            <w:r w:rsidRPr="00125810">
              <w:t>77</w:t>
            </w:r>
          </w:p>
        </w:tc>
      </w:tr>
      <w:tr w:rsidR="00C20512" w:rsidRPr="00125810" w14:paraId="434584D6"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79AB9479" w14:textId="77777777" w:rsidR="00C20512" w:rsidRPr="00125810" w:rsidRDefault="00C20512" w:rsidP="002A3CB3">
            <w:pPr>
              <w:pStyle w:val="NoSpacing"/>
            </w:pPr>
            <w:r w:rsidRPr="00125810">
              <w:t>Min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66BCFFB" w14:textId="77777777" w:rsidR="00C20512" w:rsidRPr="00125810" w:rsidRDefault="00C20512" w:rsidP="002A3CB3">
            <w:pPr>
              <w:pStyle w:val="NoSpacing"/>
            </w:pPr>
            <w:r w:rsidRPr="00125810">
              <w:t>0.27</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116AAEC" w14:textId="77777777" w:rsidR="00C20512" w:rsidRPr="00125810" w:rsidRDefault="00C20512" w:rsidP="002A3CB3">
            <w:pPr>
              <w:pStyle w:val="NoSpacing"/>
            </w:pPr>
            <w:r w:rsidRPr="00125810">
              <w:t>0</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DA7F84D" w14:textId="77777777" w:rsidR="00C20512" w:rsidRPr="00125810" w:rsidRDefault="00C20512" w:rsidP="002A3CB3">
            <w:pPr>
              <w:pStyle w:val="NoSpacing"/>
            </w:pPr>
            <w:r w:rsidRPr="00125810">
              <w:t>0</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FED7046" w14:textId="77777777" w:rsidR="00C20512" w:rsidRPr="00125810" w:rsidRDefault="00C20512" w:rsidP="002A3CB3">
            <w:pPr>
              <w:pStyle w:val="NoSpacing"/>
            </w:pPr>
            <w:r w:rsidRPr="00125810">
              <w:t>11.73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2F90027" w14:textId="77777777" w:rsidR="00C20512" w:rsidRPr="00125810" w:rsidRDefault="00C20512" w:rsidP="002A3CB3">
            <w:pPr>
              <w:pStyle w:val="NoSpacing"/>
            </w:pPr>
            <w:r w:rsidRPr="00125810">
              <w:t>31.19</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7587A005" w14:textId="77777777" w:rsidR="00C20512" w:rsidRPr="00125810" w:rsidRDefault="00C20512" w:rsidP="002A3CB3">
            <w:pPr>
              <w:pStyle w:val="NoSpacing"/>
            </w:pPr>
            <w:r w:rsidRPr="00125810">
              <w:t>2.94</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F12E76F" w14:textId="77777777" w:rsidR="00C20512" w:rsidRPr="00125810" w:rsidRDefault="00C20512" w:rsidP="002A3CB3">
            <w:pPr>
              <w:pStyle w:val="NoSpacing"/>
            </w:pPr>
            <w:r w:rsidRPr="00125810">
              <w:t>0</w:t>
            </w:r>
          </w:p>
        </w:tc>
      </w:tr>
      <w:tr w:rsidR="00C20512" w:rsidRPr="00125810" w14:paraId="74EDD63E"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5D05D4CA" w14:textId="77777777" w:rsidR="00C20512" w:rsidRPr="00125810" w:rsidRDefault="00C20512" w:rsidP="002A3CB3">
            <w:pPr>
              <w:pStyle w:val="NoSpacing"/>
            </w:pPr>
            <w:r w:rsidRPr="00125810">
              <w:t>Sum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C13B6C" w14:textId="77777777" w:rsidR="00C20512" w:rsidRPr="00125810" w:rsidRDefault="00C20512" w:rsidP="002A3CB3">
            <w:pPr>
              <w:pStyle w:val="NoSpacing"/>
            </w:pPr>
            <w:r w:rsidRPr="00125810">
              <w:t>7.85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711899B" w14:textId="77777777" w:rsidR="00C20512" w:rsidRPr="00125810" w:rsidRDefault="00C20512" w:rsidP="002A3CB3">
            <w:pPr>
              <w:pStyle w:val="NoSpacing"/>
            </w:pPr>
            <w:r w:rsidRPr="00125810">
              <w:t>3.65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26D8E450" w14:textId="77777777" w:rsidR="00C20512" w:rsidRPr="00125810" w:rsidRDefault="00C20512" w:rsidP="002A3CB3">
            <w:pPr>
              <w:pStyle w:val="NoSpacing"/>
            </w:pPr>
            <w:r w:rsidRPr="00125810">
              <w:t>83.18375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9BBA534" w14:textId="77777777" w:rsidR="00C20512" w:rsidRPr="00125810" w:rsidRDefault="00C20512" w:rsidP="002A3CB3">
            <w:pPr>
              <w:pStyle w:val="NoSpacing"/>
            </w:pPr>
            <w:r w:rsidRPr="00125810">
              <w:t>479.0675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5EBDBB6B" w14:textId="77777777" w:rsidR="00C20512" w:rsidRPr="00125810" w:rsidRDefault="00C20512" w:rsidP="002A3CB3">
            <w:pPr>
              <w:pStyle w:val="NoSpacing"/>
            </w:pPr>
            <w:r w:rsidRPr="00125810">
              <w:t>7488.138</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2FCBD78E" w14:textId="77777777" w:rsidR="00C20512" w:rsidRPr="00125810" w:rsidRDefault="00C20512" w:rsidP="002A3CB3">
            <w:pPr>
              <w:pStyle w:val="NoSpacing"/>
            </w:pPr>
            <w:r w:rsidRPr="00125810">
              <w:t>85.84083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A193AB4" w14:textId="77777777" w:rsidR="00C20512" w:rsidRPr="00125810" w:rsidRDefault="00C20512" w:rsidP="002A3CB3">
            <w:pPr>
              <w:pStyle w:val="NoSpacing"/>
            </w:pPr>
            <w:r w:rsidRPr="00125810">
              <w:t>264.5033</w:t>
            </w:r>
          </w:p>
        </w:tc>
      </w:tr>
      <w:tr w:rsidR="00C20512" w:rsidRPr="00125810" w14:paraId="0192E541" w14:textId="77777777">
        <w:trPr>
          <w:trHeight w:val="880"/>
        </w:trPr>
        <w:tc>
          <w:tcPr>
            <w:tcW w:w="1584" w:type="dxa"/>
            <w:tcBorders>
              <w:top w:val="single" w:sz="4" w:space="0" w:color="auto"/>
              <w:left w:val="single" w:sz="4" w:space="0" w:color="auto"/>
              <w:bottom w:val="single" w:sz="4" w:space="0" w:color="auto"/>
              <w:right w:val="single" w:sz="4" w:space="0" w:color="auto"/>
            </w:tcBorders>
            <w:vAlign w:val="center"/>
            <w:hideMark/>
          </w:tcPr>
          <w:p w14:paraId="6340F3F8" w14:textId="77777777" w:rsidR="00C20512" w:rsidRPr="00125810" w:rsidRDefault="00C20512" w:rsidP="002A3CB3">
            <w:pPr>
              <w:pStyle w:val="NoSpacing"/>
            </w:pPr>
            <w:r w:rsidRPr="00125810">
              <w:lastRenderedPageBreak/>
              <w:t>ADI (mg/60 day)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DC5D37" w14:textId="77777777" w:rsidR="00C20512" w:rsidRPr="00125810" w:rsidRDefault="00C20512" w:rsidP="002A3CB3">
            <w:pPr>
              <w:pStyle w:val="NoSpacing"/>
            </w:pPr>
            <w:r w:rsidRPr="00125810">
              <w:t>0.06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9F0E4F1" w14:textId="77777777" w:rsidR="00C20512" w:rsidRPr="00125810" w:rsidRDefault="00C20512" w:rsidP="002A3CB3">
            <w:pPr>
              <w:pStyle w:val="NoSpacing"/>
            </w:pPr>
            <w:r w:rsidRPr="00125810">
              <w:t>1.8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98BC2D9" w14:textId="77777777" w:rsidR="00C20512" w:rsidRPr="00125810" w:rsidRDefault="00C20512" w:rsidP="002A3CB3">
            <w:pPr>
              <w:pStyle w:val="NoSpacing"/>
            </w:pPr>
            <w:r w:rsidRPr="00125810">
              <w:t>18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1BEDBBF" w14:textId="77777777" w:rsidR="00C20512" w:rsidRPr="00125810" w:rsidRDefault="00C20512" w:rsidP="002A3CB3">
            <w:pPr>
              <w:pStyle w:val="NoSpacing"/>
            </w:pPr>
            <w:r w:rsidRPr="00125810">
              <w:t>4.2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6200EADA" w14:textId="77777777" w:rsidR="00C20512" w:rsidRPr="00125810" w:rsidRDefault="00C20512" w:rsidP="002A3CB3">
            <w:pPr>
              <w:pStyle w:val="NoSpacing"/>
            </w:pPr>
            <w:r w:rsidRPr="00125810">
              <w:t>0.66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83E9D70" w14:textId="77777777" w:rsidR="00C20512" w:rsidRPr="00125810" w:rsidRDefault="00C20512" w:rsidP="002A3CB3">
            <w:pPr>
              <w:pStyle w:val="NoSpacing"/>
            </w:pPr>
            <w:r w:rsidRPr="00125810">
              <w:t>0.78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52AAF45" w14:textId="77777777" w:rsidR="00C20512" w:rsidRPr="00125810" w:rsidRDefault="00C20512" w:rsidP="002A3CB3">
            <w:pPr>
              <w:pStyle w:val="NoSpacing"/>
            </w:pPr>
            <w:r w:rsidRPr="00125810">
              <w:t>0.216</w:t>
            </w:r>
          </w:p>
        </w:tc>
      </w:tr>
      <w:tr w:rsidR="00C20512" w:rsidRPr="00125810" w14:paraId="779FC44C"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7B719366" w14:textId="77777777" w:rsidR="00C20512" w:rsidRPr="00125810" w:rsidRDefault="00C20512" w:rsidP="002A3CB3">
            <w:pPr>
              <w:pStyle w:val="NoSpacing"/>
            </w:pPr>
            <w:r w:rsidRPr="00125810">
              <w:t>EDI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F30B760" w14:textId="77777777" w:rsidR="00C20512" w:rsidRPr="00125810" w:rsidRDefault="00C20512" w:rsidP="002A3CB3">
            <w:pPr>
              <w:pStyle w:val="NoSpacing"/>
            </w:pPr>
            <w:r w:rsidRPr="00125810">
              <w:t>0.00010903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AF7C4E7" w14:textId="77777777" w:rsidR="00C20512" w:rsidRPr="00125810" w:rsidRDefault="00C20512" w:rsidP="002A3CB3">
            <w:pPr>
              <w:pStyle w:val="NoSpacing"/>
            </w:pPr>
            <w:r w:rsidRPr="00125810">
              <w:t>0.00003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2E49A264" w14:textId="77777777" w:rsidR="00C20512" w:rsidRPr="00125810" w:rsidRDefault="00C20512" w:rsidP="002A3CB3">
            <w:pPr>
              <w:pStyle w:val="NoSpacing"/>
            </w:pPr>
            <w:r w:rsidRPr="00125810">
              <w:t>0.001311</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59E7B350" w14:textId="77777777" w:rsidR="00C20512" w:rsidRPr="00125810" w:rsidRDefault="00C20512" w:rsidP="002A3CB3">
            <w:pPr>
              <w:pStyle w:val="NoSpacing"/>
            </w:pPr>
            <w:r w:rsidRPr="00125810">
              <w:t>0.005133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28D6EDDD" w14:textId="77777777" w:rsidR="00C20512" w:rsidRPr="00125810" w:rsidRDefault="00C20512" w:rsidP="002A3CB3">
            <w:pPr>
              <w:pStyle w:val="NoSpacing"/>
            </w:pPr>
            <w:r w:rsidRPr="00125810">
              <w:t>0.07431</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586FFD0B" w14:textId="77777777" w:rsidR="00C20512" w:rsidRPr="00125810" w:rsidRDefault="00C20512" w:rsidP="002A3CB3">
            <w:pPr>
              <w:pStyle w:val="NoSpacing"/>
            </w:pPr>
            <w:r w:rsidRPr="00125810">
              <w:t>0.000932</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5B4B6CF4" w14:textId="77777777" w:rsidR="00C20512" w:rsidRPr="00125810" w:rsidRDefault="00C20512" w:rsidP="002A3CB3">
            <w:pPr>
              <w:pStyle w:val="NoSpacing"/>
            </w:pPr>
            <w:r w:rsidRPr="00125810">
              <w:t>0.002404</w:t>
            </w:r>
          </w:p>
        </w:tc>
      </w:tr>
      <w:tr w:rsidR="00C20512" w:rsidRPr="00125810" w14:paraId="7CB39A10"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473A9AE2" w14:textId="77777777" w:rsidR="00C20512" w:rsidRPr="00125810" w:rsidRDefault="00C20512" w:rsidP="002A3CB3">
            <w:pPr>
              <w:pStyle w:val="NoSpacing"/>
            </w:pPr>
            <w:r w:rsidRPr="00125810">
              <w:t>HQ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E54B2EF" w14:textId="77777777" w:rsidR="00C20512" w:rsidRPr="00125810" w:rsidRDefault="00C20512" w:rsidP="002A3CB3">
            <w:pPr>
              <w:pStyle w:val="NoSpacing"/>
            </w:pPr>
            <w:r w:rsidRPr="00125810">
              <w:t>0.18171306</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26144B5" w14:textId="77777777" w:rsidR="00C20512" w:rsidRPr="00125810" w:rsidRDefault="00C20512" w:rsidP="002A3CB3">
            <w:pPr>
              <w:pStyle w:val="NoSpacing"/>
            </w:pPr>
            <w:r w:rsidRPr="00125810">
              <w:t>0.001667</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8958AF9" w14:textId="77777777" w:rsidR="00C20512" w:rsidRPr="00125810" w:rsidRDefault="00C20512" w:rsidP="002A3CB3">
            <w:pPr>
              <w:pStyle w:val="NoSpacing"/>
            </w:pPr>
            <w:r w:rsidRPr="00125810">
              <w:t>0.007281</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C016DA4" w14:textId="77777777" w:rsidR="00C20512" w:rsidRPr="00125810" w:rsidRDefault="00C20512" w:rsidP="002A3CB3">
            <w:pPr>
              <w:pStyle w:val="NoSpacing"/>
            </w:pPr>
            <w:r w:rsidRPr="00125810">
              <w:t>0.122212</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DD80EBB" w14:textId="77777777" w:rsidR="00C20512" w:rsidRPr="00125810" w:rsidRDefault="00C20512" w:rsidP="002A3CB3">
            <w:pPr>
              <w:pStyle w:val="NoSpacing"/>
            </w:pPr>
            <w:r w:rsidRPr="00125810">
              <w:t>11.25905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4BA1A31" w14:textId="77777777" w:rsidR="00C20512" w:rsidRPr="00125810" w:rsidRDefault="00C20512" w:rsidP="002A3CB3">
            <w:pPr>
              <w:pStyle w:val="NoSpacing"/>
            </w:pPr>
            <w:r w:rsidRPr="00125810">
              <w:t>0.119462</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28B7FD3" w14:textId="77777777" w:rsidR="00C20512" w:rsidRPr="00125810" w:rsidRDefault="00C20512" w:rsidP="002A3CB3">
            <w:pPr>
              <w:pStyle w:val="NoSpacing"/>
            </w:pPr>
            <w:r w:rsidRPr="00125810">
              <w:t>1.112911</w:t>
            </w:r>
          </w:p>
        </w:tc>
      </w:tr>
    </w:tbl>
    <w:p w14:paraId="112A64E8" w14:textId="77777777"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 </w:t>
      </w:r>
    </w:p>
    <w:p w14:paraId="5C402BFC" w14:textId="56B32C9A"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b/>
          <w:bCs/>
        </w:rPr>
        <w:t xml:space="preserve">   Table </w:t>
      </w:r>
      <w:r w:rsidR="000C10E6">
        <w:rPr>
          <w:rFonts w:ascii="Times New Roman" w:hAnsi="Times New Roman" w:cs="Times New Roman"/>
          <w:b/>
          <w:bCs/>
        </w:rPr>
        <w:t>8</w:t>
      </w:r>
      <w:r w:rsidRPr="00125810">
        <w:rPr>
          <w:rFonts w:ascii="Times New Roman" w:hAnsi="Times New Roman" w:cs="Times New Roman"/>
          <w:b/>
          <w:bCs/>
        </w:rPr>
        <w:t>: Estimated Daily Intake, Acceptable Daily Intake, and Health Risk Index of the mean concentration of heavy metals in herbal tea sold in Abuja, Nigeria </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56"/>
        <w:gridCol w:w="1116"/>
        <w:gridCol w:w="1116"/>
        <w:gridCol w:w="1116"/>
        <w:gridCol w:w="1116"/>
        <w:gridCol w:w="1116"/>
        <w:gridCol w:w="1116"/>
      </w:tblGrid>
      <w:tr w:rsidR="00C20512" w:rsidRPr="00125810" w14:paraId="604BEC09"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24E43E1C" w14:textId="77777777" w:rsidR="00C20512" w:rsidRPr="00125810" w:rsidRDefault="00C20512" w:rsidP="002A3CB3">
            <w:pPr>
              <w:pStyle w:val="NoSpacing"/>
            </w:pPr>
            <w:r w:rsidRPr="00125810">
              <w:t> Heavy metals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2F90A9" w14:textId="77777777" w:rsidR="00C20512" w:rsidRPr="00125810" w:rsidRDefault="00C20512" w:rsidP="002A3CB3">
            <w:pPr>
              <w:pStyle w:val="NoSpacing"/>
            </w:pPr>
            <w:r w:rsidRPr="00125810">
              <w:rPr>
                <w:b/>
                <w:bCs/>
              </w:rPr>
              <w:t>Cd</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2CD9117" w14:textId="77777777" w:rsidR="00C20512" w:rsidRPr="00125810" w:rsidRDefault="00C20512" w:rsidP="002A3CB3">
            <w:pPr>
              <w:pStyle w:val="NoSpacing"/>
            </w:pPr>
            <w:r w:rsidRPr="00125810">
              <w:rPr>
                <w:b/>
                <w:bCs/>
              </w:rPr>
              <w:t>Co</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343F633" w14:textId="77777777" w:rsidR="00C20512" w:rsidRPr="00125810" w:rsidRDefault="00C20512" w:rsidP="002A3CB3">
            <w:pPr>
              <w:pStyle w:val="NoSpacing"/>
            </w:pPr>
            <w:r w:rsidRPr="00125810">
              <w:rPr>
                <w:b/>
                <w:bCs/>
              </w:rPr>
              <w:t>Cr</w:t>
            </w:r>
          </w:p>
        </w:tc>
        <w:tc>
          <w:tcPr>
            <w:tcW w:w="1079" w:type="dxa"/>
            <w:tcBorders>
              <w:top w:val="single" w:sz="4" w:space="0" w:color="auto"/>
              <w:left w:val="single" w:sz="4" w:space="0" w:color="auto"/>
              <w:bottom w:val="single" w:sz="4" w:space="0" w:color="auto"/>
              <w:right w:val="single" w:sz="4" w:space="0" w:color="auto"/>
            </w:tcBorders>
            <w:vAlign w:val="center"/>
            <w:hideMark/>
          </w:tcPr>
          <w:p w14:paraId="3148CA03" w14:textId="77777777" w:rsidR="00C20512" w:rsidRPr="00125810" w:rsidRDefault="00C20512" w:rsidP="002A3CB3">
            <w:pPr>
              <w:pStyle w:val="NoSpacing"/>
            </w:pPr>
            <w:r w:rsidRPr="00125810">
              <w:rPr>
                <w:b/>
                <w:bCs/>
              </w:rPr>
              <w:t>Cu</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07A9381" w14:textId="77777777" w:rsidR="00C20512" w:rsidRPr="00125810" w:rsidRDefault="00C20512" w:rsidP="002A3CB3">
            <w:pPr>
              <w:pStyle w:val="NoSpacing"/>
            </w:pPr>
            <w:r w:rsidRPr="00125810">
              <w:rPr>
                <w:b/>
                <w:bCs/>
              </w:rPr>
              <w:t>Mn</w:t>
            </w:r>
          </w:p>
        </w:tc>
        <w:tc>
          <w:tcPr>
            <w:tcW w:w="1053" w:type="dxa"/>
            <w:tcBorders>
              <w:top w:val="single" w:sz="4" w:space="0" w:color="auto"/>
              <w:left w:val="single" w:sz="4" w:space="0" w:color="auto"/>
              <w:bottom w:val="single" w:sz="4" w:space="0" w:color="auto"/>
              <w:right w:val="single" w:sz="4" w:space="0" w:color="auto"/>
            </w:tcBorders>
            <w:vAlign w:val="center"/>
            <w:hideMark/>
          </w:tcPr>
          <w:p w14:paraId="0979A178" w14:textId="77777777" w:rsidR="00C20512" w:rsidRPr="00125810" w:rsidRDefault="00C20512" w:rsidP="002A3CB3">
            <w:pPr>
              <w:pStyle w:val="NoSpacing"/>
            </w:pPr>
            <w:r w:rsidRPr="00125810">
              <w:rPr>
                <w:b/>
                <w:bCs/>
              </w:rPr>
              <w:t>Ni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A3437C3" w14:textId="77777777" w:rsidR="00C20512" w:rsidRPr="00125810" w:rsidRDefault="00C20512" w:rsidP="002A3CB3">
            <w:pPr>
              <w:pStyle w:val="NoSpacing"/>
            </w:pPr>
            <w:r w:rsidRPr="00125810">
              <w:rPr>
                <w:b/>
                <w:bCs/>
              </w:rPr>
              <w:t>Pb</w:t>
            </w:r>
          </w:p>
        </w:tc>
      </w:tr>
      <w:tr w:rsidR="00C20512" w:rsidRPr="00125810" w14:paraId="0DD8B12E"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5BAAF7F3" w14:textId="77777777" w:rsidR="00C20512" w:rsidRPr="00125810" w:rsidRDefault="00C20512" w:rsidP="002A3CB3">
            <w:pPr>
              <w:pStyle w:val="NoSpacing"/>
            </w:pPr>
            <w:r w:rsidRPr="00125810">
              <w:t>Max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F70795" w14:textId="77777777" w:rsidR="00C20512" w:rsidRPr="00125810" w:rsidRDefault="00C20512" w:rsidP="002A3CB3">
            <w:pPr>
              <w:pStyle w:val="NoSpacing"/>
            </w:pPr>
            <w:r w:rsidRPr="00125810">
              <w:t>2.28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7EAC4F5" w14:textId="77777777" w:rsidR="00C20512" w:rsidRPr="00125810" w:rsidRDefault="00C20512" w:rsidP="002A3CB3">
            <w:pPr>
              <w:pStyle w:val="NoSpacing"/>
            </w:pPr>
            <w:r w:rsidRPr="00125810">
              <w:t>3.5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492BF14" w14:textId="77777777" w:rsidR="00C20512" w:rsidRPr="00125810" w:rsidRDefault="00C20512" w:rsidP="002A3CB3">
            <w:pPr>
              <w:pStyle w:val="NoSpacing"/>
            </w:pPr>
            <w:r w:rsidRPr="00125810">
              <w:t>18.4</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CB90E19" w14:textId="77777777" w:rsidR="00C20512" w:rsidRPr="00125810" w:rsidRDefault="00C20512" w:rsidP="002A3CB3">
            <w:pPr>
              <w:pStyle w:val="NoSpacing"/>
            </w:pPr>
            <w:r w:rsidRPr="00125810">
              <w:t>58.3</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25EB8E3" w14:textId="77777777" w:rsidR="00C20512" w:rsidRPr="00125810" w:rsidRDefault="00C20512" w:rsidP="002A3CB3">
            <w:pPr>
              <w:pStyle w:val="NoSpacing"/>
            </w:pPr>
            <w:r w:rsidRPr="00125810">
              <w:t>598.75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6E7B435" w14:textId="77777777" w:rsidR="00C20512" w:rsidRPr="00125810" w:rsidRDefault="00C20512" w:rsidP="002A3CB3">
            <w:pPr>
              <w:pStyle w:val="NoSpacing"/>
            </w:pPr>
            <w:r w:rsidRPr="00125810">
              <w:t>6.11</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1F923A1" w14:textId="77777777" w:rsidR="00C20512" w:rsidRPr="00125810" w:rsidRDefault="00C20512" w:rsidP="002A3CB3">
            <w:pPr>
              <w:pStyle w:val="NoSpacing"/>
            </w:pPr>
            <w:r w:rsidRPr="00125810">
              <w:t>7.89</w:t>
            </w:r>
          </w:p>
        </w:tc>
      </w:tr>
      <w:tr w:rsidR="00C20512" w:rsidRPr="00125810" w14:paraId="2ABC091C"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4D11F572" w14:textId="77777777" w:rsidR="00C20512" w:rsidRPr="00125810" w:rsidRDefault="00C20512" w:rsidP="002A3CB3">
            <w:pPr>
              <w:pStyle w:val="NoSpacing"/>
            </w:pPr>
            <w:r w:rsidRPr="00125810">
              <w:t>Min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01F80C" w14:textId="77777777" w:rsidR="00C20512" w:rsidRPr="00125810" w:rsidRDefault="00C20512" w:rsidP="002A3CB3">
            <w:pPr>
              <w:pStyle w:val="NoSpacing"/>
            </w:pPr>
            <w:r w:rsidRPr="00125810">
              <w:t>0.68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795B1D5" w14:textId="77777777" w:rsidR="00C20512" w:rsidRPr="00125810" w:rsidRDefault="00C20512" w:rsidP="002A3CB3">
            <w:pPr>
              <w:pStyle w:val="NoSpacing"/>
            </w:pPr>
            <w:r w:rsidRPr="00125810">
              <w:t>0</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4D4318A" w14:textId="77777777" w:rsidR="00C20512" w:rsidRPr="00125810" w:rsidRDefault="00C20512" w:rsidP="002A3CB3">
            <w:pPr>
              <w:pStyle w:val="NoSpacing"/>
            </w:pPr>
            <w:r w:rsidRPr="00125810">
              <w:t>0</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B7D4A09" w14:textId="77777777" w:rsidR="00C20512" w:rsidRPr="00125810" w:rsidRDefault="00C20512" w:rsidP="002A3CB3">
            <w:pPr>
              <w:pStyle w:val="NoSpacing"/>
            </w:pPr>
            <w:r w:rsidRPr="00125810">
              <w:t>4.38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08DF903" w14:textId="77777777" w:rsidR="00C20512" w:rsidRPr="00125810" w:rsidRDefault="00C20512" w:rsidP="002A3CB3">
            <w:pPr>
              <w:pStyle w:val="NoSpacing"/>
            </w:pPr>
            <w:r w:rsidRPr="00125810">
              <w:t>13.12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196B557" w14:textId="77777777" w:rsidR="00C20512" w:rsidRPr="00125810" w:rsidRDefault="00C20512" w:rsidP="002A3CB3">
            <w:pPr>
              <w:pStyle w:val="NoSpacing"/>
            </w:pPr>
            <w:r w:rsidRPr="00125810">
              <w:t>2.48</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DB7AEDD" w14:textId="77777777" w:rsidR="00C20512" w:rsidRPr="00125810" w:rsidRDefault="00C20512" w:rsidP="002A3CB3">
            <w:pPr>
              <w:pStyle w:val="NoSpacing"/>
            </w:pPr>
            <w:r w:rsidRPr="00125810">
              <w:t>0.27</w:t>
            </w:r>
          </w:p>
        </w:tc>
      </w:tr>
      <w:tr w:rsidR="00C20512" w:rsidRPr="00125810" w14:paraId="489F4773"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0AB65330" w14:textId="77777777" w:rsidR="00C20512" w:rsidRPr="00125810" w:rsidRDefault="00C20512" w:rsidP="002A3CB3">
            <w:pPr>
              <w:pStyle w:val="NoSpacing"/>
            </w:pPr>
            <w:r w:rsidRPr="00125810">
              <w:t>Avg.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A20E04" w14:textId="77777777" w:rsidR="00C20512" w:rsidRPr="00125810" w:rsidRDefault="00C20512" w:rsidP="002A3CB3">
            <w:pPr>
              <w:pStyle w:val="NoSpacing"/>
            </w:pPr>
            <w:r w:rsidRPr="00125810">
              <w:t>1.1127</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7005E0F" w14:textId="77777777" w:rsidR="00C20512" w:rsidRPr="00125810" w:rsidRDefault="00C20512" w:rsidP="002A3CB3">
            <w:pPr>
              <w:pStyle w:val="NoSpacing"/>
            </w:pPr>
            <w:r w:rsidRPr="00125810">
              <w:t>0.7665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4253E8A" w14:textId="77777777" w:rsidR="00C20512" w:rsidRPr="00125810" w:rsidRDefault="00C20512" w:rsidP="002A3CB3">
            <w:pPr>
              <w:pStyle w:val="NoSpacing"/>
            </w:pPr>
            <w:r w:rsidRPr="00125810">
              <w:t>8.406</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3DD0CD9" w14:textId="77777777" w:rsidR="00C20512" w:rsidRPr="00125810" w:rsidRDefault="00C20512" w:rsidP="002A3CB3">
            <w:pPr>
              <w:pStyle w:val="NoSpacing"/>
            </w:pPr>
            <w:r w:rsidRPr="00125810">
              <w:t>29.05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242BD12" w14:textId="77777777" w:rsidR="00C20512" w:rsidRPr="00125810" w:rsidRDefault="00C20512" w:rsidP="002A3CB3">
            <w:pPr>
              <w:pStyle w:val="NoSpacing"/>
            </w:pPr>
            <w:r w:rsidRPr="00125810">
              <w:t>133.76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55C2605" w14:textId="77777777" w:rsidR="00C20512" w:rsidRPr="00125810" w:rsidRDefault="00C20512" w:rsidP="002A3CB3">
            <w:pPr>
              <w:pStyle w:val="NoSpacing"/>
            </w:pPr>
            <w:r w:rsidRPr="00125810">
              <w:t>3.661</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B2B566B" w14:textId="77777777" w:rsidR="00C20512" w:rsidRPr="00125810" w:rsidRDefault="00C20512" w:rsidP="002A3CB3">
            <w:pPr>
              <w:pStyle w:val="NoSpacing"/>
            </w:pPr>
            <w:r w:rsidRPr="00125810">
              <w:t>3.618</w:t>
            </w:r>
          </w:p>
        </w:tc>
      </w:tr>
      <w:tr w:rsidR="00C20512" w:rsidRPr="00125810" w14:paraId="48D9923D" w14:textId="77777777">
        <w:trPr>
          <w:trHeight w:val="880"/>
        </w:trPr>
        <w:tc>
          <w:tcPr>
            <w:tcW w:w="1866" w:type="dxa"/>
            <w:tcBorders>
              <w:top w:val="single" w:sz="4" w:space="0" w:color="auto"/>
              <w:left w:val="single" w:sz="4" w:space="0" w:color="auto"/>
              <w:bottom w:val="single" w:sz="4" w:space="0" w:color="auto"/>
              <w:right w:val="single" w:sz="4" w:space="0" w:color="auto"/>
            </w:tcBorders>
            <w:vAlign w:val="center"/>
            <w:hideMark/>
          </w:tcPr>
          <w:p w14:paraId="2184D4EE" w14:textId="77777777" w:rsidR="00C20512" w:rsidRPr="00125810" w:rsidRDefault="00C20512" w:rsidP="002A3CB3">
            <w:pPr>
              <w:pStyle w:val="NoSpacing"/>
            </w:pPr>
            <w:r w:rsidRPr="00125810">
              <w:t>ADI (mg/60 days)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9733E" w14:textId="77777777" w:rsidR="00C20512" w:rsidRPr="00125810" w:rsidRDefault="00C20512" w:rsidP="002A3CB3">
            <w:pPr>
              <w:pStyle w:val="NoSpacing"/>
            </w:pPr>
            <w:r w:rsidRPr="00125810">
              <w:t>0.06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9F707FC" w14:textId="77777777" w:rsidR="00C20512" w:rsidRPr="00125810" w:rsidRDefault="00C20512" w:rsidP="002A3CB3">
            <w:pPr>
              <w:pStyle w:val="NoSpacing"/>
            </w:pPr>
            <w:r w:rsidRPr="00125810">
              <w:t>1.8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4FA2F21" w14:textId="77777777" w:rsidR="00C20512" w:rsidRPr="00125810" w:rsidRDefault="00C20512" w:rsidP="002A3CB3">
            <w:pPr>
              <w:pStyle w:val="NoSpacing"/>
            </w:pPr>
            <w:r w:rsidRPr="00125810">
              <w:t>18</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CEEE400" w14:textId="77777777" w:rsidR="00C20512" w:rsidRPr="00125810" w:rsidRDefault="00C20512" w:rsidP="002A3CB3">
            <w:pPr>
              <w:pStyle w:val="NoSpacing"/>
            </w:pPr>
            <w:r w:rsidRPr="00125810">
              <w:t>4.2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3AD93C4" w14:textId="77777777" w:rsidR="00C20512" w:rsidRPr="00125810" w:rsidRDefault="00C20512" w:rsidP="002A3CB3">
            <w:pPr>
              <w:pStyle w:val="NoSpacing"/>
            </w:pPr>
            <w:r w:rsidRPr="00125810">
              <w:t>0.66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050A8FC9" w14:textId="77777777" w:rsidR="00C20512" w:rsidRPr="00125810" w:rsidRDefault="00C20512" w:rsidP="002A3CB3">
            <w:pPr>
              <w:pStyle w:val="NoSpacing"/>
            </w:pPr>
            <w:r w:rsidRPr="00125810">
              <w:t>0.78</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13AD3BC" w14:textId="77777777" w:rsidR="00C20512" w:rsidRPr="00125810" w:rsidRDefault="00C20512" w:rsidP="002A3CB3">
            <w:pPr>
              <w:pStyle w:val="NoSpacing"/>
            </w:pPr>
            <w:r w:rsidRPr="00125810">
              <w:t>0.216</w:t>
            </w:r>
          </w:p>
        </w:tc>
      </w:tr>
      <w:tr w:rsidR="00C20512" w:rsidRPr="00125810" w14:paraId="38E4C724"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5DCBF7D0" w14:textId="77777777" w:rsidR="00C20512" w:rsidRPr="00125810" w:rsidRDefault="00C20512" w:rsidP="002A3CB3">
            <w:pPr>
              <w:pStyle w:val="NoSpacing"/>
            </w:pPr>
            <w:r w:rsidRPr="00125810">
              <w:t>EDI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EEE111" w14:textId="77777777" w:rsidR="00C20512" w:rsidRPr="00125810" w:rsidRDefault="00C20512" w:rsidP="002A3CB3">
            <w:pPr>
              <w:pStyle w:val="NoSpacing"/>
            </w:pPr>
            <w:r w:rsidRPr="00125810">
              <w:t>2.9672E-05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0B3D48B5" w14:textId="77777777" w:rsidR="00C20512" w:rsidRPr="00125810" w:rsidRDefault="00C20512" w:rsidP="002A3CB3">
            <w:pPr>
              <w:pStyle w:val="NoSpacing"/>
            </w:pPr>
            <w:r w:rsidRPr="00125810">
              <w:t>2.04E-05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91B0139" w14:textId="77777777" w:rsidR="00C20512" w:rsidRPr="00125810" w:rsidRDefault="00C20512" w:rsidP="002A3CB3">
            <w:pPr>
              <w:pStyle w:val="NoSpacing"/>
            </w:pPr>
            <w:r w:rsidRPr="00125810">
              <w:t>0.000224</w:t>
            </w:r>
          </w:p>
        </w:tc>
        <w:tc>
          <w:tcPr>
            <w:tcW w:w="1079" w:type="dxa"/>
            <w:tcBorders>
              <w:top w:val="single" w:sz="4" w:space="0" w:color="auto"/>
              <w:left w:val="single" w:sz="4" w:space="0" w:color="auto"/>
              <w:bottom w:val="single" w:sz="4" w:space="0" w:color="auto"/>
              <w:right w:val="single" w:sz="4" w:space="0" w:color="auto"/>
            </w:tcBorders>
            <w:vAlign w:val="center"/>
            <w:hideMark/>
          </w:tcPr>
          <w:p w14:paraId="2C0ACDC3" w14:textId="77777777" w:rsidR="00C20512" w:rsidRPr="00125810" w:rsidRDefault="00C20512" w:rsidP="002A3CB3">
            <w:pPr>
              <w:pStyle w:val="NoSpacing"/>
            </w:pPr>
            <w:r w:rsidRPr="00125810">
              <w:t>0.000775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5847474" w14:textId="77777777" w:rsidR="00C20512" w:rsidRPr="00125810" w:rsidRDefault="00C20512" w:rsidP="002A3CB3">
            <w:pPr>
              <w:pStyle w:val="NoSpacing"/>
            </w:pPr>
            <w:r w:rsidRPr="00125810">
              <w:t>0.003567</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5744BFA" w14:textId="77777777" w:rsidR="00C20512" w:rsidRPr="00125810" w:rsidRDefault="00C20512" w:rsidP="002A3CB3">
            <w:pPr>
              <w:pStyle w:val="NoSpacing"/>
            </w:pPr>
            <w:r w:rsidRPr="00125810">
              <w:t>9.76E-05</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9937463" w14:textId="77777777" w:rsidR="00C20512" w:rsidRPr="00125810" w:rsidRDefault="00C20512" w:rsidP="002A3CB3">
            <w:pPr>
              <w:pStyle w:val="NoSpacing"/>
            </w:pPr>
            <w:r w:rsidRPr="00125810">
              <w:t>9.65E-05</w:t>
            </w:r>
          </w:p>
        </w:tc>
      </w:tr>
      <w:tr w:rsidR="00C20512" w:rsidRPr="00125810" w14:paraId="7D286431"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3BB88D5D" w14:textId="77777777" w:rsidR="00C20512" w:rsidRPr="00125810" w:rsidRDefault="00C20512" w:rsidP="002A3CB3">
            <w:pPr>
              <w:pStyle w:val="NoSpacing"/>
            </w:pPr>
            <w:r w:rsidRPr="00125810">
              <w:t>HQ</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40818" w14:textId="77777777" w:rsidR="00C20512" w:rsidRPr="00125810" w:rsidRDefault="00C20512" w:rsidP="002A3CB3">
            <w:pPr>
              <w:pStyle w:val="NoSpacing"/>
            </w:pPr>
            <w:r w:rsidRPr="00125810">
              <w:t>0.04945333</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5875C5B" w14:textId="77777777" w:rsidR="00C20512" w:rsidRPr="00125810" w:rsidRDefault="00C20512" w:rsidP="002A3CB3">
            <w:pPr>
              <w:pStyle w:val="NoSpacing"/>
            </w:pPr>
            <w:r w:rsidRPr="00125810">
              <w:t>0.001136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4EEEE84" w14:textId="77777777" w:rsidR="00C20512" w:rsidRPr="00125810" w:rsidRDefault="00C20512" w:rsidP="002A3CB3">
            <w:pPr>
              <w:pStyle w:val="NoSpacing"/>
            </w:pPr>
            <w:r w:rsidRPr="00125810">
              <w:t>0.001245</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D412788" w14:textId="77777777" w:rsidR="00C20512" w:rsidRPr="00125810" w:rsidRDefault="00C20512" w:rsidP="002A3CB3">
            <w:pPr>
              <w:pStyle w:val="NoSpacing"/>
            </w:pPr>
            <w:r w:rsidRPr="00125810">
              <w:t>0.018444</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7963D56" w14:textId="77777777" w:rsidR="00C20512" w:rsidRPr="00125810" w:rsidRDefault="00C20512" w:rsidP="002A3CB3">
            <w:pPr>
              <w:pStyle w:val="NoSpacing"/>
            </w:pPr>
            <w:r w:rsidRPr="00125810">
              <w:t>0.540444</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9BBD72B" w14:textId="77777777" w:rsidR="00C20512" w:rsidRPr="00125810" w:rsidRDefault="00C20512" w:rsidP="002A3CB3">
            <w:pPr>
              <w:pStyle w:val="NoSpacing"/>
            </w:pPr>
            <w:r w:rsidRPr="00125810">
              <w:t>0.012516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63A7F0A" w14:textId="77777777" w:rsidR="00C20512" w:rsidRPr="00125810" w:rsidRDefault="00C20512" w:rsidP="002A3CB3">
            <w:pPr>
              <w:pStyle w:val="NoSpacing"/>
            </w:pPr>
            <w:r w:rsidRPr="00125810">
              <w:t>0.044667</w:t>
            </w:r>
          </w:p>
        </w:tc>
      </w:tr>
    </w:tbl>
    <w:p w14:paraId="5FD981D7" w14:textId="77777777" w:rsidR="008D6ADE" w:rsidRDefault="008D6ADE" w:rsidP="009122BE">
      <w:pPr>
        <w:spacing w:line="480" w:lineRule="auto"/>
        <w:jc w:val="both"/>
        <w:rPr>
          <w:rFonts w:ascii="Times New Roman" w:hAnsi="Times New Roman" w:cs="Times New Roman"/>
        </w:rPr>
      </w:pPr>
    </w:p>
    <w:p w14:paraId="02D062CE" w14:textId="7D2D578E" w:rsidR="009122BE" w:rsidRPr="009F60B4" w:rsidRDefault="00C20512" w:rsidP="009122BE">
      <w:pPr>
        <w:spacing w:line="480" w:lineRule="auto"/>
        <w:jc w:val="both"/>
        <w:rPr>
          <w:rFonts w:ascii="Times New Roman" w:hAnsi="Times New Roman" w:cs="Times New Roman"/>
        </w:rPr>
      </w:pPr>
      <w:r w:rsidRPr="00125810">
        <w:rPr>
          <w:rFonts w:ascii="Times New Roman" w:hAnsi="Times New Roman" w:cs="Times New Roman"/>
        </w:rPr>
        <w:t> </w:t>
      </w:r>
      <w:r w:rsidR="009122BE" w:rsidRPr="009F60B4">
        <w:t xml:space="preserve">Table </w:t>
      </w:r>
      <w:r w:rsidR="000C10E6">
        <w:t>7</w:t>
      </w:r>
      <w:r w:rsidR="009122BE" w:rsidRPr="009F60B4">
        <w:t xml:space="preserve"> presents the concentrations of cadmium (Cd), cobalt (Co), chromium (Cr), copper (Cu), manganese (Mn), nickel (Ni), and lead (Pb) in spices sold in Abuja. The results reveal wide variations, with manganese showing the highest mean concentration of 445.86 </w:t>
      </w:r>
      <w:r w:rsidR="008A2875" w:rsidRPr="004A1EC2">
        <w:rPr>
          <w:rFonts w:ascii="Times New Roman" w:hAnsi="Times New Roman" w:cs="Times New Roman"/>
        </w:rPr>
        <w:t>75 mg kg⁻¹</w:t>
      </w:r>
      <w:r w:rsidR="009122BE" w:rsidRPr="009F60B4">
        <w:t xml:space="preserve"> and a maximum of 1,660.79 </w:t>
      </w:r>
      <w:r w:rsidR="008A2875" w:rsidRPr="004A1EC2">
        <w:rPr>
          <w:rFonts w:ascii="Times New Roman" w:hAnsi="Times New Roman" w:cs="Times New Roman"/>
        </w:rPr>
        <w:t>75 mg kg⁻¹</w:t>
      </w:r>
      <w:r w:rsidR="009122BE" w:rsidRPr="009F60B4">
        <w:t xml:space="preserve">, followed by copper at an average of 30.80 </w:t>
      </w:r>
      <w:r w:rsidR="008A2875" w:rsidRPr="004A1EC2">
        <w:rPr>
          <w:rFonts w:ascii="Times New Roman" w:hAnsi="Times New Roman" w:cs="Times New Roman"/>
        </w:rPr>
        <w:t>75 mg kg⁻¹</w:t>
      </w:r>
      <w:r w:rsidR="009122BE" w:rsidRPr="009F60B4">
        <w:t xml:space="preserve">and a maximum of 66.97 </w:t>
      </w:r>
      <w:r w:rsidR="008A2875" w:rsidRPr="009F60B4">
        <w:t>mg/</w:t>
      </w:r>
      <w:r w:rsidR="00A70A03">
        <w:t>kg 75</w:t>
      </w:r>
      <w:r w:rsidR="008A2875" w:rsidRPr="004A1EC2">
        <w:rPr>
          <w:rFonts w:ascii="Times New Roman" w:hAnsi="Times New Roman" w:cs="Times New Roman"/>
        </w:rPr>
        <w:t xml:space="preserve"> mg kg⁻¹</w:t>
      </w:r>
      <w:r w:rsidR="009122BE" w:rsidRPr="009F60B4">
        <w:t xml:space="preserve">, and lead at 14.42 </w:t>
      </w:r>
      <w:r w:rsidR="008D6ADE" w:rsidRPr="004A1EC2">
        <w:rPr>
          <w:rFonts w:ascii="Times New Roman" w:hAnsi="Times New Roman" w:cs="Times New Roman"/>
        </w:rPr>
        <w:t>mg kg⁻¹</w:t>
      </w:r>
      <w:r w:rsidR="009122BE" w:rsidRPr="009F60B4">
        <w:t xml:space="preserve">with a maximum of 77 </w:t>
      </w:r>
      <w:r w:rsidR="008D6ADE" w:rsidRPr="004A1EC2">
        <w:rPr>
          <w:rFonts w:ascii="Times New Roman" w:hAnsi="Times New Roman" w:cs="Times New Roman"/>
        </w:rPr>
        <w:t>mg kg⁻¹</w:t>
      </w:r>
      <w:r w:rsidR="009122BE" w:rsidRPr="009F60B4">
        <w:t xml:space="preserve">. Lower averages were recorded for cadmium (0.65 </w:t>
      </w:r>
      <w:r w:rsidR="008A2875" w:rsidRPr="004A1EC2">
        <w:rPr>
          <w:rFonts w:ascii="Times New Roman" w:hAnsi="Times New Roman" w:cs="Times New Roman"/>
        </w:rPr>
        <w:t>75 mg kg⁻¹</w:t>
      </w:r>
      <w:r w:rsidR="009122BE" w:rsidRPr="009F60B4">
        <w:t xml:space="preserve">), nickel (5.59 </w:t>
      </w:r>
      <w:r w:rsidR="008A2875" w:rsidRPr="004A1EC2">
        <w:rPr>
          <w:rFonts w:ascii="Times New Roman" w:hAnsi="Times New Roman" w:cs="Times New Roman"/>
        </w:rPr>
        <w:t>75 mg kg⁻¹</w:t>
      </w:r>
      <w:r w:rsidR="009122BE" w:rsidRPr="009F60B4">
        <w:t xml:space="preserve">), chromium (7.86 </w:t>
      </w:r>
      <w:r w:rsidR="008A2875" w:rsidRPr="004A1EC2">
        <w:rPr>
          <w:rFonts w:ascii="Times New Roman" w:hAnsi="Times New Roman" w:cs="Times New Roman"/>
        </w:rPr>
        <w:t>75 mg kg⁻¹</w:t>
      </w:r>
      <w:r w:rsidR="009122BE" w:rsidRPr="009F60B4">
        <w:t xml:space="preserve">), and cobalt (0.18 </w:t>
      </w:r>
      <w:r w:rsidR="008A2875" w:rsidRPr="004A1EC2">
        <w:rPr>
          <w:rFonts w:ascii="Times New Roman" w:hAnsi="Times New Roman" w:cs="Times New Roman"/>
        </w:rPr>
        <w:t>75 mg kg⁻¹</w:t>
      </w:r>
      <w:r w:rsidR="009122BE" w:rsidRPr="009F60B4">
        <w:t>). The minimum values for cobalt, chromium, and lead were zero, indicating variability across samples.</w:t>
      </w:r>
    </w:p>
    <w:p w14:paraId="0F6B3CA6" w14:textId="7065E69B" w:rsidR="009122BE" w:rsidRPr="009F60B4" w:rsidRDefault="009122BE" w:rsidP="009122BE">
      <w:pPr>
        <w:spacing w:line="480" w:lineRule="auto"/>
        <w:jc w:val="both"/>
      </w:pPr>
      <w:r w:rsidRPr="009F60B4">
        <w:t>The estimated daily intake (EDI) was generally low at less than 0.01 mg/day for most metals, except for manganese</w:t>
      </w:r>
      <w:r w:rsidR="005018BC">
        <w:t>,</w:t>
      </w:r>
      <w:r w:rsidRPr="009F60B4">
        <w:t xml:space="preserve"> which reached 0.074 mg/day. Hazard quotient (HQ) results indicated that </w:t>
      </w:r>
      <w:r w:rsidRPr="009F60B4">
        <w:lastRenderedPageBreak/>
        <w:t>manganese</w:t>
      </w:r>
      <w:r w:rsidR="00A70A03">
        <w:t>,</w:t>
      </w:r>
      <w:r w:rsidRPr="009F60B4">
        <w:t xml:space="preserve"> with a value of 11.26</w:t>
      </w:r>
      <w:r w:rsidR="00A70A03">
        <w:t>,</w:t>
      </w:r>
      <w:r w:rsidRPr="009F60B4">
        <w:t xml:space="preserve"> and lead</w:t>
      </w:r>
      <w:r w:rsidR="00A70A03">
        <w:t>,</w:t>
      </w:r>
      <w:r w:rsidRPr="009F60B4">
        <w:t xml:space="preserve"> with a value of 1.11</w:t>
      </w:r>
      <w:r w:rsidR="008A2875">
        <w:t>,</w:t>
      </w:r>
      <w:r w:rsidRPr="009F60B4">
        <w:t xml:space="preserve"> exceeded the safety threshold of 1, suggesting significant non-carcinogenic risks</w:t>
      </w:r>
      <w:r w:rsidR="00A70A03">
        <w:t>,</w:t>
      </w:r>
      <w:r w:rsidRPr="009F60B4">
        <w:t xml:space="preserve"> including neurotoxicity for manganese and developmental toxicity for lead. Other metals</w:t>
      </w:r>
      <w:r w:rsidR="00A70A03">
        <w:t>,</w:t>
      </w:r>
      <w:r w:rsidRPr="009F60B4">
        <w:t xml:space="preserve"> such as cadmium (HQ = 0.18), copper (HQ = 0.12), nickel (HQ = 0.12), cobalt (HQ = 0.002), and chromium (HQ = 0.007)</w:t>
      </w:r>
      <w:r w:rsidR="00A70A03">
        <w:t>,</w:t>
      </w:r>
      <w:r w:rsidRPr="009F60B4">
        <w:t xml:space="preserve"> posed minimal risks from normal consumption.</w:t>
      </w:r>
    </w:p>
    <w:p w14:paraId="20026E8C" w14:textId="104CAFCA" w:rsidR="009122BE" w:rsidRPr="009F60B4" w:rsidRDefault="009122BE" w:rsidP="009122BE">
      <w:pPr>
        <w:spacing w:line="480" w:lineRule="auto"/>
        <w:jc w:val="both"/>
      </w:pPr>
      <w:r w:rsidRPr="009F60B4">
        <w:t xml:space="preserve">These findings are consistent with earlier Nigerian and international studies but suggest that Abuja shows more severe contamination in certain cases. Manganese levels in Abuja spices averaged 446 </w:t>
      </w:r>
      <w:r w:rsidR="008A2875" w:rsidRPr="004A1EC2">
        <w:rPr>
          <w:rFonts w:ascii="Times New Roman" w:hAnsi="Times New Roman" w:cs="Times New Roman"/>
        </w:rPr>
        <w:t>75 mg kg⁻¹</w:t>
      </w:r>
      <w:r w:rsidRPr="009F60B4">
        <w:t xml:space="preserve">, far higher than values reported in southeastern Nigerian spices, which reached up to 182 </w:t>
      </w:r>
      <w:r w:rsidR="008A2875" w:rsidRPr="004A1EC2">
        <w:rPr>
          <w:rFonts w:ascii="Times New Roman" w:hAnsi="Times New Roman" w:cs="Times New Roman"/>
        </w:rPr>
        <w:t>75 mg kg⁻¹</w:t>
      </w:r>
      <w:r w:rsidRPr="009F60B4">
        <w:t xml:space="preserve">, and well above the global herbal tea range of 10–200 </w:t>
      </w:r>
      <w:r w:rsidR="008A2875" w:rsidRPr="004A1EC2">
        <w:rPr>
          <w:rFonts w:ascii="Times New Roman" w:hAnsi="Times New Roman" w:cs="Times New Roman"/>
        </w:rPr>
        <w:t>75 mg kg⁻¹</w:t>
      </w:r>
      <w:r w:rsidRPr="009F60B4">
        <w:t xml:space="preserve">. Similar manganese-driven risks with HQ values above 1 were previously reported in Nigerian herbal concoctions as noted by Orisakwe </w:t>
      </w:r>
      <w:r w:rsidRPr="009F60B4">
        <w:rPr>
          <w:i/>
          <w:iCs/>
        </w:rPr>
        <w:t>et al</w:t>
      </w:r>
      <w:r w:rsidRPr="009F60B4">
        <w:t xml:space="preserve">. (2020) and </w:t>
      </w:r>
      <w:r w:rsidR="005018BC" w:rsidRPr="0002025B">
        <w:t>Babandi</w:t>
      </w:r>
      <w:r w:rsidRPr="009F60B4">
        <w:t xml:space="preserve"> </w:t>
      </w:r>
      <w:r w:rsidRPr="009F60B4">
        <w:rPr>
          <w:i/>
          <w:iCs/>
        </w:rPr>
        <w:t>et al</w:t>
      </w:r>
      <w:r w:rsidRPr="009F60B4">
        <w:t xml:space="preserve">. (2021). Lead levels in Abuja spices, with an average of 14.42 </w:t>
      </w:r>
      <w:r w:rsidR="008A2875" w:rsidRPr="004A1EC2">
        <w:rPr>
          <w:rFonts w:ascii="Times New Roman" w:hAnsi="Times New Roman" w:cs="Times New Roman"/>
        </w:rPr>
        <w:t>75 mg kg⁻¹</w:t>
      </w:r>
      <w:r w:rsidRPr="009F60B4">
        <w:t>, surpassed those reported in Awka spices</w:t>
      </w:r>
      <w:r w:rsidR="008A2875">
        <w:t>,</w:t>
      </w:r>
      <w:r w:rsidRPr="009F60B4">
        <w:t xml:space="preserve"> where Nnorom </w:t>
      </w:r>
      <w:r w:rsidRPr="009F60B4">
        <w:rPr>
          <w:i/>
          <w:iCs/>
        </w:rPr>
        <w:t>et al</w:t>
      </w:r>
      <w:r w:rsidRPr="009F60B4">
        <w:t xml:space="preserve">. (2020) found 2.61–8.97 </w:t>
      </w:r>
      <w:r w:rsidR="008A2875" w:rsidRPr="004A1EC2">
        <w:rPr>
          <w:rFonts w:ascii="Times New Roman" w:hAnsi="Times New Roman" w:cs="Times New Roman"/>
        </w:rPr>
        <w:t>75 mg kg⁻¹</w:t>
      </w:r>
      <w:r w:rsidRPr="009F60B4">
        <w:t>, and also exceeded values in Enugu food seasonings, though they were lower than herbs in Lagos near e-waste sites</w:t>
      </w:r>
      <w:r w:rsidR="00A70A03">
        <w:t>,</w:t>
      </w:r>
      <w:r w:rsidRPr="009F60B4">
        <w:t xml:space="preserve"> which contained about 101 </w:t>
      </w:r>
      <w:r w:rsidR="008A2875" w:rsidRPr="004A1EC2">
        <w:rPr>
          <w:rFonts w:ascii="Times New Roman" w:hAnsi="Times New Roman" w:cs="Times New Roman"/>
        </w:rPr>
        <w:t>75 mg kg⁻¹</w:t>
      </w:r>
      <w:r w:rsidRPr="009F60B4">
        <w:t>of lead. The HQ above 1 for lead reflects concerns reported in Ado Ekiti herbal plants</w:t>
      </w:r>
      <w:r w:rsidR="008A2875">
        <w:t>,</w:t>
      </w:r>
      <w:r w:rsidRPr="009F60B4">
        <w:t xml:space="preserve"> where lead exposure also posed toxicity risks.</w:t>
      </w:r>
    </w:p>
    <w:p w14:paraId="1857AADB" w14:textId="0A306FDA" w:rsidR="009122BE" w:rsidRDefault="009122BE" w:rsidP="009122BE">
      <w:pPr>
        <w:spacing w:line="480" w:lineRule="auto"/>
        <w:jc w:val="both"/>
      </w:pPr>
      <w:r w:rsidRPr="009F60B4">
        <w:t xml:space="preserve">For cadmium, Abuja recorded an average of 0.65 </w:t>
      </w:r>
      <w:r w:rsidR="008A2875" w:rsidRPr="004A1EC2">
        <w:rPr>
          <w:rFonts w:ascii="Times New Roman" w:hAnsi="Times New Roman" w:cs="Times New Roman"/>
        </w:rPr>
        <w:t>75 mg kg⁻¹</w:t>
      </w:r>
      <w:r w:rsidRPr="009F60B4">
        <w:t xml:space="preserve">with HQ of 0.18, which was higher than undetected values in Ado Ekiti but lower than chili powder reports of about 1.0 </w:t>
      </w:r>
      <w:r w:rsidR="008A2875" w:rsidRPr="004A1EC2">
        <w:rPr>
          <w:rFonts w:ascii="Times New Roman" w:hAnsi="Times New Roman" w:cs="Times New Roman"/>
        </w:rPr>
        <w:t>75 mg kg⁻¹</w:t>
      </w:r>
      <w:r w:rsidRPr="009F60B4">
        <w:t xml:space="preserve">. Copper and nickel levels were higher than values reported in southeastern Nigeria, where copper ranged from 0.06 to </w:t>
      </w:r>
      <w:r w:rsidR="008A2875">
        <w:t>15.75</w:t>
      </w:r>
      <w:r w:rsidR="008A2875" w:rsidRPr="004A1EC2">
        <w:rPr>
          <w:rFonts w:ascii="Times New Roman" w:hAnsi="Times New Roman" w:cs="Times New Roman"/>
        </w:rPr>
        <w:t xml:space="preserve"> mg kg⁻¹</w:t>
      </w:r>
      <w:r w:rsidRPr="009F60B4">
        <w:t>, but the HQ values below 0.2 suggest negligible health risks. Chromium and cobalt showed moderate levels with negligible HQs, similar to values recorded in Port Harcourt spices</w:t>
      </w:r>
      <w:r w:rsidR="008A2875">
        <w:t>,</w:t>
      </w:r>
      <w:r w:rsidRPr="009F60B4">
        <w:t xml:space="preserve"> where chromium ranged between 0.05 and 2.75 </w:t>
      </w:r>
      <w:r w:rsidR="008A2875" w:rsidRPr="004A1EC2">
        <w:rPr>
          <w:rFonts w:ascii="Times New Roman" w:hAnsi="Times New Roman" w:cs="Times New Roman"/>
        </w:rPr>
        <w:t>75 mg kg⁻¹</w:t>
      </w:r>
      <w:r w:rsidRPr="009F60B4">
        <w:t xml:space="preserve">. Overall, the </w:t>
      </w:r>
      <w:r w:rsidRPr="009F60B4">
        <w:lastRenderedPageBreak/>
        <w:t>evidence indicates that spices in Abuja present heightened risks from manganese and lead compared to other Nigerian regions, which may be attributed to industrial activity and soil contamination in the area.</w:t>
      </w:r>
    </w:p>
    <w:p w14:paraId="76425DA9" w14:textId="37C0D3EC" w:rsidR="009122BE" w:rsidRPr="009F60B4" w:rsidRDefault="009122BE" w:rsidP="009122BE">
      <w:pPr>
        <w:spacing w:line="480" w:lineRule="auto"/>
        <w:jc w:val="both"/>
      </w:pPr>
      <w:r w:rsidRPr="009F60B4">
        <w:t xml:space="preserve">Table </w:t>
      </w:r>
      <w:r w:rsidR="000C10E6">
        <w:t>8</w:t>
      </w:r>
      <w:r w:rsidRPr="009F60B4">
        <w:t xml:space="preserve"> summarizes heavy metal levels in herbal teas sold in Abuja. Manganese again dominated with an average concentration of 133.76 </w:t>
      </w:r>
      <w:r w:rsidR="008A2875" w:rsidRPr="004A1EC2">
        <w:rPr>
          <w:rFonts w:ascii="Times New Roman" w:hAnsi="Times New Roman" w:cs="Times New Roman"/>
        </w:rPr>
        <w:t>75 mg kg⁻¹</w:t>
      </w:r>
      <w:r w:rsidRPr="009F60B4">
        <w:t xml:space="preserve"> and a maximum of 598.75 </w:t>
      </w:r>
      <w:r w:rsidR="002D2262" w:rsidRPr="004A1EC2">
        <w:rPr>
          <w:rFonts w:ascii="Times New Roman" w:hAnsi="Times New Roman" w:cs="Times New Roman"/>
        </w:rPr>
        <w:t>mg kg⁻¹</w:t>
      </w:r>
      <w:r w:rsidRPr="009F60B4">
        <w:t xml:space="preserve">, which exceeded global ranges of 10–200 </w:t>
      </w:r>
      <w:r w:rsidR="002D2262" w:rsidRPr="004A1EC2">
        <w:rPr>
          <w:rFonts w:ascii="Times New Roman" w:hAnsi="Times New Roman" w:cs="Times New Roman"/>
        </w:rPr>
        <w:t>mg kg⁻¹</w:t>
      </w:r>
      <w:r w:rsidRPr="009F60B4">
        <w:t xml:space="preserve">but was lower than the levels observed in Abuja spices. This resulted in an estimated daily intake of 0.003567 mg/day and a hazard quotient of 0.54, indicating a moderate non-carcinogenic risk. Lead averaged 3.62 </w:t>
      </w:r>
      <w:r w:rsidR="00A70A03" w:rsidRPr="004A1EC2">
        <w:rPr>
          <w:rFonts w:ascii="Times New Roman" w:hAnsi="Times New Roman" w:cs="Times New Roman"/>
        </w:rPr>
        <w:t>75 mg kg⁻¹</w:t>
      </w:r>
      <w:r w:rsidRPr="009F60B4">
        <w:t>with an HQ of 0.045, also raising some concern, although risks were lower than those associated with spices. The other metals, including cadmium, cobalt, chromium, copper, and nickel, had HQ values below 0.05, indicating negligible risks to consumers.</w:t>
      </w:r>
    </w:p>
    <w:p w14:paraId="6B100EE2" w14:textId="342C59B4" w:rsidR="009122BE" w:rsidRPr="009F60B4" w:rsidRDefault="009122BE" w:rsidP="009122BE">
      <w:pPr>
        <w:spacing w:line="480" w:lineRule="auto"/>
        <w:jc w:val="both"/>
      </w:pPr>
      <w:r w:rsidRPr="009F60B4">
        <w:t xml:space="preserve">In comparison with previous studies, manganese in Abuja herbal teas was lower than values reported by Orisakwe et al. (2020), who found concentrations ranging from 645 to 2300 </w:t>
      </w:r>
      <w:r w:rsidR="00A70A03" w:rsidRPr="004A1EC2">
        <w:rPr>
          <w:rFonts w:ascii="Times New Roman" w:hAnsi="Times New Roman" w:cs="Times New Roman"/>
        </w:rPr>
        <w:t>75 mg kg⁻¹</w:t>
      </w:r>
      <w:r w:rsidRPr="009F60B4">
        <w:t>in Nigerian teas, where hazard quotients exceeded 1 in children. Izah et al. (2021) also reported manganese estimated daily intakes between 2.666 and 5.98 mg/kg body weight per day</w:t>
      </w:r>
      <w:r w:rsidR="00D17E23">
        <w:t>,</w:t>
      </w:r>
      <w:r w:rsidRPr="009F60B4">
        <w:t xml:space="preserve"> with HQ values above 10. Lead concentrations in Abuja herbal teas were lower than values reported in Awka spices, where Nnorom et al. (2020) recorded 2.61–8.97 </w:t>
      </w:r>
      <w:r w:rsidR="00A70A03" w:rsidRPr="004A1EC2">
        <w:rPr>
          <w:rFonts w:ascii="Times New Roman" w:hAnsi="Times New Roman" w:cs="Times New Roman"/>
        </w:rPr>
        <w:t>75 mg kg⁻¹</w:t>
      </w:r>
      <w:r w:rsidRPr="009F60B4">
        <w:t xml:space="preserve">, and also below levels reported in Lagos herbs near e-waste sites that reached about 101 </w:t>
      </w:r>
      <w:r w:rsidR="00A70A03" w:rsidRPr="004A1EC2">
        <w:rPr>
          <w:rFonts w:ascii="Times New Roman" w:hAnsi="Times New Roman" w:cs="Times New Roman"/>
        </w:rPr>
        <w:t>75 mg kg⁻¹</w:t>
      </w:r>
      <w:r w:rsidRPr="009F60B4">
        <w:t xml:space="preserve">. Other metals showed low risks, consistent with Adepoju-Bello </w:t>
      </w:r>
      <w:r w:rsidRPr="009F60B4">
        <w:rPr>
          <w:i/>
          <w:iCs/>
        </w:rPr>
        <w:t>et al</w:t>
      </w:r>
      <w:r w:rsidRPr="009F60B4">
        <w:t>. (2021), who reported hazard quotients below 1 in some Nigerian herbal drinks.</w:t>
      </w:r>
    </w:p>
    <w:p w14:paraId="6217E2EB" w14:textId="77777777" w:rsidR="009122BE" w:rsidRPr="009F60B4" w:rsidRDefault="009122BE" w:rsidP="009122BE">
      <w:pPr>
        <w:spacing w:line="480" w:lineRule="auto"/>
        <w:jc w:val="both"/>
      </w:pPr>
      <w:r w:rsidRPr="009F60B4">
        <w:lastRenderedPageBreak/>
        <w:t>Thus, while herbal teas in Abuja present moderate risks primarily linked to manganese, the severity of contamination is lower compared to spices, where both manganese and lead exceeded the non-carcinogenic risk threshold.</w:t>
      </w:r>
    </w:p>
    <w:p w14:paraId="49694416" w14:textId="69008603" w:rsidR="009122BE" w:rsidRPr="009F60B4" w:rsidRDefault="009122BE" w:rsidP="009122BE">
      <w:pPr>
        <w:spacing w:line="480" w:lineRule="auto"/>
        <w:jc w:val="both"/>
      </w:pPr>
      <w:r w:rsidRPr="009F60B4">
        <w:t>The analysis of heavy metal contamination in spices and herbal teas sold in Abuja highlights manganese and lead as the primary elements of concern. Spices recorded the most severe contamination with manganese</w:t>
      </w:r>
      <w:r w:rsidR="00A70A03">
        <w:t>,</w:t>
      </w:r>
      <w:r w:rsidRPr="009F60B4">
        <w:t xml:space="preserve"> averaging 445.86 </w:t>
      </w:r>
      <w:r w:rsidR="00A70A03" w:rsidRPr="004A1EC2">
        <w:rPr>
          <w:rFonts w:ascii="Times New Roman" w:hAnsi="Times New Roman" w:cs="Times New Roman"/>
        </w:rPr>
        <w:t>75 mg kg⁻¹</w:t>
      </w:r>
      <w:r w:rsidRPr="009F60B4">
        <w:t xml:space="preserve"> and lead averaging 14.42 </w:t>
      </w:r>
      <w:r w:rsidR="00A70A03" w:rsidRPr="004A1EC2">
        <w:rPr>
          <w:rFonts w:ascii="Times New Roman" w:hAnsi="Times New Roman" w:cs="Times New Roman"/>
        </w:rPr>
        <w:t>75 mg kg⁻¹</w:t>
      </w:r>
      <w:r w:rsidRPr="009F60B4">
        <w:t>, resulting in HQ values of 11.26 and 1.11</w:t>
      </w:r>
      <w:r w:rsidR="00A70A03">
        <w:t>,</w:t>
      </w:r>
      <w:r w:rsidRPr="009F60B4">
        <w:t xml:space="preserve"> respectively. In contrast, herbal teas contained lower levels </w:t>
      </w:r>
      <w:r w:rsidR="00A70A03">
        <w:t>of</w:t>
      </w:r>
      <w:r w:rsidRPr="009F60B4">
        <w:t xml:space="preserve"> manganese</w:t>
      </w:r>
      <w:r w:rsidR="00A70A03">
        <w:t>,</w:t>
      </w:r>
      <w:r w:rsidRPr="009F60B4">
        <w:t xml:space="preserve"> averaging 133.76 </w:t>
      </w:r>
      <w:r w:rsidR="00A70A03" w:rsidRPr="004A1EC2">
        <w:rPr>
          <w:rFonts w:ascii="Times New Roman" w:hAnsi="Times New Roman" w:cs="Times New Roman"/>
        </w:rPr>
        <w:t>75 mg kg⁻¹</w:t>
      </w:r>
      <w:r w:rsidR="00A70A03">
        <w:t>,</w:t>
      </w:r>
      <w:r w:rsidRPr="009F60B4">
        <w:t xml:space="preserve"> and lead</w:t>
      </w:r>
      <w:r w:rsidR="00A70A03">
        <w:t>,</w:t>
      </w:r>
      <w:r w:rsidRPr="009F60B4">
        <w:t xml:space="preserve"> averaging 3.62 </w:t>
      </w:r>
      <w:r w:rsidR="00A70A03" w:rsidRPr="004A1EC2">
        <w:rPr>
          <w:rFonts w:ascii="Times New Roman" w:hAnsi="Times New Roman" w:cs="Times New Roman"/>
        </w:rPr>
        <w:t>75 mg kg⁻¹</w:t>
      </w:r>
      <w:r w:rsidRPr="009F60B4">
        <w:t>, producing HQ values of 0.54 and 0.045. Other metals</w:t>
      </w:r>
      <w:r w:rsidR="00A70A03">
        <w:t>,</w:t>
      </w:r>
      <w:r w:rsidRPr="009F60B4">
        <w:t xml:space="preserve"> including cadmium, copper, nickel, chromium, and cobalt</w:t>
      </w:r>
      <w:r w:rsidR="00A70A03">
        <w:t>,</w:t>
      </w:r>
      <w:r w:rsidRPr="009F60B4">
        <w:t xml:space="preserve"> remained below risk thresholds in both product types.</w:t>
      </w:r>
    </w:p>
    <w:p w14:paraId="5543F9BD" w14:textId="6D1F6CBC" w:rsidR="002A3CB3" w:rsidRPr="009122BE" w:rsidRDefault="009122BE" w:rsidP="002A3CB3">
      <w:pPr>
        <w:spacing w:line="480" w:lineRule="auto"/>
        <w:jc w:val="both"/>
      </w:pPr>
      <w:r w:rsidRPr="009F60B4">
        <w:t xml:space="preserve">These results reinforce earlier findings from Nigeria and other regions but position Abuja as a potential contamination hotspot, likely due to urban and industrial pollution. The evidence underscores the need for stricter monitoring, regulatory control, and consumer awareness to minimize health risks, echoing broader calls for food safety enforcement in African markets as emphasized by Asomugha </w:t>
      </w:r>
      <w:r w:rsidRPr="009F60B4">
        <w:rPr>
          <w:i/>
          <w:iCs/>
        </w:rPr>
        <w:t>et al</w:t>
      </w:r>
      <w:r w:rsidRPr="009F60B4">
        <w:t>. (2023).</w:t>
      </w:r>
      <w:r>
        <w:t xml:space="preserve"> </w:t>
      </w:r>
      <w:r w:rsidR="00B305FB" w:rsidRPr="00125810">
        <w:rPr>
          <w:rFonts w:ascii="Times New Roman" w:hAnsi="Times New Roman" w:cs="Times New Roman"/>
        </w:rPr>
        <w:t>The widespread exceedances underscore a significant public health risk and highlight the urgent need for strict monitoring, regulatory enforcement, and quality control in the production of herbal tea and spices in the Federal Capital Territory, Nigeria.</w:t>
      </w:r>
    </w:p>
    <w:p w14:paraId="2BD0A8B2" w14:textId="77777777" w:rsidR="002A3CB3" w:rsidRPr="002A3CB3" w:rsidRDefault="002A3CB3" w:rsidP="002A3CB3">
      <w:pPr>
        <w:spacing w:line="480" w:lineRule="auto"/>
        <w:jc w:val="both"/>
        <w:rPr>
          <w:rFonts w:ascii="Times New Roman" w:hAnsi="Times New Roman" w:cs="Times New Roman"/>
          <w:b/>
          <w:bCs/>
        </w:rPr>
      </w:pPr>
      <w:r w:rsidRPr="002A3CB3">
        <w:rPr>
          <w:rFonts w:ascii="Times New Roman" w:hAnsi="Times New Roman" w:cs="Times New Roman"/>
          <w:b/>
          <w:bCs/>
        </w:rPr>
        <w:t>Conclusion</w:t>
      </w:r>
    </w:p>
    <w:p w14:paraId="7EE470C1" w14:textId="77777777" w:rsidR="002A3CB3" w:rsidRPr="002A3CB3" w:rsidRDefault="002A3CB3" w:rsidP="002A3CB3">
      <w:pPr>
        <w:spacing w:line="480" w:lineRule="auto"/>
        <w:jc w:val="both"/>
        <w:rPr>
          <w:rFonts w:ascii="Times New Roman" w:hAnsi="Times New Roman" w:cs="Times New Roman"/>
        </w:rPr>
      </w:pPr>
      <w:r w:rsidRPr="002A3CB3">
        <w:rPr>
          <w:rFonts w:ascii="Times New Roman" w:hAnsi="Times New Roman" w:cs="Times New Roman"/>
        </w:rPr>
        <w:t xml:space="preserve">The present study highlights a serious public health concern arising from heavy metal contamination in spices and herbal teas sold in Abuja, Nigeria. Spices, particularly ginger, turmeric, black pepper, and yellow pepper, exhibited widespread accumulation of toxic metals, </w:t>
      </w:r>
      <w:r w:rsidRPr="002A3CB3">
        <w:rPr>
          <w:rFonts w:ascii="Times New Roman" w:hAnsi="Times New Roman" w:cs="Times New Roman"/>
        </w:rPr>
        <w:lastRenderedPageBreak/>
        <w:t>with manganese and lead far exceeding safe thresholds. Such contamination poses risks of neurotoxicity, renal damage, and long-term systemic health effects. Although herbal teas generally showed lower contamination levels, the detection of cadmium across all samples and elevated levels of manganese and lead cannot be overlooked.</w:t>
      </w:r>
    </w:p>
    <w:p w14:paraId="6756DE74" w14:textId="3FAEC44B" w:rsidR="00EC0A15" w:rsidRDefault="002A3CB3" w:rsidP="00EC0A15">
      <w:pPr>
        <w:spacing w:line="480" w:lineRule="auto"/>
        <w:jc w:val="both"/>
        <w:rPr>
          <w:rFonts w:ascii="Times New Roman" w:hAnsi="Times New Roman" w:cs="Times New Roman"/>
        </w:rPr>
      </w:pPr>
      <w:r w:rsidRPr="002A3CB3">
        <w:rPr>
          <w:rFonts w:ascii="Times New Roman" w:hAnsi="Times New Roman" w:cs="Times New Roman"/>
        </w:rPr>
        <w:t xml:space="preserve">These findings emphasize the urgent need for continuous monitoring, stricter enforcement of food safety standards, and increased public awareness </w:t>
      </w:r>
      <w:r w:rsidR="0086507B">
        <w:rPr>
          <w:rFonts w:ascii="Times New Roman" w:hAnsi="Times New Roman" w:cs="Times New Roman"/>
        </w:rPr>
        <w:t>of</w:t>
      </w:r>
      <w:r w:rsidRPr="002A3CB3">
        <w:rPr>
          <w:rFonts w:ascii="Times New Roman" w:hAnsi="Times New Roman" w:cs="Times New Roman"/>
        </w:rPr>
        <w:t xml:space="preserve"> the dangers of heavy metal exposure through everyday dietary products. Protecting consumer health demands decisive regulatory action, improved supply chain oversight, and routine surveillance to ensure that widely consumed products like spices and herbal teas remain safe for the population.</w:t>
      </w:r>
    </w:p>
    <w:p w14:paraId="3CCC8CB3" w14:textId="25709A10" w:rsidR="00DD739F" w:rsidRDefault="00DD739F" w:rsidP="002D2262">
      <w:pPr>
        <w:spacing w:line="240" w:lineRule="auto"/>
        <w:rPr>
          <w:rFonts w:ascii="Times New Roman" w:hAnsi="Times New Roman" w:cs="Times New Roman"/>
          <w:b/>
          <w:bCs/>
        </w:rPr>
      </w:pPr>
      <w:r w:rsidRPr="00DD739F">
        <w:rPr>
          <w:rFonts w:ascii="Times New Roman" w:hAnsi="Times New Roman" w:cs="Times New Roman"/>
          <w:b/>
          <w:bCs/>
        </w:rPr>
        <w:t>References</w:t>
      </w:r>
    </w:p>
    <w:p w14:paraId="72822FB8" w14:textId="32162270" w:rsidR="00DD739F" w:rsidRDefault="00DD739F" w:rsidP="002D2262">
      <w:pPr>
        <w:spacing w:line="240" w:lineRule="auto"/>
        <w:ind w:left="426" w:hanging="710"/>
      </w:pPr>
      <w:proofErr w:type="spellStart"/>
      <w:r w:rsidRPr="00C82597">
        <w:t>AigberuaIzah</w:t>
      </w:r>
      <w:proofErr w:type="spellEnd"/>
      <w:r>
        <w:t xml:space="preserve"> </w:t>
      </w:r>
      <w:r w:rsidRPr="00C82597">
        <w:t>A. O., S. C.</w:t>
      </w:r>
      <w:r w:rsidR="008D6ADE" w:rsidRPr="00C82597">
        <w:t xml:space="preserve">, </w:t>
      </w:r>
      <w:proofErr w:type="gramStart"/>
      <w:r w:rsidR="008D6ADE">
        <w:t>and</w:t>
      </w:r>
      <w:r>
        <w:t xml:space="preserve"> </w:t>
      </w:r>
      <w:r w:rsidRPr="00C82597">
        <w:t xml:space="preserve"> Isaac</w:t>
      </w:r>
      <w:proofErr w:type="gramEnd"/>
      <w:r w:rsidRPr="00C82597">
        <w:t xml:space="preserve">, I. U. (2018). </w:t>
      </w:r>
      <w:r w:rsidRPr="00C82597">
        <w:rPr>
          <w:i/>
          <w:iCs/>
        </w:rPr>
        <w:t>Level and Health Risk Assessment of Heavy Metals in Selected Seasonings and Culinary Condiments Used in Nigeria</w:t>
      </w:r>
      <w:r w:rsidRPr="00C82597">
        <w:t xml:space="preserve">. </w:t>
      </w:r>
      <w:r w:rsidRPr="00C82597">
        <w:rPr>
          <w:i/>
          <w:iCs/>
        </w:rPr>
        <w:t>8</w:t>
      </w:r>
      <w:r w:rsidRPr="00C82597">
        <w:t xml:space="preserve">. </w:t>
      </w:r>
      <w:hyperlink w:history="1">
        <w:r w:rsidRPr="00C82597">
          <w:rPr>
            <w:rStyle w:val="Hyperlink"/>
          </w:rPr>
          <w:t>https://doi.org/10.5376/BE.2018.08.0002</w:t>
        </w:r>
      </w:hyperlink>
    </w:p>
    <w:p w14:paraId="076D895A" w14:textId="77777777" w:rsidR="00DD739F" w:rsidRDefault="00DD739F" w:rsidP="00DD739F">
      <w:pPr>
        <w:spacing w:line="240" w:lineRule="auto"/>
        <w:ind w:left="426" w:hanging="710"/>
        <w:jc w:val="both"/>
      </w:pPr>
      <w:r w:rsidRPr="003F198A">
        <w:t>Ade, T., Eze, C.,</w:t>
      </w:r>
      <w:r>
        <w:t xml:space="preserve"> </w:t>
      </w:r>
      <w:r w:rsidRPr="003F198A">
        <w:t xml:space="preserve">and Musa, J. (2020). </w:t>
      </w:r>
      <w:r>
        <w:t>Environmental contamination sources in the Federal Capital Territory: Implications for public health. Journal of Environmental Studies, 12 (3), 45–60.</w:t>
      </w:r>
    </w:p>
    <w:p w14:paraId="103AFD91" w14:textId="77777777" w:rsidR="00DD739F" w:rsidRDefault="00DD739F" w:rsidP="00DD739F">
      <w:pPr>
        <w:spacing w:line="240" w:lineRule="auto"/>
        <w:ind w:left="426" w:hanging="710"/>
        <w:jc w:val="both"/>
      </w:pPr>
      <w:r>
        <w:t xml:space="preserve">Adepoju-Bello, A. A., Issa, O. A., </w:t>
      </w:r>
      <w:proofErr w:type="spellStart"/>
      <w:r>
        <w:t>Oguntibeju</w:t>
      </w:r>
      <w:proofErr w:type="spellEnd"/>
      <w:r>
        <w:t xml:space="preserve">, O. O., Ayoola, G. A., and Adejumo, O. E. (2012). Analysis of some selected toxic metals in registered herbal products manufactured in Nigeria. *African Journal of Biotechnology, 11(28), 6918–6922. https://doi.org/10.5897/AJB11.3922  </w:t>
      </w:r>
    </w:p>
    <w:p w14:paraId="421E5C2C" w14:textId="77777777" w:rsidR="00DD739F" w:rsidRPr="00C82597" w:rsidRDefault="00DD739F" w:rsidP="00DD739F">
      <w:pPr>
        <w:spacing w:line="240" w:lineRule="auto"/>
        <w:ind w:left="426" w:hanging="710"/>
        <w:jc w:val="both"/>
      </w:pPr>
      <w:r w:rsidRPr="00C82597">
        <w:t xml:space="preserve">Adepoju-Bello, A. A., Issa, O. A., </w:t>
      </w:r>
      <w:proofErr w:type="spellStart"/>
      <w:r w:rsidRPr="00C82597">
        <w:t>Oguntibeju</w:t>
      </w:r>
      <w:proofErr w:type="spellEnd"/>
      <w:r w:rsidRPr="00C82597">
        <w:t xml:space="preserve">, O. O., Ayoola, G. A., </w:t>
      </w:r>
      <w:r>
        <w:t>and</w:t>
      </w:r>
      <w:r w:rsidRPr="00C82597">
        <w:t xml:space="preserve"> Adejumo, O. E. (2012). Analysis of some selected toxic metals in registered herbal products manufactured in Nigeria. </w:t>
      </w:r>
      <w:r w:rsidRPr="00C82597">
        <w:rPr>
          <w:i/>
          <w:iCs/>
        </w:rPr>
        <w:t>African Journal of Biotechnology, 11</w:t>
      </w:r>
      <w:r w:rsidRPr="00C82597">
        <w:t xml:space="preserve">(28), 6918–6922. </w:t>
      </w:r>
      <w:hyperlink w:tgtFrame="_blank" w:history="1">
        <w:r w:rsidRPr="00C82597">
          <w:rPr>
            <w:rStyle w:val="Hyperlink"/>
          </w:rPr>
          <w:t>https://doi.org/10.5897/AJB11.3922</w:t>
        </w:r>
      </w:hyperlink>
      <w:r w:rsidRPr="00C82597">
        <w:t xml:space="preserve"> </w:t>
      </w:r>
    </w:p>
    <w:p w14:paraId="21C2DC2D" w14:textId="77777777" w:rsidR="00DD739F" w:rsidRDefault="00DD739F" w:rsidP="00DD739F">
      <w:pPr>
        <w:spacing w:after="0" w:line="240" w:lineRule="auto"/>
        <w:ind w:left="709" w:hanging="709"/>
        <w:jc w:val="both"/>
      </w:pPr>
      <w:r>
        <w:t>Adeyemi, A., Olumide, O., and Chukwu, E. (2020). Chromium contamination in food products: Health risks and regulatory challenges. Nigerian Journal of Toxicology, 8(2), 112–125.</w:t>
      </w:r>
    </w:p>
    <w:p w14:paraId="4B857C2B" w14:textId="77777777" w:rsidR="00DD739F" w:rsidRDefault="00DD739F" w:rsidP="00DD739F">
      <w:pPr>
        <w:spacing w:after="0" w:line="240" w:lineRule="auto"/>
        <w:ind w:left="709" w:hanging="709"/>
        <w:jc w:val="both"/>
      </w:pPr>
      <w:r>
        <w:t>Afolabi, O., Okeke, C., and Mohammed, I. (2020). Heavy metal contamination in herbal teas and spices in Ibadan: A comparative analysis. African Journal of Food Science, 14(5), 230–245.</w:t>
      </w:r>
    </w:p>
    <w:p w14:paraId="5AF964F2" w14:textId="77777777" w:rsidR="00DD739F" w:rsidRDefault="00DD739F" w:rsidP="00DD739F">
      <w:pPr>
        <w:spacing w:after="0" w:line="240" w:lineRule="auto"/>
        <w:ind w:left="709" w:hanging="709"/>
        <w:jc w:val="both"/>
      </w:pPr>
      <w:r>
        <w:t xml:space="preserve">Ahmad, S., Khan, M., and Ali, R. (2019). Lead contamination in herbal teas: A global perspective. Journal of Food Safety, 39(4), e12678. </w:t>
      </w:r>
      <w:hyperlink w:history="1">
        <w:r w:rsidRPr="000F593F">
          <w:rPr>
            <w:rStyle w:val="Hyperlink"/>
          </w:rPr>
          <w:t>https://doi.org/10.1111/jfs.12678</w:t>
        </w:r>
      </w:hyperlink>
    </w:p>
    <w:p w14:paraId="2CA28443" w14:textId="77777777" w:rsidR="00DD739F" w:rsidRDefault="00DD739F" w:rsidP="00DD739F">
      <w:pPr>
        <w:spacing w:after="0" w:line="240" w:lineRule="auto"/>
        <w:ind w:left="709" w:hanging="709"/>
        <w:jc w:val="both"/>
      </w:pPr>
      <w:r w:rsidRPr="003F198A">
        <w:t xml:space="preserve">Ali, M., Khan, S., and Rahman, A. (2020). </w:t>
      </w:r>
      <w:r>
        <w:t xml:space="preserve">Manganese levels in green tea: A case study from Pakistan. Food Chemistry, 312, 126045. </w:t>
      </w:r>
      <w:hyperlink w:history="1">
        <w:r w:rsidRPr="000F593F">
          <w:rPr>
            <w:rStyle w:val="Hyperlink"/>
          </w:rPr>
          <w:t>https://doi.org/10.1016/j.foodchem.2019.126045</w:t>
        </w:r>
      </w:hyperlink>
    </w:p>
    <w:p w14:paraId="71B8CAD7" w14:textId="77777777" w:rsidR="00DD739F" w:rsidRDefault="00DD739F" w:rsidP="00DD739F">
      <w:pPr>
        <w:spacing w:after="0" w:line="240" w:lineRule="auto"/>
        <w:ind w:left="709" w:hanging="709"/>
        <w:jc w:val="both"/>
      </w:pPr>
      <w:r w:rsidRPr="00616EF6">
        <w:t>AOAC International. (2000). </w:t>
      </w:r>
      <w:r w:rsidRPr="00616EF6">
        <w:rPr>
          <w:i/>
          <w:iCs/>
        </w:rPr>
        <w:t>Official methods of analysis of AOAC International</w:t>
      </w:r>
      <w:r w:rsidRPr="00616EF6">
        <w:t xml:space="preserve"> (Vol. 17, No. 1-2). AOAC </w:t>
      </w:r>
      <w:r>
        <w:t>International</w:t>
      </w:r>
      <w:r w:rsidRPr="00616EF6">
        <w:t>.</w:t>
      </w:r>
    </w:p>
    <w:p w14:paraId="594A8567" w14:textId="77777777" w:rsidR="00DD739F" w:rsidRDefault="00DD739F" w:rsidP="00DD739F">
      <w:pPr>
        <w:spacing w:line="240" w:lineRule="auto"/>
        <w:ind w:left="426" w:hanging="710"/>
        <w:jc w:val="both"/>
      </w:pPr>
      <w:r>
        <w:lastRenderedPageBreak/>
        <w:t xml:space="preserve">Asomugha, R. U., </w:t>
      </w:r>
      <w:proofErr w:type="spellStart"/>
      <w:r>
        <w:t>Maduabuchi</w:t>
      </w:r>
      <w:proofErr w:type="spellEnd"/>
      <w:r>
        <w:t xml:space="preserve">, U. J., and Orisakwe, O. E. (2023). Street-vended foods in Nigeria: An analysis of the current state of affairs and the way forward. Cogent Food and Agriculture, 9(1), Article 2266194. https://doi.org/10.1080/23311932.2023.2266194  </w:t>
      </w:r>
    </w:p>
    <w:p w14:paraId="1AEC9E75" w14:textId="77777777" w:rsidR="00DD739F" w:rsidRDefault="00DD739F" w:rsidP="00DD739F">
      <w:pPr>
        <w:spacing w:after="0" w:line="240" w:lineRule="auto"/>
        <w:ind w:left="709" w:hanging="709"/>
        <w:jc w:val="both"/>
      </w:pPr>
      <w:proofErr w:type="spellStart"/>
      <w:r w:rsidRPr="0041527C">
        <w:t>Ayanniyi</w:t>
      </w:r>
      <w:proofErr w:type="spellEnd"/>
      <w:r w:rsidRPr="0041527C">
        <w:t xml:space="preserve">, O. A., Ayeni, O. H., Ibitoye, O. S., Aremu, E. A., Wealth, A. S., </w:t>
      </w:r>
      <w:proofErr w:type="spellStart"/>
      <w:r w:rsidRPr="0041527C">
        <w:t>Oyediji</w:t>
      </w:r>
      <w:proofErr w:type="spellEnd"/>
      <w:r w:rsidRPr="0041527C">
        <w:t xml:space="preserve">, O. T., ... </w:t>
      </w:r>
      <w:r>
        <w:t>and</w:t>
      </w:r>
      <w:r w:rsidRPr="0041527C">
        <w:t xml:space="preserve"> </w:t>
      </w:r>
      <w:proofErr w:type="spellStart"/>
      <w:r w:rsidRPr="0041527C">
        <w:t>Aladeokin</w:t>
      </w:r>
      <w:proofErr w:type="spellEnd"/>
      <w:r w:rsidRPr="0041527C">
        <w:t xml:space="preserve">, B. O. (2024). Evaluating estimated daily intake versus acceptable daily intake of heavy metals in </w:t>
      </w:r>
      <w:proofErr w:type="spellStart"/>
      <w:r w:rsidRPr="0041527C">
        <w:t>Farfantepenaeus</w:t>
      </w:r>
      <w:proofErr w:type="spellEnd"/>
      <w:r w:rsidRPr="0041527C">
        <w:t xml:space="preserve"> </w:t>
      </w:r>
      <w:proofErr w:type="spellStart"/>
      <w:r w:rsidRPr="0041527C">
        <w:t>notialis</w:t>
      </w:r>
      <w:proofErr w:type="spellEnd"/>
      <w:r w:rsidRPr="0041527C">
        <w:t xml:space="preserve"> from </w:t>
      </w:r>
      <w:proofErr w:type="spellStart"/>
      <w:r w:rsidRPr="0041527C">
        <w:t>Bodija</w:t>
      </w:r>
      <w:proofErr w:type="spellEnd"/>
      <w:r w:rsidRPr="0041527C">
        <w:t xml:space="preserve"> market, Ibadan: a comprehensive risk assessment. </w:t>
      </w:r>
      <w:r w:rsidRPr="0041527C">
        <w:rPr>
          <w:i/>
          <w:iCs/>
        </w:rPr>
        <w:t>Journal of Research in Forestry, Wildlife and Environment</w:t>
      </w:r>
      <w:r w:rsidRPr="0041527C">
        <w:t>, </w:t>
      </w:r>
      <w:r w:rsidRPr="0041527C">
        <w:rPr>
          <w:i/>
          <w:iCs/>
        </w:rPr>
        <w:t>16</w:t>
      </w:r>
      <w:r w:rsidRPr="0041527C">
        <w:t>(4), 29-38.</w:t>
      </w:r>
    </w:p>
    <w:p w14:paraId="0287A069" w14:textId="77777777" w:rsidR="00DD739F" w:rsidRDefault="00DD739F" w:rsidP="00DD739F">
      <w:pPr>
        <w:spacing w:after="0" w:line="240" w:lineRule="auto"/>
        <w:ind w:left="709" w:hanging="709"/>
        <w:jc w:val="both"/>
      </w:pPr>
      <w:r w:rsidRPr="00EA1124">
        <w:t xml:space="preserve">Ayinde, K. O., Omotosho, S. M., </w:t>
      </w:r>
      <w:proofErr w:type="spellStart"/>
      <w:r w:rsidRPr="00EA1124">
        <w:t>Oyesiku</w:t>
      </w:r>
      <w:proofErr w:type="spellEnd"/>
      <w:r w:rsidRPr="00EA1124">
        <w:t xml:space="preserve">, O. O., Feyisola, R. T., Abiola, O., </w:t>
      </w:r>
      <w:r>
        <w:t>and</w:t>
      </w:r>
      <w:r w:rsidRPr="00EA1124">
        <w:t xml:space="preserve"> Adisa, A. L. (2020). Evaluation of Heavy Metal Pollution from Vehicular Exhausts in Soils along a Highway, Southwestern Nigeria. </w:t>
      </w:r>
      <w:r w:rsidRPr="00EA1124">
        <w:rPr>
          <w:i/>
          <w:iCs/>
        </w:rPr>
        <w:t>International Journal of Environment, Agriculture and Biotechnology</w:t>
      </w:r>
      <w:r w:rsidRPr="00EA1124">
        <w:t>, </w:t>
      </w:r>
      <w:r w:rsidRPr="00EA1124">
        <w:rPr>
          <w:i/>
          <w:iCs/>
        </w:rPr>
        <w:t>5</w:t>
      </w:r>
      <w:r w:rsidRPr="00EA1124">
        <w:t>(6).</w:t>
      </w:r>
    </w:p>
    <w:p w14:paraId="28218E93" w14:textId="3A338523" w:rsidR="00DD739F" w:rsidRDefault="00DD739F" w:rsidP="00DD739F">
      <w:pPr>
        <w:spacing w:after="0" w:line="240" w:lineRule="auto"/>
        <w:ind w:left="709" w:hanging="709"/>
        <w:jc w:val="both"/>
      </w:pPr>
      <w:r w:rsidRPr="00C82597">
        <w:t xml:space="preserve"> </w:t>
      </w:r>
      <w:proofErr w:type="spellStart"/>
      <w:r w:rsidRPr="00C82597">
        <w:t>Babandi</w:t>
      </w:r>
      <w:proofErr w:type="spellEnd"/>
      <w:r w:rsidRPr="00C82597">
        <w:t xml:space="preserve">, A., Yakubu, N., Barau, M. M., Muazu, A. B., Ya’u, M., </w:t>
      </w:r>
      <w:r>
        <w:t>and</w:t>
      </w:r>
      <w:r w:rsidRPr="00C82597">
        <w:t xml:space="preserve"> Najam, W. S. (2021). Assessment of heavy </w:t>
      </w:r>
      <w:r w:rsidR="00A70A03">
        <w:t>metal</w:t>
      </w:r>
      <w:r w:rsidRPr="00C82597">
        <w:t xml:space="preserve"> contamination in some herbal teas sold in Katsina metropolis, Katsina state, Nigeria. </w:t>
      </w:r>
      <w:proofErr w:type="spellStart"/>
      <w:r w:rsidRPr="00C82597">
        <w:rPr>
          <w:i/>
          <w:iCs/>
        </w:rPr>
        <w:t>Dutse</w:t>
      </w:r>
      <w:proofErr w:type="spellEnd"/>
      <w:r w:rsidRPr="00C82597">
        <w:rPr>
          <w:i/>
          <w:iCs/>
        </w:rPr>
        <w:t xml:space="preserve"> Journal of Pure and Applied Sciences, 7</w:t>
      </w:r>
      <w:r w:rsidRPr="00C82597">
        <w:t xml:space="preserve">(3a), 78–86. </w:t>
      </w:r>
      <w:hyperlink w:tgtFrame="_blank" w:history="1">
        <w:r w:rsidRPr="00C82597">
          <w:rPr>
            <w:rStyle w:val="Hyperlink"/>
          </w:rPr>
          <w:t>https://dx.doi.org/10.4314/dujopas.v7i3a.9</w:t>
        </w:r>
      </w:hyperlink>
      <w:r w:rsidRPr="00C82597">
        <w:t xml:space="preserve"> </w:t>
      </w:r>
    </w:p>
    <w:p w14:paraId="2A675A40" w14:textId="55F29CF9" w:rsidR="00DD739F" w:rsidRDefault="00DD739F" w:rsidP="00DD739F">
      <w:pPr>
        <w:spacing w:after="0" w:line="240" w:lineRule="auto"/>
        <w:ind w:left="709" w:hanging="709"/>
        <w:jc w:val="both"/>
      </w:pPr>
      <w:r w:rsidRPr="0002025B">
        <w:t xml:space="preserve">Babandi, A., Yussuff, Y. M., Yakasai, H. M., Ya'u, M., Shehu, D., Ibrahim, S., ... </w:t>
      </w:r>
      <w:r>
        <w:t>and</w:t>
      </w:r>
      <w:r w:rsidRPr="0002025B">
        <w:t xml:space="preserve"> </w:t>
      </w:r>
      <w:proofErr w:type="spellStart"/>
      <w:r w:rsidRPr="0002025B">
        <w:t>Jagaba</w:t>
      </w:r>
      <w:proofErr w:type="spellEnd"/>
      <w:r w:rsidRPr="0002025B">
        <w:t>, A. H. (2024). Determination of heavy metals contamination, risk prediction</w:t>
      </w:r>
      <w:r w:rsidR="00A70A03">
        <w:t>,</w:t>
      </w:r>
      <w:r w:rsidRPr="0002025B">
        <w:t xml:space="preserve"> and antioxidant properties of anti-malarial herbal mixture sold in Kano state, Nigeria. </w:t>
      </w:r>
      <w:r w:rsidRPr="0002025B">
        <w:rPr>
          <w:i/>
          <w:iCs/>
        </w:rPr>
        <w:t>Case Studies in Chemical and Environmental Engineering</w:t>
      </w:r>
      <w:r w:rsidRPr="0002025B">
        <w:t>, </w:t>
      </w:r>
      <w:r w:rsidRPr="0002025B">
        <w:rPr>
          <w:i/>
          <w:iCs/>
        </w:rPr>
        <w:t>9</w:t>
      </w:r>
      <w:r w:rsidRPr="0002025B">
        <w:t>, 100576.</w:t>
      </w:r>
    </w:p>
    <w:p w14:paraId="59FE003F" w14:textId="77777777" w:rsidR="00DD739F" w:rsidRDefault="00DD739F" w:rsidP="00DD739F">
      <w:pPr>
        <w:spacing w:after="0" w:line="240" w:lineRule="auto"/>
        <w:ind w:left="709" w:hanging="709"/>
        <w:jc w:val="both"/>
      </w:pPr>
      <w:r w:rsidRPr="00B73582">
        <w:t xml:space="preserve">Baig, J. A., Bhatti, S., Kazi, T. G., </w:t>
      </w:r>
      <w:r>
        <w:t>and</w:t>
      </w:r>
      <w:r w:rsidRPr="00B73582">
        <w:t xml:space="preserve"> Afridi, H. I. (2019). Evaluation of arsenic, cadmium, nickel</w:t>
      </w:r>
      <w:r>
        <w:t>,</w:t>
      </w:r>
      <w:r w:rsidRPr="00B73582">
        <w:t xml:space="preserve"> and lead in common spices in Pakistan. </w:t>
      </w:r>
      <w:r w:rsidRPr="00B73582">
        <w:rPr>
          <w:i/>
          <w:iCs/>
        </w:rPr>
        <w:t>Biological trace element research</w:t>
      </w:r>
      <w:r w:rsidRPr="00B73582">
        <w:t>, </w:t>
      </w:r>
      <w:r w:rsidRPr="00B73582">
        <w:rPr>
          <w:i/>
          <w:iCs/>
        </w:rPr>
        <w:t>187</w:t>
      </w:r>
      <w:r w:rsidRPr="00B73582">
        <w:t>(2), 586-595.</w:t>
      </w:r>
    </w:p>
    <w:p w14:paraId="005C572B" w14:textId="37DE99B2" w:rsidR="00DD739F" w:rsidRDefault="00DD739F" w:rsidP="00DD739F">
      <w:pPr>
        <w:spacing w:after="0" w:line="240" w:lineRule="auto"/>
        <w:ind w:left="709" w:hanging="709"/>
        <w:jc w:val="both"/>
      </w:pPr>
      <w:r w:rsidRPr="00616EF6">
        <w:t xml:space="preserve">Barriga-Vélez, M. A., Ramírez-Vargas, L. C., </w:t>
      </w:r>
      <w:r w:rsidR="00843996">
        <w:t>López-Barrera, E. A. y</w:t>
      </w:r>
      <w:r w:rsidRPr="00616EF6">
        <w:t xml:space="preserve"> Peña-Rincón, C. A. (2023). Potential ecological risk index for metals in a grazing area, </w:t>
      </w:r>
      <w:proofErr w:type="spellStart"/>
      <w:r w:rsidRPr="00616EF6">
        <w:t>Guasca</w:t>
      </w:r>
      <w:proofErr w:type="spellEnd"/>
      <w:r w:rsidRPr="00616EF6">
        <w:t>, Cundinamarca. </w:t>
      </w:r>
      <w:proofErr w:type="spellStart"/>
      <w:r w:rsidRPr="00616EF6">
        <w:rPr>
          <w:i/>
          <w:iCs/>
        </w:rPr>
        <w:t>Revista</w:t>
      </w:r>
      <w:proofErr w:type="spellEnd"/>
      <w:r w:rsidRPr="00616EF6">
        <w:rPr>
          <w:i/>
          <w:iCs/>
        </w:rPr>
        <w:t xml:space="preserve"> </w:t>
      </w:r>
      <w:proofErr w:type="spellStart"/>
      <w:r w:rsidRPr="00616EF6">
        <w:rPr>
          <w:i/>
          <w:iCs/>
        </w:rPr>
        <w:t>Facultad</w:t>
      </w:r>
      <w:proofErr w:type="spellEnd"/>
      <w:r w:rsidRPr="00616EF6">
        <w:rPr>
          <w:i/>
          <w:iCs/>
        </w:rPr>
        <w:t xml:space="preserve"> de </w:t>
      </w:r>
      <w:proofErr w:type="spellStart"/>
      <w:r w:rsidRPr="00616EF6">
        <w:rPr>
          <w:i/>
          <w:iCs/>
        </w:rPr>
        <w:t>Ingeniería</w:t>
      </w:r>
      <w:proofErr w:type="spellEnd"/>
      <w:r w:rsidRPr="00616EF6">
        <w:rPr>
          <w:i/>
          <w:iCs/>
        </w:rPr>
        <w:t xml:space="preserve"> Universidad de Antioquia</w:t>
      </w:r>
      <w:r w:rsidRPr="00616EF6">
        <w:t xml:space="preserve">, </w:t>
      </w:r>
      <w:r>
        <w:t>106</w:t>
      </w:r>
      <w:r w:rsidRPr="00616EF6">
        <w:t>, 103-112.</w:t>
      </w:r>
    </w:p>
    <w:p w14:paraId="7188BDC5" w14:textId="247A15E0" w:rsidR="00DD739F" w:rsidRDefault="00DD739F" w:rsidP="00DD739F">
      <w:pPr>
        <w:spacing w:after="0" w:line="240" w:lineRule="auto"/>
        <w:ind w:left="709" w:hanging="709"/>
        <w:jc w:val="both"/>
      </w:pPr>
      <w:r>
        <w:t>Beatriz, L., Souza, M. and Ferreira, J. (2021). Heavy metal residues in spices: A focus on black pepper. Journal of Agricultural Science, 13(7), 89–102.</w:t>
      </w:r>
    </w:p>
    <w:p w14:paraId="25E534C4" w14:textId="77777777" w:rsidR="00DD739F" w:rsidRDefault="00DD739F" w:rsidP="00DD739F">
      <w:pPr>
        <w:spacing w:after="0" w:line="240" w:lineRule="auto"/>
        <w:ind w:left="709" w:hanging="709"/>
        <w:jc w:val="both"/>
      </w:pPr>
      <w:proofErr w:type="spellStart"/>
      <w:r>
        <w:t>Borobia</w:t>
      </w:r>
      <w:proofErr w:type="spellEnd"/>
      <w:r>
        <w:t xml:space="preserve">, A., Lopez, M., and Garcia, R. (2020). Copper toxicity: Mechanisms and health impacts. Toxicology Reviews, 39(1), 55–67. </w:t>
      </w:r>
      <w:hyperlink w:history="1">
        <w:r w:rsidRPr="000F593F">
          <w:rPr>
            <w:rStyle w:val="Hyperlink"/>
          </w:rPr>
          <w:t>https://doi.org/10.1007/s12154-019-00234-5</w:t>
        </w:r>
      </w:hyperlink>
    </w:p>
    <w:p w14:paraId="6526115A" w14:textId="77777777" w:rsidR="00DD739F" w:rsidRDefault="00DD739F" w:rsidP="00DD739F">
      <w:pPr>
        <w:spacing w:after="0" w:line="240" w:lineRule="auto"/>
        <w:ind w:left="709" w:hanging="709"/>
        <w:jc w:val="both"/>
      </w:pPr>
      <w:r w:rsidRPr="0041527C">
        <w:t xml:space="preserve">Budi, H. S., Catalan </w:t>
      </w:r>
      <w:proofErr w:type="spellStart"/>
      <w:r w:rsidRPr="0041527C">
        <w:t>Opulencia</w:t>
      </w:r>
      <w:proofErr w:type="spellEnd"/>
      <w:r w:rsidRPr="0041527C">
        <w:t xml:space="preserve">, M. J., Afra, A., </w:t>
      </w:r>
      <w:proofErr w:type="spellStart"/>
      <w:r w:rsidRPr="0041527C">
        <w:t>Abdelbasset</w:t>
      </w:r>
      <w:proofErr w:type="spellEnd"/>
      <w:r w:rsidRPr="0041527C">
        <w:t xml:space="preserve">, W. K., Abdullaev, D., Majdi, A., ... </w:t>
      </w:r>
      <w:r>
        <w:t>and</w:t>
      </w:r>
      <w:r w:rsidRPr="0041527C">
        <w:t xml:space="preserve"> Mohammadi, M. J. (2024). Source, toxicity</w:t>
      </w:r>
      <w:r>
        <w:t>,</w:t>
      </w:r>
      <w:r w:rsidRPr="0041527C">
        <w:t xml:space="preserve"> and carcinogenic health risk assessment of heavy metals. </w:t>
      </w:r>
      <w:r w:rsidRPr="0041527C">
        <w:rPr>
          <w:i/>
          <w:iCs/>
        </w:rPr>
        <w:t>Reviews on Environmental Health</w:t>
      </w:r>
      <w:r w:rsidRPr="0041527C">
        <w:t>, </w:t>
      </w:r>
      <w:r w:rsidRPr="0041527C">
        <w:rPr>
          <w:i/>
          <w:iCs/>
        </w:rPr>
        <w:t>39</w:t>
      </w:r>
      <w:r w:rsidRPr="0041527C">
        <w:t>(1), 77-90.</w:t>
      </w:r>
    </w:p>
    <w:p w14:paraId="007494D9" w14:textId="77777777" w:rsidR="00DD739F" w:rsidRDefault="00DD739F" w:rsidP="00DD739F">
      <w:pPr>
        <w:spacing w:after="0" w:line="240" w:lineRule="auto"/>
        <w:ind w:left="709" w:hanging="709"/>
        <w:jc w:val="both"/>
      </w:pPr>
      <w:r w:rsidRPr="00DC0D43">
        <w:t xml:space="preserve">Chen, X., Wang, Y., and Li, Z. (2019). </w:t>
      </w:r>
      <w:r>
        <w:t xml:space="preserve">Cadmium toxicity: Renal and skeletal implications. Environmental Health Perspectives, 127(6), 067008. </w:t>
      </w:r>
      <w:hyperlink w:history="1">
        <w:r w:rsidRPr="000F593F">
          <w:rPr>
            <w:rStyle w:val="Hyperlink"/>
          </w:rPr>
          <w:t>https://doi.org/10.1289/EHP5273</w:t>
        </w:r>
      </w:hyperlink>
    </w:p>
    <w:p w14:paraId="137EF292" w14:textId="77777777" w:rsidR="00DD739F" w:rsidRDefault="00DD739F" w:rsidP="00DD739F">
      <w:pPr>
        <w:spacing w:after="0" w:line="240" w:lineRule="auto"/>
        <w:ind w:left="709" w:hanging="709"/>
        <w:jc w:val="both"/>
      </w:pPr>
      <w:r>
        <w:t>Chukwu, E., Adeyemi, A., and Okeke, C. (2019). Hepatotoxicity and nephrotoxicity from copper exposure in food products. Journal of Health and Environmental Research, 5(4), 78–90.</w:t>
      </w:r>
    </w:p>
    <w:p w14:paraId="082C8530" w14:textId="77777777" w:rsidR="00DD739F" w:rsidRDefault="00DD739F" w:rsidP="00DD739F">
      <w:pPr>
        <w:spacing w:after="0" w:line="240" w:lineRule="auto"/>
        <w:ind w:left="709" w:hanging="709"/>
        <w:jc w:val="both"/>
      </w:pPr>
      <w:r w:rsidRPr="00434EEB">
        <w:t xml:space="preserve">Duru, S. C., </w:t>
      </w:r>
      <w:proofErr w:type="spellStart"/>
      <w:r w:rsidRPr="00434EEB">
        <w:t>Echiegu</w:t>
      </w:r>
      <w:proofErr w:type="spellEnd"/>
      <w:r w:rsidRPr="00434EEB">
        <w:t xml:space="preserve">, E. A., Anyadike, C. C., </w:t>
      </w:r>
      <w:proofErr w:type="spellStart"/>
      <w:r w:rsidRPr="00434EEB">
        <w:t>Alaneme</w:t>
      </w:r>
      <w:proofErr w:type="spellEnd"/>
      <w:r w:rsidRPr="00434EEB">
        <w:t xml:space="preserve">, G. U., </w:t>
      </w:r>
      <w:r>
        <w:t>and</w:t>
      </w:r>
      <w:r w:rsidRPr="00434EEB">
        <w:t xml:space="preserve"> Okechukwu, M. E. (2024). Spatial variability of heavy </w:t>
      </w:r>
      <w:r>
        <w:t>metal</w:t>
      </w:r>
      <w:r w:rsidRPr="00434EEB">
        <w:t xml:space="preserve"> concentrations in soil of auto-mechanic workshop clusters in Nsukka, Nigeria. </w:t>
      </w:r>
      <w:r w:rsidRPr="00434EEB">
        <w:rPr>
          <w:i/>
          <w:iCs/>
        </w:rPr>
        <w:t>Scientific Reports</w:t>
      </w:r>
      <w:r w:rsidRPr="00434EEB">
        <w:t>, </w:t>
      </w:r>
      <w:r w:rsidRPr="00434EEB">
        <w:rPr>
          <w:i/>
          <w:iCs/>
        </w:rPr>
        <w:t>14</w:t>
      </w:r>
      <w:r w:rsidRPr="00434EEB">
        <w:t>(1), 9681.</w:t>
      </w:r>
    </w:p>
    <w:p w14:paraId="2EFE3F9E" w14:textId="77777777" w:rsidR="00DD739F" w:rsidRDefault="00DD739F" w:rsidP="00DD739F">
      <w:pPr>
        <w:spacing w:after="0" w:line="240" w:lineRule="auto"/>
        <w:ind w:left="709" w:hanging="709"/>
        <w:jc w:val="both"/>
      </w:pPr>
      <w:r>
        <w:t>Eze, C., Okeke, C., and Afolabi, O. (2023). Heavy metal profiles in spices and teas from Awka, Nigeria. Nigerian Journal of Environmental Science, 15(2), 34–49.</w:t>
      </w:r>
    </w:p>
    <w:p w14:paraId="6ADB62EE" w14:textId="77777777" w:rsidR="00DD739F" w:rsidRDefault="00DD739F" w:rsidP="00DD739F">
      <w:pPr>
        <w:spacing w:after="0" w:line="240" w:lineRule="auto"/>
        <w:ind w:left="709" w:hanging="709"/>
        <w:jc w:val="both"/>
      </w:pPr>
      <w:proofErr w:type="spellStart"/>
      <w:r>
        <w:t>Filalova</w:t>
      </w:r>
      <w:proofErr w:type="spellEnd"/>
      <w:r>
        <w:t xml:space="preserve">, T., and Chepak, V. (2020). Nickel toxicity: Dermatological and respiratory effects. Journal of Occupational Health, 62(1), e12145. </w:t>
      </w:r>
      <w:hyperlink w:history="1">
        <w:r w:rsidRPr="000F593F">
          <w:rPr>
            <w:rStyle w:val="Hyperlink"/>
          </w:rPr>
          <w:t>https://doi.org/10.1002/1348-9585.12145</w:t>
        </w:r>
      </w:hyperlink>
    </w:p>
    <w:p w14:paraId="7D6F3470" w14:textId="77777777" w:rsidR="00DD739F" w:rsidRDefault="00DD739F" w:rsidP="00DD739F">
      <w:pPr>
        <w:spacing w:after="0" w:line="240" w:lineRule="auto"/>
        <w:ind w:left="709" w:hanging="709"/>
        <w:jc w:val="both"/>
      </w:pPr>
      <w:r>
        <w:lastRenderedPageBreak/>
        <w:t xml:space="preserve">Genchi, G., Carocci, A., and Lauria, G. (2020). Cadmium: Environmental exposure and health effects. International Journal of Environmental Research and Public Health, 17(3), 987. </w:t>
      </w:r>
      <w:hyperlink w:history="1">
        <w:r w:rsidRPr="000F593F">
          <w:rPr>
            <w:rStyle w:val="Hyperlink"/>
          </w:rPr>
          <w:t>https://doi.org/10.3390/ijerph17030987</w:t>
        </w:r>
      </w:hyperlink>
    </w:p>
    <w:p w14:paraId="2E3BAB8B" w14:textId="77777777" w:rsidR="00DD739F" w:rsidRDefault="00DD739F" w:rsidP="00DD739F">
      <w:pPr>
        <w:spacing w:after="0" w:line="240" w:lineRule="auto"/>
        <w:ind w:left="709" w:hanging="709"/>
        <w:jc w:val="both"/>
      </w:pPr>
      <w:r>
        <w:t xml:space="preserve">Genchi, G., Sinicropi, M. S., and Carocci, A. (2023). Cobalt toxicity: Emerging concerns in food safety. Food and Chemical Toxicology, 172, 113576. </w:t>
      </w:r>
      <w:hyperlink w:history="1">
        <w:r w:rsidRPr="000F593F">
          <w:rPr>
            <w:rStyle w:val="Hyperlink"/>
          </w:rPr>
          <w:t>https://doi.org/10.1016/j.fct.2022.113576</w:t>
        </w:r>
      </w:hyperlink>
      <w:r>
        <w:t>.</w:t>
      </w:r>
    </w:p>
    <w:p w14:paraId="4230BAE7" w14:textId="77777777" w:rsidR="00DD739F" w:rsidRDefault="00DD739F" w:rsidP="00DD739F">
      <w:pPr>
        <w:spacing w:after="0" w:line="240" w:lineRule="auto"/>
        <w:ind w:left="709" w:hanging="709"/>
        <w:jc w:val="both"/>
      </w:pPr>
      <w:r>
        <w:t xml:space="preserve">Hossain, M., Ahmed, S., and Rahman, M. (2018). Chromium levels in tea leaves: A global survey. Journal of Food Composition and Analysis, 73, 112–118. </w:t>
      </w:r>
      <w:hyperlink w:history="1">
        <w:r w:rsidRPr="000F593F">
          <w:rPr>
            <w:rStyle w:val="Hyperlink"/>
          </w:rPr>
          <w:t>https://doi.org/10.1016/j.jfca.2018.07.010</w:t>
        </w:r>
      </w:hyperlink>
      <w:r>
        <w:t>.</w:t>
      </w:r>
    </w:p>
    <w:p w14:paraId="627F0DBA" w14:textId="77777777" w:rsidR="00DD739F" w:rsidRDefault="00DD739F" w:rsidP="00DD739F">
      <w:pPr>
        <w:spacing w:after="0" w:line="240" w:lineRule="auto"/>
        <w:ind w:left="709" w:hanging="709"/>
        <w:jc w:val="both"/>
      </w:pPr>
      <w:r w:rsidRPr="00084192">
        <w:t xml:space="preserve">Hu, Y., Wang, J., Yang, Y., Li, S., Wu, Q., </w:t>
      </w:r>
      <w:proofErr w:type="spellStart"/>
      <w:r w:rsidRPr="00084192">
        <w:t>Nepovimova</w:t>
      </w:r>
      <w:proofErr w:type="spellEnd"/>
      <w:r w:rsidRPr="00084192">
        <w:t xml:space="preserve">, E., ... </w:t>
      </w:r>
      <w:r>
        <w:t>and</w:t>
      </w:r>
      <w:r w:rsidRPr="00B73582">
        <w:t xml:space="preserve"> Kuca, K. (2024). Revolutionizing soil heavy metal remediation: Cutting-edge innovations in plant disposal technology. </w:t>
      </w:r>
      <w:r w:rsidRPr="00B73582">
        <w:rPr>
          <w:i/>
          <w:iCs/>
        </w:rPr>
        <w:t>Science of The Total Environment</w:t>
      </w:r>
      <w:r w:rsidRPr="00B73582">
        <w:t>, </w:t>
      </w:r>
      <w:r w:rsidRPr="00B73582">
        <w:rPr>
          <w:i/>
          <w:iCs/>
        </w:rPr>
        <w:t>918</w:t>
      </w:r>
      <w:r w:rsidRPr="00B73582">
        <w:t>, 170577.</w:t>
      </w:r>
    </w:p>
    <w:p w14:paraId="3F3E824B" w14:textId="77777777" w:rsidR="00DD739F" w:rsidRDefault="00DD739F" w:rsidP="00DD739F">
      <w:pPr>
        <w:spacing w:after="0" w:line="240" w:lineRule="auto"/>
        <w:ind w:left="709" w:hanging="709"/>
        <w:jc w:val="both"/>
      </w:pPr>
      <w:r>
        <w:t xml:space="preserve">Idris, M., Musa, J., and Ade, T. (2021). Heavy metal contamination in spices from Kano, Nigeria. Journal of Food Protection, 84(6), 987–995. </w:t>
      </w:r>
      <w:hyperlink w:history="1">
        <w:r w:rsidRPr="000F593F">
          <w:rPr>
            <w:rStyle w:val="Hyperlink"/>
          </w:rPr>
          <w:t>https://doi.org/10.4315/JFP-20-345</w:t>
        </w:r>
      </w:hyperlink>
    </w:p>
    <w:p w14:paraId="5C195C66" w14:textId="77777777" w:rsidR="00DD739F" w:rsidRDefault="00DD739F" w:rsidP="00DD739F">
      <w:pPr>
        <w:spacing w:after="0" w:line="240" w:lineRule="auto"/>
        <w:ind w:left="709" w:hanging="709"/>
        <w:jc w:val="both"/>
      </w:pPr>
      <w:proofErr w:type="spellStart"/>
      <w:r w:rsidRPr="0041527C">
        <w:t>Inobeme</w:t>
      </w:r>
      <w:proofErr w:type="spellEnd"/>
      <w:r w:rsidRPr="0041527C">
        <w:t xml:space="preserve">, A., Mathew, J. T., </w:t>
      </w:r>
      <w:proofErr w:type="spellStart"/>
      <w:r w:rsidRPr="0041527C">
        <w:t>Jatto</w:t>
      </w:r>
      <w:proofErr w:type="spellEnd"/>
      <w:r w:rsidRPr="0041527C">
        <w:t xml:space="preserve">, E., </w:t>
      </w:r>
      <w:proofErr w:type="spellStart"/>
      <w:r w:rsidRPr="0041527C">
        <w:t>Inobeme</w:t>
      </w:r>
      <w:proofErr w:type="spellEnd"/>
      <w:r w:rsidRPr="0041527C">
        <w:t xml:space="preserve">, J., Adetunji, C. O., </w:t>
      </w:r>
      <w:proofErr w:type="spellStart"/>
      <w:r w:rsidRPr="0041527C">
        <w:t>Muniratu</w:t>
      </w:r>
      <w:proofErr w:type="spellEnd"/>
      <w:r w:rsidRPr="0041527C">
        <w:t xml:space="preserve">, M., ... </w:t>
      </w:r>
      <w:r>
        <w:t>and</w:t>
      </w:r>
      <w:r w:rsidRPr="0041527C">
        <w:t xml:space="preserve"> </w:t>
      </w:r>
      <w:proofErr w:type="spellStart"/>
      <w:r w:rsidRPr="0041527C">
        <w:t>Omali</w:t>
      </w:r>
      <w:proofErr w:type="spellEnd"/>
      <w:r w:rsidRPr="0041527C">
        <w:t>, P. I. (2023). Recent advances in instrumental techniques for heavy metal quantification. </w:t>
      </w:r>
      <w:r w:rsidRPr="0041527C">
        <w:rPr>
          <w:i/>
          <w:iCs/>
        </w:rPr>
        <w:t>Environmental Monitoring and Assessment</w:t>
      </w:r>
      <w:r w:rsidRPr="0041527C">
        <w:t>, </w:t>
      </w:r>
      <w:r w:rsidRPr="0041527C">
        <w:rPr>
          <w:i/>
          <w:iCs/>
        </w:rPr>
        <w:t>195</w:t>
      </w:r>
      <w:r w:rsidRPr="0041527C">
        <w:t>(4), 452.</w:t>
      </w:r>
    </w:p>
    <w:p w14:paraId="53FA9723" w14:textId="77777777" w:rsidR="00DD739F" w:rsidRDefault="00DD739F" w:rsidP="00DD739F">
      <w:pPr>
        <w:spacing w:after="0" w:line="240" w:lineRule="auto"/>
        <w:ind w:left="709" w:hanging="709"/>
        <w:jc w:val="both"/>
      </w:pPr>
      <w:r w:rsidRPr="00C82597">
        <w:t xml:space="preserve">Izah, S. C., </w:t>
      </w:r>
      <w:r w:rsidRPr="00DC0D43">
        <w:t>and</w:t>
      </w:r>
      <w:r w:rsidRPr="00C82597">
        <w:t xml:space="preserve"> </w:t>
      </w:r>
      <w:proofErr w:type="spellStart"/>
      <w:r w:rsidRPr="00C82597">
        <w:t>Aigberua</w:t>
      </w:r>
      <w:proofErr w:type="spellEnd"/>
      <w:r w:rsidRPr="00C82597">
        <w:t xml:space="preserve">, A. O. (2020). Assessing the nutritional value and heavy metals in edible vegetables sold in selected markets in Port Harcourt, Nigeria. </w:t>
      </w:r>
      <w:r w:rsidRPr="00C82597">
        <w:rPr>
          <w:i/>
          <w:iCs/>
        </w:rPr>
        <w:t>Journal of Environmental Chemistry and Ecotoxicology</w:t>
      </w:r>
      <w:r w:rsidRPr="00C82597">
        <w:t xml:space="preserve">, 12(2), 39–48. </w:t>
      </w:r>
      <w:hyperlink w:tgtFrame="_blank" w:history="1">
        <w:r w:rsidRPr="00C82597">
          <w:rPr>
            <w:rStyle w:val="Hyperlink"/>
          </w:rPr>
          <w:t>https://doi.org/10.5897/JECE2020.0454</w:t>
        </w:r>
      </w:hyperlink>
      <w:r w:rsidRPr="00C82597">
        <w:t>,</w:t>
      </w:r>
    </w:p>
    <w:p w14:paraId="4F84EAA3" w14:textId="77777777" w:rsidR="00DD739F" w:rsidRDefault="00DD739F" w:rsidP="00DD739F">
      <w:pPr>
        <w:spacing w:after="0" w:line="240" w:lineRule="auto"/>
        <w:ind w:left="709" w:hanging="709"/>
        <w:jc w:val="both"/>
      </w:pPr>
      <w:proofErr w:type="spellStart"/>
      <w:r w:rsidRPr="00B73582">
        <w:t>Jadaa</w:t>
      </w:r>
      <w:proofErr w:type="spellEnd"/>
      <w:r w:rsidRPr="00B73582">
        <w:t xml:space="preserve">, W., </w:t>
      </w:r>
      <w:r>
        <w:t>and</w:t>
      </w:r>
      <w:r w:rsidRPr="00B73582">
        <w:t xml:space="preserve"> Mohammed, H. (2023). Heavy metals–definition, natural and anthropogenic sources of </w:t>
      </w:r>
      <w:r>
        <w:t>release</w:t>
      </w:r>
      <w:r w:rsidRPr="00B73582">
        <w:t xml:space="preserve"> into ecosystems, toxicity, and removal methods–an overview study. </w:t>
      </w:r>
      <w:r w:rsidRPr="00B73582">
        <w:rPr>
          <w:i/>
          <w:iCs/>
        </w:rPr>
        <w:t>Journal of Ecological Engineering</w:t>
      </w:r>
      <w:r w:rsidRPr="00B73582">
        <w:t>, </w:t>
      </w:r>
      <w:r w:rsidRPr="00B73582">
        <w:rPr>
          <w:i/>
          <w:iCs/>
        </w:rPr>
        <w:t>24</w:t>
      </w:r>
      <w:r w:rsidRPr="00B73582">
        <w:t>(6), 249-271.</w:t>
      </w:r>
    </w:p>
    <w:p w14:paraId="273E6461" w14:textId="77777777" w:rsidR="00DD739F" w:rsidRDefault="00DD739F" w:rsidP="00DD739F">
      <w:pPr>
        <w:spacing w:after="0" w:line="240" w:lineRule="auto"/>
        <w:ind w:left="709" w:hanging="709"/>
        <w:jc w:val="both"/>
      </w:pPr>
      <w:r>
        <w:t xml:space="preserve">Karami, H., Rasekh, M., and Mirzaee, M. (2019). Heavy metal content in turmeric: A case study from Iran. Food Science and Technology International, 25(4), 321–330. </w:t>
      </w:r>
      <w:hyperlink w:history="1">
        <w:r w:rsidRPr="000F593F">
          <w:rPr>
            <w:rStyle w:val="Hyperlink"/>
          </w:rPr>
          <w:t>https://doi.org/10.1177/1082013218820012</w:t>
        </w:r>
      </w:hyperlink>
    </w:p>
    <w:p w14:paraId="1F9DA53F" w14:textId="77777777" w:rsidR="00DD739F" w:rsidRDefault="00DD739F" w:rsidP="00DD739F">
      <w:pPr>
        <w:spacing w:after="0" w:line="240" w:lineRule="auto"/>
        <w:ind w:left="709" w:hanging="709"/>
        <w:jc w:val="both"/>
      </w:pPr>
      <w:r w:rsidRPr="00B73582">
        <w:t xml:space="preserve">Kelle, H. I., </w:t>
      </w:r>
      <w:proofErr w:type="spellStart"/>
      <w:r w:rsidRPr="00B73582">
        <w:t>Ogoko</w:t>
      </w:r>
      <w:proofErr w:type="spellEnd"/>
      <w:r w:rsidRPr="00B73582">
        <w:t xml:space="preserve">, E. C., Udeozo, P. I., Fagbohun, A. A., </w:t>
      </w:r>
      <w:proofErr w:type="spellStart"/>
      <w:r w:rsidRPr="00B73582">
        <w:t>Ngbede</w:t>
      </w:r>
      <w:proofErr w:type="spellEnd"/>
      <w:r w:rsidRPr="00B73582">
        <w:t xml:space="preserve">, E. O., </w:t>
      </w:r>
      <w:proofErr w:type="spellStart"/>
      <w:r w:rsidRPr="00B73582">
        <w:t>Okopi</w:t>
      </w:r>
      <w:proofErr w:type="spellEnd"/>
      <w:r w:rsidRPr="00B73582">
        <w:t xml:space="preserve">, P. A., </w:t>
      </w:r>
      <w:r>
        <w:t>and</w:t>
      </w:r>
      <w:r w:rsidRPr="00B73582">
        <w:t xml:space="preserve"> Adamu, J. (2024). Investigation and health risk assessment of heavy metals in cattle from slaughterhouses in </w:t>
      </w:r>
      <w:r>
        <w:t xml:space="preserve">the </w:t>
      </w:r>
      <w:r w:rsidRPr="00B73582">
        <w:t>Federal Capital Territory (FCT), Abuja, Nigeria. </w:t>
      </w:r>
      <w:proofErr w:type="spellStart"/>
      <w:r w:rsidRPr="00B73582">
        <w:rPr>
          <w:i/>
          <w:iCs/>
        </w:rPr>
        <w:t>Revista</w:t>
      </w:r>
      <w:proofErr w:type="spellEnd"/>
      <w:r w:rsidRPr="00B73582">
        <w:rPr>
          <w:i/>
          <w:iCs/>
        </w:rPr>
        <w:t xml:space="preserve"> </w:t>
      </w:r>
      <w:proofErr w:type="spellStart"/>
      <w:r w:rsidRPr="00B73582">
        <w:rPr>
          <w:i/>
          <w:iCs/>
        </w:rPr>
        <w:t>Colombiana</w:t>
      </w:r>
      <w:proofErr w:type="spellEnd"/>
      <w:r w:rsidRPr="00B73582">
        <w:rPr>
          <w:i/>
          <w:iCs/>
        </w:rPr>
        <w:t xml:space="preserve"> de </w:t>
      </w:r>
      <w:proofErr w:type="spellStart"/>
      <w:r w:rsidRPr="00B73582">
        <w:rPr>
          <w:i/>
          <w:iCs/>
        </w:rPr>
        <w:t>Ciencias</w:t>
      </w:r>
      <w:proofErr w:type="spellEnd"/>
      <w:r w:rsidRPr="00B73582">
        <w:rPr>
          <w:i/>
          <w:iCs/>
        </w:rPr>
        <w:t xml:space="preserve"> </w:t>
      </w:r>
      <w:proofErr w:type="spellStart"/>
      <w:r w:rsidRPr="00B73582">
        <w:rPr>
          <w:i/>
          <w:iCs/>
        </w:rPr>
        <w:t>Químico-Farmacéuticas</w:t>
      </w:r>
      <w:proofErr w:type="spellEnd"/>
      <w:r w:rsidRPr="00B73582">
        <w:t>, </w:t>
      </w:r>
      <w:r w:rsidRPr="00B73582">
        <w:rPr>
          <w:i/>
          <w:iCs/>
        </w:rPr>
        <w:t>53</w:t>
      </w:r>
      <w:r w:rsidRPr="00B73582">
        <w:t>(3), 804-830.</w:t>
      </w:r>
    </w:p>
    <w:p w14:paraId="7DD92AB7" w14:textId="77777777" w:rsidR="00DD739F" w:rsidRDefault="00DD739F" w:rsidP="00DD739F">
      <w:pPr>
        <w:spacing w:after="0" w:line="240" w:lineRule="auto"/>
        <w:ind w:left="709" w:hanging="709"/>
        <w:jc w:val="both"/>
      </w:pPr>
      <w:r w:rsidRPr="00616EF6">
        <w:t>Kowalska, G. (2021). The safety assessment of toxic metals in commonly used herbs, spices, tea, and coffee in Poland. </w:t>
      </w:r>
      <w:r w:rsidRPr="00616EF6">
        <w:rPr>
          <w:i/>
          <w:iCs/>
        </w:rPr>
        <w:t>International journal of environmental research and public health</w:t>
      </w:r>
      <w:r w:rsidRPr="00616EF6">
        <w:t>, </w:t>
      </w:r>
      <w:r w:rsidRPr="00616EF6">
        <w:rPr>
          <w:i/>
          <w:iCs/>
        </w:rPr>
        <w:t>18</w:t>
      </w:r>
      <w:r w:rsidRPr="00616EF6">
        <w:t>(11), 5779.</w:t>
      </w:r>
    </w:p>
    <w:p w14:paraId="0F489D9A" w14:textId="77777777" w:rsidR="00DD739F" w:rsidRDefault="00DD739F" w:rsidP="00DD739F">
      <w:pPr>
        <w:spacing w:after="0" w:line="240" w:lineRule="auto"/>
        <w:ind w:left="709" w:hanging="709"/>
        <w:jc w:val="both"/>
      </w:pPr>
      <w:r>
        <w:t xml:space="preserve">Kulshreshtha, D., Sharma, S., and Singh, R. (2021). Manganese neurotoxicity: Mechanisms and implications. Neurotoxicology, 83, 67–78. </w:t>
      </w:r>
      <w:hyperlink w:history="1">
        <w:r w:rsidRPr="000F593F">
          <w:rPr>
            <w:rStyle w:val="Hyperlink"/>
          </w:rPr>
          <w:t>https://doi.org/10.1016/j.neuro.2020.12.005</w:t>
        </w:r>
      </w:hyperlink>
    </w:p>
    <w:p w14:paraId="6FD2DECE" w14:textId="77777777" w:rsidR="00DD739F" w:rsidRDefault="00DD739F" w:rsidP="00DD739F">
      <w:pPr>
        <w:spacing w:after="0" w:line="240" w:lineRule="auto"/>
        <w:ind w:left="709" w:hanging="709"/>
        <w:jc w:val="both"/>
      </w:pPr>
      <w:r w:rsidRPr="00120FE3">
        <w:t xml:space="preserve">Lawal, K. K., </w:t>
      </w:r>
      <w:proofErr w:type="spellStart"/>
      <w:r w:rsidRPr="00120FE3">
        <w:t>Ekeleme</w:t>
      </w:r>
      <w:proofErr w:type="spellEnd"/>
      <w:r w:rsidRPr="00120FE3">
        <w:t xml:space="preserve">, I. K., Onuigbo, C. M., Ikpeazu, V. O., </w:t>
      </w:r>
      <w:r>
        <w:t>and</w:t>
      </w:r>
      <w:r w:rsidRPr="00120FE3">
        <w:t xml:space="preserve"> </w:t>
      </w:r>
      <w:proofErr w:type="spellStart"/>
      <w:r w:rsidRPr="00120FE3">
        <w:t>Obiekezie</w:t>
      </w:r>
      <w:proofErr w:type="spellEnd"/>
      <w:r w:rsidRPr="00120FE3">
        <w:t>, S. O. (2021). A review on the public health implications of heavy metals. </w:t>
      </w:r>
      <w:r w:rsidRPr="00120FE3">
        <w:rPr>
          <w:i/>
          <w:iCs/>
        </w:rPr>
        <w:t>World Journal of Advanced Research and Reviews</w:t>
      </w:r>
      <w:r w:rsidRPr="00120FE3">
        <w:t>, </w:t>
      </w:r>
      <w:r w:rsidRPr="00120FE3">
        <w:rPr>
          <w:i/>
          <w:iCs/>
        </w:rPr>
        <w:t>10</w:t>
      </w:r>
      <w:r w:rsidRPr="00120FE3">
        <w:t>(3), 255-265.</w:t>
      </w:r>
    </w:p>
    <w:p w14:paraId="07BA7814" w14:textId="77777777" w:rsidR="00DD739F" w:rsidRDefault="00DD739F" w:rsidP="00DD739F">
      <w:pPr>
        <w:spacing w:after="0" w:line="240" w:lineRule="auto"/>
        <w:ind w:left="709" w:hanging="709"/>
        <w:jc w:val="both"/>
      </w:pPr>
      <w:r w:rsidRPr="00084192">
        <w:t xml:space="preserve">Li, Z., Chen, X., and Wang, Y. (2020). </w:t>
      </w:r>
      <w:r>
        <w:t xml:space="preserve">Cadmium in herbal teas: Sources and health risks. Journal of Agricultural and Food Chemistry, 68(7), 1923–1930. </w:t>
      </w:r>
      <w:hyperlink w:history="1">
        <w:r w:rsidRPr="000F593F">
          <w:rPr>
            <w:rStyle w:val="Hyperlink"/>
          </w:rPr>
          <w:t>https://doi.org/10.1021/acs.jafc.9b06789</w:t>
        </w:r>
      </w:hyperlink>
    </w:p>
    <w:p w14:paraId="179D58D5" w14:textId="77777777" w:rsidR="00DD739F" w:rsidRDefault="00DD739F" w:rsidP="00DD739F">
      <w:pPr>
        <w:spacing w:after="0" w:line="240" w:lineRule="auto"/>
        <w:ind w:left="709" w:hanging="709"/>
        <w:jc w:val="both"/>
      </w:pPr>
      <w:r>
        <w:t xml:space="preserve">Martins, R., Silva, J., and Costa, M. (2020). Nickel exposure: Health implications and regulatory concerns. Environmental Toxicology and Chemistry, 39(8), 1456–1465. </w:t>
      </w:r>
      <w:hyperlink w:history="1">
        <w:r w:rsidRPr="000F593F">
          <w:rPr>
            <w:rStyle w:val="Hyperlink"/>
          </w:rPr>
          <w:t>https://doi.org/10.1002/etc.4742</w:t>
        </w:r>
      </w:hyperlink>
    </w:p>
    <w:p w14:paraId="0A659463" w14:textId="77777777" w:rsidR="00DD739F" w:rsidRDefault="00DD739F" w:rsidP="00DD739F">
      <w:pPr>
        <w:spacing w:after="0" w:line="240" w:lineRule="auto"/>
        <w:ind w:left="709" w:hanging="709"/>
        <w:jc w:val="both"/>
      </w:pPr>
      <w:r>
        <w:lastRenderedPageBreak/>
        <w:t xml:space="preserve">Marwat, S., Khan, A., and Rehman, F. (2020). Cadmium in chili powder: A comparative study. Food Control, 112, 107134. </w:t>
      </w:r>
      <w:hyperlink w:history="1">
        <w:r w:rsidRPr="000F593F">
          <w:rPr>
            <w:rStyle w:val="Hyperlink"/>
          </w:rPr>
          <w:t>https://doi.org/10.1016/j.foodcont.2020.107134</w:t>
        </w:r>
      </w:hyperlink>
      <w:r>
        <w:t>.</w:t>
      </w:r>
    </w:p>
    <w:p w14:paraId="75FA457F" w14:textId="77777777" w:rsidR="00DD739F" w:rsidRDefault="00DD739F" w:rsidP="00DD739F">
      <w:pPr>
        <w:spacing w:after="0" w:line="240" w:lineRule="auto"/>
        <w:ind w:left="709" w:hanging="709"/>
        <w:jc w:val="both"/>
      </w:pPr>
      <w:r>
        <w:t>Mohammed, A., Ibrahim, S., and Yusuf, M. (2019). Lead toxicity in food products: Neurodevelopmental risks. Journal of Environmental Health, 81(9), 22–30.</w:t>
      </w:r>
    </w:p>
    <w:p w14:paraId="1D49076F" w14:textId="77777777" w:rsidR="00DD739F" w:rsidRDefault="00DD739F" w:rsidP="00DD739F">
      <w:pPr>
        <w:spacing w:after="0" w:line="240" w:lineRule="auto"/>
        <w:ind w:left="709" w:hanging="709"/>
        <w:jc w:val="both"/>
      </w:pPr>
      <w:r w:rsidRPr="00120FE3">
        <w:t xml:space="preserve">Munir, N., Jahangeer, M., Bouyahya, A., El Omari, N., </w:t>
      </w:r>
      <w:proofErr w:type="spellStart"/>
      <w:r w:rsidRPr="00120FE3">
        <w:t>Ghchime</w:t>
      </w:r>
      <w:proofErr w:type="spellEnd"/>
      <w:r w:rsidRPr="00120FE3">
        <w:t xml:space="preserve">, R., </w:t>
      </w:r>
      <w:proofErr w:type="spellStart"/>
      <w:r w:rsidRPr="00120FE3">
        <w:t>Balahbib</w:t>
      </w:r>
      <w:proofErr w:type="spellEnd"/>
      <w:r w:rsidRPr="00120FE3">
        <w:t xml:space="preserve">, A., ... </w:t>
      </w:r>
      <w:r>
        <w:t>and</w:t>
      </w:r>
      <w:r w:rsidRPr="00120FE3">
        <w:t xml:space="preserve"> Shariati, M. A. (2021). Heavy metal contamination of natural foods is a serious health issue: A review. </w:t>
      </w:r>
      <w:r w:rsidRPr="00120FE3">
        <w:rPr>
          <w:i/>
          <w:iCs/>
        </w:rPr>
        <w:t>Sustainability</w:t>
      </w:r>
      <w:r w:rsidRPr="00120FE3">
        <w:t>, </w:t>
      </w:r>
      <w:r w:rsidRPr="00120FE3">
        <w:rPr>
          <w:i/>
          <w:iCs/>
        </w:rPr>
        <w:t>14</w:t>
      </w:r>
      <w:r w:rsidRPr="00120FE3">
        <w:t>(1), 161.</w:t>
      </w:r>
    </w:p>
    <w:p w14:paraId="15AEEF30" w14:textId="77777777" w:rsidR="00DD739F" w:rsidRDefault="00DD739F" w:rsidP="00DD739F">
      <w:pPr>
        <w:spacing w:after="0" w:line="240" w:lineRule="auto"/>
        <w:ind w:left="709" w:hanging="709"/>
        <w:jc w:val="both"/>
      </w:pPr>
      <w:r>
        <w:t xml:space="preserve">Musa, J., Ade, T., and Idris, M. (2022). Industrial emissions and heavy metal contamination in the FCT: A case study. Environmental Monitoring and Assessment, 194(5), 345. </w:t>
      </w:r>
      <w:hyperlink w:history="1">
        <w:r w:rsidRPr="000F593F">
          <w:rPr>
            <w:rStyle w:val="Hyperlink"/>
          </w:rPr>
          <w:t>https://doi.org/10.1007/s10661-022-09987-3</w:t>
        </w:r>
      </w:hyperlink>
      <w:r>
        <w:t>.</w:t>
      </w:r>
    </w:p>
    <w:p w14:paraId="66DCD1D6" w14:textId="77777777" w:rsidR="00DD739F" w:rsidRDefault="00DD739F" w:rsidP="00DD739F">
      <w:pPr>
        <w:spacing w:after="0" w:line="240" w:lineRule="auto"/>
        <w:ind w:left="709" w:hanging="709"/>
        <w:jc w:val="both"/>
        <w:rPr>
          <w:i/>
          <w:iCs/>
        </w:rPr>
      </w:pPr>
      <w:proofErr w:type="spellStart"/>
      <w:r w:rsidRPr="00C82597">
        <w:t>Nnorom</w:t>
      </w:r>
      <w:proofErr w:type="spellEnd"/>
      <w:r w:rsidRPr="00C82597">
        <w:t xml:space="preserve">, I. C., </w:t>
      </w:r>
      <w:proofErr w:type="spellStart"/>
      <w:r w:rsidRPr="00C82597">
        <w:t>Osibanjo</w:t>
      </w:r>
      <w:proofErr w:type="spellEnd"/>
      <w:r w:rsidRPr="00C82597">
        <w:t xml:space="preserve">, O., </w:t>
      </w:r>
      <w:r>
        <w:t>and</w:t>
      </w:r>
      <w:r w:rsidRPr="00C82597">
        <w:t xml:space="preserve"> </w:t>
      </w:r>
      <w:proofErr w:type="spellStart"/>
      <w:r w:rsidRPr="00C82597">
        <w:t>Ogugua</w:t>
      </w:r>
      <w:proofErr w:type="spellEnd"/>
      <w:r w:rsidRPr="00C82597">
        <w:t xml:space="preserve">, K. (2016). Heavy metals hazards from Nigerian spices. </w:t>
      </w:r>
      <w:proofErr w:type="spellStart"/>
      <w:r w:rsidRPr="00C82597">
        <w:rPr>
          <w:i/>
          <w:iCs/>
        </w:rPr>
        <w:t>Roczniki</w:t>
      </w:r>
      <w:proofErr w:type="spellEnd"/>
      <w:r w:rsidRPr="00C82597">
        <w:rPr>
          <w:i/>
          <w:iCs/>
        </w:rPr>
        <w:t xml:space="preserve"> </w:t>
      </w:r>
      <w:proofErr w:type="spellStart"/>
      <w:r w:rsidRPr="00C82597">
        <w:rPr>
          <w:i/>
          <w:iCs/>
        </w:rPr>
        <w:t>Państwowego</w:t>
      </w:r>
      <w:proofErr w:type="spellEnd"/>
      <w:r w:rsidRPr="00C82597">
        <w:rPr>
          <w:i/>
          <w:iCs/>
        </w:rPr>
        <w:t xml:space="preserve"> </w:t>
      </w:r>
      <w:proofErr w:type="spellStart"/>
      <w:r w:rsidRPr="00C82597">
        <w:rPr>
          <w:i/>
          <w:iCs/>
        </w:rPr>
        <w:t>Zakładu</w:t>
      </w:r>
      <w:proofErr w:type="spellEnd"/>
      <w:r w:rsidRPr="00C82597">
        <w:rPr>
          <w:i/>
          <w:iCs/>
        </w:rPr>
        <w:t xml:space="preserve"> </w:t>
      </w:r>
      <w:proofErr w:type="spellStart"/>
      <w:r w:rsidRPr="00C82597">
        <w:rPr>
          <w:i/>
          <w:iCs/>
        </w:rPr>
        <w:t>Higieny</w:t>
      </w:r>
      <w:proofErr w:type="spellEnd"/>
      <w:r w:rsidRPr="00C82597">
        <w:rPr>
          <w:i/>
          <w:iCs/>
        </w:rPr>
        <w:t>, 67</w:t>
      </w:r>
      <w:r w:rsidRPr="00C82597">
        <w:t xml:space="preserve">(3), 309–314. </w:t>
      </w:r>
      <w:hyperlink w:tgtFrame="_blank" w:history="1">
        <w:r w:rsidRPr="00C82597">
          <w:rPr>
            <w:rStyle w:val="Hyperlink"/>
          </w:rPr>
          <w:t>https://pubmed.ncbi.nlm.nih.gov/27546329/</w:t>
        </w:r>
      </w:hyperlink>
      <w:r w:rsidRPr="00C82597">
        <w:t xml:space="preserve"> </w:t>
      </w:r>
    </w:p>
    <w:p w14:paraId="406AEE9C" w14:textId="77777777" w:rsidR="00DD739F" w:rsidRDefault="00DD739F" w:rsidP="00DD739F">
      <w:pPr>
        <w:spacing w:after="0" w:line="240" w:lineRule="auto"/>
        <w:ind w:left="709" w:hanging="709"/>
        <w:jc w:val="both"/>
      </w:pPr>
      <w:proofErr w:type="spellStart"/>
      <w:r w:rsidRPr="003F198A">
        <w:t>Ogoko</w:t>
      </w:r>
      <w:proofErr w:type="spellEnd"/>
      <w:r w:rsidRPr="003F198A">
        <w:t xml:space="preserve">, E. C., and </w:t>
      </w:r>
      <w:proofErr w:type="spellStart"/>
      <w:r w:rsidRPr="003F198A">
        <w:t>Emeziem</w:t>
      </w:r>
      <w:proofErr w:type="spellEnd"/>
      <w:r w:rsidRPr="003F198A">
        <w:t xml:space="preserve">, D. (2019). </w:t>
      </w:r>
      <w:r w:rsidRPr="00B73582">
        <w:t xml:space="preserve">Pollution load index and enrichment of heavy metals in soil within the vicinity of </w:t>
      </w:r>
      <w:proofErr w:type="spellStart"/>
      <w:r w:rsidRPr="00B73582">
        <w:t>osogbo</w:t>
      </w:r>
      <w:proofErr w:type="spellEnd"/>
      <w:r w:rsidRPr="00B73582">
        <w:t xml:space="preserve"> power station. </w:t>
      </w:r>
      <w:r w:rsidRPr="00B73582">
        <w:rPr>
          <w:i/>
          <w:iCs/>
        </w:rPr>
        <w:t>Journal of Chemical Society of Nigeria</w:t>
      </w:r>
      <w:r w:rsidRPr="00B73582">
        <w:t>, </w:t>
      </w:r>
      <w:r w:rsidRPr="00B73582">
        <w:rPr>
          <w:i/>
          <w:iCs/>
        </w:rPr>
        <w:t>44</w:t>
      </w:r>
      <w:r w:rsidRPr="00B73582">
        <w:t>(4).</w:t>
      </w:r>
    </w:p>
    <w:p w14:paraId="6150B7C7" w14:textId="77777777" w:rsidR="00DD739F" w:rsidRDefault="00DD739F" w:rsidP="00DD739F">
      <w:pPr>
        <w:spacing w:after="0" w:line="240" w:lineRule="auto"/>
        <w:ind w:left="709" w:hanging="709"/>
        <w:jc w:val="both"/>
      </w:pPr>
      <w:r>
        <w:t>Okeke, C., Mohammed, A., and Eze, C. (2020). Lead contamination in Nigerian food products: Public health implications. African Journal of Public Health, 12(4), 156–167.</w:t>
      </w:r>
    </w:p>
    <w:p w14:paraId="70A736B7" w14:textId="77777777" w:rsidR="00DD739F" w:rsidRDefault="00DD739F" w:rsidP="00DD739F">
      <w:pPr>
        <w:spacing w:after="0" w:line="240" w:lineRule="auto"/>
        <w:ind w:left="709" w:hanging="709"/>
        <w:jc w:val="both"/>
      </w:pPr>
      <w:proofErr w:type="spellStart"/>
      <w:r>
        <w:t>Okwelle</w:t>
      </w:r>
      <w:proofErr w:type="spellEnd"/>
      <w:r>
        <w:t>, A., and Pepple, G. (2020). Chromium levels in spices from Port Harcourt: A comparative study. Nigerian Journal of Food Science, 10(3), 88–95.</w:t>
      </w:r>
    </w:p>
    <w:p w14:paraId="59EAFA1F" w14:textId="77777777" w:rsidR="00DD739F" w:rsidRDefault="00DD739F" w:rsidP="00DD739F">
      <w:pPr>
        <w:spacing w:after="0" w:line="240" w:lineRule="auto"/>
        <w:ind w:left="709" w:hanging="709"/>
        <w:jc w:val="both"/>
      </w:pPr>
      <w:r w:rsidRPr="00EA1124">
        <w:t xml:space="preserve">Olatunji, A. S., Kolawole, T. O., </w:t>
      </w:r>
      <w:proofErr w:type="spellStart"/>
      <w:r w:rsidRPr="00EA1124">
        <w:t>Oloruntola</w:t>
      </w:r>
      <w:proofErr w:type="spellEnd"/>
      <w:r w:rsidRPr="00EA1124">
        <w:t xml:space="preserve">, M., </w:t>
      </w:r>
      <w:r>
        <w:t>and</w:t>
      </w:r>
      <w:r w:rsidRPr="00EA1124">
        <w:t xml:space="preserve"> Günter, C. (2018). Evaluation of pollution of soils and particulate matter around metal recycling factories in southwestern Nigeria. </w:t>
      </w:r>
      <w:r w:rsidRPr="00EA1124">
        <w:rPr>
          <w:i/>
          <w:iCs/>
        </w:rPr>
        <w:t>Journal of Health and Pollution</w:t>
      </w:r>
      <w:r w:rsidRPr="00EA1124">
        <w:t>, </w:t>
      </w:r>
      <w:r w:rsidRPr="00EA1124">
        <w:rPr>
          <w:i/>
          <w:iCs/>
        </w:rPr>
        <w:t>8</w:t>
      </w:r>
      <w:r w:rsidRPr="00EA1124">
        <w:t>(17), 20-30.</w:t>
      </w:r>
    </w:p>
    <w:p w14:paraId="268A69FB" w14:textId="77777777" w:rsidR="00DD739F" w:rsidRDefault="00DD739F" w:rsidP="00DD739F">
      <w:pPr>
        <w:spacing w:after="0" w:line="240" w:lineRule="auto"/>
        <w:ind w:left="709" w:hanging="709"/>
        <w:jc w:val="both"/>
      </w:pPr>
      <w:r w:rsidRPr="00EA1124">
        <w:t xml:space="preserve">Olukanni, D., </w:t>
      </w:r>
      <w:proofErr w:type="spellStart"/>
      <w:r w:rsidRPr="00EA1124">
        <w:t>Enetomhe</w:t>
      </w:r>
      <w:proofErr w:type="spellEnd"/>
      <w:r w:rsidRPr="00EA1124">
        <w:t xml:space="preserve">, D., </w:t>
      </w:r>
      <w:proofErr w:type="spellStart"/>
      <w:r w:rsidRPr="00EA1124">
        <w:t>Bamigboye</w:t>
      </w:r>
      <w:proofErr w:type="spellEnd"/>
      <w:r w:rsidRPr="00EA1124">
        <w:t xml:space="preserve">, G., </w:t>
      </w:r>
      <w:r>
        <w:t>and</w:t>
      </w:r>
      <w:r w:rsidRPr="00EA1124">
        <w:t xml:space="preserve"> Bassey, D. (2021). A time-based assessment of particulate matter (PM2. 5) levels at a highly trafficked intersection: case study of Sango-Ota, Nigeria. </w:t>
      </w:r>
      <w:r w:rsidRPr="00EA1124">
        <w:rPr>
          <w:i/>
          <w:iCs/>
        </w:rPr>
        <w:t>Atmosphere</w:t>
      </w:r>
      <w:r w:rsidRPr="00EA1124">
        <w:t>, </w:t>
      </w:r>
      <w:r w:rsidRPr="00EA1124">
        <w:rPr>
          <w:i/>
          <w:iCs/>
        </w:rPr>
        <w:t>12</w:t>
      </w:r>
      <w:r w:rsidRPr="00EA1124">
        <w:t>(5), 532.</w:t>
      </w:r>
    </w:p>
    <w:p w14:paraId="2710792F" w14:textId="77777777" w:rsidR="00DD739F" w:rsidRDefault="00DD739F" w:rsidP="00DD739F">
      <w:pPr>
        <w:spacing w:after="0" w:line="240" w:lineRule="auto"/>
        <w:ind w:left="709" w:hanging="709"/>
        <w:jc w:val="both"/>
      </w:pPr>
      <w:r>
        <w:t>Olumide, O., Adeyemi, A., and Afolabi, O. (2021). Heavy metal profiles in spices from Ado Ekiti: A case study. Journal of Food Safety and Quality, 7(2), 45–56.</w:t>
      </w:r>
    </w:p>
    <w:p w14:paraId="3E05BFFD" w14:textId="77777777" w:rsidR="00DD739F" w:rsidRDefault="00DD739F" w:rsidP="00DD739F">
      <w:pPr>
        <w:spacing w:after="0" w:line="240" w:lineRule="auto"/>
        <w:ind w:left="709" w:hanging="709"/>
        <w:jc w:val="both"/>
      </w:pPr>
      <w:r>
        <w:t xml:space="preserve">Onyekwere, P., Chukwu, E., and Okeke, C. (2019). Manganese and copper in southeastern Nigerian spices and teas. Food Chemistry, 288, 178–185. </w:t>
      </w:r>
      <w:hyperlink w:history="1">
        <w:r w:rsidRPr="000F593F">
          <w:rPr>
            <w:rStyle w:val="Hyperlink"/>
          </w:rPr>
          <w:t>https://doi.org/10.1016/j.foodchem.2019.02.089</w:t>
        </w:r>
      </w:hyperlink>
      <w:r>
        <w:t>.</w:t>
      </w:r>
    </w:p>
    <w:p w14:paraId="7DA3246C" w14:textId="77777777" w:rsidR="00DD739F" w:rsidRDefault="00DD739F" w:rsidP="00DD739F">
      <w:pPr>
        <w:spacing w:after="0" w:line="240" w:lineRule="auto"/>
        <w:ind w:left="709" w:hanging="709"/>
        <w:jc w:val="both"/>
      </w:pPr>
      <w:r w:rsidRPr="00C82597">
        <w:t xml:space="preserve">Orisakwe, O. E., Dagur, E. A., Mbagwu, H. O. C., </w:t>
      </w:r>
      <w:proofErr w:type="spellStart"/>
      <w:r w:rsidRPr="00C82597">
        <w:t>Udowelle</w:t>
      </w:r>
      <w:proofErr w:type="spellEnd"/>
      <w:r w:rsidRPr="00C82597">
        <w:t xml:space="preserve">, N. A., </w:t>
      </w:r>
      <w:r>
        <w:t>and</w:t>
      </w:r>
      <w:r w:rsidRPr="00C82597">
        <w:t xml:space="preserve"> Offor, S. J. (2020). Levels of heavy metals in herbal teas sold in Nigeria and health risk assessment. </w:t>
      </w:r>
      <w:r w:rsidRPr="00C82597">
        <w:rPr>
          <w:i/>
          <w:iCs/>
        </w:rPr>
        <w:t>Biological Trace Element Research, 198</w:t>
      </w:r>
      <w:r w:rsidRPr="00C82597">
        <w:t xml:space="preserve">(2), 357–366. </w:t>
      </w:r>
      <w:hyperlink w:tgtFrame="_blank" w:history="1">
        <w:r w:rsidRPr="00C82597">
          <w:rPr>
            <w:rStyle w:val="Hyperlink"/>
          </w:rPr>
          <w:t>https://doi.org/10.1007/s12011-020-02084-0</w:t>
        </w:r>
      </w:hyperlink>
      <w:r w:rsidRPr="00C82597">
        <w:t xml:space="preserve"> </w:t>
      </w:r>
    </w:p>
    <w:p w14:paraId="76B9496E" w14:textId="77777777" w:rsidR="00DD739F" w:rsidRDefault="00DD739F" w:rsidP="00DD739F">
      <w:pPr>
        <w:spacing w:after="0" w:line="240" w:lineRule="auto"/>
        <w:ind w:left="709" w:hanging="709"/>
        <w:jc w:val="both"/>
      </w:pPr>
      <w:r w:rsidRPr="00DD739F">
        <w:t xml:space="preserve">Orisakwe, O. E., Nduka, J. K., Amadi, C. N., Dike, D. O., </w:t>
      </w:r>
      <w:r>
        <w:t>and</w:t>
      </w:r>
      <w:r w:rsidRPr="00DD739F">
        <w:t xml:space="preserve"> Bede, O. (2015). </w:t>
      </w:r>
      <w:r>
        <w:t xml:space="preserve">Heavy metals health risk assessment for the population via consumption of food crops and fruits in Owerri, South-Eastern, Nigeria. *Environmental Science and Pollution Research, 22*(14), 10780–10790. https://doi.org/10.1007/s11356-015-4254-3  </w:t>
      </w:r>
    </w:p>
    <w:p w14:paraId="3D42E717" w14:textId="77777777" w:rsidR="00DD739F" w:rsidRDefault="00DD739F" w:rsidP="00DD739F">
      <w:pPr>
        <w:spacing w:after="0" w:line="240" w:lineRule="auto"/>
        <w:ind w:left="709" w:hanging="709"/>
        <w:jc w:val="both"/>
      </w:pPr>
      <w:r w:rsidRPr="003F198A">
        <w:t xml:space="preserve">Ozdemir, N., Kaya, S., and Yilmaz, A. (2018). </w:t>
      </w:r>
      <w:r>
        <w:t xml:space="preserve">Nickel in spices: A global perspective. Journal of Food Science, 83(10), 2456–2463. </w:t>
      </w:r>
      <w:hyperlink w:history="1">
        <w:r w:rsidRPr="000F593F">
          <w:rPr>
            <w:rStyle w:val="Hyperlink"/>
          </w:rPr>
          <w:t>https://doi.org/10.1111/1750-3841.14321</w:t>
        </w:r>
      </w:hyperlink>
      <w:r>
        <w:t>.</w:t>
      </w:r>
    </w:p>
    <w:p w14:paraId="4AA82702" w14:textId="77777777" w:rsidR="00DD739F" w:rsidRDefault="00DD739F" w:rsidP="00DD739F">
      <w:pPr>
        <w:spacing w:after="0" w:line="240" w:lineRule="auto"/>
        <w:ind w:left="709" w:hanging="709"/>
        <w:jc w:val="both"/>
      </w:pPr>
      <w:r>
        <w:t xml:space="preserve">Peres, T., Ong, C., and Costa, M. (2018). Manganese toxicity: Neurological impacts and mechanisms. Toxicological Sciences, 165(2), 277–289. </w:t>
      </w:r>
      <w:hyperlink w:history="1">
        <w:r w:rsidRPr="000F593F">
          <w:rPr>
            <w:rStyle w:val="Hyperlink"/>
          </w:rPr>
          <w:t>https://doi.org/10.1093/toxsci/kfy149</w:t>
        </w:r>
      </w:hyperlink>
    </w:p>
    <w:p w14:paraId="2FED66C6" w14:textId="77777777" w:rsidR="00DD739F" w:rsidRDefault="00DD739F" w:rsidP="00DD739F">
      <w:pPr>
        <w:spacing w:after="0" w:line="240" w:lineRule="auto"/>
        <w:ind w:left="709" w:hanging="709"/>
        <w:jc w:val="both"/>
      </w:pPr>
      <w:r w:rsidRPr="00E53702">
        <w:t xml:space="preserve">Sadeghi Poor Sheijany, M., Shariati, F., </w:t>
      </w:r>
      <w:proofErr w:type="spellStart"/>
      <w:r w:rsidRPr="00E53702">
        <w:t>Yaghmaeian</w:t>
      </w:r>
      <w:proofErr w:type="spellEnd"/>
      <w:r w:rsidRPr="00E53702">
        <w:t xml:space="preserve"> </w:t>
      </w:r>
      <w:proofErr w:type="spellStart"/>
      <w:r w:rsidRPr="00E53702">
        <w:t>Mahabadi</w:t>
      </w:r>
      <w:proofErr w:type="spellEnd"/>
      <w:r w:rsidRPr="00E53702">
        <w:t xml:space="preserve">, N., </w:t>
      </w:r>
      <w:r>
        <w:t>and</w:t>
      </w:r>
      <w:r w:rsidRPr="00E53702">
        <w:t xml:space="preserve"> </w:t>
      </w:r>
      <w:proofErr w:type="spellStart"/>
      <w:r w:rsidRPr="00E53702">
        <w:t>Karimzadegan</w:t>
      </w:r>
      <w:proofErr w:type="spellEnd"/>
      <w:r w:rsidRPr="00E53702">
        <w:t xml:space="preserve">, H. (2020). Evaluation of heavy metal contamination and ecological risk of soil adjacent to Saravan </w:t>
      </w:r>
      <w:r w:rsidRPr="00E53702">
        <w:lastRenderedPageBreak/>
        <w:t>municipal solid waste disposal site, Rasht, Iran. </w:t>
      </w:r>
      <w:r w:rsidRPr="00E53702">
        <w:rPr>
          <w:i/>
          <w:iCs/>
        </w:rPr>
        <w:t>Environmental Monitoring and Assessment</w:t>
      </w:r>
      <w:r w:rsidRPr="00E53702">
        <w:t>, </w:t>
      </w:r>
      <w:r w:rsidRPr="00E53702">
        <w:rPr>
          <w:i/>
          <w:iCs/>
        </w:rPr>
        <w:t>192</w:t>
      </w:r>
      <w:r w:rsidRPr="00E53702">
        <w:t>(12), 757.</w:t>
      </w:r>
    </w:p>
    <w:p w14:paraId="418C74C0" w14:textId="77777777" w:rsidR="00DD739F" w:rsidRDefault="00DD739F" w:rsidP="00DD739F">
      <w:pPr>
        <w:spacing w:after="0" w:line="240" w:lineRule="auto"/>
        <w:ind w:left="709" w:hanging="709"/>
        <w:jc w:val="both"/>
      </w:pPr>
      <w:r>
        <w:t xml:space="preserve">Sadeghi, M., Karami, H., and Rasekh, M. (2022). Heavy metal residues in ginger: Environmental and health implications. Journal of Food Protection, 85(3), 456–463. </w:t>
      </w:r>
      <w:hyperlink w:history="1">
        <w:r w:rsidRPr="000F593F">
          <w:rPr>
            <w:rStyle w:val="Hyperlink"/>
          </w:rPr>
          <w:t>https://doi.org/10.4315/JFP-21-289</w:t>
        </w:r>
      </w:hyperlink>
      <w:r>
        <w:t>.</w:t>
      </w:r>
    </w:p>
    <w:p w14:paraId="4467B3C7" w14:textId="77777777" w:rsidR="00DD739F" w:rsidRDefault="00DD739F" w:rsidP="00DD739F">
      <w:pPr>
        <w:spacing w:after="0" w:line="240" w:lineRule="auto"/>
        <w:ind w:left="709" w:hanging="709"/>
        <w:jc w:val="both"/>
      </w:pPr>
      <w:r>
        <w:t xml:space="preserve">Sharma, R., Singh, P., and Gupta, S. (2017). Copper in spices: A case study from India. Food Chemistry, 235, 112–119. </w:t>
      </w:r>
      <w:hyperlink w:history="1">
        <w:r w:rsidRPr="000F593F">
          <w:rPr>
            <w:rStyle w:val="Hyperlink"/>
          </w:rPr>
          <w:t>https://doi.org/10.1016/j.foodchem.2017.05.034</w:t>
        </w:r>
      </w:hyperlink>
      <w:r>
        <w:t>.</w:t>
      </w:r>
    </w:p>
    <w:p w14:paraId="5968C4D0" w14:textId="77777777" w:rsidR="00DD739F" w:rsidRDefault="00DD739F" w:rsidP="00DD739F">
      <w:pPr>
        <w:spacing w:after="0" w:line="240" w:lineRule="auto"/>
        <w:ind w:left="709" w:hanging="709"/>
        <w:jc w:val="both"/>
      </w:pPr>
      <w:r>
        <w:t xml:space="preserve">She, L., Zhang, Y., and Liu, X. (2021). Cadmium in black pepper: Sources and implications. Journal of Food Science and Technology, 58(6), 2345–2353. </w:t>
      </w:r>
      <w:hyperlink w:history="1">
        <w:r w:rsidRPr="000F593F">
          <w:rPr>
            <w:rStyle w:val="Hyperlink"/>
          </w:rPr>
          <w:t>https://doi.org/10.1007/s13197-020-04789-4</w:t>
        </w:r>
      </w:hyperlink>
      <w:r>
        <w:t>.</w:t>
      </w:r>
    </w:p>
    <w:p w14:paraId="23535281" w14:textId="77777777" w:rsidR="00DD739F" w:rsidRDefault="00DD739F" w:rsidP="00DD739F">
      <w:pPr>
        <w:spacing w:after="0" w:line="240" w:lineRule="auto"/>
        <w:ind w:left="709" w:hanging="709"/>
        <w:jc w:val="both"/>
      </w:pPr>
      <w:proofErr w:type="spellStart"/>
      <w:r w:rsidRPr="003F198A">
        <w:t>Ukom</w:t>
      </w:r>
      <w:proofErr w:type="spellEnd"/>
      <w:r w:rsidRPr="003F198A">
        <w:t xml:space="preserve">, A., Okeke, C., and Eze, C. (2022). </w:t>
      </w:r>
      <w:r>
        <w:t xml:space="preserve">Heavy metal contamination in spices from Port Harcourt: A comparative analysis. Journal of Food Safety, 42(3), e12945. </w:t>
      </w:r>
      <w:hyperlink w:history="1">
        <w:r w:rsidRPr="000F593F">
          <w:rPr>
            <w:rStyle w:val="Hyperlink"/>
          </w:rPr>
          <w:t>https://doi.org/10.1111/jfs.12945</w:t>
        </w:r>
      </w:hyperlink>
      <w:r>
        <w:t>.</w:t>
      </w:r>
    </w:p>
    <w:p w14:paraId="4E90EAC4" w14:textId="77777777" w:rsidR="00DD739F" w:rsidRDefault="00DD739F" w:rsidP="00DD739F">
      <w:pPr>
        <w:spacing w:after="0" w:line="240" w:lineRule="auto"/>
        <w:ind w:left="709" w:hanging="709"/>
        <w:jc w:val="both"/>
      </w:pPr>
      <w:proofErr w:type="spellStart"/>
      <w:r w:rsidRPr="00E53702">
        <w:t>Umanah</w:t>
      </w:r>
      <w:proofErr w:type="spellEnd"/>
      <w:r w:rsidRPr="00E53702">
        <w:t xml:space="preserve">, I. A., </w:t>
      </w:r>
      <w:proofErr w:type="spellStart"/>
      <w:r w:rsidRPr="00E53702">
        <w:t>Awaka-ama</w:t>
      </w:r>
      <w:proofErr w:type="spellEnd"/>
      <w:r w:rsidRPr="00E53702">
        <w:t xml:space="preserve">, J. J., </w:t>
      </w:r>
      <w:r>
        <w:t>and</w:t>
      </w:r>
      <w:r w:rsidRPr="00E53702">
        <w:t xml:space="preserve"> Udo, G. J. (2025). Assessment of Heavy Metal and Polycyclic Aromatic Hydrocarbon (PAH) Levels in Drilling Fluids and Effluents from Niger Delta Oil Fields. </w:t>
      </w:r>
      <w:r w:rsidRPr="00E53702">
        <w:rPr>
          <w:i/>
          <w:iCs/>
        </w:rPr>
        <w:t>Researchers Journal of Science and Technology</w:t>
      </w:r>
      <w:r w:rsidRPr="00E53702">
        <w:t>, </w:t>
      </w:r>
      <w:r w:rsidRPr="00E53702">
        <w:rPr>
          <w:i/>
          <w:iCs/>
        </w:rPr>
        <w:t>5</w:t>
      </w:r>
      <w:r w:rsidRPr="00E53702">
        <w:t>(3), 22-40.</w:t>
      </w:r>
    </w:p>
    <w:p w14:paraId="288B3B1E" w14:textId="77777777" w:rsidR="00DD739F" w:rsidRDefault="00DD739F" w:rsidP="00DD739F">
      <w:pPr>
        <w:spacing w:after="0" w:line="240" w:lineRule="auto"/>
        <w:ind w:left="709" w:hanging="709"/>
        <w:jc w:val="both"/>
      </w:pPr>
      <w:proofErr w:type="spellStart"/>
      <w:r w:rsidRPr="00EA1124">
        <w:t>Uzoatu</w:t>
      </w:r>
      <w:proofErr w:type="spellEnd"/>
      <w:r w:rsidRPr="00EA1124">
        <w:t xml:space="preserve">, C. A., Osuji, L. C., </w:t>
      </w:r>
      <w:r>
        <w:t>and</w:t>
      </w:r>
      <w:r w:rsidRPr="00EA1124">
        <w:t xml:space="preserve"> </w:t>
      </w:r>
      <w:proofErr w:type="spellStart"/>
      <w:r w:rsidRPr="00EA1124">
        <w:t>Onojake</w:t>
      </w:r>
      <w:proofErr w:type="spellEnd"/>
      <w:r w:rsidRPr="00EA1124">
        <w:t xml:space="preserve">, M. C. (2025). Alterations in physicochemical properties of soils impacted by </w:t>
      </w:r>
      <w:proofErr w:type="spellStart"/>
      <w:r w:rsidRPr="00EA1124">
        <w:t>Ahoada</w:t>
      </w:r>
      <w:proofErr w:type="spellEnd"/>
      <w:r w:rsidRPr="00EA1124">
        <w:t xml:space="preserve"> oil spill in Rivers State, Nigeria. </w:t>
      </w:r>
      <w:r w:rsidRPr="00EA1124">
        <w:rPr>
          <w:i/>
          <w:iCs/>
        </w:rPr>
        <w:t>SSR Journal of Multidisciplinary (SSRJM)</w:t>
      </w:r>
      <w:r w:rsidRPr="00EA1124">
        <w:t>, </w:t>
      </w:r>
      <w:r w:rsidRPr="00EA1124">
        <w:rPr>
          <w:i/>
          <w:iCs/>
        </w:rPr>
        <w:t>2</w:t>
      </w:r>
      <w:r w:rsidRPr="00EA1124">
        <w:t>(2), 95-101.</w:t>
      </w:r>
    </w:p>
    <w:p w14:paraId="0067C68B" w14:textId="77777777" w:rsidR="00DD739F" w:rsidRDefault="00DD739F" w:rsidP="00DD739F">
      <w:pPr>
        <w:spacing w:after="0" w:line="240" w:lineRule="auto"/>
        <w:ind w:left="709" w:hanging="709"/>
        <w:jc w:val="both"/>
      </w:pPr>
      <w:r w:rsidRPr="003F198A">
        <w:t xml:space="preserve">Wang, Z., Chen, W. H., Li, S. X., He, Z. M., Zhu, W. L., Ji, Y. B., ... </w:t>
      </w:r>
      <w:r>
        <w:t>and</w:t>
      </w:r>
      <w:r w:rsidRPr="0041527C">
        <w:t xml:space="preserve"> Han, Y. (2021). Gut microbiota modulates the inflammatory response and cognitive impairment induced by sleep deprivation. </w:t>
      </w:r>
      <w:r w:rsidRPr="0041527C">
        <w:rPr>
          <w:i/>
          <w:iCs/>
        </w:rPr>
        <w:t>Molecular Psychiatry</w:t>
      </w:r>
      <w:r w:rsidRPr="0041527C">
        <w:t>, </w:t>
      </w:r>
      <w:r w:rsidRPr="0041527C">
        <w:rPr>
          <w:i/>
          <w:iCs/>
        </w:rPr>
        <w:t>26</w:t>
      </w:r>
      <w:r w:rsidRPr="0041527C">
        <w:t>(11), 6277-6292.</w:t>
      </w:r>
    </w:p>
    <w:p w14:paraId="28387167" w14:textId="77777777" w:rsidR="00DD739F" w:rsidRDefault="00DD739F" w:rsidP="00DD739F">
      <w:pPr>
        <w:spacing w:after="0" w:line="240" w:lineRule="auto"/>
        <w:ind w:left="709" w:hanging="709"/>
        <w:jc w:val="both"/>
      </w:pPr>
      <w:proofErr w:type="spellStart"/>
      <w:r w:rsidRPr="00B73582">
        <w:t>Winiarska-Mieczan</w:t>
      </w:r>
      <w:proofErr w:type="spellEnd"/>
      <w:r w:rsidRPr="00B73582">
        <w:t xml:space="preserve">, A., Jachimowicz, K., </w:t>
      </w:r>
      <w:proofErr w:type="spellStart"/>
      <w:r w:rsidRPr="00B73582">
        <w:t>Kwiecień</w:t>
      </w:r>
      <w:proofErr w:type="spellEnd"/>
      <w:r w:rsidRPr="00B73582">
        <w:t xml:space="preserve">, M., Krusiński, R., </w:t>
      </w:r>
      <w:proofErr w:type="spellStart"/>
      <w:r w:rsidRPr="00B73582">
        <w:t>Kislova</w:t>
      </w:r>
      <w:proofErr w:type="spellEnd"/>
      <w:r w:rsidRPr="00B73582">
        <w:t xml:space="preserve">, S., Sowińska, L., ... </w:t>
      </w:r>
      <w:r>
        <w:t>and</w:t>
      </w:r>
      <w:r w:rsidRPr="00B73582">
        <w:t xml:space="preserve"> </w:t>
      </w:r>
      <w:proofErr w:type="spellStart"/>
      <w:r w:rsidRPr="00B73582">
        <w:t>Yanovych</w:t>
      </w:r>
      <w:proofErr w:type="spellEnd"/>
      <w:r w:rsidRPr="00B73582">
        <w:t>, D. (2023). The content of Cd and Pb in herbs and single-component spices used in Polish cuisine. </w:t>
      </w:r>
      <w:r w:rsidRPr="00B73582">
        <w:rPr>
          <w:i/>
          <w:iCs/>
        </w:rPr>
        <w:t>Biological Trace Element Research</w:t>
      </w:r>
      <w:r w:rsidRPr="00B73582">
        <w:t>, </w:t>
      </w:r>
      <w:r w:rsidRPr="00B73582">
        <w:rPr>
          <w:i/>
          <w:iCs/>
        </w:rPr>
        <w:t>201</w:t>
      </w:r>
      <w:r w:rsidRPr="00B73582">
        <w:t>(7), 3567-3581.</w:t>
      </w:r>
    </w:p>
    <w:p w14:paraId="18634B06" w14:textId="77777777" w:rsidR="00DD739F" w:rsidRDefault="00DD739F" w:rsidP="00DD739F">
      <w:pPr>
        <w:spacing w:after="0" w:line="240" w:lineRule="auto"/>
        <w:ind w:left="709" w:hanging="709"/>
        <w:jc w:val="both"/>
      </w:pPr>
      <w:r w:rsidRPr="003F198A">
        <w:t xml:space="preserve">Wu, J., Li, Z., and Chen, X. (2019). </w:t>
      </w:r>
      <w:r>
        <w:t xml:space="preserve">Manganese in herbal teas: A global survey. Journal of Agricultural and Food Chemistry, 67(12), 3456–3464. </w:t>
      </w:r>
      <w:hyperlink w:history="1">
        <w:r w:rsidRPr="000F593F">
          <w:rPr>
            <w:rStyle w:val="Hyperlink"/>
          </w:rPr>
          <w:t>https://doi.org/10.1021/acs.jafc.8b06723</w:t>
        </w:r>
      </w:hyperlink>
      <w:r>
        <w:t>.</w:t>
      </w:r>
    </w:p>
    <w:p w14:paraId="3441D56F" w14:textId="77777777" w:rsidR="00DD739F" w:rsidRDefault="00DD739F" w:rsidP="00DD739F">
      <w:pPr>
        <w:spacing w:after="0" w:line="240" w:lineRule="auto"/>
        <w:ind w:left="709" w:hanging="709"/>
        <w:jc w:val="both"/>
      </w:pPr>
      <w:r w:rsidRPr="00B73582">
        <w:t xml:space="preserve">Yahaya, S. M., Abubakar, F., </w:t>
      </w:r>
      <w:r>
        <w:t>and</w:t>
      </w:r>
      <w:r w:rsidRPr="00B73582">
        <w:t xml:space="preserve"> Abdu, N. (2021). Ecological risk assessment of heavy metal-contaminated soils of selected villages in Zamfara State, Nigeria. </w:t>
      </w:r>
      <w:r w:rsidRPr="00B73582">
        <w:rPr>
          <w:i/>
          <w:iCs/>
        </w:rPr>
        <w:t>SN Applied Sciences</w:t>
      </w:r>
      <w:r w:rsidRPr="00B73582">
        <w:t>, </w:t>
      </w:r>
      <w:r w:rsidRPr="00B73582">
        <w:rPr>
          <w:i/>
          <w:iCs/>
        </w:rPr>
        <w:t>3</w:t>
      </w:r>
      <w:r w:rsidRPr="00B73582">
        <w:t>(2), 168.</w:t>
      </w:r>
    </w:p>
    <w:p w14:paraId="5CA5DC43" w14:textId="77777777" w:rsidR="00DD739F" w:rsidRDefault="00DD739F" w:rsidP="00DD739F">
      <w:pPr>
        <w:spacing w:after="0" w:line="240" w:lineRule="auto"/>
        <w:ind w:left="709" w:hanging="709"/>
        <w:jc w:val="both"/>
      </w:pPr>
      <w:r>
        <w:t xml:space="preserve">Zhang, Y., Liu, X., and She, L. (2020). Nickel contamination in herbal teas: Sources and health risks. Food Control, 118, 107412. </w:t>
      </w:r>
      <w:hyperlink w:history="1">
        <w:r w:rsidRPr="000F593F">
          <w:rPr>
            <w:rStyle w:val="Hyperlink"/>
          </w:rPr>
          <w:t>https://doi.org/10.1016/j.foodcont.2020.107412</w:t>
        </w:r>
      </w:hyperlink>
      <w:r>
        <w:t>.</w:t>
      </w:r>
    </w:p>
    <w:p w14:paraId="61FFE77B" w14:textId="77777777" w:rsidR="00DD739F" w:rsidRDefault="00DD739F" w:rsidP="00DD739F">
      <w:pPr>
        <w:spacing w:line="240" w:lineRule="auto"/>
      </w:pPr>
    </w:p>
    <w:p w14:paraId="31603E2A" w14:textId="77777777" w:rsidR="00DD739F" w:rsidRDefault="00DD739F" w:rsidP="00DD739F">
      <w:pPr>
        <w:spacing w:after="0" w:line="240" w:lineRule="auto"/>
        <w:ind w:left="709" w:hanging="709"/>
        <w:jc w:val="both"/>
      </w:pPr>
    </w:p>
    <w:p w14:paraId="543D9AFD" w14:textId="77777777" w:rsidR="00DD739F" w:rsidRDefault="00DD739F" w:rsidP="00DD739F">
      <w:pPr>
        <w:spacing w:line="240" w:lineRule="auto"/>
        <w:jc w:val="both"/>
        <w:rPr>
          <w:rFonts w:ascii="Times New Roman" w:hAnsi="Times New Roman" w:cs="Times New Roman"/>
          <w:b/>
          <w:bCs/>
          <w:sz w:val="28"/>
          <w:szCs w:val="28"/>
        </w:rPr>
      </w:pPr>
    </w:p>
    <w:p w14:paraId="5A6FAB8F" w14:textId="77777777" w:rsidR="00DD739F" w:rsidRPr="00DC0D43" w:rsidRDefault="00DD739F" w:rsidP="00DD739F"/>
    <w:p w14:paraId="1D2D6B83" w14:textId="77777777" w:rsidR="00DD739F" w:rsidRPr="00DD739F" w:rsidRDefault="00DD739F" w:rsidP="00DD739F">
      <w:pPr>
        <w:spacing w:line="480" w:lineRule="auto"/>
        <w:rPr>
          <w:rFonts w:ascii="Times New Roman" w:hAnsi="Times New Roman" w:cs="Times New Roman"/>
          <w:b/>
          <w:bCs/>
        </w:rPr>
      </w:pPr>
    </w:p>
    <w:p w14:paraId="0E394566" w14:textId="77777777" w:rsidR="00087B60" w:rsidRDefault="00087B60" w:rsidP="00EC0A15">
      <w:pPr>
        <w:spacing w:line="480" w:lineRule="auto"/>
        <w:jc w:val="both"/>
        <w:rPr>
          <w:rFonts w:ascii="Times New Roman" w:hAnsi="Times New Roman" w:cs="Times New Roman"/>
        </w:rPr>
      </w:pPr>
    </w:p>
    <w:p w14:paraId="28138173" w14:textId="77777777" w:rsidR="007C74F6" w:rsidRDefault="007C74F6" w:rsidP="00EC0A15">
      <w:pPr>
        <w:spacing w:line="480" w:lineRule="auto"/>
        <w:jc w:val="both"/>
        <w:rPr>
          <w:rFonts w:ascii="Times New Roman" w:hAnsi="Times New Roman" w:cs="Times New Roman"/>
          <w:b/>
          <w:bCs/>
          <w:sz w:val="28"/>
          <w:szCs w:val="28"/>
        </w:rPr>
      </w:pPr>
    </w:p>
    <w:p w14:paraId="27C40CC9" w14:textId="77777777" w:rsidR="00DD739F" w:rsidRDefault="00DD739F" w:rsidP="00CA25C0">
      <w:pPr>
        <w:spacing w:after="0" w:line="240" w:lineRule="auto"/>
        <w:ind w:left="709" w:hanging="709"/>
        <w:jc w:val="both"/>
      </w:pPr>
    </w:p>
    <w:sectPr w:rsidR="00DD73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0ADD1" w14:textId="77777777" w:rsidR="008312FE" w:rsidRDefault="008312FE" w:rsidP="00E71AA1">
      <w:pPr>
        <w:spacing w:after="0" w:line="240" w:lineRule="auto"/>
      </w:pPr>
      <w:r>
        <w:separator/>
      </w:r>
    </w:p>
  </w:endnote>
  <w:endnote w:type="continuationSeparator" w:id="0">
    <w:p w14:paraId="12427329" w14:textId="77777777" w:rsidR="008312FE" w:rsidRDefault="008312FE" w:rsidP="00E7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D686" w14:textId="77777777" w:rsidR="00E71AA1" w:rsidRDefault="00E71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107A" w14:textId="77777777" w:rsidR="00E71AA1" w:rsidRDefault="00E71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9ACF" w14:textId="77777777" w:rsidR="00E71AA1" w:rsidRDefault="00E71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C8CE" w14:textId="77777777" w:rsidR="008312FE" w:rsidRDefault="008312FE" w:rsidP="00E71AA1">
      <w:pPr>
        <w:spacing w:after="0" w:line="240" w:lineRule="auto"/>
      </w:pPr>
      <w:r>
        <w:separator/>
      </w:r>
    </w:p>
  </w:footnote>
  <w:footnote w:type="continuationSeparator" w:id="0">
    <w:p w14:paraId="5D2118C5" w14:textId="77777777" w:rsidR="008312FE" w:rsidRDefault="008312FE" w:rsidP="00E71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A6F7" w14:textId="391C1F9B" w:rsidR="00E71AA1" w:rsidRDefault="00E71AA1">
    <w:pPr>
      <w:pStyle w:val="Header"/>
    </w:pPr>
    <w:r>
      <w:rPr>
        <w:noProof/>
      </w:rPr>
      <w:pict w14:anchorId="00EDA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22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6AC28" w14:textId="5BFDA527" w:rsidR="00E71AA1" w:rsidRDefault="00E71AA1">
    <w:pPr>
      <w:pStyle w:val="Header"/>
    </w:pPr>
    <w:r>
      <w:rPr>
        <w:noProof/>
      </w:rPr>
      <w:pict w14:anchorId="04055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22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D643E" w14:textId="5C00B5B8" w:rsidR="00E71AA1" w:rsidRDefault="00E71AA1">
    <w:pPr>
      <w:pStyle w:val="Header"/>
    </w:pPr>
    <w:r>
      <w:rPr>
        <w:noProof/>
      </w:rPr>
      <w:pict w14:anchorId="427D4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22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35EDC"/>
    <w:multiLevelType w:val="multilevel"/>
    <w:tmpl w:val="DC9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E25B7"/>
    <w:multiLevelType w:val="multilevel"/>
    <w:tmpl w:val="2CF62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164203"/>
    <w:multiLevelType w:val="multilevel"/>
    <w:tmpl w:val="7AFE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12"/>
    <w:rsid w:val="000100A3"/>
    <w:rsid w:val="00082C3C"/>
    <w:rsid w:val="00084192"/>
    <w:rsid w:val="00087B60"/>
    <w:rsid w:val="000A24A9"/>
    <w:rsid w:val="000C10E6"/>
    <w:rsid w:val="000C6957"/>
    <w:rsid w:val="000F02EB"/>
    <w:rsid w:val="001208D6"/>
    <w:rsid w:val="00125810"/>
    <w:rsid w:val="001E5C8D"/>
    <w:rsid w:val="00206574"/>
    <w:rsid w:val="00210B01"/>
    <w:rsid w:val="00227496"/>
    <w:rsid w:val="0024684B"/>
    <w:rsid w:val="00263AD3"/>
    <w:rsid w:val="00266F49"/>
    <w:rsid w:val="00267C2B"/>
    <w:rsid w:val="00291D94"/>
    <w:rsid w:val="002A3CB3"/>
    <w:rsid w:val="002D2262"/>
    <w:rsid w:val="002D75B0"/>
    <w:rsid w:val="003264CD"/>
    <w:rsid w:val="003401FD"/>
    <w:rsid w:val="003463FF"/>
    <w:rsid w:val="0036657F"/>
    <w:rsid w:val="003748B3"/>
    <w:rsid w:val="003A0A8E"/>
    <w:rsid w:val="003C5582"/>
    <w:rsid w:val="003E2405"/>
    <w:rsid w:val="003E6512"/>
    <w:rsid w:val="003F6D6D"/>
    <w:rsid w:val="003F7E7A"/>
    <w:rsid w:val="0046020E"/>
    <w:rsid w:val="004650CB"/>
    <w:rsid w:val="0048068D"/>
    <w:rsid w:val="004838EA"/>
    <w:rsid w:val="0049454E"/>
    <w:rsid w:val="00496A54"/>
    <w:rsid w:val="004F2C14"/>
    <w:rsid w:val="005018BC"/>
    <w:rsid w:val="0051502F"/>
    <w:rsid w:val="00523E41"/>
    <w:rsid w:val="0052756C"/>
    <w:rsid w:val="0053494B"/>
    <w:rsid w:val="0058150D"/>
    <w:rsid w:val="00586F12"/>
    <w:rsid w:val="005B0D04"/>
    <w:rsid w:val="005E00FC"/>
    <w:rsid w:val="00606C0D"/>
    <w:rsid w:val="006106A1"/>
    <w:rsid w:val="006233E3"/>
    <w:rsid w:val="00631AA1"/>
    <w:rsid w:val="00643993"/>
    <w:rsid w:val="00654FFB"/>
    <w:rsid w:val="006605AC"/>
    <w:rsid w:val="006904FA"/>
    <w:rsid w:val="006C0DB7"/>
    <w:rsid w:val="007060CF"/>
    <w:rsid w:val="00724E99"/>
    <w:rsid w:val="007414B7"/>
    <w:rsid w:val="0077058B"/>
    <w:rsid w:val="00777A89"/>
    <w:rsid w:val="007B657E"/>
    <w:rsid w:val="007C74F6"/>
    <w:rsid w:val="007F504A"/>
    <w:rsid w:val="00827653"/>
    <w:rsid w:val="008312FE"/>
    <w:rsid w:val="00842C51"/>
    <w:rsid w:val="00843996"/>
    <w:rsid w:val="00844303"/>
    <w:rsid w:val="0086507B"/>
    <w:rsid w:val="00891FF5"/>
    <w:rsid w:val="00893BE9"/>
    <w:rsid w:val="008A2875"/>
    <w:rsid w:val="008A4A28"/>
    <w:rsid w:val="008D6ADE"/>
    <w:rsid w:val="00901D4B"/>
    <w:rsid w:val="009122BE"/>
    <w:rsid w:val="00917368"/>
    <w:rsid w:val="00921857"/>
    <w:rsid w:val="00930FCC"/>
    <w:rsid w:val="00950621"/>
    <w:rsid w:val="009602F3"/>
    <w:rsid w:val="00960EBD"/>
    <w:rsid w:val="009A07E6"/>
    <w:rsid w:val="009A46CE"/>
    <w:rsid w:val="009A7E17"/>
    <w:rsid w:val="009B40C9"/>
    <w:rsid w:val="009D4F97"/>
    <w:rsid w:val="009F3DEA"/>
    <w:rsid w:val="00A60C09"/>
    <w:rsid w:val="00A70A03"/>
    <w:rsid w:val="00A71E9F"/>
    <w:rsid w:val="00A74D08"/>
    <w:rsid w:val="00B305FB"/>
    <w:rsid w:val="00B32E62"/>
    <w:rsid w:val="00B40636"/>
    <w:rsid w:val="00B4378C"/>
    <w:rsid w:val="00B504D6"/>
    <w:rsid w:val="00B51DEF"/>
    <w:rsid w:val="00B55F03"/>
    <w:rsid w:val="00B8704C"/>
    <w:rsid w:val="00BD767E"/>
    <w:rsid w:val="00C20512"/>
    <w:rsid w:val="00C711A8"/>
    <w:rsid w:val="00C717E8"/>
    <w:rsid w:val="00C90C84"/>
    <w:rsid w:val="00C96DB6"/>
    <w:rsid w:val="00CA25C0"/>
    <w:rsid w:val="00CE1B67"/>
    <w:rsid w:val="00CF6A47"/>
    <w:rsid w:val="00D17E23"/>
    <w:rsid w:val="00D44CC2"/>
    <w:rsid w:val="00D60097"/>
    <w:rsid w:val="00D60F6C"/>
    <w:rsid w:val="00D7593A"/>
    <w:rsid w:val="00D837E6"/>
    <w:rsid w:val="00D9029C"/>
    <w:rsid w:val="00DA3256"/>
    <w:rsid w:val="00DB53BB"/>
    <w:rsid w:val="00DC49D0"/>
    <w:rsid w:val="00DD0EFB"/>
    <w:rsid w:val="00DD30F4"/>
    <w:rsid w:val="00DD739F"/>
    <w:rsid w:val="00E07DEF"/>
    <w:rsid w:val="00E14355"/>
    <w:rsid w:val="00E45044"/>
    <w:rsid w:val="00E57121"/>
    <w:rsid w:val="00E67746"/>
    <w:rsid w:val="00E71AA1"/>
    <w:rsid w:val="00E973CF"/>
    <w:rsid w:val="00EB56BF"/>
    <w:rsid w:val="00EC0A15"/>
    <w:rsid w:val="00EE61E3"/>
    <w:rsid w:val="00F30C1D"/>
    <w:rsid w:val="00F41A23"/>
    <w:rsid w:val="00F46EA5"/>
    <w:rsid w:val="00F61FB8"/>
    <w:rsid w:val="00F74192"/>
    <w:rsid w:val="00F93690"/>
    <w:rsid w:val="00FE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C7B373"/>
  <w15:chartTrackingRefBased/>
  <w15:docId w15:val="{9AE6573C-F486-4D26-9E76-9BF0C646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0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05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05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5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5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05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05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05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5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512"/>
    <w:rPr>
      <w:rFonts w:eastAsiaTheme="majorEastAsia" w:cstheme="majorBidi"/>
      <w:color w:val="272727" w:themeColor="text1" w:themeTint="D8"/>
    </w:rPr>
  </w:style>
  <w:style w:type="paragraph" w:styleId="Title">
    <w:name w:val="Title"/>
    <w:basedOn w:val="Normal"/>
    <w:next w:val="Normal"/>
    <w:link w:val="TitleChar"/>
    <w:uiPriority w:val="10"/>
    <w:qFormat/>
    <w:rsid w:val="00C20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512"/>
    <w:pPr>
      <w:spacing w:before="160"/>
      <w:jc w:val="center"/>
    </w:pPr>
    <w:rPr>
      <w:i/>
      <w:iCs/>
      <w:color w:val="404040" w:themeColor="text1" w:themeTint="BF"/>
    </w:rPr>
  </w:style>
  <w:style w:type="character" w:customStyle="1" w:styleId="QuoteChar">
    <w:name w:val="Quote Char"/>
    <w:basedOn w:val="DefaultParagraphFont"/>
    <w:link w:val="Quote"/>
    <w:uiPriority w:val="29"/>
    <w:rsid w:val="00C20512"/>
    <w:rPr>
      <w:i/>
      <w:iCs/>
      <w:color w:val="404040" w:themeColor="text1" w:themeTint="BF"/>
    </w:rPr>
  </w:style>
  <w:style w:type="paragraph" w:styleId="ListParagraph">
    <w:name w:val="List Paragraph"/>
    <w:basedOn w:val="Normal"/>
    <w:uiPriority w:val="34"/>
    <w:qFormat/>
    <w:rsid w:val="00C20512"/>
    <w:pPr>
      <w:ind w:left="720"/>
      <w:contextualSpacing/>
    </w:pPr>
  </w:style>
  <w:style w:type="character" w:styleId="IntenseEmphasis">
    <w:name w:val="Intense Emphasis"/>
    <w:basedOn w:val="DefaultParagraphFont"/>
    <w:uiPriority w:val="21"/>
    <w:qFormat/>
    <w:rsid w:val="00C20512"/>
    <w:rPr>
      <w:i/>
      <w:iCs/>
      <w:color w:val="2F5496" w:themeColor="accent1" w:themeShade="BF"/>
    </w:rPr>
  </w:style>
  <w:style w:type="paragraph" w:styleId="IntenseQuote">
    <w:name w:val="Intense Quote"/>
    <w:basedOn w:val="Normal"/>
    <w:next w:val="Normal"/>
    <w:link w:val="IntenseQuoteChar"/>
    <w:uiPriority w:val="30"/>
    <w:qFormat/>
    <w:rsid w:val="00C20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512"/>
    <w:rPr>
      <w:i/>
      <w:iCs/>
      <w:color w:val="2F5496" w:themeColor="accent1" w:themeShade="BF"/>
    </w:rPr>
  </w:style>
  <w:style w:type="character" w:styleId="IntenseReference">
    <w:name w:val="Intense Reference"/>
    <w:basedOn w:val="DefaultParagraphFont"/>
    <w:uiPriority w:val="32"/>
    <w:qFormat/>
    <w:rsid w:val="00C20512"/>
    <w:rPr>
      <w:b/>
      <w:bCs/>
      <w:smallCaps/>
      <w:color w:val="2F5496" w:themeColor="accent1" w:themeShade="BF"/>
      <w:spacing w:val="5"/>
    </w:rPr>
  </w:style>
  <w:style w:type="paragraph" w:customStyle="1" w:styleId="msonormal0">
    <w:name w:val="msonormal"/>
    <w:basedOn w:val="Normal"/>
    <w:rsid w:val="00C205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20512"/>
    <w:rPr>
      <w:b/>
      <w:bCs/>
    </w:rPr>
  </w:style>
  <w:style w:type="paragraph" w:styleId="NoSpacing">
    <w:name w:val="No Spacing"/>
    <w:basedOn w:val="Normal"/>
    <w:uiPriority w:val="1"/>
    <w:qFormat/>
    <w:rsid w:val="00C205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20512"/>
    <w:rPr>
      <w:color w:val="0000FF"/>
      <w:u w:val="single"/>
    </w:rPr>
  </w:style>
  <w:style w:type="character" w:styleId="FollowedHyperlink">
    <w:name w:val="FollowedHyperlink"/>
    <w:basedOn w:val="DefaultParagraphFont"/>
    <w:uiPriority w:val="99"/>
    <w:semiHidden/>
    <w:unhideWhenUsed/>
    <w:rsid w:val="00C20512"/>
    <w:rPr>
      <w:color w:val="800080"/>
      <w:u w:val="single"/>
    </w:rPr>
  </w:style>
  <w:style w:type="character" w:customStyle="1" w:styleId="relative">
    <w:name w:val="relative"/>
    <w:basedOn w:val="DefaultParagraphFont"/>
    <w:rsid w:val="00C20512"/>
  </w:style>
  <w:style w:type="paragraph" w:styleId="NormalWeb">
    <w:name w:val="Normal (Web)"/>
    <w:basedOn w:val="Normal"/>
    <w:uiPriority w:val="99"/>
    <w:semiHidden/>
    <w:unhideWhenUsed/>
    <w:rsid w:val="00C205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20512"/>
    <w:rPr>
      <w:color w:val="605E5C"/>
      <w:shd w:val="clear" w:color="auto" w:fill="E1DFDD"/>
    </w:rPr>
  </w:style>
  <w:style w:type="table" w:styleId="TableGrid">
    <w:name w:val="Table Grid"/>
    <w:basedOn w:val="TableNormal"/>
    <w:uiPriority w:val="39"/>
    <w:rsid w:val="00A7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AA1"/>
  </w:style>
  <w:style w:type="paragraph" w:styleId="Footer">
    <w:name w:val="footer"/>
    <w:basedOn w:val="Normal"/>
    <w:link w:val="FooterChar"/>
    <w:uiPriority w:val="99"/>
    <w:unhideWhenUsed/>
    <w:rsid w:val="00E71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27</Pages>
  <Words>7829</Words>
  <Characters>44626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Adebisi FAGBOHUN</dc:creator>
  <cp:keywords/>
  <dc:description/>
  <cp:lastModifiedBy>SDI 1084</cp:lastModifiedBy>
  <cp:revision>4</cp:revision>
  <dcterms:created xsi:type="dcterms:W3CDTF">2025-10-24T15:04:00Z</dcterms:created>
  <dcterms:modified xsi:type="dcterms:W3CDTF">2025-10-25T08:19:00Z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3eaad303-0cef-4b78-bdce-efa3e61309b3</vt:lpwstr>
  </property>
</Properties>
</file>