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>
        <w:trPr>
          <w:trHeight w:val="290" w:hRule="atLeast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pStyle w:val="style2"/>
              <w:jc w:val="left"/>
              <w:rPr>
                <w:rFonts w:ascii="Arial" w:cs="Arial" w:hAnsi="Arial"/>
                <w:b w:val="false"/>
                <w:bCs w:val="false"/>
                <w:sz w:val="28"/>
                <w:szCs w:val="28"/>
                <w:lang w:val="en-GB"/>
              </w:rPr>
            </w:pPr>
          </w:p>
        </w:tc>
      </w:tr>
      <w:tr>
        <w:tblPrEx/>
        <w:trPr>
          <w:trHeight w:val="290" w:hRule="atLeast"/>
        </w:trPr>
        <w:tc>
          <w:tcPr>
            <w:tcW w:w="1234" w:type="pct"/>
            <w:tcBorders/>
            <w:shd w:val="clear" w:color="auto" w:fill="auto"/>
            <w:tcMar/>
          </w:tcPr>
          <w:p>
            <w:pPr>
              <w:pStyle w:val="style66"/>
              <w:ind w:left="90"/>
              <w:jc w:val="left"/>
              <w:rPr>
                <w:rFonts w:ascii="Arial" w:cs="Arial" w:hAnsi="Arial"/>
                <w:bCs/>
                <w:sz w:val="20"/>
                <w:szCs w:val="28"/>
                <w:lang w:val="en-GB"/>
              </w:rPr>
            </w:pPr>
            <w:r>
              <w:rPr>
                <w:rFonts w:ascii="Arial" w:cs="Arial" w:hAnsi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Borders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rPr>
                <w:rFonts w:ascii="Arial" w:cs="Arial" w:hAnsi="Arial"/>
                <w:b/>
                <w:bCs/>
                <w:color w:val="0000ff"/>
                <w:sz w:val="20"/>
                <w:szCs w:val="20"/>
              </w:rPr>
            </w:pPr>
            <w:r>
              <w:rPr/>
              <w:fldChar w:fldCharType="begin"/>
            </w:r>
            <w:r>
              <w:instrText xml:space="preserve"> HYPERLINK "https://journalsarjnp.com/index.php/SARJNP" </w:instrText>
            </w:r>
            <w:r>
              <w:rPr/>
              <w:fldChar w:fldCharType="separate"/>
            </w:r>
            <w:r>
              <w:rPr>
                <w:rStyle w:val="style85"/>
                <w:rFonts w:ascii="Arial" w:cs="Arial" w:hAnsi="Arial"/>
                <w:b/>
                <w:bCs/>
                <w:sz w:val="20"/>
                <w:szCs w:val="20"/>
              </w:rPr>
              <w:t>South Asian Research Journal of Natural Products</w:t>
            </w:r>
            <w:r>
              <w:rPr/>
              <w:fldChar w:fldCharType="end"/>
            </w:r>
            <w:r>
              <w:rPr>
                <w:rFonts w:ascii="Arial" w:cs="Arial" w:hAnsi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>
        <w:tblPrEx/>
        <w:trPr>
          <w:trHeight w:val="290" w:hRule="atLeast"/>
        </w:trPr>
        <w:tc>
          <w:tcPr>
            <w:tcW w:w="1234" w:type="pct"/>
            <w:tcBorders/>
            <w:shd w:val="clear" w:color="auto" w:fill="auto"/>
            <w:tcMar/>
          </w:tcPr>
          <w:p>
            <w:pPr>
              <w:pStyle w:val="style66"/>
              <w:ind w:left="90"/>
              <w:jc w:val="left"/>
              <w:rPr>
                <w:rFonts w:ascii="Arial" w:cs="Arial" w:hAnsi="Arial"/>
                <w:bCs/>
                <w:sz w:val="20"/>
                <w:szCs w:val="28"/>
                <w:lang w:val="en-GB"/>
              </w:rPr>
            </w:pPr>
            <w:r>
              <w:rPr>
                <w:rFonts w:ascii="Arial" w:cs="Arial" w:hAnsi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Borders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94"/>
              <w:spacing w:before="0" w:beforeAutospacing="false" w:after="0" w:afterAutospacing="false"/>
              <w:rPr>
                <w:rFonts w:ascii="Arial" w:cs="Arial" w:hAnsi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cs="Arial" w:hAnsi="Arial"/>
                <w:b/>
                <w:bCs/>
                <w:sz w:val="20"/>
                <w:szCs w:val="28"/>
                <w:lang w:val="en-GB"/>
              </w:rPr>
              <w:t>Ms_SARJNP_150994</w:t>
            </w:r>
          </w:p>
        </w:tc>
      </w:tr>
      <w:tr>
        <w:tblPrEx/>
        <w:trPr>
          <w:trHeight w:val="650" w:hRule="atLeast"/>
        </w:trPr>
        <w:tc>
          <w:tcPr>
            <w:tcW w:w="1234" w:type="pct"/>
            <w:tcBorders/>
            <w:shd w:val="clear" w:color="auto" w:fill="auto"/>
            <w:tcMar/>
          </w:tcPr>
          <w:p>
            <w:pPr>
              <w:pStyle w:val="style66"/>
              <w:ind w:left="90"/>
              <w:jc w:val="left"/>
              <w:rPr>
                <w:rFonts w:ascii="Arial" w:cs="Arial" w:hAnsi="Arial"/>
                <w:bCs/>
                <w:sz w:val="20"/>
                <w:szCs w:val="28"/>
                <w:lang w:val="en-GB"/>
              </w:rPr>
            </w:pPr>
            <w:r>
              <w:rPr>
                <w:rFonts w:ascii="Arial" w:cs="Arial" w:hAnsi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Borders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94"/>
              <w:spacing w:before="0" w:beforeAutospacing="false" w:after="0" w:afterAutospacing="false"/>
              <w:rPr>
                <w:rFonts w:ascii="Arial" w:cs="Arial" w:hAnsi="Arial"/>
                <w:b/>
                <w:sz w:val="20"/>
                <w:szCs w:val="28"/>
                <w:lang w:val="en-GB"/>
              </w:rPr>
            </w:pPr>
            <w:r>
              <w:rPr>
                <w:rFonts w:ascii="Arial" w:cs="Arial" w:hAnsi="Arial"/>
                <w:b/>
                <w:sz w:val="20"/>
                <w:szCs w:val="28"/>
                <w:lang w:val="en-GB"/>
              </w:rPr>
              <w:t xml:space="preserve">BIOACTIVE COMPOUNDS and GC-FID EVALUATION OF </w:t>
            </w:r>
            <w:r>
              <w:rPr>
                <w:rFonts w:ascii="Arial" w:cs="Arial" w:hAnsi="Arial"/>
                <w:b/>
                <w:sz w:val="20"/>
                <w:szCs w:val="28"/>
                <w:lang w:val="en-GB"/>
              </w:rPr>
              <w:t>Azadirachta</w:t>
            </w:r>
            <w:r>
              <w:rPr>
                <w:rFonts w:ascii="Arial" w:cs="Arial" w:hAnsi="Arial"/>
                <w:b/>
                <w:sz w:val="20"/>
                <w:szCs w:val="28"/>
                <w:lang w:val="en-GB"/>
              </w:rPr>
              <w:t xml:space="preserve"> </w:t>
            </w:r>
            <w:r>
              <w:rPr>
                <w:rFonts w:ascii="Arial" w:cs="Arial" w:hAnsi="Arial"/>
                <w:b/>
                <w:sz w:val="20"/>
                <w:szCs w:val="28"/>
                <w:lang w:val="en-GB"/>
              </w:rPr>
              <w:t>indica</w:t>
            </w:r>
            <w:r>
              <w:rPr>
                <w:rFonts w:ascii="Arial" w:cs="Arial" w:hAnsi="Arial"/>
                <w:b/>
                <w:sz w:val="20"/>
                <w:szCs w:val="28"/>
                <w:lang w:val="en-GB"/>
              </w:rPr>
              <w:t>(</w:t>
            </w:r>
            <w:r>
              <w:rPr>
                <w:rFonts w:ascii="Arial" w:cs="Arial" w:hAnsi="Arial"/>
                <w:b/>
                <w:sz w:val="20"/>
                <w:szCs w:val="28"/>
                <w:lang w:val="en-GB"/>
              </w:rPr>
              <w:t>NEEM TREE) LEAVES IN UTURU AREA, NIGERIA</w:t>
            </w:r>
          </w:p>
        </w:tc>
      </w:tr>
      <w:tr>
        <w:tblPrEx/>
        <w:trPr>
          <w:trHeight w:val="332" w:hRule="atLeast"/>
        </w:trPr>
        <w:tc>
          <w:tcPr>
            <w:tcW w:w="1234" w:type="pct"/>
            <w:tcBorders/>
            <w:shd w:val="clear" w:color="auto" w:fill="auto"/>
            <w:tcMar/>
          </w:tcPr>
          <w:p>
            <w:pPr>
              <w:pStyle w:val="style66"/>
              <w:ind w:left="90"/>
              <w:jc w:val="left"/>
              <w:rPr>
                <w:rFonts w:ascii="Arial" w:cs="Arial" w:hAnsi="Arial"/>
                <w:bCs/>
                <w:sz w:val="20"/>
                <w:szCs w:val="28"/>
                <w:lang w:val="en-GB"/>
              </w:rPr>
            </w:pPr>
            <w:r>
              <w:rPr>
                <w:rFonts w:ascii="Arial" w:cs="Arial" w:hAnsi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Borders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94"/>
              <w:spacing w:before="0" w:beforeAutospacing="false" w:after="0" w:afterAutospacing="false"/>
              <w:rPr>
                <w:rFonts w:ascii="Arial" w:cs="Arial" w:hAnsi="Arial"/>
                <w:b/>
                <w:sz w:val="20"/>
                <w:szCs w:val="28"/>
                <w:lang w:val="en-GB"/>
              </w:rPr>
            </w:pPr>
          </w:p>
        </w:tc>
      </w:tr>
    </w:tbl>
    <w:p>
      <w:pPr>
        <w:pStyle w:val="style66"/>
        <w:rPr>
          <w:rFonts w:ascii="Arial" w:cs="Arial" w:hAnsi="Arial"/>
          <w:b/>
          <w:bCs/>
          <w:sz w:val="20"/>
          <w:szCs w:val="20"/>
          <w:u w:val="single"/>
          <w:lang w:val="en-GB"/>
        </w:rPr>
      </w:pPr>
    </w:p>
    <w:bookmarkStart w:id="0" w:name="_Hlk171324449"/>
    <w:bookmarkStart w:id="1" w:name="_Hlk170903434"/>
    <w:p>
      <w:pPr>
        <w:pStyle w:val="style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"/>
        <w:gridCol w:w="5241"/>
        <w:gridCol w:w="3469"/>
        <w:gridCol w:w="651"/>
        <w:gridCol w:w="5237"/>
        <w:gridCol w:w="6442"/>
      </w:tblGrid>
      <w:tr>
        <w:trPr/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</w:p>
        </w:tc>
      </w:tr>
      <w:tr>
        <w:tblPrEx/>
        <w:trPr/>
        <w:tc>
          <w:tcPr>
            <w:tcW w:w="1265" w:type="pct"/>
            <w:gridSpan w:val="2"/>
            <w:tcBorders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  <w:gridSpan w:val="3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>
            <w:pPr>
              <w:pStyle w:val="style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>
            <w:pPr>
              <w:pStyle w:val="style0"/>
              <w:rPr>
                <w:lang w:val="en-GB"/>
              </w:rPr>
            </w:pPr>
          </w:p>
        </w:tc>
        <w:tc>
          <w:tcPr>
            <w:tcW w:w="1523" w:type="pct"/>
            <w:tcBorders/>
          </w:tcPr>
          <w:p>
            <w:pPr>
              <w:pStyle w:val="style0"/>
              <w:spacing w:after="160" w:lineRule="auto" w:line="253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1264" w:hRule="atLeast"/>
        </w:trPr>
        <w:tc>
          <w:tcPr>
            <w:tcW w:w="1265" w:type="pct"/>
            <w:gridSpan w:val="2"/>
            <w:tcBorders/>
            <w:noWrap/>
          </w:tcPr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>
            <w:pPr>
              <w:pStyle w:val="style0"/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  <w:tcBorders/>
          </w:tcPr>
          <w:p>
            <w:pPr>
              <w:pStyle w:val="style179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</w:rPr>
              <w:t xml:space="preserve">The manuscript provides scientific value by identifying and characterizing the bioactive compounds present in </w:t>
            </w:r>
            <w:r>
              <w:rPr>
                <w:rStyle w:val="style88"/>
                <w:rFonts w:eastAsia="SimSun"/>
                <w:sz w:val="20"/>
                <w:szCs w:val="20"/>
              </w:rPr>
              <w:t>Azadirachta</w:t>
            </w:r>
            <w:r>
              <w:rPr>
                <w:rStyle w:val="style88"/>
                <w:rFonts w:eastAsia="SimSun"/>
                <w:sz w:val="20"/>
                <w:szCs w:val="20"/>
              </w:rPr>
              <w:t xml:space="preserve"> </w:t>
            </w:r>
            <w:r>
              <w:rPr>
                <w:rStyle w:val="style88"/>
                <w:rFonts w:eastAsia="SimSun"/>
                <w:sz w:val="20"/>
                <w:szCs w:val="20"/>
              </w:rPr>
              <w:t>indica</w:t>
            </w:r>
            <w:r>
              <w:rPr>
                <w:rFonts w:eastAsia="SimSun"/>
                <w:sz w:val="20"/>
                <w:szCs w:val="20"/>
              </w:rPr>
              <w:t xml:space="preserve"> leaves, contributing to the phytochemical knowledge of this widely used medicinal plant. The GC-FID evaluation offers quantitative insight into the chemical profile of neem leaves from the </w:t>
            </w:r>
            <w:r>
              <w:rPr>
                <w:rFonts w:eastAsia="SimSun"/>
                <w:sz w:val="20"/>
                <w:szCs w:val="20"/>
              </w:rPr>
              <w:t>Uturu</w:t>
            </w:r>
            <w:r>
              <w:rPr>
                <w:rFonts w:eastAsia="SimSun"/>
                <w:sz w:val="20"/>
                <w:szCs w:val="20"/>
              </w:rPr>
              <w:t xml:space="preserve"> area, highlighting how geographic and environmental factors may influence bioactive composition. These findings support the pharmacological relevance of neem by linking specific compounds to potential therapeutic and antimicrobial properties. </w:t>
            </w:r>
          </w:p>
        </w:tc>
        <w:tc>
          <w:tcPr>
            <w:tcW w:w="1523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781" w:hRule="atLeast"/>
        </w:trPr>
        <w:tc>
          <w:tcPr>
            <w:tcW w:w="1265" w:type="pct"/>
            <w:gridSpan w:val="2"/>
            <w:tcBorders/>
            <w:noWrap/>
          </w:tcPr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>
            <w:pPr>
              <w:pStyle w:val="style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  <w:tcBorders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Yes, the title of the article is suitable</w:t>
            </w:r>
          </w:p>
        </w:tc>
        <w:tc>
          <w:tcPr>
            <w:tcW w:w="1523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1262" w:hRule="atLeast"/>
        </w:trPr>
        <w:tc>
          <w:tcPr>
            <w:tcW w:w="1265" w:type="pct"/>
            <w:gridSpan w:val="2"/>
            <w:tcBorders/>
            <w:noWrap/>
          </w:tcPr>
          <w:p>
            <w:pPr>
              <w:pStyle w:val="style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>
            <w:pPr>
              <w:pStyle w:val="style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  <w:tcBorders/>
          </w:tcPr>
          <w:p>
            <w:pPr>
              <w:pStyle w:val="style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Yes, the abstract is sufficient enough</w:t>
            </w:r>
          </w:p>
        </w:tc>
        <w:tc>
          <w:tcPr>
            <w:tcW w:w="1523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704" w:hRule="atLeast"/>
        </w:trPr>
        <w:tc>
          <w:tcPr>
            <w:tcW w:w="1265" w:type="pct"/>
            <w:gridSpan w:val="2"/>
            <w:tcBorders/>
            <w:noWrap/>
          </w:tcPr>
          <w:p>
            <w:pPr>
              <w:pStyle w:val="style2"/>
              <w:ind w:left="360"/>
              <w:jc w:val="left"/>
              <w:rPr>
                <w:b w:val="false"/>
                <w:bCs w:val="false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gridSpan w:val="3"/>
            <w:tcBorders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Yes, the title of the article is suitable</w:t>
            </w:r>
          </w:p>
        </w:tc>
        <w:tc>
          <w:tcPr>
            <w:tcW w:w="1523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703" w:hRule="atLeast"/>
        </w:trPr>
        <w:tc>
          <w:tcPr>
            <w:tcW w:w="1265" w:type="pct"/>
            <w:gridSpan w:val="2"/>
            <w:tcBorders/>
            <w:noWrap/>
          </w:tcPr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gridSpan w:val="3"/>
            <w:tcBorders/>
          </w:tcPr>
          <w:p>
            <w:pPr>
              <w:pStyle w:val="style179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Yes, the over 30 references provided are sufficient and majority </w:t>
            </w:r>
            <w:r>
              <w:rPr>
                <w:bCs/>
                <w:sz w:val="20"/>
                <w:szCs w:val="20"/>
              </w:rPr>
              <w:t>of  them</w:t>
            </w:r>
            <w:r>
              <w:rPr>
                <w:bCs/>
                <w:sz w:val="20"/>
                <w:szCs w:val="20"/>
              </w:rPr>
              <w:t xml:space="preserve"> are recent</w:t>
            </w:r>
          </w:p>
        </w:tc>
        <w:tc>
          <w:tcPr>
            <w:tcW w:w="1523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386" w:hRule="atLeast"/>
        </w:trPr>
        <w:tc>
          <w:tcPr>
            <w:tcW w:w="1265" w:type="pct"/>
            <w:gridSpan w:val="2"/>
            <w:tcBorders/>
            <w:noWrap/>
          </w:tcPr>
          <w:p>
            <w:pPr>
              <w:pStyle w:val="style2"/>
              <w:ind w:left="360"/>
              <w:jc w:val="left"/>
              <w:rPr>
                <w:rFonts w:ascii="Times New Roman" w:hAnsi="Times New Roman"/>
                <w:bCs w:val="false"/>
                <w:lang w:val="en-GB"/>
              </w:rPr>
            </w:pPr>
            <w:r>
              <w:rPr>
                <w:rFonts w:ascii="Times New Roman" w:hAnsi="Times New Roman"/>
                <w:bCs w:val="false"/>
                <w:lang w:val="en-GB"/>
              </w:rPr>
              <w:t>Is the language/English quality of the article suitable for scholarly communications?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  <w:tcBorders/>
          </w:tcPr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Yes, the Language and English quality are suitable for scholarly communications.</w:t>
            </w:r>
          </w:p>
        </w:tc>
        <w:tc>
          <w:tcPr>
            <w:tcW w:w="1523" w:type="pct"/>
            <w:tcBorders/>
          </w:tcPr>
          <w:p>
            <w:pPr>
              <w:pStyle w:val="style0"/>
              <w:rPr>
                <w:sz w:val="20"/>
                <w:szCs w:val="20"/>
                <w:lang w:val="en-GB"/>
              </w:rPr>
            </w:pPr>
          </w:p>
        </w:tc>
      </w:tr>
      <w:tr>
        <w:tblPrEx/>
        <w:trPr>
          <w:trHeight w:val="1178" w:hRule="atLeast"/>
        </w:trPr>
        <w:tc>
          <w:tcPr>
            <w:tcW w:w="1265" w:type="pct"/>
            <w:gridSpan w:val="2"/>
            <w:tcBorders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bCs w:val="false"/>
                <w:lang w:val="en-GB"/>
              </w:rPr>
            </w:pPr>
            <w:r>
              <w:rPr>
                <w:rFonts w:ascii="Times New Roman" w:hAnsi="Times New Roman"/>
                <w:bCs w:val="false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false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lang w:val="en-GB"/>
              </w:rPr>
              <w:t>comments</w:t>
            </w:r>
          </w:p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  <w:tc>
          <w:tcPr>
            <w:tcW w:w="2212" w:type="pct"/>
            <w:gridSpan w:val="3"/>
            <w:tcBorders/>
          </w:tcPr>
          <w:p>
            <w:pPr>
              <w:pStyle w:val="style94"/>
              <w:spacing w:before="0" w:beforeAutospacing="false" w:after="0" w:afterAutospacing="false"/>
              <w:rPr>
                <w:rFonts w:ascii="Times New Roman" w:cs="Times New Roman" w:hAnsi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cs="Times New Roman" w:hAnsi="Times New Roman"/>
                <w:bCs/>
                <w:sz w:val="20"/>
                <w:szCs w:val="20"/>
                <w:lang w:val="en-GB"/>
              </w:rPr>
              <w:t>It is a</w:t>
            </w:r>
            <w:r>
              <w:rPr>
                <w:rFonts w:ascii="Times New Roman" w:cs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cs="Times New Roman" w:hAnsi="Times New Roman"/>
                <w:bCs/>
                <w:sz w:val="20"/>
                <w:szCs w:val="20"/>
              </w:rPr>
              <w:t xml:space="preserve">good </w:t>
            </w:r>
            <w:r>
              <w:rPr>
                <w:rFonts w:ascii="Times New Roman" w:cs="Times New Roman" w:hAnsi="Times New Roman"/>
                <w:bCs/>
                <w:sz w:val="20"/>
                <w:szCs w:val="20"/>
                <w:lang w:val="en-GB"/>
              </w:rPr>
              <w:t xml:space="preserve"> manuscript</w:t>
            </w:r>
            <w:r>
              <w:rPr>
                <w:rFonts w:ascii="Times New Roman" w:cs="Times New Roman" w:hAnsi="Times New Roman"/>
                <w:bCs/>
                <w:sz w:val="20"/>
                <w:szCs w:val="20"/>
                <w:lang w:val="en-GB"/>
              </w:rPr>
              <w:t xml:space="preserve"> given the importance and relevance of the topic.</w:t>
            </w:r>
          </w:p>
        </w:tc>
        <w:tc>
          <w:tcPr>
            <w:tcW w:w="1523" w:type="pct"/>
            <w:tcBorders/>
          </w:tcPr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US"/>
              </w:rPr>
              <w:t>All suggestions effected.</w:t>
            </w:r>
          </w:p>
        </w:tc>
      </w:tr>
      <w:bookmarkStart w:id="2" w:name="_Hlk171333471"/>
      <w:tr>
        <w:tblPrEx>
          <w:shd w:val="clear" w:color="auto" w:fill="ebffff"/>
          <w:tblCellMar>
            <w:left w:w="0" w:type="dxa"/>
            <w:right w:w="0" w:type="dxa"/>
          </w:tblCellMar>
        </w:tblPrEx>
        <w:trPr>
          <w:gridBefore w:val="1"/>
          <w:gridAfter w:val="2"/>
          <w:wBefore w:w="26" w:type="pct"/>
          <w:wAfter w:w="2762" w:type="pct"/>
        </w:trPr>
        <w:tc>
          <w:tcPr>
            <w:tcW w:w="221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>
            <w:pPr>
              <w:pStyle w:val="style0"/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>
        <w:tblPrEx>
          <w:shd w:val="clear" w:color="auto" w:fill="ebffff"/>
          <w:tblCellMar>
            <w:left w:w="0" w:type="dxa"/>
            <w:right w:w="0" w:type="dxa"/>
          </w:tblCellMar>
        </w:tblPrEx>
        <w:trPr>
          <w:gridBefore w:val="1"/>
          <w:gridAfter w:val="2"/>
          <w:wBefore w:w="26" w:type="pct"/>
          <w:wAfter w:w="2762" w:type="pct"/>
        </w:trPr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rPr>
                <w:sz w:val="20"/>
                <w:szCs w:val="20"/>
                <w:lang w:val="en-GB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>
        <w:tblPrEx>
          <w:shd w:val="clear" w:color="auto" w:fill="ebffff"/>
          <w:tblCellMar>
            <w:left w:w="0" w:type="dxa"/>
            <w:right w:w="0" w:type="dxa"/>
          </w:tblCellMar>
        </w:tblPrEx>
        <w:trPr>
          <w:gridBefore w:val="1"/>
          <w:gridAfter w:val="2"/>
          <w:wBefore w:w="26" w:type="pct"/>
          <w:wAfter w:w="2762" w:type="pct"/>
        </w:trPr>
        <w:tc>
          <w:tcPr>
            <w:tcW w:w="2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rPr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Vats, S. (2016). Effect of initial temperature treatment on phytochemicals and antioxidant activity of </w:t>
            </w:r>
            <w:r>
              <w:rPr>
                <w:sz w:val="20"/>
                <w:szCs w:val="20"/>
                <w:lang w:val="en-GB"/>
              </w:rPr>
              <w:t>Azadirachta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indica</w:t>
            </w:r>
            <w:r>
              <w:rPr>
                <w:sz w:val="20"/>
                <w:szCs w:val="20"/>
                <w:lang w:val="en-GB"/>
              </w:rPr>
              <w:t xml:space="preserve"> A. </w:t>
            </w:r>
            <w:r>
              <w:rPr>
                <w:sz w:val="20"/>
                <w:szCs w:val="20"/>
                <w:lang w:val="en-GB"/>
              </w:rPr>
              <w:t>Juss</w:t>
            </w:r>
            <w:r>
              <w:rPr>
                <w:sz w:val="20"/>
                <w:szCs w:val="20"/>
                <w:lang w:val="en-GB"/>
              </w:rPr>
              <w:t>. Applied biochemistry and biotechnology, 178(3), 504-512.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2"/>
    </w:tbl>
    <w:p>
      <w:pPr>
        <w:pStyle w:val="style0"/>
        <w:rPr>
          <w:rFonts w:ascii="Calibri" w:cs="宋体" w:eastAsia="Calibri" w:hAnsi="Calibri"/>
          <w:kern w:val="2"/>
          <w:sz w:val="22"/>
          <w:szCs w:val="22"/>
          <w:lang w:val="en-IN"/>
          <w14:ligatures xmlns:w14="http://schemas.microsoft.com/office/word/2010/wordml" w14:val="standardContextual"/>
        </w:rPr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  <w:r>
        <w:tab/>
      </w:r>
    </w:p>
    <w:p>
      <w:pPr>
        <w:pStyle w:val="style0"/>
        <w:rPr/>
      </w:pPr>
    </w:p>
    <w:bookmarkStart w:id="3" w:name="_GoBack"/>
    <w:bookmarkEnd w:id="3"/>
    <w:p>
      <w:pPr>
        <w:pStyle w:val="style6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1"/>
        <w:gridCol w:w="8553"/>
        <w:gridCol w:w="5618"/>
      </w:tblGrid>
      <w:tr>
        <w:trPr>
          <w:trHeight w:val="237" w:hRule="atLeast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94"/>
              <w:spacing w:before="0" w:beforeAutospacing="false" w:after="0" w:afterAutospacing="false"/>
              <w:rPr>
                <w:rFonts w:ascii="Times New Roman" w:cs="Times New Roman" w:hAnsi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cs="Times New Roman" w:hAnsi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>
            <w:pPr>
              <w:pStyle w:val="style94"/>
              <w:spacing w:before="0" w:beforeAutospacing="false" w:after="0" w:afterAutospacing="false"/>
              <w:rPr>
                <w:rFonts w:ascii="Times New Roman" w:cs="Times New Roman" w:hAnsi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>
        <w:tblPrEx/>
        <w:trPr>
          <w:trHeight w:val="935" w:hRule="atLeast"/>
        </w:trPr>
        <w:tc>
          <w:tcPr>
            <w:tcW w:w="1615" w:type="pct"/>
            <w:tcBorders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94"/>
              <w:spacing w:before="0" w:beforeAutospacing="false" w:after="0" w:afterAutospacing="false"/>
              <w:rPr>
                <w:rFonts w:ascii="Times New Roman" w:cs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Borders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tcBorders/>
            <w:shd w:val="clear" w:color="auto" w:fill="auto"/>
            <w:tcMar/>
          </w:tcPr>
          <w:p>
            <w:pPr>
              <w:pStyle w:val="style0"/>
              <w:spacing w:after="160" w:lineRule="auto" w:line="253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697" w:hRule="atLeast"/>
        </w:trPr>
        <w:tc>
          <w:tcPr>
            <w:tcW w:w="1615" w:type="pct"/>
            <w:tcBorders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94"/>
              <w:spacing w:before="0" w:beforeAutospacing="false" w:after="0" w:afterAutospacing="false"/>
              <w:rPr>
                <w:rFonts w:ascii="Times New Roman" w:cs="Times New Roman" w:hAnsi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>
            <w:pPr>
              <w:pStyle w:val="style94"/>
              <w:spacing w:before="0" w:beforeAutospacing="false" w:after="0" w:afterAutospacing="false"/>
              <w:rPr>
                <w:rFonts w:ascii="Times New Roman" w:cs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Borders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94"/>
              <w:spacing w:before="0" w:beforeAutospacing="false" w:after="0" w:afterAutospacing="false"/>
              <w:rPr>
                <w:rFonts w:ascii="Times New Roman" w:cs="Times New Roman" w:hAnsi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>
            <w:pPr>
              <w:pStyle w:val="style94"/>
              <w:spacing w:before="0" w:beforeAutospacing="false" w:after="0" w:afterAutospacing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None</w:t>
            </w:r>
          </w:p>
          <w:p>
            <w:pPr>
              <w:pStyle w:val="style94"/>
              <w:spacing w:before="0" w:beforeAutospacing="false" w:after="0" w:afterAutospacing="false"/>
              <w:rPr>
                <w:rFonts w:ascii="Times New Roman" w:cs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tcBorders/>
            <w:shd w:val="clear" w:color="auto" w:fill="auto"/>
            <w:tcMar/>
            <w:vAlign w:val="center"/>
          </w:tcPr>
          <w:p>
            <w:pPr>
              <w:pStyle w:val="style0"/>
              <w:rPr>
                <w:rFonts w:eastAsia="Arial Unicode MS"/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rFonts w:eastAsia="Arial Unicode MS"/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rFonts w:eastAsia="Arial Unicode MS"/>
                <w:sz w:val="20"/>
                <w:szCs w:val="20"/>
                <w:lang w:val="en-GB"/>
              </w:rPr>
            </w:pPr>
          </w:p>
          <w:p>
            <w:pPr>
              <w:pStyle w:val="style94"/>
              <w:spacing w:before="0" w:beforeAutospacing="false" w:after="0" w:afterAutospacing="false"/>
              <w:rPr>
                <w:rFonts w:ascii="Times New Roman" w:cs="Times New Roman" w:hAnsi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>
      <w:pPr>
        <w:pStyle w:val="style66"/>
        <w:outlineLvl w:val="0"/>
        <w:rPr>
          <w:rFonts w:ascii="Arial" w:cs="Arial" w:hAnsi="Arial"/>
          <w:sz w:val="20"/>
          <w:szCs w:val="20"/>
          <w:lang w:val="en-GB"/>
        </w:rPr>
      </w:pPr>
    </w:p>
    <w:sectPr>
      <w:headerReference w:type="default" r:id="rId2"/>
      <w:footerReference w:type="default" r:id="rId3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Helvetica">
    <w:altName w:val="Helvetica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002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002020204"/>
    <w:charset w:val="00"/>
    <w:family w:val="roman"/>
    <w:pitch w:val="default"/>
    <w:sig w:usb0="00000003" w:usb1="00000000" w:usb2="00000000" w:usb3="00000000" w:csb0="00000001" w:csb1="00000000"/>
  </w:font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2"/>
      <w:rPr>
        <w:sz w:val="16"/>
      </w:rPr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                                           Approved by: MBM</w:t>
    </w:r>
    <w:r>
      <w:rPr>
        <w:sz w:val="16"/>
      </w:rPr>
      <w:tab/>
    </w:r>
    <w:r>
      <w:rPr>
        <w:sz w:val="16"/>
      </w:rPr>
      <w:t xml:space="preserve">   </w:t>
    </w:r>
    <w:r>
      <w:rPr>
        <w:sz w:val="16"/>
      </w:rPr>
      <w:tab/>
    </w:r>
    <w:r>
      <w:rPr>
        <w:sz w:val="16"/>
      </w:rPr>
      <w:t>Version: 3 (07-07-2024)</w:t>
    </w: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0"/>
      <w:spacing w:before="100" w:beforeAutospacing="true" w:after="100" w:afterAutospacing="true"/>
      <w:jc w:val="center"/>
      <w:rPr>
        <w:rFonts w:ascii="Arial" w:cs="Arial" w:hAnsi="Arial"/>
        <w:b/>
        <w:bCs/>
        <w:color w:val="003399"/>
        <w:szCs w:val="20"/>
        <w:u w:val="single"/>
        <w:lang w:val="en-GB"/>
      </w:rPr>
    </w:pPr>
  </w:p>
  <w:p>
    <w:pPr>
      <w:pStyle w:val="style0"/>
      <w:spacing w:before="100" w:beforeAutospacing="true" w:after="100" w:afterAutospacing="true"/>
      <w:rPr/>
    </w:pPr>
    <w:r>
      <w:rPr>
        <w:rFonts w:ascii="Arial" w:cs="Arial" w:hAnsi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31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drawingGridHorizontalSpacing w:val="120"/>
  <w:noPunctuationKerning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SimSun" w:hAnsi="Times New Roman"/>
        <w:lang w:val="en-US" w:bidi="ar-SA" w:eastAsia="en-US"/>
      </w:rPr>
    </w:rPrDefault>
    <w:pPrDefault>
      <w:pPr/>
    </w:pPrDefault>
  </w:docDefaults>
  <w:style w:type="paragraph" w:default="1" w:styleId="style0">
    <w:name w:val="Normal"/>
    <w:next w:val="style0"/>
    <w:qFormat/>
    <w:pPr/>
    <w:rPr>
      <w:rFonts w:eastAsia="Times New Roman"/>
      <w:sz w:val="24"/>
      <w:szCs w:val="24"/>
    </w:rPr>
  </w:style>
  <w:style w:type="paragraph" w:styleId="style2">
    <w:name w:val="heading 2"/>
    <w:basedOn w:val="style0"/>
    <w:next w:val="style0"/>
    <w:link w:val="style4097"/>
    <w:qFormat/>
    <w:pPr>
      <w:keepNext/>
      <w:jc w:val="both"/>
      <w:outlineLvl w:val="1"/>
    </w:pPr>
    <w:rPr>
      <w:rFonts w:ascii="Helvetica" w:cs="Helvetica" w:eastAsia="MS Mincho" w:hAnsi="Helvetica"/>
      <w:b/>
      <w:bCs/>
      <w:sz w:val="20"/>
      <w:szCs w:val="20"/>
      <w:lang w:val="fr-FR"/>
    </w:rPr>
  </w:style>
  <w:style w:type="paragraph" w:styleId="style4">
    <w:name w:val="heading 4"/>
    <w:basedOn w:val="style0"/>
    <w:next w:val="style4"/>
    <w:link w:val="style4098"/>
    <w:qFormat/>
    <w:pPr>
      <w:spacing w:before="100" w:beforeAutospacing="true" w:after="100" w:afterAutospacing="true"/>
      <w:outlineLvl w:val="3"/>
    </w:pPr>
    <w:rPr>
      <w:rFonts w:ascii="Arial Unicode MS" w:cs="Arial Unicode MS" w:eastAsia="Arial Unicode MS" w:hAnsi="Arial Unicode MS"/>
      <w:b/>
      <w:bCs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66">
    <w:name w:val="Body Text"/>
    <w:basedOn w:val="style0"/>
    <w:next w:val="style66"/>
    <w:link w:val="style4099"/>
    <w:pPr>
      <w:jc w:val="both"/>
    </w:pPr>
    <w:rPr>
      <w:rFonts w:ascii="Helvetica" w:cs="Helvetica" w:eastAsia="MS Mincho" w:hAnsi="Helvetica"/>
      <w:lang w:val="fr-FR"/>
    </w:rPr>
  </w:style>
  <w:style w:type="character" w:styleId="style88">
    <w:name w:val="Emphasis"/>
    <w:basedOn w:val="style65"/>
    <w:next w:val="style88"/>
    <w:qFormat/>
    <w:uiPriority w:val="20"/>
    <w:rPr>
      <w:i/>
      <w:iCs/>
    </w:rPr>
  </w:style>
  <w:style w:type="character" w:styleId="style86">
    <w:name w:val="FollowedHyperlink"/>
    <w:next w:val="style86"/>
    <w:uiPriority w:val="99"/>
    <w:rPr>
      <w:color w:val="800080"/>
      <w:u w:val="single"/>
    </w:rPr>
  </w:style>
  <w:style w:type="paragraph" w:styleId="style32">
    <w:name w:val="footer"/>
    <w:basedOn w:val="style0"/>
    <w:next w:val="style32"/>
    <w:link w:val="style4101"/>
    <w:uiPriority w:val="99"/>
    <w:pPr>
      <w:tabs>
        <w:tab w:val="center" w:leader="none" w:pos="4513"/>
        <w:tab w:val="right" w:leader="none" w:pos="9026"/>
      </w:tabs>
    </w:pPr>
    <w:rPr/>
  </w:style>
  <w:style w:type="paragraph" w:styleId="style31">
    <w:name w:val="header"/>
    <w:basedOn w:val="style0"/>
    <w:next w:val="style31"/>
    <w:link w:val="style4100"/>
    <w:uiPriority w:val="99"/>
    <w:pPr>
      <w:tabs>
        <w:tab w:val="center" w:leader="none" w:pos="4680"/>
        <w:tab w:val="right" w:leader="none" w:pos="9360"/>
      </w:tabs>
    </w:pPr>
    <w:rPr/>
  </w:style>
  <w:style w:type="character" w:styleId="style85">
    <w:name w:val="Hyperlink"/>
    <w:next w:val="style85"/>
    <w:uiPriority w:val="99"/>
    <w:rPr>
      <w:color w:val="0000ff"/>
      <w:u w:val="single"/>
    </w:rPr>
  </w:style>
  <w:style w:type="paragraph" w:styleId="style94">
    <w:name w:val="Normal (Web)"/>
    <w:basedOn w:val="style0"/>
    <w:next w:val="style94"/>
    <w:pPr>
      <w:spacing w:before="100" w:beforeAutospacing="true" w:after="100" w:afterAutospacing="true"/>
    </w:pPr>
    <w:rPr>
      <w:rFonts w:ascii="Arial Unicode MS" w:cs="Arial Unicode MS" w:eastAsia="Arial Unicode MS" w:hAnsi="Arial Unicode MS"/>
    </w:rPr>
  </w:style>
  <w:style w:type="table" w:styleId="style154">
    <w:name w:val="Table Grid"/>
    <w:basedOn w:val="style105"/>
    <w:next w:val="style154"/>
    <w:uiPriority w:val="59"/>
    <w:pPr/>
    <w:rPr>
      <w:rFonts w:ascii="Calibri" w:eastAsia="Times New Roma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tcBorders/>
    </w:tcPr>
  </w:style>
  <w:style w:type="character" w:customStyle="1" w:styleId="style4097">
    <w:name w:val="Heading 2 Char_dbbb5078-ac47-45da-875b-f422619e258c"/>
    <w:next w:val="style4097"/>
    <w:link w:val="style2"/>
    <w:rPr>
      <w:rFonts w:ascii="Helvetica" w:cs="Helvetica" w:eastAsia="MS Mincho" w:hAnsi="Helvetica"/>
      <w:b/>
      <w:bCs/>
      <w:sz w:val="20"/>
      <w:szCs w:val="20"/>
      <w:lang w:val="fr-FR"/>
    </w:rPr>
  </w:style>
  <w:style w:type="character" w:customStyle="1" w:styleId="style4098">
    <w:name w:val="Heading 4 Char_63e920c3-3c1e-40f9-86b0-7492ec742b58"/>
    <w:next w:val="style4098"/>
    <w:link w:val="style4"/>
    <w:rPr>
      <w:rFonts w:ascii="Arial Unicode MS" w:cs="Arial Unicode MS" w:eastAsia="Arial Unicode MS" w:hAnsi="Arial Unicode MS"/>
      <w:b/>
      <w:bCs/>
      <w:sz w:val="24"/>
      <w:szCs w:val="24"/>
      <w:lang w:val="en-US"/>
    </w:rPr>
  </w:style>
  <w:style w:type="character" w:customStyle="1" w:styleId="style4099">
    <w:name w:val="Body Text Char"/>
    <w:next w:val="style4099"/>
    <w:link w:val="style66"/>
    <w:rPr>
      <w:rFonts w:ascii="Helvetica" w:cs="Helvetica" w:eastAsia="MS Mincho" w:hAnsi="Helvetica"/>
      <w:sz w:val="24"/>
      <w:szCs w:val="24"/>
      <w:lang w:val="fr-FR"/>
    </w:rPr>
  </w:style>
  <w:style w:type="character" w:customStyle="1" w:styleId="style4100">
    <w:name w:val="Header Char_5cc5f77f-b7e0-47f3-9ec2-a5f5371a4939"/>
    <w:next w:val="style4100"/>
    <w:link w:val="style31"/>
    <w:uiPriority w:val="99"/>
    <w:rPr>
      <w:rFonts w:ascii="Times New Roman" w:cs="Times New Roman" w:eastAsia="Times New Roman" w:hAnsi="Times New Roman"/>
      <w:sz w:val="24"/>
      <w:szCs w:val="24"/>
      <w:lang w:val="en-US"/>
    </w:rPr>
  </w:style>
  <w:style w:type="character" w:customStyle="1" w:styleId="style4101">
    <w:name w:val="Footer Char_3549597a-b2b2-4a88-911a-6fdd10012690"/>
    <w:next w:val="style4101"/>
    <w:link w:val="style32"/>
    <w:uiPriority w:val="99"/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paragraph" w:customStyle="1" w:styleId="style4102">
    <w:next w:val="style4102"/>
    <w:uiPriority w:val="99"/>
    <w:pPr/>
    <w:rPr>
      <w:sz w:val="22"/>
      <w:szCs w:val="22"/>
    </w:rPr>
  </w:style>
  <w:style w:type="character" w:customStyle="1" w:styleId="style4103">
    <w:next w:val="style4103"/>
    <w:uiPriority w:val="99"/>
    <w:rPr>
      <w:color w:val="605e5c"/>
      <w:shd w:val="clear" w:color="auto" w:fill="e1dfdd"/>
    </w:rPr>
  </w:style>
  <w:style w:type="character" w:customStyle="1" w:styleId="style4104">
    <w:name w:val="Unresolved Mention"/>
    <w:basedOn w:val="style65"/>
    <w:next w:val="style4104"/>
    <w:uiPriority w:val="99"/>
    <w:rPr>
      <w:color w:val="605e5c"/>
      <w:shd w:val="clear" w:color="auto" w:fill="e1dfdd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Words>415</Words>
  <Pages>2</Pages>
  <Characters>2458</Characters>
  <Application>WPS Office</Application>
  <DocSecurity>0</DocSecurity>
  <Paragraphs>132</Paragraphs>
  <ScaleCrop>false</ScaleCrop>
  <LinksUpToDate>false</LinksUpToDate>
  <CharactersWithSpaces>2904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2011-08-01T09:21:00Z</dcterms:created>
  <dc:creator>anonymous</dc:creator>
  <lastModifiedBy>TECNO KD6a</lastModifiedBy>
  <dcterms:modified xsi:type="dcterms:W3CDTF">2026-01-17T12:50:13Z</dcterms:modified>
  <revision>122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24C3B1EE96BF46BBACC74A5D84C55498_13</vt:lpwstr>
  </property>
</Properties>
</file>