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78A" w:rsidRDefault="002C178A">
      <w:pPr>
        <w:pStyle w:val="BodyText"/>
        <w:spacing w:before="101"/>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168"/>
        <w:gridCol w:w="15770"/>
      </w:tblGrid>
      <w:tr w:rsidR="002C178A">
        <w:trPr>
          <w:trHeight w:val="290"/>
        </w:trPr>
        <w:tc>
          <w:tcPr>
            <w:tcW w:w="5168" w:type="dxa"/>
          </w:tcPr>
          <w:p w:rsidR="002C178A" w:rsidRDefault="00135FCD">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rsidR="002C178A" w:rsidRDefault="00135FCD">
            <w:pPr>
              <w:pStyle w:val="TableParagraph"/>
              <w:spacing w:before="26"/>
              <w:ind w:left="107"/>
              <w:rPr>
                <w:rFonts w:ascii="Arial"/>
                <w:b/>
                <w:sz w:val="20"/>
              </w:rPr>
            </w:pPr>
            <w:hyperlink r:id="rId7">
              <w:r>
                <w:rPr>
                  <w:rFonts w:ascii="Arial"/>
                  <w:b/>
                  <w:color w:val="0000FF"/>
                  <w:sz w:val="20"/>
                  <w:u w:val="single" w:color="0000FF"/>
                </w:rPr>
                <w:t>Microbiology</w:t>
              </w:r>
              <w:r>
                <w:rPr>
                  <w:rFonts w:ascii="Arial"/>
                  <w:b/>
                  <w:color w:val="0000FF"/>
                  <w:spacing w:val="-12"/>
                  <w:sz w:val="20"/>
                  <w:u w:val="single" w:color="0000FF"/>
                </w:rPr>
                <w:t xml:space="preserve"> </w:t>
              </w:r>
              <w:r>
                <w:rPr>
                  <w:rFonts w:ascii="Arial"/>
                  <w:b/>
                  <w:color w:val="0000FF"/>
                  <w:sz w:val="20"/>
                  <w:u w:val="single" w:color="0000FF"/>
                </w:rPr>
                <w:t>Research</w:t>
              </w:r>
              <w:r>
                <w:rPr>
                  <w:rFonts w:ascii="Arial"/>
                  <w:b/>
                  <w:color w:val="0000FF"/>
                  <w:spacing w:val="-10"/>
                  <w:sz w:val="20"/>
                  <w:u w:val="single" w:color="0000FF"/>
                </w:rPr>
                <w:t xml:space="preserve"> </w:t>
              </w:r>
              <w:r>
                <w:rPr>
                  <w:rFonts w:ascii="Arial"/>
                  <w:b/>
                  <w:color w:val="0000FF"/>
                  <w:sz w:val="20"/>
                  <w:u w:val="single" w:color="0000FF"/>
                </w:rPr>
                <w:t>Journal</w:t>
              </w:r>
              <w:r>
                <w:rPr>
                  <w:rFonts w:ascii="Arial"/>
                  <w:b/>
                  <w:color w:val="0000FF"/>
                  <w:spacing w:val="-9"/>
                  <w:sz w:val="20"/>
                  <w:u w:val="single" w:color="0000FF"/>
                </w:rPr>
                <w:t xml:space="preserve"> </w:t>
              </w:r>
              <w:r>
                <w:rPr>
                  <w:rFonts w:ascii="Arial"/>
                  <w:b/>
                  <w:color w:val="0000FF"/>
                  <w:spacing w:val="-2"/>
                  <w:sz w:val="20"/>
                  <w:u w:val="single" w:color="0000FF"/>
                </w:rPr>
                <w:t>International</w:t>
              </w:r>
            </w:hyperlink>
          </w:p>
        </w:tc>
      </w:tr>
      <w:tr w:rsidR="002C178A">
        <w:trPr>
          <w:trHeight w:val="290"/>
        </w:trPr>
        <w:tc>
          <w:tcPr>
            <w:tcW w:w="5168" w:type="dxa"/>
          </w:tcPr>
          <w:p w:rsidR="002C178A" w:rsidRDefault="00135FCD">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rsidR="002C178A" w:rsidRDefault="00135FCD">
            <w:pPr>
              <w:pStyle w:val="TableParagraph"/>
              <w:spacing w:before="26"/>
              <w:ind w:left="107"/>
              <w:rPr>
                <w:rFonts w:ascii="Arial"/>
                <w:b/>
                <w:sz w:val="20"/>
              </w:rPr>
            </w:pPr>
            <w:r>
              <w:rPr>
                <w:rFonts w:ascii="Arial"/>
                <w:b/>
                <w:spacing w:val="-2"/>
                <w:sz w:val="20"/>
              </w:rPr>
              <w:t>Ms_MRJI_150464</w:t>
            </w:r>
          </w:p>
        </w:tc>
      </w:tr>
      <w:tr w:rsidR="002C178A">
        <w:trPr>
          <w:trHeight w:val="650"/>
        </w:trPr>
        <w:tc>
          <w:tcPr>
            <w:tcW w:w="5168" w:type="dxa"/>
          </w:tcPr>
          <w:p w:rsidR="002C178A" w:rsidRDefault="00135FCD">
            <w:pPr>
              <w:pStyle w:val="TableParagraph"/>
              <w:spacing w:line="229" w:lineRule="exact"/>
              <w:ind w:left="95"/>
              <w:rPr>
                <w:rFonts w:ascii="Arial MT"/>
                <w:sz w:val="20"/>
              </w:rPr>
            </w:pPr>
            <w:r>
              <w:rPr>
                <w:rFonts w:ascii="Arial MT"/>
                <w:sz w:val="20"/>
              </w:rPr>
              <w:t>Title</w:t>
            </w:r>
            <w:r>
              <w:rPr>
                <w:rFonts w:ascii="Arial MT"/>
                <w:spacing w:val="-6"/>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4"/>
                <w:sz w:val="20"/>
              </w:rPr>
              <w:t xml:space="preserve"> </w:t>
            </w:r>
            <w:r>
              <w:rPr>
                <w:rFonts w:ascii="Arial MT"/>
                <w:spacing w:val="-2"/>
                <w:sz w:val="20"/>
              </w:rPr>
              <w:t>Manuscript:</w:t>
            </w:r>
          </w:p>
        </w:tc>
        <w:tc>
          <w:tcPr>
            <w:tcW w:w="15770" w:type="dxa"/>
          </w:tcPr>
          <w:p w:rsidR="002C178A" w:rsidRDefault="00135FCD">
            <w:pPr>
              <w:pStyle w:val="TableParagraph"/>
              <w:spacing w:before="206"/>
              <w:ind w:left="107"/>
              <w:rPr>
                <w:rFonts w:ascii="Arial" w:hAnsi="Arial"/>
                <w:b/>
                <w:sz w:val="20"/>
              </w:rPr>
            </w:pPr>
            <w:r>
              <w:rPr>
                <w:rFonts w:ascii="Arial" w:hAnsi="Arial"/>
                <w:b/>
                <w:sz w:val="20"/>
              </w:rPr>
              <w:t>Distinct</w:t>
            </w:r>
            <w:r>
              <w:rPr>
                <w:rFonts w:ascii="Arial" w:hAnsi="Arial"/>
                <w:b/>
                <w:spacing w:val="-4"/>
                <w:sz w:val="20"/>
              </w:rPr>
              <w:t xml:space="preserve"> </w:t>
            </w:r>
            <w:r>
              <w:rPr>
                <w:rFonts w:ascii="Arial" w:hAnsi="Arial"/>
                <w:b/>
                <w:sz w:val="20"/>
              </w:rPr>
              <w:t>Airway</w:t>
            </w:r>
            <w:r>
              <w:rPr>
                <w:rFonts w:ascii="Arial" w:hAnsi="Arial"/>
                <w:b/>
                <w:spacing w:val="-11"/>
                <w:sz w:val="20"/>
              </w:rPr>
              <w:t xml:space="preserve"> </w:t>
            </w:r>
            <w:r>
              <w:rPr>
                <w:rFonts w:ascii="Arial" w:hAnsi="Arial"/>
                <w:b/>
                <w:sz w:val="20"/>
              </w:rPr>
              <w:t>Microbiome</w:t>
            </w:r>
            <w:r>
              <w:rPr>
                <w:rFonts w:ascii="Arial" w:hAnsi="Arial"/>
                <w:b/>
                <w:spacing w:val="-8"/>
                <w:sz w:val="20"/>
              </w:rPr>
              <w:t xml:space="preserve"> </w:t>
            </w:r>
            <w:r>
              <w:rPr>
                <w:rFonts w:ascii="Arial" w:hAnsi="Arial"/>
                <w:b/>
                <w:sz w:val="20"/>
              </w:rPr>
              <w:t>States</w:t>
            </w:r>
            <w:r>
              <w:rPr>
                <w:rFonts w:ascii="Arial" w:hAnsi="Arial"/>
                <w:b/>
                <w:spacing w:val="-7"/>
                <w:sz w:val="20"/>
              </w:rPr>
              <w:t xml:space="preserve"> </w:t>
            </w:r>
            <w:r>
              <w:rPr>
                <w:rFonts w:ascii="Arial" w:hAnsi="Arial"/>
                <w:b/>
                <w:sz w:val="20"/>
              </w:rPr>
              <w:t>in</w:t>
            </w:r>
            <w:r>
              <w:rPr>
                <w:rFonts w:ascii="Arial" w:hAnsi="Arial"/>
                <w:b/>
                <w:spacing w:val="-8"/>
                <w:sz w:val="20"/>
              </w:rPr>
              <w:t xml:space="preserve"> </w:t>
            </w:r>
            <w:r>
              <w:rPr>
                <w:rFonts w:ascii="Arial" w:hAnsi="Arial"/>
                <w:b/>
                <w:sz w:val="20"/>
              </w:rPr>
              <w:t>Mycoplasma</w:t>
            </w:r>
            <w:r>
              <w:rPr>
                <w:rFonts w:ascii="Arial" w:hAnsi="Arial"/>
                <w:b/>
                <w:spacing w:val="-5"/>
                <w:sz w:val="20"/>
              </w:rPr>
              <w:t xml:space="preserve"> </w:t>
            </w:r>
            <w:r>
              <w:rPr>
                <w:rFonts w:ascii="Arial" w:hAnsi="Arial"/>
                <w:b/>
                <w:sz w:val="20"/>
              </w:rPr>
              <w:t>pneumoniae–Positive</w:t>
            </w:r>
            <w:r>
              <w:rPr>
                <w:rFonts w:ascii="Arial" w:hAnsi="Arial"/>
                <w:b/>
                <w:spacing w:val="-8"/>
                <w:sz w:val="20"/>
              </w:rPr>
              <w:t xml:space="preserve"> </w:t>
            </w:r>
            <w:r>
              <w:rPr>
                <w:rFonts w:ascii="Arial" w:hAnsi="Arial"/>
                <w:b/>
                <w:sz w:val="20"/>
              </w:rPr>
              <w:t>and</w:t>
            </w:r>
            <w:r>
              <w:rPr>
                <w:rFonts w:ascii="Arial" w:hAnsi="Arial"/>
                <w:b/>
                <w:spacing w:val="-7"/>
                <w:sz w:val="20"/>
              </w:rPr>
              <w:t xml:space="preserve"> </w:t>
            </w:r>
            <w:r>
              <w:rPr>
                <w:rFonts w:ascii="Arial" w:hAnsi="Arial"/>
                <w:b/>
                <w:sz w:val="20"/>
              </w:rPr>
              <w:t>–Negative</w:t>
            </w:r>
            <w:r>
              <w:rPr>
                <w:rFonts w:ascii="Arial" w:hAnsi="Arial"/>
                <w:b/>
                <w:spacing w:val="-8"/>
                <w:sz w:val="20"/>
              </w:rPr>
              <w:t xml:space="preserve"> </w:t>
            </w:r>
            <w:r>
              <w:rPr>
                <w:rFonts w:ascii="Arial" w:hAnsi="Arial"/>
                <w:b/>
                <w:sz w:val="20"/>
              </w:rPr>
              <w:t>COPD</w:t>
            </w:r>
            <w:r>
              <w:rPr>
                <w:rFonts w:ascii="Arial" w:hAnsi="Arial"/>
                <w:b/>
                <w:spacing w:val="-8"/>
                <w:sz w:val="20"/>
              </w:rPr>
              <w:t xml:space="preserve"> </w:t>
            </w:r>
            <w:r>
              <w:rPr>
                <w:rFonts w:ascii="Arial" w:hAnsi="Arial"/>
                <w:b/>
                <w:sz w:val="20"/>
              </w:rPr>
              <w:t>Exacerbations</w:t>
            </w:r>
            <w:r>
              <w:rPr>
                <w:rFonts w:ascii="Arial" w:hAnsi="Arial"/>
                <w:b/>
                <w:spacing w:val="-8"/>
                <w:sz w:val="20"/>
              </w:rPr>
              <w:t xml:space="preserve"> </w:t>
            </w:r>
            <w:r>
              <w:rPr>
                <w:rFonts w:ascii="Arial" w:hAnsi="Arial"/>
                <w:b/>
                <w:sz w:val="20"/>
              </w:rPr>
              <w:t>in</w:t>
            </w:r>
            <w:r>
              <w:rPr>
                <w:rFonts w:ascii="Arial" w:hAnsi="Arial"/>
                <w:b/>
                <w:spacing w:val="-5"/>
                <w:sz w:val="20"/>
              </w:rPr>
              <w:t xml:space="preserve"> </w:t>
            </w:r>
            <w:r>
              <w:rPr>
                <w:rFonts w:ascii="Arial" w:hAnsi="Arial"/>
                <w:b/>
                <w:sz w:val="20"/>
              </w:rPr>
              <w:t>Elderly</w:t>
            </w:r>
            <w:r>
              <w:rPr>
                <w:rFonts w:ascii="Arial" w:hAnsi="Arial"/>
                <w:b/>
                <w:spacing w:val="-8"/>
                <w:sz w:val="20"/>
              </w:rPr>
              <w:t xml:space="preserve"> </w:t>
            </w:r>
            <w:r>
              <w:rPr>
                <w:rFonts w:ascii="Arial" w:hAnsi="Arial"/>
                <w:b/>
                <w:spacing w:val="-2"/>
                <w:sz w:val="20"/>
              </w:rPr>
              <w:t>Patients</w:t>
            </w:r>
          </w:p>
        </w:tc>
      </w:tr>
      <w:tr w:rsidR="002C178A">
        <w:trPr>
          <w:trHeight w:val="333"/>
        </w:trPr>
        <w:tc>
          <w:tcPr>
            <w:tcW w:w="5168" w:type="dxa"/>
          </w:tcPr>
          <w:p w:rsidR="002C178A" w:rsidRDefault="00135FCD">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rsidR="002C178A" w:rsidRDefault="002C178A">
            <w:pPr>
              <w:pStyle w:val="TableParagraph"/>
              <w:rPr>
                <w:sz w:val="18"/>
              </w:rPr>
            </w:pPr>
          </w:p>
        </w:tc>
      </w:tr>
    </w:tbl>
    <w:p w:rsidR="002C178A" w:rsidRDefault="002C178A">
      <w:pPr>
        <w:pStyle w:val="BodyText"/>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352"/>
        <w:gridCol w:w="9356"/>
        <w:gridCol w:w="6445"/>
      </w:tblGrid>
      <w:tr w:rsidR="002C178A">
        <w:trPr>
          <w:trHeight w:val="453"/>
        </w:trPr>
        <w:tc>
          <w:tcPr>
            <w:tcW w:w="21153" w:type="dxa"/>
            <w:gridSpan w:val="3"/>
            <w:tcBorders>
              <w:top w:val="nil"/>
              <w:left w:val="nil"/>
              <w:right w:val="nil"/>
            </w:tcBorders>
          </w:tcPr>
          <w:p w:rsidR="002C178A" w:rsidRDefault="00135FCD">
            <w:pPr>
              <w:pStyle w:val="TableParagraph"/>
              <w:spacing w:line="221" w:lineRule="exact"/>
              <w:ind w:left="112"/>
              <w:rPr>
                <w:b/>
                <w:sz w:val="20"/>
              </w:rPr>
            </w:pPr>
            <w:r>
              <w:rPr>
                <w:b/>
                <w:color w:val="000000"/>
                <w:sz w:val="20"/>
                <w:highlight w:val="yellow"/>
              </w:rPr>
              <w:t>PART</w:t>
            </w:r>
            <w:r>
              <w:rPr>
                <w:b/>
                <w:color w:val="000000"/>
                <w:spacing w:val="44"/>
                <w:sz w:val="20"/>
                <w:highlight w:val="yellow"/>
              </w:rPr>
              <w:t xml:space="preserve"> </w:t>
            </w:r>
            <w:r>
              <w:rPr>
                <w:b/>
                <w:color w:val="000000"/>
                <w:sz w:val="20"/>
                <w:highlight w:val="yellow"/>
              </w:rPr>
              <w:t>1:</w:t>
            </w:r>
            <w:r>
              <w:rPr>
                <w:b/>
                <w:color w:val="000000"/>
                <w:spacing w:val="-1"/>
                <w:sz w:val="20"/>
              </w:rPr>
              <w:t xml:space="preserve"> </w:t>
            </w:r>
            <w:r>
              <w:rPr>
                <w:b/>
                <w:color w:val="000000"/>
                <w:spacing w:val="-2"/>
                <w:sz w:val="20"/>
              </w:rPr>
              <w:t>Comments</w:t>
            </w:r>
          </w:p>
        </w:tc>
      </w:tr>
      <w:tr w:rsidR="002C178A">
        <w:trPr>
          <w:trHeight w:val="964"/>
        </w:trPr>
        <w:tc>
          <w:tcPr>
            <w:tcW w:w="5352" w:type="dxa"/>
          </w:tcPr>
          <w:p w:rsidR="002C178A" w:rsidRDefault="002C178A">
            <w:pPr>
              <w:pStyle w:val="TableParagraph"/>
              <w:rPr>
                <w:sz w:val="18"/>
              </w:rPr>
            </w:pPr>
          </w:p>
        </w:tc>
        <w:tc>
          <w:tcPr>
            <w:tcW w:w="9356" w:type="dxa"/>
          </w:tcPr>
          <w:p w:rsidR="002C178A" w:rsidRDefault="00135FCD">
            <w:pPr>
              <w:pStyle w:val="TableParagraph"/>
              <w:spacing w:line="228" w:lineRule="exact"/>
              <w:ind w:left="108"/>
              <w:rPr>
                <w:b/>
                <w:sz w:val="20"/>
              </w:rPr>
            </w:pPr>
            <w:r>
              <w:rPr>
                <w:b/>
                <w:sz w:val="20"/>
              </w:rPr>
              <w:t>Reviewer’s</w:t>
            </w:r>
            <w:r>
              <w:rPr>
                <w:b/>
                <w:spacing w:val="-10"/>
                <w:sz w:val="20"/>
              </w:rPr>
              <w:t xml:space="preserve"> </w:t>
            </w:r>
            <w:r>
              <w:rPr>
                <w:b/>
                <w:spacing w:val="-2"/>
                <w:sz w:val="20"/>
              </w:rPr>
              <w:t>comment</w:t>
            </w:r>
          </w:p>
          <w:p w:rsidR="002C178A" w:rsidRDefault="00135FCD">
            <w:pPr>
              <w:pStyle w:val="TableParagraph"/>
              <w:ind w:left="108" w:right="152"/>
              <w:rPr>
                <w:b/>
                <w:sz w:val="20"/>
              </w:rPr>
            </w:pPr>
            <w:r>
              <w:rPr>
                <w:b/>
                <w:color w:val="000000"/>
                <w:sz w:val="20"/>
                <w:highlight w:val="yellow"/>
              </w:rPr>
              <w:t>Artificial</w:t>
            </w:r>
            <w:r>
              <w:rPr>
                <w:b/>
                <w:color w:val="000000"/>
                <w:spacing w:val="-6"/>
                <w:sz w:val="20"/>
                <w:highlight w:val="yellow"/>
              </w:rPr>
              <w:t xml:space="preserve"> </w:t>
            </w:r>
            <w:r>
              <w:rPr>
                <w:b/>
                <w:color w:val="000000"/>
                <w:sz w:val="20"/>
                <w:highlight w:val="yellow"/>
              </w:rPr>
              <w:t>Intelligence</w:t>
            </w:r>
            <w:r>
              <w:rPr>
                <w:b/>
                <w:color w:val="000000"/>
                <w:spacing w:val="-5"/>
                <w:sz w:val="20"/>
                <w:highlight w:val="yellow"/>
              </w:rPr>
              <w:t xml:space="preserve"> </w:t>
            </w:r>
            <w:r>
              <w:rPr>
                <w:b/>
                <w:color w:val="000000"/>
                <w:sz w:val="20"/>
                <w:highlight w:val="yellow"/>
              </w:rPr>
              <w:t>(AI)</w:t>
            </w:r>
            <w:r>
              <w:rPr>
                <w:b/>
                <w:color w:val="000000"/>
                <w:spacing w:val="-5"/>
                <w:sz w:val="20"/>
                <w:highlight w:val="yellow"/>
              </w:rPr>
              <w:t xml:space="preserve"> </w:t>
            </w:r>
            <w:r>
              <w:rPr>
                <w:b/>
                <w:color w:val="000000"/>
                <w:sz w:val="20"/>
                <w:highlight w:val="yellow"/>
              </w:rPr>
              <w:t>generated</w:t>
            </w:r>
            <w:r>
              <w:rPr>
                <w:b/>
                <w:color w:val="000000"/>
                <w:spacing w:val="-5"/>
                <w:sz w:val="20"/>
                <w:highlight w:val="yellow"/>
              </w:rPr>
              <w:t xml:space="preserve"> </w:t>
            </w:r>
            <w:r>
              <w:rPr>
                <w:b/>
                <w:color w:val="000000"/>
                <w:sz w:val="20"/>
                <w:highlight w:val="yellow"/>
              </w:rPr>
              <w:t>or</w:t>
            </w:r>
            <w:r>
              <w:rPr>
                <w:b/>
                <w:color w:val="000000"/>
                <w:spacing w:val="-5"/>
                <w:sz w:val="20"/>
                <w:highlight w:val="yellow"/>
              </w:rPr>
              <w:t xml:space="preserve"> </w:t>
            </w:r>
            <w:r>
              <w:rPr>
                <w:b/>
                <w:color w:val="000000"/>
                <w:sz w:val="20"/>
                <w:highlight w:val="yellow"/>
              </w:rPr>
              <w:t>assisted</w:t>
            </w:r>
            <w:r>
              <w:rPr>
                <w:b/>
                <w:color w:val="000000"/>
                <w:spacing w:val="-5"/>
                <w:sz w:val="20"/>
                <w:highlight w:val="yellow"/>
              </w:rPr>
              <w:t xml:space="preserve"> </w:t>
            </w:r>
            <w:r>
              <w:rPr>
                <w:b/>
                <w:color w:val="000000"/>
                <w:sz w:val="20"/>
                <w:highlight w:val="yellow"/>
              </w:rPr>
              <w:t>review</w:t>
            </w:r>
            <w:r>
              <w:rPr>
                <w:b/>
                <w:color w:val="000000"/>
                <w:spacing w:val="-3"/>
                <w:sz w:val="20"/>
                <w:highlight w:val="yellow"/>
              </w:rPr>
              <w:t xml:space="preserve"> </w:t>
            </w:r>
            <w:r>
              <w:rPr>
                <w:b/>
                <w:color w:val="000000"/>
                <w:sz w:val="20"/>
                <w:highlight w:val="yellow"/>
              </w:rPr>
              <w:t>comments</w:t>
            </w:r>
            <w:r>
              <w:rPr>
                <w:b/>
                <w:color w:val="000000"/>
                <w:spacing w:val="-6"/>
                <w:sz w:val="20"/>
                <w:highlight w:val="yellow"/>
              </w:rPr>
              <w:t xml:space="preserve"> </w:t>
            </w:r>
            <w:r>
              <w:rPr>
                <w:b/>
                <w:color w:val="000000"/>
                <w:sz w:val="20"/>
                <w:highlight w:val="yellow"/>
              </w:rPr>
              <w:t>are</w:t>
            </w:r>
            <w:r>
              <w:rPr>
                <w:b/>
                <w:color w:val="000000"/>
                <w:spacing w:val="-5"/>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5"/>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5" w:type="dxa"/>
          </w:tcPr>
          <w:p w:rsidR="002C178A" w:rsidRDefault="00135FCD">
            <w:pPr>
              <w:pStyle w:val="TableParagraph"/>
              <w:spacing w:line="252" w:lineRule="auto"/>
              <w:ind w:left="108" w:right="740"/>
              <w:rPr>
                <w:sz w:val="20"/>
              </w:rPr>
            </w:pPr>
            <w:r>
              <w:rPr>
                <w:b/>
                <w:sz w:val="20"/>
              </w:rPr>
              <w:t>Author’s</w:t>
            </w:r>
            <w:r>
              <w:rPr>
                <w:b/>
                <w:spacing w:val="-6"/>
                <w:sz w:val="20"/>
              </w:rPr>
              <w:t xml:space="preserve"> </w:t>
            </w:r>
            <w:r>
              <w:rPr>
                <w:b/>
                <w:sz w:val="20"/>
              </w:rPr>
              <w:t>Feedback</w:t>
            </w:r>
            <w:r>
              <w:rPr>
                <w:b/>
                <w:spacing w:val="-5"/>
                <w:sz w:val="20"/>
              </w:rPr>
              <w:t xml:space="preserve"> </w:t>
            </w:r>
            <w:r>
              <w:rPr>
                <w:sz w:val="20"/>
              </w:rPr>
              <w:t>(It</w:t>
            </w:r>
            <w:r>
              <w:rPr>
                <w:spacing w:val="-6"/>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5"/>
                <w:sz w:val="20"/>
              </w:rPr>
              <w:t xml:space="preserve"> </w:t>
            </w:r>
            <w:r>
              <w:rPr>
                <w:sz w:val="20"/>
              </w:rPr>
              <w:t>authors</w:t>
            </w:r>
            <w:r>
              <w:rPr>
                <w:spacing w:val="-6"/>
                <w:sz w:val="20"/>
              </w:rPr>
              <w:t xml:space="preserve"> </w:t>
            </w:r>
            <w:r>
              <w:rPr>
                <w:sz w:val="20"/>
              </w:rPr>
              <w:t>should</w:t>
            </w:r>
            <w:r>
              <w:rPr>
                <w:spacing w:val="-3"/>
                <w:sz w:val="20"/>
              </w:rPr>
              <w:t xml:space="preserve"> </w:t>
            </w:r>
            <w:r>
              <w:rPr>
                <w:sz w:val="20"/>
              </w:rPr>
              <w:t>write</w:t>
            </w:r>
            <w:r>
              <w:rPr>
                <w:spacing w:val="-5"/>
                <w:sz w:val="20"/>
              </w:rPr>
              <w:t xml:space="preserve"> </w:t>
            </w:r>
            <w:r>
              <w:rPr>
                <w:sz w:val="20"/>
              </w:rPr>
              <w:t>his/her feedback here)</w:t>
            </w:r>
          </w:p>
        </w:tc>
      </w:tr>
      <w:tr w:rsidR="002C178A">
        <w:trPr>
          <w:trHeight w:val="1840"/>
        </w:trPr>
        <w:tc>
          <w:tcPr>
            <w:tcW w:w="5352" w:type="dxa"/>
          </w:tcPr>
          <w:p w:rsidR="002C178A" w:rsidRDefault="00135FCD">
            <w:pPr>
              <w:pStyle w:val="TableParagraph"/>
              <w:ind w:left="467" w:right="200"/>
              <w:rPr>
                <w:b/>
                <w:sz w:val="20"/>
              </w:rPr>
            </w:pPr>
            <w:r>
              <w:rPr>
                <w:b/>
                <w:sz w:val="20"/>
              </w:rPr>
              <w:t>Please</w:t>
            </w:r>
            <w:r>
              <w:rPr>
                <w:b/>
                <w:spacing w:val="-6"/>
                <w:sz w:val="20"/>
              </w:rPr>
              <w:t xml:space="preserve"> </w:t>
            </w:r>
            <w:r>
              <w:rPr>
                <w:b/>
                <w:sz w:val="20"/>
              </w:rPr>
              <w:t>write</w:t>
            </w:r>
            <w:r>
              <w:rPr>
                <w:b/>
                <w:spacing w:val="-5"/>
                <w:sz w:val="20"/>
              </w:rPr>
              <w:t xml:space="preserve"> </w:t>
            </w:r>
            <w:r>
              <w:rPr>
                <w:b/>
                <w:sz w:val="20"/>
              </w:rPr>
              <w:t>a</w:t>
            </w:r>
            <w:r>
              <w:rPr>
                <w:b/>
                <w:spacing w:val="-7"/>
                <w:sz w:val="20"/>
              </w:rPr>
              <w:t xml:space="preserve"> </w:t>
            </w:r>
            <w:r>
              <w:rPr>
                <w:b/>
                <w:sz w:val="20"/>
              </w:rPr>
              <w:t>few</w:t>
            </w:r>
            <w:r>
              <w:rPr>
                <w:b/>
                <w:spacing w:val="-5"/>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rsidR="002C178A" w:rsidRDefault="00135FCD">
            <w:pPr>
              <w:pStyle w:val="TableParagraph"/>
              <w:ind w:left="108" w:right="100"/>
              <w:rPr>
                <w:b/>
                <w:sz w:val="20"/>
              </w:rPr>
            </w:pPr>
            <w:r>
              <w:rPr>
                <w:b/>
                <w:sz w:val="20"/>
              </w:rPr>
              <w:t xml:space="preserve">added to the knowledge about the ecological </w:t>
            </w:r>
            <w:r>
              <w:rPr>
                <w:b/>
                <w:sz w:val="20"/>
              </w:rPr>
              <w:t>variability in COPD exacerbations by showing how Mycoplasma pneumonia infection modifies the airway microbiome in elderly patients. It emphasizes that MP-negative exacerbations cause more extensive microbial symbiosis (characterized by loss of commensal di</w:t>
            </w:r>
            <w:r>
              <w:rPr>
                <w:b/>
                <w:sz w:val="20"/>
              </w:rPr>
              <w:t>versity and enrichment of gut-like functions) as opposed to the MP-positive exacerbations, showing a more</w:t>
            </w:r>
            <w:r>
              <w:rPr>
                <w:b/>
                <w:spacing w:val="-4"/>
                <w:sz w:val="20"/>
              </w:rPr>
              <w:t xml:space="preserve"> </w:t>
            </w:r>
            <w:r>
              <w:rPr>
                <w:b/>
                <w:sz w:val="20"/>
              </w:rPr>
              <w:t>focused</w:t>
            </w:r>
            <w:r>
              <w:rPr>
                <w:b/>
                <w:spacing w:val="-2"/>
                <w:sz w:val="20"/>
              </w:rPr>
              <w:t xml:space="preserve"> </w:t>
            </w:r>
            <w:r>
              <w:rPr>
                <w:b/>
                <w:sz w:val="20"/>
              </w:rPr>
              <w:t>perturbation</w:t>
            </w:r>
            <w:r>
              <w:rPr>
                <w:b/>
                <w:spacing w:val="-5"/>
                <w:sz w:val="20"/>
              </w:rPr>
              <w:t xml:space="preserve"> </w:t>
            </w:r>
            <w:r>
              <w:rPr>
                <w:b/>
                <w:sz w:val="20"/>
              </w:rPr>
              <w:t>pattern.</w:t>
            </w:r>
            <w:r>
              <w:rPr>
                <w:b/>
                <w:spacing w:val="-4"/>
                <w:sz w:val="20"/>
              </w:rPr>
              <w:t xml:space="preserve"> </w:t>
            </w:r>
            <w:r>
              <w:rPr>
                <w:b/>
                <w:sz w:val="20"/>
              </w:rPr>
              <w:t>These</w:t>
            </w:r>
            <w:r>
              <w:rPr>
                <w:b/>
                <w:spacing w:val="-4"/>
                <w:sz w:val="20"/>
              </w:rPr>
              <w:t xml:space="preserve"> </w:t>
            </w:r>
            <w:r>
              <w:rPr>
                <w:b/>
                <w:sz w:val="20"/>
              </w:rPr>
              <w:t>results</w:t>
            </w:r>
            <w:r>
              <w:rPr>
                <w:b/>
                <w:spacing w:val="-2"/>
                <w:sz w:val="20"/>
              </w:rPr>
              <w:t xml:space="preserve"> </w:t>
            </w:r>
            <w:r>
              <w:rPr>
                <w:b/>
                <w:sz w:val="20"/>
              </w:rPr>
              <w:t>support</w:t>
            </w:r>
            <w:r>
              <w:rPr>
                <w:b/>
                <w:spacing w:val="-3"/>
                <w:sz w:val="20"/>
              </w:rPr>
              <w:t xml:space="preserve"> </w:t>
            </w:r>
            <w:r>
              <w:rPr>
                <w:b/>
                <w:sz w:val="20"/>
              </w:rPr>
              <w:t>the</w:t>
            </w:r>
            <w:r>
              <w:rPr>
                <w:b/>
                <w:spacing w:val="-4"/>
                <w:sz w:val="20"/>
              </w:rPr>
              <w:t xml:space="preserve"> </w:t>
            </w:r>
            <w:r>
              <w:rPr>
                <w:b/>
                <w:sz w:val="20"/>
              </w:rPr>
              <w:t>role</w:t>
            </w:r>
            <w:r>
              <w:rPr>
                <w:b/>
                <w:spacing w:val="-4"/>
                <w:sz w:val="20"/>
              </w:rPr>
              <w:t xml:space="preserve"> </w:t>
            </w:r>
            <w:r>
              <w:rPr>
                <w:b/>
                <w:sz w:val="20"/>
              </w:rPr>
              <w:t>of</w:t>
            </w:r>
            <w:r>
              <w:rPr>
                <w:b/>
                <w:spacing w:val="-6"/>
                <w:sz w:val="20"/>
              </w:rPr>
              <w:t xml:space="preserve"> </w:t>
            </w:r>
            <w:r>
              <w:rPr>
                <w:b/>
                <w:sz w:val="20"/>
              </w:rPr>
              <w:t>the</w:t>
            </w:r>
            <w:r>
              <w:rPr>
                <w:b/>
                <w:spacing w:val="-2"/>
                <w:sz w:val="20"/>
              </w:rPr>
              <w:t xml:space="preserve"> </w:t>
            </w:r>
            <w:r>
              <w:rPr>
                <w:b/>
                <w:sz w:val="20"/>
              </w:rPr>
              <w:t>microbiome</w:t>
            </w:r>
            <w:r>
              <w:rPr>
                <w:b/>
                <w:spacing w:val="-4"/>
                <w:sz w:val="20"/>
              </w:rPr>
              <w:t xml:space="preserve"> </w:t>
            </w:r>
            <w:r>
              <w:rPr>
                <w:b/>
                <w:sz w:val="20"/>
              </w:rPr>
              <w:t>in COPD</w:t>
            </w:r>
            <w:r>
              <w:rPr>
                <w:b/>
                <w:spacing w:val="-4"/>
                <w:sz w:val="20"/>
              </w:rPr>
              <w:t xml:space="preserve"> </w:t>
            </w:r>
            <w:r>
              <w:rPr>
                <w:b/>
                <w:sz w:val="20"/>
              </w:rPr>
              <w:t>and</w:t>
            </w:r>
            <w:r>
              <w:rPr>
                <w:b/>
                <w:spacing w:val="-5"/>
                <w:sz w:val="20"/>
              </w:rPr>
              <w:t xml:space="preserve"> </w:t>
            </w:r>
            <w:r>
              <w:rPr>
                <w:b/>
                <w:sz w:val="20"/>
              </w:rPr>
              <w:t>the</w:t>
            </w:r>
            <w:r>
              <w:rPr>
                <w:b/>
                <w:spacing w:val="-4"/>
                <w:sz w:val="20"/>
              </w:rPr>
              <w:t xml:space="preserve"> </w:t>
            </w:r>
            <w:r>
              <w:rPr>
                <w:b/>
                <w:sz w:val="20"/>
              </w:rPr>
              <w:t>idea that pathogen-specific exacerbation phenotypes mig</w:t>
            </w:r>
            <w:r>
              <w:rPr>
                <w:b/>
                <w:sz w:val="20"/>
              </w:rPr>
              <w:t>ht benefit from tailored management strategies. Thus, the study provides an underlying microbial foundation for future longitudinal and interventional research</w:t>
            </w:r>
          </w:p>
          <w:p w:rsidR="002C178A" w:rsidRDefault="00135FCD">
            <w:pPr>
              <w:pStyle w:val="TableParagraph"/>
              <w:spacing w:line="211" w:lineRule="exact"/>
              <w:ind w:left="108"/>
              <w:rPr>
                <w:b/>
                <w:sz w:val="20"/>
              </w:rPr>
            </w:pPr>
            <w:r>
              <w:rPr>
                <w:b/>
                <w:sz w:val="20"/>
              </w:rPr>
              <w:t>regarding</w:t>
            </w:r>
            <w:r>
              <w:rPr>
                <w:b/>
                <w:spacing w:val="-7"/>
                <w:sz w:val="20"/>
              </w:rPr>
              <w:t xml:space="preserve"> </w:t>
            </w:r>
            <w:r>
              <w:rPr>
                <w:b/>
                <w:sz w:val="20"/>
              </w:rPr>
              <w:t>microbiome-informed</w:t>
            </w:r>
            <w:r>
              <w:rPr>
                <w:b/>
                <w:spacing w:val="-8"/>
                <w:sz w:val="20"/>
              </w:rPr>
              <w:t xml:space="preserve"> </w:t>
            </w:r>
            <w:r>
              <w:rPr>
                <w:b/>
                <w:sz w:val="20"/>
              </w:rPr>
              <w:t>approaches</w:t>
            </w:r>
            <w:r>
              <w:rPr>
                <w:b/>
                <w:spacing w:val="-9"/>
                <w:sz w:val="20"/>
              </w:rPr>
              <w:t xml:space="preserve"> </w:t>
            </w:r>
            <w:r>
              <w:rPr>
                <w:b/>
                <w:sz w:val="20"/>
              </w:rPr>
              <w:t>to</w:t>
            </w:r>
            <w:r>
              <w:rPr>
                <w:b/>
                <w:spacing w:val="-7"/>
                <w:sz w:val="20"/>
              </w:rPr>
              <w:t xml:space="preserve"> </w:t>
            </w:r>
            <w:r>
              <w:rPr>
                <w:b/>
                <w:sz w:val="20"/>
              </w:rPr>
              <w:t>COPD</w:t>
            </w:r>
            <w:r>
              <w:rPr>
                <w:b/>
                <w:spacing w:val="-8"/>
                <w:sz w:val="20"/>
              </w:rPr>
              <w:t xml:space="preserve"> </w:t>
            </w:r>
            <w:r>
              <w:rPr>
                <w:b/>
                <w:spacing w:val="-2"/>
                <w:sz w:val="20"/>
              </w:rPr>
              <w:t>care.</w:t>
            </w:r>
          </w:p>
        </w:tc>
        <w:tc>
          <w:tcPr>
            <w:tcW w:w="6445" w:type="dxa"/>
          </w:tcPr>
          <w:p w:rsidR="002C178A" w:rsidRDefault="00135FCD">
            <w:pPr>
              <w:pStyle w:val="TableParagraph"/>
              <w:rPr>
                <w:color w:val="548DD4" w:themeColor="text2" w:themeTint="99"/>
                <w:sz w:val="18"/>
              </w:rPr>
            </w:pPr>
            <w:r>
              <w:rPr>
                <w:color w:val="548DD4" w:themeColor="text2" w:themeTint="99"/>
                <w:sz w:val="18"/>
                <w:lang w:eastAsia="zh-CN"/>
              </w:rPr>
              <w:t xml:space="preserve">Thank you for this thoughtful and </w:t>
            </w:r>
            <w:r>
              <w:rPr>
                <w:color w:val="548DD4" w:themeColor="text2" w:themeTint="99"/>
                <w:sz w:val="18"/>
                <w:lang w:eastAsia="zh-CN"/>
              </w:rPr>
              <w:t>accurate summary of our study’s contribution. We agree that our data highlight ecological heterogeneity across COPD exacerbations and indicate that MP-negative and MP-positive events are associated with distinct airway microbiome patterns. Following your s</w:t>
            </w:r>
            <w:r>
              <w:rPr>
                <w:color w:val="548DD4" w:themeColor="text2" w:themeTint="99"/>
                <w:sz w:val="18"/>
                <w:lang w:eastAsia="zh-CN"/>
              </w:rPr>
              <w:t>uggestion, we have revised the Discussion to more explicitly emphasize (</w:t>
            </w:r>
            <w:proofErr w:type="spellStart"/>
            <w:r>
              <w:rPr>
                <w:color w:val="548DD4" w:themeColor="text2" w:themeTint="99"/>
                <w:sz w:val="18"/>
                <w:lang w:eastAsia="zh-CN"/>
              </w:rPr>
              <w:t>i</w:t>
            </w:r>
            <w:proofErr w:type="spellEnd"/>
            <w:r>
              <w:rPr>
                <w:color w:val="548DD4" w:themeColor="text2" w:themeTint="99"/>
                <w:sz w:val="18"/>
                <w:lang w:eastAsia="zh-CN"/>
              </w:rPr>
              <w:t>) the broader community-level disruption and gut-like functional enrichment observed in MP-negative exacerbations versus (ii) the more focused perturbation linked to MP-positive exace</w:t>
            </w:r>
            <w:r>
              <w:rPr>
                <w:color w:val="548DD4" w:themeColor="text2" w:themeTint="99"/>
                <w:sz w:val="18"/>
                <w:lang w:eastAsia="zh-CN"/>
              </w:rPr>
              <w:t>rbations, and to clarify that these findings motivate future longitudinal and interventional work to evaluate microbiome-informed, pathogen-aware stratification in COPD care</w:t>
            </w:r>
            <w:r>
              <w:rPr>
                <w:rFonts w:hint="eastAsia"/>
                <w:color w:val="548DD4" w:themeColor="text2" w:themeTint="99"/>
                <w:sz w:val="18"/>
                <w:lang w:eastAsia="zh-CN"/>
              </w:rPr>
              <w:t>.</w:t>
            </w:r>
          </w:p>
          <w:p w:rsidR="002C178A" w:rsidRDefault="002C178A">
            <w:pPr>
              <w:pStyle w:val="TableParagraph"/>
              <w:rPr>
                <w:sz w:val="18"/>
              </w:rPr>
            </w:pPr>
          </w:p>
        </w:tc>
      </w:tr>
      <w:tr w:rsidR="002C178A">
        <w:trPr>
          <w:trHeight w:val="1261"/>
        </w:trPr>
        <w:tc>
          <w:tcPr>
            <w:tcW w:w="5352" w:type="dxa"/>
          </w:tcPr>
          <w:p w:rsidR="002C178A" w:rsidRDefault="00135FCD">
            <w:pPr>
              <w:pStyle w:val="TableParagraph"/>
              <w:spacing w:line="228"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2C178A" w:rsidRDefault="00135FCD">
            <w:pPr>
              <w:pStyle w:val="TableParagraph"/>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rsidR="002C178A" w:rsidRDefault="00135FCD">
            <w:pPr>
              <w:pStyle w:val="TableParagraph"/>
              <w:spacing w:line="228" w:lineRule="exact"/>
              <w:ind w:left="108"/>
              <w:rPr>
                <w:b/>
                <w:sz w:val="20"/>
              </w:rPr>
            </w:pPr>
            <w:r>
              <w:rPr>
                <w:b/>
                <w:sz w:val="20"/>
              </w:rPr>
              <w:t>The</w:t>
            </w:r>
            <w:r>
              <w:rPr>
                <w:b/>
                <w:spacing w:val="-5"/>
                <w:sz w:val="20"/>
              </w:rPr>
              <w:t xml:space="preserve"> </w:t>
            </w:r>
            <w:r>
              <w:rPr>
                <w:b/>
                <w:sz w:val="20"/>
              </w:rPr>
              <w:t>current</w:t>
            </w:r>
            <w:r>
              <w:rPr>
                <w:b/>
                <w:spacing w:val="-4"/>
                <w:sz w:val="20"/>
              </w:rPr>
              <w:t xml:space="preserve"> </w:t>
            </w:r>
            <w:r>
              <w:rPr>
                <w:b/>
                <w:sz w:val="20"/>
              </w:rPr>
              <w:t>title</w:t>
            </w:r>
            <w:r>
              <w:rPr>
                <w:b/>
                <w:spacing w:val="-5"/>
                <w:sz w:val="20"/>
              </w:rPr>
              <w:t xml:space="preserve"> </w:t>
            </w:r>
            <w:r>
              <w:rPr>
                <w:b/>
                <w:sz w:val="20"/>
              </w:rPr>
              <w:t>is</w:t>
            </w:r>
            <w:r>
              <w:rPr>
                <w:b/>
                <w:spacing w:val="-4"/>
                <w:sz w:val="20"/>
              </w:rPr>
              <w:t xml:space="preserve"> </w:t>
            </w:r>
            <w:r>
              <w:rPr>
                <w:b/>
                <w:sz w:val="20"/>
              </w:rPr>
              <w:t>clear</w:t>
            </w:r>
            <w:r>
              <w:rPr>
                <w:b/>
                <w:spacing w:val="-4"/>
                <w:sz w:val="20"/>
              </w:rPr>
              <w:t xml:space="preserve"> </w:t>
            </w:r>
            <w:r>
              <w:rPr>
                <w:b/>
                <w:sz w:val="20"/>
              </w:rPr>
              <w:t>and</w:t>
            </w:r>
            <w:r>
              <w:rPr>
                <w:b/>
                <w:spacing w:val="-4"/>
                <w:sz w:val="20"/>
              </w:rPr>
              <w:t xml:space="preserve"> </w:t>
            </w:r>
            <w:r>
              <w:rPr>
                <w:b/>
                <w:sz w:val="20"/>
              </w:rPr>
              <w:t>scientifically</w:t>
            </w:r>
            <w:r>
              <w:rPr>
                <w:b/>
                <w:spacing w:val="-4"/>
                <w:sz w:val="20"/>
              </w:rPr>
              <w:t xml:space="preserve"> </w:t>
            </w:r>
            <w:r>
              <w:rPr>
                <w:b/>
                <w:spacing w:val="-2"/>
                <w:sz w:val="20"/>
              </w:rPr>
              <w:t>accurate</w:t>
            </w:r>
          </w:p>
        </w:tc>
        <w:tc>
          <w:tcPr>
            <w:tcW w:w="6445" w:type="dxa"/>
          </w:tcPr>
          <w:p w:rsidR="002C178A" w:rsidRDefault="00135FCD">
            <w:pPr>
              <w:pStyle w:val="TableParagraph"/>
              <w:rPr>
                <w:color w:val="548DD4" w:themeColor="text2" w:themeTint="99"/>
                <w:sz w:val="18"/>
              </w:rPr>
            </w:pPr>
            <w:r>
              <w:rPr>
                <w:color w:val="548DD4" w:themeColor="text2" w:themeTint="99"/>
                <w:sz w:val="18"/>
                <w:lang w:eastAsia="zh-CN"/>
              </w:rPr>
              <w:t>We thank the reviewer for this comment. We agree that the current title is clear and scientifically accurate, and therefore we have kept the title unchanged.</w:t>
            </w:r>
          </w:p>
          <w:p w:rsidR="002C178A" w:rsidRDefault="002C178A">
            <w:pPr>
              <w:pStyle w:val="TableParagraph"/>
              <w:rPr>
                <w:sz w:val="18"/>
              </w:rPr>
            </w:pPr>
          </w:p>
        </w:tc>
      </w:tr>
      <w:tr w:rsidR="002C178A">
        <w:trPr>
          <w:trHeight w:val="1262"/>
        </w:trPr>
        <w:tc>
          <w:tcPr>
            <w:tcW w:w="5352" w:type="dxa"/>
          </w:tcPr>
          <w:p w:rsidR="002C178A" w:rsidRDefault="00135FCD">
            <w:pPr>
              <w:pStyle w:val="TableParagraph"/>
              <w:ind w:left="467" w:right="200"/>
              <w:rPr>
                <w:b/>
                <w:sz w:val="20"/>
              </w:rPr>
            </w:pPr>
            <w:r>
              <w:rPr>
                <w:b/>
                <w:sz w:val="20"/>
              </w:rPr>
              <w:t xml:space="preserve">Is the abstract of the article </w:t>
            </w:r>
            <w:r>
              <w:rPr>
                <w:b/>
                <w:sz w:val="20"/>
              </w:rPr>
              <w:t>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rsidR="002C178A" w:rsidRDefault="00135FCD">
            <w:pPr>
              <w:pStyle w:val="TableParagraph"/>
              <w:ind w:left="468"/>
              <w:rPr>
                <w:b/>
                <w:sz w:val="20"/>
              </w:rPr>
            </w:pPr>
            <w:r>
              <w:rPr>
                <w:b/>
                <w:sz w:val="20"/>
              </w:rPr>
              <w:t>The</w:t>
            </w:r>
            <w:r>
              <w:rPr>
                <w:b/>
                <w:spacing w:val="-5"/>
                <w:sz w:val="20"/>
              </w:rPr>
              <w:t xml:space="preserve"> </w:t>
            </w:r>
            <w:r>
              <w:rPr>
                <w:b/>
                <w:sz w:val="20"/>
              </w:rPr>
              <w:t>abstract</w:t>
            </w:r>
            <w:r>
              <w:rPr>
                <w:b/>
                <w:spacing w:val="-4"/>
                <w:sz w:val="20"/>
              </w:rPr>
              <w:t xml:space="preserve"> </w:t>
            </w:r>
            <w:r>
              <w:rPr>
                <w:b/>
                <w:sz w:val="20"/>
              </w:rPr>
              <w:t>is</w:t>
            </w:r>
            <w:r>
              <w:rPr>
                <w:b/>
                <w:spacing w:val="-5"/>
                <w:sz w:val="20"/>
              </w:rPr>
              <w:t xml:space="preserve"> </w:t>
            </w:r>
            <w:r>
              <w:rPr>
                <w:b/>
                <w:sz w:val="20"/>
              </w:rPr>
              <w:t>generally</w:t>
            </w:r>
            <w:r>
              <w:rPr>
                <w:b/>
                <w:spacing w:val="-5"/>
                <w:sz w:val="20"/>
              </w:rPr>
              <w:t xml:space="preserve"> </w:t>
            </w:r>
            <w:r>
              <w:rPr>
                <w:b/>
                <w:sz w:val="20"/>
              </w:rPr>
              <w:t>well-structured</w:t>
            </w:r>
            <w:r>
              <w:rPr>
                <w:b/>
                <w:spacing w:val="-5"/>
                <w:sz w:val="20"/>
              </w:rPr>
              <w:t xml:space="preserve"> </w:t>
            </w:r>
            <w:r>
              <w:rPr>
                <w:b/>
                <w:sz w:val="20"/>
              </w:rPr>
              <w:t>and</w:t>
            </w:r>
            <w:r>
              <w:rPr>
                <w:b/>
                <w:spacing w:val="-6"/>
                <w:sz w:val="20"/>
              </w:rPr>
              <w:t xml:space="preserve"> </w:t>
            </w:r>
            <w:r>
              <w:rPr>
                <w:b/>
                <w:sz w:val="20"/>
              </w:rPr>
              <w:t>comprehensive,</w:t>
            </w:r>
            <w:r>
              <w:rPr>
                <w:b/>
                <w:spacing w:val="-5"/>
                <w:sz w:val="20"/>
              </w:rPr>
              <w:t xml:space="preserve"> </w:t>
            </w:r>
            <w:r>
              <w:rPr>
                <w:b/>
                <w:sz w:val="20"/>
              </w:rPr>
              <w:t>covering</w:t>
            </w:r>
            <w:r>
              <w:rPr>
                <w:b/>
                <w:spacing w:val="-5"/>
                <w:sz w:val="20"/>
              </w:rPr>
              <w:t xml:space="preserve"> </w:t>
            </w:r>
            <w:r>
              <w:rPr>
                <w:b/>
                <w:sz w:val="20"/>
              </w:rPr>
              <w:t>the</w:t>
            </w:r>
            <w:r>
              <w:rPr>
                <w:b/>
                <w:spacing w:val="-5"/>
                <w:sz w:val="20"/>
              </w:rPr>
              <w:t xml:space="preserve"> </w:t>
            </w:r>
            <w:r>
              <w:rPr>
                <w:b/>
                <w:sz w:val="20"/>
              </w:rPr>
              <w:t>essential</w:t>
            </w:r>
            <w:r>
              <w:rPr>
                <w:b/>
                <w:spacing w:val="-6"/>
                <w:sz w:val="20"/>
              </w:rPr>
              <w:t xml:space="preserve"> </w:t>
            </w:r>
            <w:r>
              <w:rPr>
                <w:b/>
                <w:sz w:val="20"/>
              </w:rPr>
              <w:t xml:space="preserve">components: Background, Methods, Results, and </w:t>
            </w:r>
            <w:r>
              <w:rPr>
                <w:b/>
                <w:sz w:val="20"/>
              </w:rPr>
              <w:t>Conclusions</w:t>
            </w:r>
          </w:p>
        </w:tc>
        <w:tc>
          <w:tcPr>
            <w:tcW w:w="6445" w:type="dxa"/>
          </w:tcPr>
          <w:p w:rsidR="002C178A" w:rsidRDefault="00135FCD">
            <w:pPr>
              <w:pStyle w:val="TableParagraph"/>
              <w:rPr>
                <w:color w:val="548DD4" w:themeColor="text2" w:themeTint="99"/>
                <w:sz w:val="18"/>
              </w:rPr>
            </w:pPr>
            <w:r>
              <w:rPr>
                <w:color w:val="548DD4" w:themeColor="text2" w:themeTint="99"/>
                <w:sz w:val="18"/>
              </w:rPr>
              <w:t xml:space="preserve">Thank you for your positive evaluation. We agree that the abstract is well-structured and comprehensive, and we have kept its overall organization (Background, Methods, Results, and Conclusions) unchanged. We have only made minor wording edits </w:t>
            </w:r>
            <w:r>
              <w:rPr>
                <w:color w:val="548DD4" w:themeColor="text2" w:themeTint="99"/>
                <w:sz w:val="18"/>
              </w:rPr>
              <w:t>to improve clarity and readability, without altering the content or conclusions.</w:t>
            </w:r>
          </w:p>
          <w:p w:rsidR="002C178A" w:rsidRDefault="002C178A">
            <w:pPr>
              <w:pStyle w:val="TableParagraph"/>
              <w:rPr>
                <w:sz w:val="18"/>
              </w:rPr>
            </w:pPr>
          </w:p>
        </w:tc>
      </w:tr>
      <w:tr w:rsidR="002C178A">
        <w:trPr>
          <w:trHeight w:val="1149"/>
        </w:trPr>
        <w:tc>
          <w:tcPr>
            <w:tcW w:w="5352" w:type="dxa"/>
          </w:tcPr>
          <w:p w:rsidR="002C178A" w:rsidRDefault="00135FCD">
            <w:pPr>
              <w:pStyle w:val="TableParagraph"/>
              <w:ind w:left="467" w:right="200"/>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rsidR="002C178A" w:rsidRDefault="00135FCD">
            <w:pPr>
              <w:pStyle w:val="TableParagraph"/>
              <w:ind w:left="108" w:right="152"/>
              <w:rPr>
                <w:sz w:val="20"/>
              </w:rPr>
            </w:pPr>
            <w:r>
              <w:rPr>
                <w:sz w:val="20"/>
              </w:rPr>
              <w:t>Yes, it's the case that the manuscript is scientifically credible. The hypotheses are well defined, the methods</w:t>
            </w:r>
            <w:r>
              <w:rPr>
                <w:sz w:val="20"/>
              </w:rPr>
              <w:t xml:space="preserve"> sound</w:t>
            </w:r>
            <w:r>
              <w:rPr>
                <w:spacing w:val="-3"/>
                <w:sz w:val="20"/>
              </w:rPr>
              <w:t xml:space="preserve"> </w:t>
            </w:r>
            <w:r>
              <w:rPr>
                <w:sz w:val="20"/>
              </w:rPr>
              <w:t>and</w:t>
            </w:r>
            <w:r>
              <w:rPr>
                <w:spacing w:val="-3"/>
                <w:sz w:val="20"/>
              </w:rPr>
              <w:t xml:space="preserve"> </w:t>
            </w:r>
            <w:r>
              <w:rPr>
                <w:sz w:val="20"/>
              </w:rPr>
              <w:t>contemporary,</w:t>
            </w:r>
            <w:r>
              <w:rPr>
                <w:spacing w:val="-3"/>
                <w:sz w:val="20"/>
              </w:rPr>
              <w:t xml:space="preserve"> </w:t>
            </w:r>
            <w:r>
              <w:rPr>
                <w:sz w:val="20"/>
              </w:rPr>
              <w:t>results</w:t>
            </w:r>
            <w:r>
              <w:rPr>
                <w:spacing w:val="-4"/>
                <w:sz w:val="20"/>
              </w:rPr>
              <w:t xml:space="preserve"> </w:t>
            </w:r>
            <w:r>
              <w:rPr>
                <w:sz w:val="20"/>
              </w:rPr>
              <w:t>are</w:t>
            </w:r>
            <w:r>
              <w:rPr>
                <w:spacing w:val="-3"/>
                <w:sz w:val="20"/>
              </w:rPr>
              <w:t xml:space="preserve"> </w:t>
            </w:r>
            <w:r>
              <w:rPr>
                <w:sz w:val="20"/>
              </w:rPr>
              <w:t>treated</w:t>
            </w:r>
            <w:r>
              <w:rPr>
                <w:spacing w:val="-1"/>
                <w:sz w:val="20"/>
              </w:rPr>
              <w:t xml:space="preserve"> </w:t>
            </w:r>
            <w:r>
              <w:rPr>
                <w:sz w:val="20"/>
              </w:rPr>
              <w:t>with</w:t>
            </w:r>
            <w:r>
              <w:rPr>
                <w:spacing w:val="-4"/>
                <w:sz w:val="20"/>
              </w:rPr>
              <w:t xml:space="preserve"> </w:t>
            </w:r>
            <w:r>
              <w:rPr>
                <w:sz w:val="20"/>
              </w:rPr>
              <w:t>statistical</w:t>
            </w:r>
            <w:r>
              <w:rPr>
                <w:spacing w:val="-3"/>
                <w:sz w:val="20"/>
              </w:rPr>
              <w:t xml:space="preserve"> </w:t>
            </w:r>
            <w:r>
              <w:rPr>
                <w:sz w:val="20"/>
              </w:rPr>
              <w:t>confidence</w:t>
            </w:r>
            <w:r>
              <w:rPr>
                <w:spacing w:val="-3"/>
                <w:sz w:val="20"/>
              </w:rPr>
              <w:t xml:space="preserve"> </w:t>
            </w:r>
            <w:r>
              <w:rPr>
                <w:sz w:val="20"/>
              </w:rPr>
              <w:t>and</w:t>
            </w:r>
            <w:r>
              <w:rPr>
                <w:spacing w:val="-3"/>
                <w:sz w:val="20"/>
              </w:rPr>
              <w:t xml:space="preserve"> </w:t>
            </w:r>
            <w:r>
              <w:rPr>
                <w:sz w:val="20"/>
              </w:rPr>
              <w:t>the</w:t>
            </w:r>
            <w:r>
              <w:rPr>
                <w:spacing w:val="-3"/>
                <w:sz w:val="20"/>
              </w:rPr>
              <w:t xml:space="preserve"> </w:t>
            </w:r>
            <w:r>
              <w:rPr>
                <w:sz w:val="20"/>
              </w:rPr>
              <w:t>context</w:t>
            </w:r>
            <w:r>
              <w:rPr>
                <w:spacing w:val="-4"/>
                <w:sz w:val="20"/>
              </w:rPr>
              <w:t xml:space="preserve"> </w:t>
            </w:r>
            <w:r>
              <w:rPr>
                <w:sz w:val="20"/>
              </w:rPr>
              <w:t>of</w:t>
            </w:r>
            <w:r>
              <w:rPr>
                <w:spacing w:val="-5"/>
                <w:sz w:val="20"/>
              </w:rPr>
              <w:t xml:space="preserve"> </w:t>
            </w:r>
            <w:r>
              <w:rPr>
                <w:sz w:val="20"/>
              </w:rPr>
              <w:t>the</w:t>
            </w:r>
            <w:r>
              <w:rPr>
                <w:spacing w:val="-3"/>
                <w:sz w:val="20"/>
              </w:rPr>
              <w:t xml:space="preserve"> </w:t>
            </w:r>
            <w:r>
              <w:rPr>
                <w:sz w:val="20"/>
              </w:rPr>
              <w:t>study</w:t>
            </w:r>
            <w:r>
              <w:rPr>
                <w:spacing w:val="-4"/>
                <w:sz w:val="20"/>
              </w:rPr>
              <w:t xml:space="preserve"> </w:t>
            </w:r>
            <w:r>
              <w:rPr>
                <w:sz w:val="20"/>
              </w:rPr>
              <w:t>with</w:t>
            </w:r>
            <w:r>
              <w:rPr>
                <w:spacing w:val="-4"/>
                <w:sz w:val="20"/>
              </w:rPr>
              <w:t xml:space="preserve"> </w:t>
            </w:r>
            <w:r>
              <w:rPr>
                <w:sz w:val="20"/>
              </w:rPr>
              <w:t>regard</w:t>
            </w:r>
            <w:r>
              <w:rPr>
                <w:spacing w:val="-3"/>
                <w:sz w:val="20"/>
              </w:rPr>
              <w:t xml:space="preserve"> </w:t>
            </w:r>
            <w:r>
              <w:rPr>
                <w:sz w:val="20"/>
              </w:rPr>
              <w:t xml:space="preserve">to the literature, the discussions place findings in a context and their limitations, and the conclusions rest on evidence supported. It </w:t>
            </w:r>
            <w:r>
              <w:rPr>
                <w:sz w:val="20"/>
              </w:rPr>
              <w:t>provides a reliable and justified contribution of evidence to our knowledge on airway</w:t>
            </w:r>
          </w:p>
          <w:p w:rsidR="002C178A" w:rsidRDefault="00135FCD">
            <w:pPr>
              <w:pStyle w:val="TableParagraph"/>
              <w:spacing w:line="215" w:lineRule="exact"/>
              <w:ind w:left="108"/>
              <w:rPr>
                <w:sz w:val="20"/>
              </w:rPr>
            </w:pPr>
            <w:r>
              <w:rPr>
                <w:sz w:val="20"/>
              </w:rPr>
              <w:t>microbiome</w:t>
            </w:r>
            <w:r>
              <w:rPr>
                <w:spacing w:val="-6"/>
                <w:sz w:val="20"/>
              </w:rPr>
              <w:t xml:space="preserve"> </w:t>
            </w:r>
            <w:r>
              <w:rPr>
                <w:sz w:val="20"/>
              </w:rPr>
              <w:t>in</w:t>
            </w:r>
            <w:r>
              <w:rPr>
                <w:spacing w:val="-5"/>
                <w:sz w:val="20"/>
              </w:rPr>
              <w:t xml:space="preserve"> </w:t>
            </w:r>
            <w:r>
              <w:rPr>
                <w:sz w:val="20"/>
              </w:rPr>
              <w:t>COPD</w:t>
            </w:r>
            <w:r>
              <w:rPr>
                <w:spacing w:val="-5"/>
                <w:sz w:val="20"/>
              </w:rPr>
              <w:t xml:space="preserve"> </w:t>
            </w:r>
            <w:r>
              <w:rPr>
                <w:spacing w:val="-2"/>
                <w:sz w:val="20"/>
              </w:rPr>
              <w:t>exacerbations</w:t>
            </w:r>
          </w:p>
        </w:tc>
        <w:tc>
          <w:tcPr>
            <w:tcW w:w="6445" w:type="dxa"/>
          </w:tcPr>
          <w:p w:rsidR="002C178A" w:rsidRDefault="00135FCD">
            <w:pPr>
              <w:pStyle w:val="TableParagraph"/>
              <w:rPr>
                <w:color w:val="548DD4" w:themeColor="text2" w:themeTint="99"/>
                <w:sz w:val="18"/>
              </w:rPr>
            </w:pPr>
            <w:r>
              <w:rPr>
                <w:color w:val="548DD4" w:themeColor="text2" w:themeTint="99"/>
                <w:sz w:val="18"/>
                <w:lang w:eastAsia="zh-CN"/>
              </w:rPr>
              <w:t>Thank you for this thorough and encouraging assessment. We appreciate the reviewer’s recognition that our hypotheses are clearly defined,</w:t>
            </w:r>
            <w:r>
              <w:rPr>
                <w:color w:val="548DD4" w:themeColor="text2" w:themeTint="99"/>
                <w:sz w:val="18"/>
                <w:lang w:eastAsia="zh-CN"/>
              </w:rPr>
              <w:t xml:space="preserve"> our methods are sound and up to date, and that our results are supported by appropriate statistical analyses and interpreted in the context of the existing literature, with limitations transparently discussed. We have carefully revised the manuscript to f</w:t>
            </w:r>
            <w:r>
              <w:rPr>
                <w:color w:val="548DD4" w:themeColor="text2" w:themeTint="99"/>
                <w:sz w:val="18"/>
                <w:lang w:eastAsia="zh-CN"/>
              </w:rPr>
              <w:t>urther improve clarity and presentation (e.g., refining wording, strengthening transitions, and ensuring consistency across the Methods, Results, and Discussion), while keeping the core scientific content and conclusions unchanged. We believe these revisio</w:t>
            </w:r>
            <w:r>
              <w:rPr>
                <w:color w:val="548DD4" w:themeColor="text2" w:themeTint="99"/>
                <w:sz w:val="18"/>
                <w:lang w:eastAsia="zh-CN"/>
              </w:rPr>
              <w:t>ns enhance the rigor and readability of the work and further support its contribution to understanding the airway microbiome in COPD exacerbations.</w:t>
            </w:r>
          </w:p>
          <w:p w:rsidR="002C178A" w:rsidRDefault="002C178A">
            <w:pPr>
              <w:pStyle w:val="TableParagraph"/>
              <w:rPr>
                <w:sz w:val="18"/>
              </w:rPr>
            </w:pPr>
          </w:p>
        </w:tc>
      </w:tr>
      <w:tr w:rsidR="002C178A">
        <w:trPr>
          <w:trHeight w:val="921"/>
        </w:trPr>
        <w:tc>
          <w:tcPr>
            <w:tcW w:w="5352" w:type="dxa"/>
          </w:tcPr>
          <w:p w:rsidR="002C178A" w:rsidRDefault="00135FCD">
            <w:pPr>
              <w:pStyle w:val="TableParagraph"/>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w:t>
            </w:r>
            <w:r>
              <w:rPr>
                <w:b/>
                <w:sz w:val="20"/>
              </w:rPr>
              <w:t xml:space="preserve"> them in the review form.</w:t>
            </w:r>
          </w:p>
        </w:tc>
        <w:tc>
          <w:tcPr>
            <w:tcW w:w="9356" w:type="dxa"/>
          </w:tcPr>
          <w:p w:rsidR="002C178A" w:rsidRDefault="00135FCD">
            <w:pPr>
              <w:pStyle w:val="TableParagraph"/>
              <w:ind w:left="108" w:right="306"/>
              <w:jc w:val="both"/>
              <w:rPr>
                <w:sz w:val="20"/>
              </w:rPr>
            </w:pPr>
            <w:r>
              <w:rPr>
                <w:sz w:val="20"/>
              </w:rPr>
              <w:t>The</w:t>
            </w:r>
            <w:r>
              <w:rPr>
                <w:spacing w:val="-1"/>
                <w:sz w:val="20"/>
              </w:rPr>
              <w:t xml:space="preserve"> </w:t>
            </w:r>
            <w:r>
              <w:rPr>
                <w:sz w:val="20"/>
              </w:rPr>
              <w:t>reference</w:t>
            </w:r>
            <w:r>
              <w:rPr>
                <w:spacing w:val="-1"/>
                <w:sz w:val="20"/>
              </w:rPr>
              <w:t xml:space="preserve"> </w:t>
            </w:r>
            <w:r>
              <w:rPr>
                <w:sz w:val="20"/>
              </w:rPr>
              <w:t>list</w:t>
            </w:r>
            <w:r>
              <w:rPr>
                <w:spacing w:val="-2"/>
                <w:sz w:val="20"/>
              </w:rPr>
              <w:t xml:space="preserve"> </w:t>
            </w:r>
            <w:r>
              <w:rPr>
                <w:sz w:val="20"/>
              </w:rPr>
              <w:t>is</w:t>
            </w:r>
            <w:r>
              <w:rPr>
                <w:spacing w:val="-2"/>
                <w:sz w:val="20"/>
              </w:rPr>
              <w:t xml:space="preserve"> </w:t>
            </w:r>
            <w:r>
              <w:rPr>
                <w:sz w:val="20"/>
              </w:rPr>
              <w:t>largely</w:t>
            </w:r>
            <w:r>
              <w:rPr>
                <w:spacing w:val="-2"/>
                <w:sz w:val="20"/>
              </w:rPr>
              <w:t xml:space="preserve"> </w:t>
            </w:r>
            <w:r>
              <w:rPr>
                <w:sz w:val="20"/>
              </w:rPr>
              <w:t>sufficient</w:t>
            </w:r>
            <w:r>
              <w:rPr>
                <w:spacing w:val="-2"/>
                <w:sz w:val="20"/>
              </w:rPr>
              <w:t xml:space="preserve"> </w:t>
            </w:r>
            <w:r>
              <w:rPr>
                <w:sz w:val="20"/>
              </w:rPr>
              <w:t>and appropriately</w:t>
            </w:r>
            <w:r>
              <w:rPr>
                <w:spacing w:val="-5"/>
                <w:sz w:val="20"/>
              </w:rPr>
              <w:t xml:space="preserve"> </w:t>
            </w:r>
            <w:r>
              <w:rPr>
                <w:sz w:val="20"/>
              </w:rPr>
              <w:t>recent.</w:t>
            </w:r>
            <w:r>
              <w:rPr>
                <w:spacing w:val="-1"/>
                <w:sz w:val="20"/>
              </w:rPr>
              <w:t xml:space="preserve"> </w:t>
            </w:r>
            <w:r>
              <w:rPr>
                <w:sz w:val="20"/>
              </w:rPr>
              <w:t>It</w:t>
            </w:r>
            <w:r>
              <w:rPr>
                <w:spacing w:val="-2"/>
                <w:sz w:val="20"/>
              </w:rPr>
              <w:t xml:space="preserve"> </w:t>
            </w:r>
            <w:r>
              <w:rPr>
                <w:sz w:val="20"/>
              </w:rPr>
              <w:t>does</w:t>
            </w:r>
            <w:r>
              <w:rPr>
                <w:spacing w:val="-2"/>
                <w:sz w:val="20"/>
              </w:rPr>
              <w:t xml:space="preserve"> </w:t>
            </w:r>
            <w:r>
              <w:rPr>
                <w:sz w:val="20"/>
              </w:rPr>
              <w:t>an</w:t>
            </w:r>
            <w:r>
              <w:rPr>
                <w:spacing w:val="-2"/>
                <w:sz w:val="20"/>
              </w:rPr>
              <w:t xml:space="preserve"> </w:t>
            </w:r>
            <w:r>
              <w:rPr>
                <w:sz w:val="20"/>
              </w:rPr>
              <w:t>adequate</w:t>
            </w:r>
            <w:r>
              <w:rPr>
                <w:spacing w:val="-1"/>
                <w:sz w:val="20"/>
              </w:rPr>
              <w:t xml:space="preserve"> </w:t>
            </w:r>
            <w:r>
              <w:rPr>
                <w:sz w:val="20"/>
              </w:rPr>
              <w:t>service to include</w:t>
            </w:r>
            <w:r>
              <w:rPr>
                <w:spacing w:val="-1"/>
                <w:sz w:val="20"/>
              </w:rPr>
              <w:t xml:space="preserve"> </w:t>
            </w:r>
            <w:r>
              <w:rPr>
                <w:sz w:val="20"/>
              </w:rPr>
              <w:t>important aspects</w:t>
            </w:r>
            <w:r>
              <w:rPr>
                <w:spacing w:val="-4"/>
                <w:sz w:val="20"/>
              </w:rPr>
              <w:t xml:space="preserve"> </w:t>
            </w:r>
            <w:r>
              <w:rPr>
                <w:sz w:val="20"/>
              </w:rPr>
              <w:t>of</w:t>
            </w:r>
            <w:r>
              <w:rPr>
                <w:spacing w:val="-5"/>
                <w:sz w:val="20"/>
              </w:rPr>
              <w:t xml:space="preserve"> </w:t>
            </w:r>
            <w:r>
              <w:rPr>
                <w:sz w:val="20"/>
              </w:rPr>
              <w:t>COPD</w:t>
            </w:r>
            <w:r>
              <w:rPr>
                <w:spacing w:val="-3"/>
                <w:sz w:val="20"/>
              </w:rPr>
              <w:t xml:space="preserve"> </w:t>
            </w:r>
            <w:r>
              <w:rPr>
                <w:sz w:val="20"/>
              </w:rPr>
              <w:t>pathophysiology</w:t>
            </w:r>
            <w:r>
              <w:rPr>
                <w:spacing w:val="-7"/>
                <w:sz w:val="20"/>
              </w:rPr>
              <w:t xml:space="preserve"> </w:t>
            </w:r>
            <w:r>
              <w:rPr>
                <w:sz w:val="20"/>
              </w:rPr>
              <w:t>and</w:t>
            </w:r>
            <w:r>
              <w:rPr>
                <w:spacing w:val="-2"/>
                <w:sz w:val="20"/>
              </w:rPr>
              <w:t xml:space="preserve"> </w:t>
            </w:r>
            <w:r>
              <w:rPr>
                <w:sz w:val="20"/>
              </w:rPr>
              <w:t>exacerbations</w:t>
            </w:r>
            <w:r>
              <w:rPr>
                <w:spacing w:val="-4"/>
                <w:sz w:val="20"/>
              </w:rPr>
              <w:t xml:space="preserve"> </w:t>
            </w:r>
            <w:r>
              <w:rPr>
                <w:sz w:val="20"/>
              </w:rPr>
              <w:t>(e.g.,</w:t>
            </w:r>
            <w:r>
              <w:rPr>
                <w:spacing w:val="-1"/>
                <w:sz w:val="20"/>
              </w:rPr>
              <w:t xml:space="preserve"> </w:t>
            </w:r>
            <w:r>
              <w:rPr>
                <w:sz w:val="20"/>
              </w:rPr>
              <w:t>GOLD</w:t>
            </w:r>
            <w:r>
              <w:rPr>
                <w:spacing w:val="-3"/>
                <w:sz w:val="20"/>
              </w:rPr>
              <w:t xml:space="preserve"> </w:t>
            </w:r>
            <w:r>
              <w:rPr>
                <w:sz w:val="20"/>
              </w:rPr>
              <w:t>2023</w:t>
            </w:r>
            <w:r>
              <w:rPr>
                <w:spacing w:val="-2"/>
                <w:sz w:val="20"/>
              </w:rPr>
              <w:t xml:space="preserve"> </w:t>
            </w:r>
            <w:r>
              <w:rPr>
                <w:sz w:val="20"/>
              </w:rPr>
              <w:t>reports),</w:t>
            </w:r>
            <w:r>
              <w:rPr>
                <w:spacing w:val="-3"/>
                <w:sz w:val="20"/>
              </w:rPr>
              <w:t xml:space="preserve"> </w:t>
            </w:r>
            <w:r>
              <w:rPr>
                <w:sz w:val="20"/>
              </w:rPr>
              <w:t>airway</w:t>
            </w:r>
            <w:r>
              <w:rPr>
                <w:spacing w:val="-4"/>
                <w:sz w:val="20"/>
              </w:rPr>
              <w:t xml:space="preserve"> </w:t>
            </w:r>
            <w:r>
              <w:rPr>
                <w:sz w:val="20"/>
              </w:rPr>
              <w:t>microbiome</w:t>
            </w:r>
            <w:r>
              <w:rPr>
                <w:spacing w:val="-3"/>
                <w:sz w:val="20"/>
              </w:rPr>
              <w:t xml:space="preserve"> </w:t>
            </w:r>
            <w:r>
              <w:rPr>
                <w:sz w:val="20"/>
              </w:rPr>
              <w:t>in</w:t>
            </w:r>
            <w:r>
              <w:rPr>
                <w:spacing w:val="-2"/>
                <w:sz w:val="20"/>
              </w:rPr>
              <w:t xml:space="preserve"> </w:t>
            </w:r>
            <w:r>
              <w:rPr>
                <w:sz w:val="20"/>
              </w:rPr>
              <w:t>COPD, and Mycopl</w:t>
            </w:r>
            <w:r>
              <w:rPr>
                <w:sz w:val="20"/>
              </w:rPr>
              <w:t>asma pneumonia biology. Numerous references were given 2022–2024, a relevant format for a</w:t>
            </w:r>
          </w:p>
          <w:p w:rsidR="002C178A" w:rsidRDefault="00135FCD">
            <w:pPr>
              <w:pStyle w:val="TableParagraph"/>
              <w:spacing w:line="216" w:lineRule="exact"/>
              <w:ind w:left="108"/>
              <w:jc w:val="both"/>
              <w:rPr>
                <w:sz w:val="20"/>
              </w:rPr>
            </w:pPr>
            <w:r>
              <w:rPr>
                <w:sz w:val="20"/>
              </w:rPr>
              <w:t>constantly</w:t>
            </w:r>
            <w:r>
              <w:rPr>
                <w:spacing w:val="-12"/>
                <w:sz w:val="20"/>
              </w:rPr>
              <w:t xml:space="preserve"> </w:t>
            </w:r>
            <w:r>
              <w:rPr>
                <w:sz w:val="20"/>
              </w:rPr>
              <w:t>evolving</w:t>
            </w:r>
            <w:r>
              <w:rPr>
                <w:spacing w:val="-7"/>
                <w:sz w:val="20"/>
              </w:rPr>
              <w:t xml:space="preserve"> </w:t>
            </w:r>
            <w:r>
              <w:rPr>
                <w:spacing w:val="-2"/>
                <w:sz w:val="20"/>
              </w:rPr>
              <w:t>field.</w:t>
            </w:r>
          </w:p>
        </w:tc>
        <w:tc>
          <w:tcPr>
            <w:tcW w:w="6445" w:type="dxa"/>
          </w:tcPr>
          <w:p w:rsidR="002C178A" w:rsidRDefault="00135FCD">
            <w:pPr>
              <w:pStyle w:val="TableParagraph"/>
              <w:rPr>
                <w:color w:val="548DD4" w:themeColor="text2" w:themeTint="99"/>
                <w:sz w:val="18"/>
              </w:rPr>
            </w:pPr>
            <w:r>
              <w:rPr>
                <w:color w:val="548DD4" w:themeColor="text2" w:themeTint="99"/>
                <w:sz w:val="18"/>
                <w:lang w:eastAsia="zh-CN"/>
              </w:rPr>
              <w:t xml:space="preserve">Thank you for this positive evaluation of our reference list. We appreciate the reviewer’s recognition that the cited literature is </w:t>
            </w:r>
            <w:r>
              <w:rPr>
                <w:color w:val="548DD4" w:themeColor="text2" w:themeTint="99"/>
                <w:sz w:val="18"/>
                <w:lang w:eastAsia="zh-CN"/>
              </w:rPr>
              <w:t>appropriately recent and covers key aspects of COPD pathophysiology and exacerbations (including the GOLD reports), the airway microbiome in COPD, and Mycoplasma pneumoniae biology. We have retained the overall reference set and formatting, and we have per</w:t>
            </w:r>
            <w:r>
              <w:rPr>
                <w:color w:val="548DD4" w:themeColor="text2" w:themeTint="99"/>
                <w:sz w:val="18"/>
                <w:lang w:eastAsia="zh-CN"/>
              </w:rPr>
              <w:t>formed a final check to ensure all citations are accurate, up to date, and consistently presented in the revised manuscript.</w:t>
            </w:r>
          </w:p>
          <w:p w:rsidR="002C178A" w:rsidRDefault="002C178A">
            <w:pPr>
              <w:pStyle w:val="TableParagraph"/>
              <w:rPr>
                <w:sz w:val="18"/>
              </w:rPr>
            </w:pPr>
          </w:p>
        </w:tc>
      </w:tr>
      <w:tr w:rsidR="002C178A">
        <w:trPr>
          <w:trHeight w:val="690"/>
        </w:trPr>
        <w:tc>
          <w:tcPr>
            <w:tcW w:w="5352" w:type="dxa"/>
          </w:tcPr>
          <w:p w:rsidR="002C178A" w:rsidRDefault="00135FCD">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rsidR="002C178A" w:rsidRDefault="00135FCD">
            <w:pPr>
              <w:pStyle w:val="TableParagraph"/>
              <w:spacing w:line="223" w:lineRule="exact"/>
              <w:ind w:left="108"/>
              <w:rPr>
                <w:sz w:val="20"/>
              </w:rPr>
            </w:pPr>
            <w:r>
              <w:rPr>
                <w:sz w:val="20"/>
              </w:rPr>
              <w:t>The</w:t>
            </w:r>
            <w:r>
              <w:rPr>
                <w:spacing w:val="-6"/>
                <w:sz w:val="20"/>
              </w:rPr>
              <w:t xml:space="preserve"> </w:t>
            </w:r>
            <w:r>
              <w:rPr>
                <w:sz w:val="20"/>
              </w:rPr>
              <w:t>manuscript's</w:t>
            </w:r>
            <w:r>
              <w:rPr>
                <w:spacing w:val="-6"/>
                <w:sz w:val="20"/>
              </w:rPr>
              <w:t xml:space="preserve"> </w:t>
            </w:r>
            <w:r>
              <w:rPr>
                <w:sz w:val="20"/>
              </w:rPr>
              <w:t>language</w:t>
            </w:r>
            <w:r>
              <w:rPr>
                <w:spacing w:val="-6"/>
                <w:sz w:val="20"/>
              </w:rPr>
              <w:t xml:space="preserve"> </w:t>
            </w:r>
            <w:r>
              <w:rPr>
                <w:sz w:val="20"/>
              </w:rPr>
              <w:t>is</w:t>
            </w:r>
            <w:r>
              <w:rPr>
                <w:spacing w:val="-3"/>
                <w:sz w:val="20"/>
              </w:rPr>
              <w:t xml:space="preserve"> </w:t>
            </w:r>
            <w:r>
              <w:rPr>
                <w:b/>
                <w:sz w:val="20"/>
              </w:rPr>
              <w:t>suitable</w:t>
            </w:r>
            <w:r>
              <w:rPr>
                <w:b/>
                <w:spacing w:val="-7"/>
                <w:sz w:val="20"/>
              </w:rPr>
              <w:t xml:space="preserve"> </w:t>
            </w:r>
            <w:r>
              <w:rPr>
                <w:b/>
                <w:sz w:val="20"/>
              </w:rPr>
              <w:t>for</w:t>
            </w:r>
            <w:r>
              <w:rPr>
                <w:b/>
                <w:spacing w:val="-5"/>
                <w:sz w:val="20"/>
              </w:rPr>
              <w:t xml:space="preserve"> </w:t>
            </w:r>
            <w:r>
              <w:rPr>
                <w:b/>
                <w:sz w:val="20"/>
              </w:rPr>
              <w:t>s</w:t>
            </w:r>
            <w:r>
              <w:rPr>
                <w:b/>
                <w:sz w:val="20"/>
              </w:rPr>
              <w:t>cholarly</w:t>
            </w:r>
            <w:r>
              <w:rPr>
                <w:b/>
                <w:spacing w:val="-5"/>
                <w:sz w:val="20"/>
              </w:rPr>
              <w:t xml:space="preserve"> </w:t>
            </w:r>
            <w:r>
              <w:rPr>
                <w:b/>
                <w:sz w:val="20"/>
              </w:rPr>
              <w:t>communication</w:t>
            </w:r>
            <w:r>
              <w:rPr>
                <w:sz w:val="20"/>
              </w:rPr>
              <w:t>.</w:t>
            </w:r>
            <w:r>
              <w:rPr>
                <w:spacing w:val="-5"/>
                <w:sz w:val="20"/>
              </w:rPr>
              <w:t xml:space="preserve"> </w:t>
            </w:r>
            <w:r>
              <w:rPr>
                <w:sz w:val="20"/>
              </w:rPr>
              <w:t>It</w:t>
            </w:r>
            <w:r>
              <w:rPr>
                <w:spacing w:val="-7"/>
                <w:sz w:val="20"/>
              </w:rPr>
              <w:t xml:space="preserve"> </w:t>
            </w:r>
            <w:r>
              <w:rPr>
                <w:sz w:val="20"/>
              </w:rPr>
              <w:t>is</w:t>
            </w:r>
            <w:r>
              <w:rPr>
                <w:spacing w:val="-3"/>
                <w:sz w:val="20"/>
              </w:rPr>
              <w:t xml:space="preserve"> </w:t>
            </w:r>
            <w:r>
              <w:rPr>
                <w:sz w:val="20"/>
              </w:rPr>
              <w:t>written</w:t>
            </w:r>
            <w:r>
              <w:rPr>
                <w:spacing w:val="-7"/>
                <w:sz w:val="20"/>
              </w:rPr>
              <w:t xml:space="preserve"> </w:t>
            </w:r>
            <w:r>
              <w:rPr>
                <w:sz w:val="20"/>
              </w:rPr>
              <w:t>in</w:t>
            </w:r>
            <w:r>
              <w:rPr>
                <w:spacing w:val="-6"/>
                <w:sz w:val="20"/>
              </w:rPr>
              <w:t xml:space="preserve"> </w:t>
            </w:r>
            <w:r>
              <w:rPr>
                <w:sz w:val="20"/>
              </w:rPr>
              <w:t>clear,</w:t>
            </w:r>
            <w:r>
              <w:rPr>
                <w:spacing w:val="-5"/>
                <w:sz w:val="20"/>
              </w:rPr>
              <w:t xml:space="preserve"> </w:t>
            </w:r>
            <w:r>
              <w:rPr>
                <w:sz w:val="20"/>
              </w:rPr>
              <w:t>formal,</w:t>
            </w:r>
            <w:r>
              <w:rPr>
                <w:spacing w:val="-6"/>
                <w:sz w:val="20"/>
              </w:rPr>
              <w:t xml:space="preserve"> </w:t>
            </w:r>
            <w:r>
              <w:rPr>
                <w:spacing w:val="-5"/>
                <w:sz w:val="20"/>
              </w:rPr>
              <w:t>and</w:t>
            </w:r>
          </w:p>
          <w:p w:rsidR="002C178A" w:rsidRDefault="00135FCD">
            <w:pPr>
              <w:pStyle w:val="TableParagraph"/>
              <w:spacing w:line="230" w:lineRule="atLeast"/>
              <w:ind w:left="108"/>
              <w:rPr>
                <w:sz w:val="20"/>
              </w:rPr>
            </w:pPr>
            <w:r>
              <w:rPr>
                <w:sz w:val="20"/>
              </w:rPr>
              <w:t>technically</w:t>
            </w:r>
            <w:r>
              <w:rPr>
                <w:spacing w:val="-7"/>
                <w:sz w:val="20"/>
              </w:rPr>
              <w:t xml:space="preserve"> </w:t>
            </w:r>
            <w:r>
              <w:rPr>
                <w:sz w:val="20"/>
              </w:rPr>
              <w:t>precise</w:t>
            </w:r>
            <w:r>
              <w:rPr>
                <w:spacing w:val="-4"/>
                <w:sz w:val="20"/>
              </w:rPr>
              <w:t xml:space="preserve"> </w:t>
            </w:r>
            <w:r>
              <w:rPr>
                <w:sz w:val="20"/>
              </w:rPr>
              <w:t>English</w:t>
            </w:r>
            <w:r>
              <w:rPr>
                <w:spacing w:val="-5"/>
                <w:sz w:val="20"/>
              </w:rPr>
              <w:t xml:space="preserve"> </w:t>
            </w:r>
            <w:r>
              <w:rPr>
                <w:sz w:val="20"/>
              </w:rPr>
              <w:t>that</w:t>
            </w:r>
            <w:r>
              <w:rPr>
                <w:spacing w:val="-5"/>
                <w:sz w:val="20"/>
              </w:rPr>
              <w:t xml:space="preserve"> </w:t>
            </w:r>
            <w:r>
              <w:rPr>
                <w:sz w:val="20"/>
              </w:rPr>
              <w:t>adheres</w:t>
            </w:r>
            <w:r>
              <w:rPr>
                <w:spacing w:val="-5"/>
                <w:sz w:val="20"/>
              </w:rPr>
              <w:t xml:space="preserve"> </w:t>
            </w:r>
            <w:r>
              <w:rPr>
                <w:sz w:val="20"/>
              </w:rPr>
              <w:t>to</w:t>
            </w:r>
            <w:r>
              <w:rPr>
                <w:spacing w:val="-3"/>
                <w:sz w:val="20"/>
              </w:rPr>
              <w:t xml:space="preserve"> </w:t>
            </w:r>
            <w:r>
              <w:rPr>
                <w:sz w:val="20"/>
              </w:rPr>
              <w:t>the</w:t>
            </w:r>
            <w:r>
              <w:rPr>
                <w:spacing w:val="-4"/>
                <w:sz w:val="20"/>
              </w:rPr>
              <w:t xml:space="preserve"> </w:t>
            </w:r>
            <w:r>
              <w:rPr>
                <w:sz w:val="20"/>
              </w:rPr>
              <w:t>conventions</w:t>
            </w:r>
            <w:r>
              <w:rPr>
                <w:spacing w:val="-5"/>
                <w:sz w:val="20"/>
              </w:rPr>
              <w:t xml:space="preserve"> </w:t>
            </w:r>
            <w:r>
              <w:rPr>
                <w:sz w:val="20"/>
              </w:rPr>
              <w:t>of</w:t>
            </w:r>
            <w:r>
              <w:rPr>
                <w:spacing w:val="-4"/>
                <w:sz w:val="20"/>
              </w:rPr>
              <w:t xml:space="preserve"> </w:t>
            </w:r>
            <w:r>
              <w:rPr>
                <w:sz w:val="20"/>
              </w:rPr>
              <w:t>scientific</w:t>
            </w:r>
            <w:r>
              <w:rPr>
                <w:spacing w:val="-2"/>
                <w:sz w:val="20"/>
              </w:rPr>
              <w:t xml:space="preserve"> </w:t>
            </w:r>
            <w:r>
              <w:rPr>
                <w:sz w:val="20"/>
              </w:rPr>
              <w:t>writing.</w:t>
            </w:r>
            <w:r>
              <w:rPr>
                <w:spacing w:val="-4"/>
                <w:sz w:val="20"/>
              </w:rPr>
              <w:t xml:space="preserve"> </w:t>
            </w:r>
            <w:r>
              <w:rPr>
                <w:sz w:val="20"/>
              </w:rPr>
              <w:t>The</w:t>
            </w:r>
            <w:r>
              <w:rPr>
                <w:spacing w:val="-4"/>
                <w:sz w:val="20"/>
              </w:rPr>
              <w:t xml:space="preserve"> </w:t>
            </w:r>
            <w:r>
              <w:rPr>
                <w:sz w:val="20"/>
              </w:rPr>
              <w:t>grammar,</w:t>
            </w:r>
            <w:r>
              <w:rPr>
                <w:spacing w:val="-4"/>
                <w:sz w:val="20"/>
              </w:rPr>
              <w:t xml:space="preserve"> </w:t>
            </w:r>
            <w:r>
              <w:rPr>
                <w:sz w:val="20"/>
              </w:rPr>
              <w:t>syntax,</w:t>
            </w:r>
            <w:r>
              <w:rPr>
                <w:spacing w:val="-4"/>
                <w:sz w:val="20"/>
              </w:rPr>
              <w:t xml:space="preserve"> </w:t>
            </w:r>
            <w:r>
              <w:rPr>
                <w:sz w:val="20"/>
              </w:rPr>
              <w:t>and terminology are generally correct and appropriate for a research article in a biomedical</w:t>
            </w:r>
            <w:r>
              <w:rPr>
                <w:sz w:val="20"/>
              </w:rPr>
              <w:t xml:space="preserve"> journal</w:t>
            </w:r>
          </w:p>
        </w:tc>
        <w:tc>
          <w:tcPr>
            <w:tcW w:w="6445" w:type="dxa"/>
          </w:tcPr>
          <w:p w:rsidR="002C178A" w:rsidRDefault="00135FCD">
            <w:pPr>
              <w:pStyle w:val="TableParagraph"/>
              <w:rPr>
                <w:color w:val="548DD4" w:themeColor="text2" w:themeTint="99"/>
                <w:sz w:val="18"/>
              </w:rPr>
            </w:pPr>
            <w:r>
              <w:rPr>
                <w:color w:val="548DD4" w:themeColor="text2" w:themeTint="99"/>
                <w:sz w:val="18"/>
                <w:lang w:eastAsia="zh-CN"/>
              </w:rPr>
              <w:t>Thank you for this encouraging comment on the manuscript’s language quality. We appreciate the reviewer’s recognition that the writing is clear, formal, and technically precise. In the revised version, we have conducted a final careful proofreadin</w:t>
            </w:r>
            <w:r>
              <w:rPr>
                <w:color w:val="548DD4" w:themeColor="text2" w:themeTint="99"/>
                <w:sz w:val="18"/>
                <w:lang w:eastAsia="zh-CN"/>
              </w:rPr>
              <w:t>g to further improve readability and consistency (e.g., minor grammar and wording adjustments) while keeping the scientific meaning unchanged.</w:t>
            </w:r>
          </w:p>
          <w:p w:rsidR="002C178A" w:rsidRDefault="002C178A">
            <w:pPr>
              <w:pStyle w:val="TableParagraph"/>
              <w:rPr>
                <w:sz w:val="18"/>
              </w:rPr>
            </w:pPr>
          </w:p>
        </w:tc>
      </w:tr>
      <w:tr w:rsidR="002C178A">
        <w:trPr>
          <w:trHeight w:val="1177"/>
        </w:trPr>
        <w:tc>
          <w:tcPr>
            <w:tcW w:w="5352" w:type="dxa"/>
          </w:tcPr>
          <w:p w:rsidR="002C178A" w:rsidRDefault="00135FCD">
            <w:pPr>
              <w:pStyle w:val="TableParagraph"/>
              <w:spacing w:line="223" w:lineRule="exact"/>
              <w:ind w:left="107"/>
              <w:rPr>
                <w:sz w:val="20"/>
              </w:rPr>
            </w:pPr>
            <w:r>
              <w:rPr>
                <w:b/>
                <w:spacing w:val="-2"/>
                <w:sz w:val="20"/>
                <w:u w:val="single"/>
              </w:rPr>
              <w:lastRenderedPageBreak/>
              <w:t>Optional/General</w:t>
            </w:r>
            <w:r>
              <w:rPr>
                <w:b/>
                <w:spacing w:val="18"/>
                <w:sz w:val="20"/>
              </w:rPr>
              <w:t xml:space="preserve"> </w:t>
            </w:r>
            <w:r>
              <w:rPr>
                <w:spacing w:val="-2"/>
                <w:sz w:val="20"/>
              </w:rPr>
              <w:t>comments</w:t>
            </w:r>
          </w:p>
        </w:tc>
        <w:tc>
          <w:tcPr>
            <w:tcW w:w="9356" w:type="dxa"/>
          </w:tcPr>
          <w:p w:rsidR="002C178A" w:rsidRDefault="00135FCD">
            <w:pPr>
              <w:pStyle w:val="TableParagraph"/>
              <w:spacing w:line="228" w:lineRule="exact"/>
              <w:ind w:left="108"/>
              <w:rPr>
                <w:b/>
                <w:sz w:val="20"/>
              </w:rPr>
            </w:pPr>
            <w:r>
              <w:rPr>
                <w:b/>
                <w:sz w:val="20"/>
              </w:rPr>
              <w:t>No</w:t>
            </w:r>
            <w:r>
              <w:rPr>
                <w:b/>
                <w:spacing w:val="-2"/>
                <w:sz w:val="20"/>
              </w:rPr>
              <w:t xml:space="preserve"> comments</w:t>
            </w:r>
          </w:p>
        </w:tc>
        <w:tc>
          <w:tcPr>
            <w:tcW w:w="6445" w:type="dxa"/>
          </w:tcPr>
          <w:p w:rsidR="002C178A" w:rsidRDefault="002C178A">
            <w:pPr>
              <w:pStyle w:val="TableParagraph"/>
              <w:rPr>
                <w:sz w:val="18"/>
              </w:rPr>
            </w:pPr>
          </w:p>
        </w:tc>
      </w:tr>
    </w:tbl>
    <w:p w:rsidR="002C178A" w:rsidRDefault="002C178A">
      <w:pPr>
        <w:pStyle w:val="BodyText"/>
        <w:spacing w:before="6"/>
      </w:pPr>
      <w:bookmarkStart w:id="0" w:name="_GoBack"/>
      <w:bookmarkEnd w:id="0"/>
    </w:p>
    <w:p w:rsidR="002C178A" w:rsidRDefault="00135FCD">
      <w:pPr>
        <w:ind w:left="165"/>
        <w:rPr>
          <w:b/>
          <w:sz w:val="20"/>
        </w:rPr>
      </w:pPr>
      <w:r>
        <w:rPr>
          <w:b/>
          <w:color w:val="000000"/>
          <w:sz w:val="20"/>
          <w:highlight w:val="yellow"/>
          <w:u w:val="single"/>
        </w:rPr>
        <w:t>PART</w:t>
      </w:r>
      <w:r>
        <w:rPr>
          <w:b/>
          <w:color w:val="000000"/>
          <w:spacing w:val="44"/>
          <w:sz w:val="20"/>
          <w:highlight w:val="yellow"/>
          <w:u w:val="single"/>
        </w:rPr>
        <w:t xml:space="preserve"> </w:t>
      </w:r>
      <w:r>
        <w:rPr>
          <w:b/>
          <w:color w:val="000000"/>
          <w:spacing w:val="-5"/>
          <w:sz w:val="20"/>
          <w:highlight w:val="yellow"/>
          <w:u w:val="single"/>
        </w:rPr>
        <w:t>2:</w:t>
      </w:r>
    </w:p>
    <w:p w:rsidR="002C178A" w:rsidRDefault="00135FCD">
      <w:pPr>
        <w:pStyle w:val="BodyText"/>
        <w:spacing w:before="2"/>
        <w:rPr>
          <w:b/>
          <w:sz w:val="18"/>
        </w:rPr>
      </w:pPr>
      <w:r>
        <w:rPr>
          <w:b/>
          <w:noProof/>
          <w:sz w:val="18"/>
        </w:rPr>
        <mc:AlternateContent>
          <mc:Choice Requires="wps">
            <w:drawing>
              <wp:anchor distT="0" distB="0" distL="0" distR="0" simplePos="0" relativeHeight="251661312" behindDoc="1" locked="0" layoutInCell="1" allowOverlap="1">
                <wp:simplePos x="0" y="0"/>
                <wp:positionH relativeFrom="page">
                  <wp:posOffset>836295</wp:posOffset>
                </wp:positionH>
                <wp:positionV relativeFrom="paragraph">
                  <wp:posOffset>147320</wp:posOffset>
                </wp:positionV>
                <wp:extent cx="13441680" cy="6350"/>
                <wp:effectExtent l="0" t="0" r="0" b="0"/>
                <wp:wrapTopAndBottom/>
                <wp:docPr id="6" name="Graphic 6"/>
                <wp:cNvGraphicFramePr/>
                <a:graphic xmlns:a="http://schemas.openxmlformats.org/drawingml/2006/main">
                  <a:graphicData uri="http://schemas.microsoft.com/office/word/2010/wordprocessingShape">
                    <wps:wsp>
                      <wps:cNvSpPr/>
                      <wps:spPr>
                        <a:xfrm>
                          <a:off x="0" y="0"/>
                          <a:ext cx="13441680" cy="6350"/>
                        </a:xfrm>
                        <a:custGeom>
                          <a:avLst/>
                          <a:gdLst/>
                          <a:ahLst/>
                          <a:cxnLst/>
                          <a:rect l="l" t="t" r="r" b="b"/>
                          <a:pathLst>
                            <a:path w="13441680" h="6350">
                              <a:moveTo>
                                <a:pt x="13441680" y="0"/>
                              </a:moveTo>
                              <a:lnTo>
                                <a:pt x="0" y="0"/>
                              </a:lnTo>
                              <a:lnTo>
                                <a:pt x="0" y="6095"/>
                              </a:lnTo>
                              <a:lnTo>
                                <a:pt x="13441680" y="6095"/>
                              </a:lnTo>
                              <a:lnTo>
                                <a:pt x="13441680" y="0"/>
                              </a:lnTo>
                              <a:close/>
                            </a:path>
                          </a:pathLst>
                        </a:custGeom>
                        <a:solidFill>
                          <a:srgbClr val="000000"/>
                        </a:solidFill>
                      </wps:spPr>
                      <wps:bodyPr wrap="square" lIns="0" tIns="0" rIns="0" bIns="0" rtlCol="0">
                        <a:noAutofit/>
                      </wps:bodyPr>
                    </wps:wsp>
                  </a:graphicData>
                </a:graphic>
              </wp:anchor>
            </w:drawing>
          </mc:Choice>
          <mc:Fallback>
            <w:pict>
              <v:shape w14:anchorId="6118B6DC" id="Graphic 6" o:spid="_x0000_s1026" style="position:absolute;margin-left:65.85pt;margin-top:11.6pt;width:1058.4pt;height:.5pt;z-index:-251655168;visibility:visible;mso-wrap-style:square;mso-wrap-distance-left:0;mso-wrap-distance-top:0;mso-wrap-distance-right:0;mso-wrap-distance-bottom:0;mso-position-horizontal:absolute;mso-position-horizontal-relative:page;mso-position-vertical:absolute;mso-position-vertical-relative:text;v-text-anchor:top" coordsize="134416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" path="m13441680,l,,,6095r13441680,l13441680,xe" fillcolor="black" stroked="f">
                <v:path arrowok="t"/>
                <w10:wrap type="topAndBottom" anchorx="page"/>
              </v:shape>
            </w:pict>
          </mc:Fallback>
        </mc:AlternateContent>
      </w: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582"/>
        <w:gridCol w:w="9143"/>
        <w:gridCol w:w="5430"/>
      </w:tblGrid>
      <w:tr w:rsidR="002C178A">
        <w:trPr>
          <w:trHeight w:val="935"/>
        </w:trPr>
        <w:tc>
          <w:tcPr>
            <w:tcW w:w="6582" w:type="dxa"/>
          </w:tcPr>
          <w:p w:rsidR="002C178A" w:rsidRDefault="002C178A">
            <w:pPr>
              <w:pStyle w:val="TableParagraph"/>
              <w:rPr>
                <w:sz w:val="18"/>
              </w:rPr>
            </w:pPr>
          </w:p>
        </w:tc>
        <w:tc>
          <w:tcPr>
            <w:tcW w:w="9143" w:type="dxa"/>
          </w:tcPr>
          <w:p w:rsidR="002C178A" w:rsidRDefault="00135FCD">
            <w:pPr>
              <w:pStyle w:val="TableParagraph"/>
              <w:spacing w:line="228" w:lineRule="exact"/>
              <w:ind w:left="107"/>
              <w:rPr>
                <w:b/>
                <w:sz w:val="20"/>
              </w:rPr>
            </w:pPr>
            <w:r>
              <w:rPr>
                <w:b/>
                <w:sz w:val="20"/>
              </w:rPr>
              <w:t>Reviewer’s</w:t>
            </w:r>
            <w:r>
              <w:rPr>
                <w:b/>
                <w:spacing w:val="-10"/>
                <w:sz w:val="20"/>
              </w:rPr>
              <w:t xml:space="preserve"> </w:t>
            </w:r>
            <w:r>
              <w:rPr>
                <w:b/>
                <w:spacing w:val="-2"/>
                <w:sz w:val="20"/>
              </w:rPr>
              <w:t>comment</w:t>
            </w:r>
          </w:p>
        </w:tc>
        <w:tc>
          <w:tcPr>
            <w:tcW w:w="5430" w:type="dxa"/>
          </w:tcPr>
          <w:p w:rsidR="002C178A" w:rsidRDefault="00135FCD">
            <w:pPr>
              <w:pStyle w:val="TableParagraph"/>
              <w:spacing w:line="254" w:lineRule="auto"/>
              <w:ind w:left="3" w:right="422"/>
              <w:rPr>
                <w:sz w:val="20"/>
              </w:rPr>
            </w:pPr>
            <w:r>
              <w:rPr>
                <w:b/>
                <w:sz w:val="20"/>
              </w:rPr>
              <w:t>Author’s</w:t>
            </w:r>
            <w:r>
              <w:rPr>
                <w:b/>
                <w:spacing w:val="-7"/>
                <w:sz w:val="20"/>
              </w:rPr>
              <w:t xml:space="preserve"> </w:t>
            </w:r>
            <w:r>
              <w:rPr>
                <w:b/>
                <w:sz w:val="20"/>
              </w:rPr>
              <w:t>Feedback</w:t>
            </w:r>
            <w:r>
              <w:rPr>
                <w:b/>
                <w:spacing w:val="-7"/>
                <w:sz w:val="20"/>
              </w:rPr>
              <w:t xml:space="preserve"> </w:t>
            </w:r>
            <w:r>
              <w:rPr>
                <w:sz w:val="20"/>
              </w:rPr>
              <w:t>(It</w:t>
            </w:r>
            <w:r>
              <w:rPr>
                <w:spacing w:val="-7"/>
                <w:sz w:val="20"/>
              </w:rPr>
              <w:t xml:space="preserve"> </w:t>
            </w:r>
            <w:r>
              <w:rPr>
                <w:sz w:val="20"/>
              </w:rPr>
              <w:t>is</w:t>
            </w:r>
            <w:r>
              <w:rPr>
                <w:spacing w:val="-4"/>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3"/>
                <w:sz w:val="20"/>
              </w:rPr>
              <w:t xml:space="preserve"> </w:t>
            </w:r>
            <w:r>
              <w:rPr>
                <w:sz w:val="20"/>
              </w:rPr>
              <w:t>write his/her feedback here)</w:t>
            </w:r>
          </w:p>
        </w:tc>
      </w:tr>
      <w:tr w:rsidR="002C178A">
        <w:trPr>
          <w:trHeight w:val="1149"/>
        </w:trPr>
        <w:tc>
          <w:tcPr>
            <w:tcW w:w="6582" w:type="dxa"/>
          </w:tcPr>
          <w:p w:rsidR="002C178A" w:rsidRDefault="002C178A">
            <w:pPr>
              <w:pStyle w:val="TableParagraph"/>
              <w:spacing w:before="113"/>
              <w:rPr>
                <w:b/>
                <w:sz w:val="20"/>
              </w:rPr>
            </w:pPr>
          </w:p>
          <w:p w:rsidR="002C178A" w:rsidRDefault="00135FCD">
            <w:pPr>
              <w:pStyle w:val="TableParagraph"/>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tc>
        <w:tc>
          <w:tcPr>
            <w:tcW w:w="9143" w:type="dxa"/>
          </w:tcPr>
          <w:p w:rsidR="002C178A" w:rsidRDefault="00135FCD">
            <w:pPr>
              <w:pStyle w:val="TableParagraph"/>
              <w:spacing w:line="223" w:lineRule="exact"/>
              <w:ind w:left="107"/>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2"/>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1"/>
                <w:sz w:val="20"/>
                <w:u w:val="single"/>
              </w:rPr>
              <w:t xml:space="preserve"> </w:t>
            </w:r>
            <w:r>
              <w:rPr>
                <w:i/>
                <w:spacing w:val="-2"/>
                <w:sz w:val="20"/>
                <w:u w:val="single"/>
              </w:rPr>
              <w:t>detail)</w:t>
            </w:r>
          </w:p>
          <w:p w:rsidR="002C178A" w:rsidRDefault="00135FCD">
            <w:pPr>
              <w:pStyle w:val="TableParagraph"/>
              <w:ind w:left="107"/>
              <w:rPr>
                <w:i/>
                <w:sz w:val="20"/>
              </w:rPr>
            </w:pPr>
            <w:r>
              <w:rPr>
                <w:i/>
                <w:sz w:val="20"/>
                <w:u w:val="single"/>
              </w:rPr>
              <w:t>According</w:t>
            </w:r>
            <w:r>
              <w:rPr>
                <w:i/>
                <w:spacing w:val="-2"/>
                <w:sz w:val="20"/>
                <w:u w:val="single"/>
              </w:rPr>
              <w:t xml:space="preserve"> </w:t>
            </w:r>
            <w:r>
              <w:rPr>
                <w:i/>
                <w:sz w:val="20"/>
                <w:u w:val="single"/>
              </w:rPr>
              <w:t>to</w:t>
            </w:r>
            <w:r>
              <w:rPr>
                <w:i/>
                <w:spacing w:val="-2"/>
                <w:sz w:val="20"/>
                <w:u w:val="single"/>
              </w:rPr>
              <w:t xml:space="preserve"> </w:t>
            </w:r>
            <w:r>
              <w:rPr>
                <w:i/>
                <w:sz w:val="20"/>
                <w:u w:val="single"/>
              </w:rPr>
              <w:t>the</w:t>
            </w:r>
            <w:r>
              <w:rPr>
                <w:i/>
                <w:spacing w:val="-3"/>
                <w:sz w:val="20"/>
                <w:u w:val="single"/>
              </w:rPr>
              <w:t xml:space="preserve"> </w:t>
            </w:r>
            <w:r>
              <w:rPr>
                <w:i/>
                <w:sz w:val="20"/>
                <w:u w:val="single"/>
              </w:rPr>
              <w:t>information</w:t>
            </w:r>
            <w:r>
              <w:rPr>
                <w:i/>
                <w:spacing w:val="-4"/>
                <w:sz w:val="20"/>
                <w:u w:val="single"/>
              </w:rPr>
              <w:t xml:space="preserve"> </w:t>
            </w:r>
            <w:r>
              <w:rPr>
                <w:i/>
                <w:sz w:val="20"/>
                <w:u w:val="single"/>
              </w:rPr>
              <w:t>given</w:t>
            </w:r>
            <w:r>
              <w:rPr>
                <w:i/>
                <w:spacing w:val="-2"/>
                <w:sz w:val="20"/>
                <w:u w:val="single"/>
              </w:rPr>
              <w:t xml:space="preserve"> </w:t>
            </w:r>
            <w:r>
              <w:rPr>
                <w:i/>
                <w:sz w:val="20"/>
                <w:u w:val="single"/>
              </w:rPr>
              <w:t>in</w:t>
            </w:r>
            <w:r>
              <w:rPr>
                <w:i/>
                <w:spacing w:val="-2"/>
                <w:sz w:val="20"/>
                <w:u w:val="single"/>
              </w:rPr>
              <w:t xml:space="preserve"> </w:t>
            </w:r>
            <w:r>
              <w:rPr>
                <w:i/>
                <w:sz w:val="20"/>
                <w:u w:val="single"/>
              </w:rPr>
              <w:t>this</w:t>
            </w:r>
            <w:r>
              <w:rPr>
                <w:i/>
                <w:spacing w:val="-4"/>
                <w:sz w:val="20"/>
                <w:u w:val="single"/>
              </w:rPr>
              <w:t xml:space="preserve"> </w:t>
            </w:r>
            <w:r>
              <w:rPr>
                <w:i/>
                <w:sz w:val="20"/>
                <w:u w:val="single"/>
              </w:rPr>
              <w:t>manuscript,</w:t>
            </w:r>
            <w:r>
              <w:rPr>
                <w:i/>
                <w:spacing w:val="-3"/>
                <w:sz w:val="20"/>
                <w:u w:val="single"/>
              </w:rPr>
              <w:t xml:space="preserve"> </w:t>
            </w:r>
            <w:r>
              <w:rPr>
                <w:i/>
                <w:sz w:val="20"/>
                <w:u w:val="single"/>
              </w:rPr>
              <w:t>there</w:t>
            </w:r>
            <w:r>
              <w:rPr>
                <w:i/>
                <w:spacing w:val="-3"/>
                <w:sz w:val="20"/>
                <w:u w:val="single"/>
              </w:rPr>
              <w:t xml:space="preserve"> </w:t>
            </w:r>
            <w:r>
              <w:rPr>
                <w:i/>
                <w:sz w:val="20"/>
                <w:u w:val="single"/>
              </w:rPr>
              <w:t>are</w:t>
            </w:r>
            <w:r>
              <w:rPr>
                <w:i/>
                <w:spacing w:val="-3"/>
                <w:sz w:val="20"/>
                <w:u w:val="single"/>
              </w:rPr>
              <w:t xml:space="preserve"> </w:t>
            </w:r>
            <w:r>
              <w:rPr>
                <w:i/>
                <w:sz w:val="20"/>
                <w:u w:val="single"/>
              </w:rPr>
              <w:t>no</w:t>
            </w:r>
            <w:r>
              <w:rPr>
                <w:i/>
                <w:spacing w:val="-2"/>
                <w:sz w:val="20"/>
                <w:u w:val="single"/>
              </w:rPr>
              <w:t xml:space="preserve"> </w:t>
            </w:r>
            <w:r>
              <w:rPr>
                <w:i/>
                <w:sz w:val="20"/>
                <w:u w:val="single"/>
              </w:rPr>
              <w:t>major</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4"/>
                <w:sz w:val="20"/>
                <w:u w:val="single"/>
              </w:rPr>
              <w:t xml:space="preserve"> </w:t>
            </w:r>
            <w:r>
              <w:rPr>
                <w:i/>
                <w:sz w:val="20"/>
                <w:u w:val="single"/>
              </w:rPr>
              <w:t>and</w:t>
            </w:r>
            <w:r>
              <w:rPr>
                <w:i/>
                <w:spacing w:val="-2"/>
                <w:sz w:val="20"/>
                <w:u w:val="single"/>
              </w:rPr>
              <w:t xml:space="preserve"> </w:t>
            </w:r>
            <w:r>
              <w:rPr>
                <w:i/>
                <w:sz w:val="20"/>
                <w:u w:val="single"/>
              </w:rPr>
              <w:t>the</w:t>
            </w:r>
            <w:r>
              <w:rPr>
                <w:i/>
                <w:spacing w:val="-3"/>
                <w:sz w:val="20"/>
                <w:u w:val="single"/>
              </w:rPr>
              <w:t xml:space="preserve"> </w:t>
            </w:r>
            <w:r>
              <w:rPr>
                <w:i/>
                <w:sz w:val="20"/>
                <w:u w:val="single"/>
              </w:rPr>
              <w:t>study</w:t>
            </w:r>
            <w:r>
              <w:rPr>
                <w:i/>
                <w:spacing w:val="-3"/>
                <w:sz w:val="20"/>
                <w:u w:val="single"/>
              </w:rPr>
              <w:t xml:space="preserve"> </w:t>
            </w:r>
            <w:r>
              <w:rPr>
                <w:i/>
                <w:sz w:val="20"/>
                <w:u w:val="single"/>
              </w:rPr>
              <w:t>seems</w:t>
            </w:r>
            <w:r>
              <w:rPr>
                <w:i/>
                <w:spacing w:val="-4"/>
                <w:sz w:val="20"/>
                <w:u w:val="single"/>
              </w:rPr>
              <w:t xml:space="preserve"> </w:t>
            </w:r>
            <w:r>
              <w:rPr>
                <w:i/>
                <w:sz w:val="20"/>
                <w:u w:val="single"/>
              </w:rPr>
              <w:t>to</w:t>
            </w:r>
            <w:r>
              <w:rPr>
                <w:i/>
                <w:sz w:val="20"/>
              </w:rPr>
              <w:t xml:space="preserve"> </w:t>
            </w:r>
            <w:r>
              <w:rPr>
                <w:i/>
                <w:sz w:val="20"/>
                <w:u w:val="single"/>
              </w:rPr>
              <w:t>have been performed with standard ethical safeguards in place.</w:t>
            </w:r>
          </w:p>
        </w:tc>
        <w:tc>
          <w:tcPr>
            <w:tcW w:w="5430" w:type="dxa"/>
          </w:tcPr>
          <w:p w:rsidR="002C178A" w:rsidRDefault="00135FCD">
            <w:pPr>
              <w:pStyle w:val="TableParagraph"/>
              <w:rPr>
                <w:color w:val="548DD4" w:themeColor="text2" w:themeTint="99"/>
                <w:sz w:val="18"/>
              </w:rPr>
            </w:pPr>
            <w:r>
              <w:rPr>
                <w:color w:val="548DD4" w:themeColor="text2" w:themeTint="99"/>
                <w:sz w:val="18"/>
                <w:lang w:eastAsia="zh-CN"/>
              </w:rPr>
              <w:t xml:space="preserve">Thank you for this comment. We appreciate the reviewer’s recognition that the study appears to have been conducted with appropriate ethical safeguards. In the </w:t>
            </w:r>
            <w:r>
              <w:rPr>
                <w:color w:val="548DD4" w:themeColor="text2" w:themeTint="99"/>
                <w:sz w:val="18"/>
                <w:lang w:eastAsia="zh-CN"/>
              </w:rPr>
              <w:t>revised manuscript, we have retained the existing ethics statements and have re-checked them for completeness and consistency to ensure compliance with journal requirements.</w:t>
            </w:r>
          </w:p>
          <w:p w:rsidR="002C178A" w:rsidRDefault="002C178A">
            <w:pPr>
              <w:pStyle w:val="TableParagraph"/>
              <w:rPr>
                <w:sz w:val="18"/>
              </w:rPr>
            </w:pPr>
          </w:p>
        </w:tc>
      </w:tr>
    </w:tbl>
    <w:p w:rsidR="002C178A" w:rsidRDefault="002C178A"/>
    <w:sectPr w:rsidR="002C178A">
      <w:headerReference w:type="default" r:id="rId8"/>
      <w:footerReference w:type="default" r:id="rId9"/>
      <w:pgSz w:w="23820" w:h="16840" w:orient="landscape"/>
      <w:pgMar w:top="182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5FCD" w:rsidRDefault="00135FCD">
      <w:r>
        <w:separator/>
      </w:r>
    </w:p>
  </w:endnote>
  <w:endnote w:type="continuationSeparator" w:id="0">
    <w:p w:rsidR="00135FCD" w:rsidRDefault="00135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78A" w:rsidRDefault="00135FCD">
    <w:pPr>
      <w:pStyle w:val="BodyText"/>
      <w:spacing w:line="14" w:lineRule="auto"/>
    </w:pPr>
    <w:r>
      <w:rPr>
        <w:noProof/>
      </w:rPr>
      <mc:AlternateContent>
        <mc:Choice Requires="wps">
          <w:drawing>
            <wp:anchor distT="0" distB="0" distL="0" distR="0" simplePos="0" relativeHeight="251660288" behindDoc="1" locked="0" layoutInCell="1" allowOverlap="1">
              <wp:simplePos x="0" y="0"/>
              <wp:positionH relativeFrom="page">
                <wp:posOffset>901700</wp:posOffset>
              </wp:positionH>
              <wp:positionV relativeFrom="page">
                <wp:posOffset>10108565</wp:posOffset>
              </wp:positionV>
              <wp:extent cx="661670" cy="139065"/>
              <wp:effectExtent l="0" t="0" r="0" b="0"/>
              <wp:wrapNone/>
              <wp:docPr id="2" name="Textbox 2"/>
              <wp:cNvGraphicFramePr/>
              <a:graphic xmlns:a="http://schemas.openxmlformats.org/drawingml/2006/main">
                <a:graphicData uri="http://schemas.microsoft.com/office/word/2010/wordprocessingShape">
                  <wps:wsp>
                    <wps:cNvSpPr txBox="1"/>
                    <wps:spPr>
                      <a:xfrm>
                        <a:off x="0" y="0"/>
                        <a:ext cx="661670" cy="139065"/>
                      </a:xfrm>
                      <a:prstGeom prst="rect">
                        <a:avLst/>
                      </a:prstGeom>
                    </wps:spPr>
                    <wps:txbx>
                      <w:txbxContent>
                        <w:p w:rsidR="002C178A" w:rsidRDefault="00135FCD">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" filled="f" stroked="f">
              <v:textbox inset="0,0,0,0">
                <w:txbxContent>
                  <w:p w:rsidR="002C178A" w:rsidRDefault="00135FCD">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noProof/>
      </w:rPr>
      <mc:AlternateContent>
        <mc:Choice Requires="wps">
          <w:drawing>
            <wp:anchor distT="0" distB="0" distL="0" distR="0" simplePos="0" relativeHeight="251661312" behindDoc="1" locked="0" layoutInCell="1" allowOverlap="1">
              <wp:simplePos x="0" y="0"/>
              <wp:positionH relativeFrom="page">
                <wp:posOffset>2640330</wp:posOffset>
              </wp:positionH>
              <wp:positionV relativeFrom="page">
                <wp:posOffset>10108565</wp:posOffset>
              </wp:positionV>
              <wp:extent cx="707390" cy="139065"/>
              <wp:effectExtent l="0" t="0" r="0" b="0"/>
              <wp:wrapNone/>
              <wp:docPr id="3" name="Textbox 3"/>
              <wp:cNvGraphicFramePr/>
              <a:graphic xmlns:a="http://schemas.openxmlformats.org/drawingml/2006/main">
                <a:graphicData uri="http://schemas.microsoft.com/office/word/2010/wordprocessingShape">
                  <wps:wsp>
                    <wps:cNvSpPr txBox="1"/>
                    <wps:spPr>
                      <a:xfrm>
                        <a:off x="0" y="0"/>
                        <a:ext cx="707390" cy="139065"/>
                      </a:xfrm>
                      <a:prstGeom prst="rect">
                        <a:avLst/>
                      </a:prstGeom>
                    </wps:spPr>
                    <wps:txbx>
                      <w:txbxContent>
                        <w:p w:rsidR="002C178A" w:rsidRDefault="00135FCD">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5.95pt;width:55.7pt;height:10.9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" filled="f" stroked="f">
              <v:textbox inset="0,0,0,0">
                <w:txbxContent>
                  <w:p w:rsidR="002C178A" w:rsidRDefault="00135FCD">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noProof/>
      </w:rPr>
      <mc:AlternateContent>
        <mc:Choice Requires="wps">
          <w:drawing>
            <wp:anchor distT="0" distB="0" distL="0" distR="0" simplePos="0" relativeHeight="251662336" behindDoc="1" locked="0" layoutInCell="1" allowOverlap="1">
              <wp:simplePos x="0" y="0"/>
              <wp:positionH relativeFrom="page">
                <wp:posOffset>4415790</wp:posOffset>
              </wp:positionH>
              <wp:positionV relativeFrom="page">
                <wp:posOffset>10108565</wp:posOffset>
              </wp:positionV>
              <wp:extent cx="861060" cy="139065"/>
              <wp:effectExtent l="0" t="0" r="0" b="0"/>
              <wp:wrapNone/>
              <wp:docPr id="4" name="Textbox 4"/>
              <wp:cNvGraphicFramePr/>
              <a:graphic xmlns:a="http://schemas.openxmlformats.org/drawingml/2006/main">
                <a:graphicData uri="http://schemas.microsoft.com/office/word/2010/wordprocessingShape">
                  <wps:wsp>
                    <wps:cNvSpPr txBox="1"/>
                    <wps:spPr>
                      <a:xfrm>
                        <a:off x="0" y="0"/>
                        <a:ext cx="861060" cy="139065"/>
                      </a:xfrm>
                      <a:prstGeom prst="rect">
                        <a:avLst/>
                      </a:prstGeom>
                    </wps:spPr>
                    <wps:txbx>
                      <w:txbxContent>
                        <w:p w:rsidR="002C178A" w:rsidRDefault="00135FCD">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pt;margin-top:795.95pt;width:67.8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" filled="f" stroked="f">
              <v:textbox inset="0,0,0,0">
                <w:txbxContent>
                  <w:p w:rsidR="002C178A" w:rsidRDefault="00135FCD">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noProof/>
      </w:rPr>
      <mc:AlternateContent>
        <mc:Choice Requires="wps">
          <w:drawing>
            <wp:anchor distT="0" distB="0" distL="0" distR="0" simplePos="0" relativeHeight="251663360" behindDoc="1" locked="0" layoutInCell="1" allowOverlap="1">
              <wp:simplePos x="0" y="0"/>
              <wp:positionH relativeFrom="page">
                <wp:posOffset>6845300</wp:posOffset>
              </wp:positionH>
              <wp:positionV relativeFrom="page">
                <wp:posOffset>10108565</wp:posOffset>
              </wp:positionV>
              <wp:extent cx="1021715" cy="139065"/>
              <wp:effectExtent l="0" t="0" r="0" b="0"/>
              <wp:wrapNone/>
              <wp:docPr id="5" name="Textbox 5"/>
              <wp:cNvGraphicFramePr/>
              <a:graphic xmlns:a="http://schemas.openxmlformats.org/drawingml/2006/main">
                <a:graphicData uri="http://schemas.microsoft.com/office/word/2010/wordprocessingShape">
                  <wps:wsp>
                    <wps:cNvSpPr txBox="1"/>
                    <wps:spPr>
                      <a:xfrm>
                        <a:off x="0" y="0"/>
                        <a:ext cx="1021715" cy="139065"/>
                      </a:xfrm>
                      <a:prstGeom prst="rect">
                        <a:avLst/>
                      </a:prstGeom>
                    </wps:spPr>
                    <wps:txbx>
                      <w:txbxContent>
                        <w:p w:rsidR="002C178A" w:rsidRDefault="00135FCD">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5.95pt;width:80.45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" filled="f" stroked="f">
              <v:textbox inset="0,0,0,0">
                <w:txbxContent>
                  <w:p w:rsidR="002C178A" w:rsidRDefault="00135FCD">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5FCD" w:rsidRDefault="00135FCD">
      <w:r>
        <w:separator/>
      </w:r>
    </w:p>
  </w:footnote>
  <w:footnote w:type="continuationSeparator" w:id="0">
    <w:p w:rsidR="00135FCD" w:rsidRDefault="00135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178A" w:rsidRDefault="00135FCD">
    <w:pPr>
      <w:pStyle w:val="BodyText"/>
      <w:spacing w:line="14" w:lineRule="auto"/>
    </w:pPr>
    <w:r>
      <w:rPr>
        <w:noProof/>
      </w:rPr>
      <mc:AlternateContent>
        <mc:Choice Requires="wps">
          <w:drawing>
            <wp:anchor distT="0" distB="0" distL="0" distR="0" simplePos="0" relativeHeight="251659264" behindDoc="1" locked="0" layoutInCell="1" allowOverlap="1">
              <wp:simplePos x="0" y="0"/>
              <wp:positionH relativeFrom="page">
                <wp:posOffset>901700</wp:posOffset>
              </wp:positionH>
              <wp:positionV relativeFrom="page">
                <wp:posOffset>800100</wp:posOffset>
              </wp:positionV>
              <wp:extent cx="1102995"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2995" cy="196215"/>
                      </a:xfrm>
                      <a:prstGeom prst="rect">
                        <a:avLst/>
                      </a:prstGeom>
                    </wps:spPr>
                    <wps:txbx>
                      <w:txbxContent>
                        <w:p w:rsidR="002C178A" w:rsidRDefault="00135FCD">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" filled="f" stroked="f">
              <v:textbox inset="0,0,0,0">
                <w:txbxContent>
                  <w:p w:rsidR="002C178A" w:rsidRDefault="00135FCD">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useWord2013TrackBottomHyphenation" w:uri="http://schemas.microsoft.com/office/word" w:val="1"/>
  </w:compat>
  <w:rsids>
    <w:rsidRoot w:val="002C178A"/>
    <w:rsid w:val="F79BCBB5"/>
    <w:rsid w:val="FFFFC683"/>
    <w:rsid w:val="00135FCD"/>
    <w:rsid w:val="002731D0"/>
    <w:rsid w:val="002C178A"/>
    <w:rsid w:val="004550C1"/>
    <w:rsid w:val="6FE73633"/>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4054B962-423D-49B3-BFC2-CA4CE87D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pPr>
    <w:rPr>
      <w:rFonts w:eastAsia="Times New Roman"/>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rPr>
      <w:color w:val="0000FF"/>
      <w:u w:val="single"/>
    </w:rPr>
  </w:style>
  <w:style w:type="paragraph" w:styleId="NormalWeb">
    <w:name w:val="Normal (Web)"/>
    <w:uiPriority w:val="99"/>
    <w:semiHidden/>
    <w:unhideWhenUsed/>
    <w:pPr>
      <w:spacing w:beforeAutospacing="1" w:afterAutospacing="1"/>
    </w:pPr>
    <w:rPr>
      <w:sz w:val="24"/>
      <w:szCs w:val="24"/>
      <w:lang w:val="en-US" w:eastAsia="zh-CN"/>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mrji.com/index.php/MRJ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1050</Words>
  <Characters>5989</Characters>
  <Application>Microsoft Office Word</Application>
  <DocSecurity>0</DocSecurity>
  <Lines>49</Lines>
  <Paragraphs>14</Paragraphs>
  <ScaleCrop>false</ScaleCrop>
  <Company/>
  <LinksUpToDate>false</LinksUpToDate>
  <CharactersWithSpaces>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6</cp:revision>
  <dcterms:created xsi:type="dcterms:W3CDTF">2025-12-24T07:45:00Z</dcterms:created>
  <dcterms:modified xsi:type="dcterms:W3CDTF">2025-12-30T07:39:00Z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2025-12-23T00:00:00Z</vt:filetime>
  </property>
  <property fmtid="{D5CDD505-2E9C-101B-9397-08002B2CF9AE}" pid="3" name="Creator">
    <vt:lpwstr>Microsoft® Word 2016</vt:lpwstr>
  </property>
  <property fmtid="{D5CDD505-2E9C-101B-9397-08002B2CF9AE}" pid="4" name="LastSaved">
    <vt:filetime>2025-12-24T00:00:00Z</vt:filetime>
  </property>
  <property fmtid="{D5CDD505-2E9C-101B-9397-08002B2CF9AE}" pid="5" name="Producer">
    <vt:lpwstr>Microsoft® Word 2016</vt:lpwstr>
  </property>
  <property fmtid="{D5CDD505-2E9C-101B-9397-08002B2CF9AE}" pid="6" name="KSOProductBuildVer">
    <vt:lpwstr>1033-12.1.24031.24031</vt:lpwstr>
  </property>
  <property fmtid="{D5CDD505-2E9C-101B-9397-08002B2CF9AE}" pid="7" name="ICV">
    <vt:lpwstr>B098CDFE39EA38D4A6675269385BFAC9_42</vt:lpwstr>
  </property>
</Properties>
</file>