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D7E23" w:rsidRDefault="00FD7E2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D7E23">
        <w:trPr>
          <w:trHeight w:val="290"/>
        </w:trPr>
        <w:tc>
          <w:tcPr>
            <w:tcW w:w="20934" w:type="dxa"/>
            <w:gridSpan w:val="2"/>
            <w:tcBorders>
              <w:top w:val="nil"/>
              <w:left w:val="nil"/>
              <w:right w:val="nil"/>
            </w:tcBorders>
          </w:tcPr>
          <w:p w:rsidR="00FD7E23" w:rsidRDefault="00FD7E23">
            <w:pPr>
              <w:pStyle w:val="Heading2"/>
              <w:jc w:val="left"/>
              <w:rPr>
                <w:rFonts w:ascii="Arial" w:eastAsia="Arial" w:hAnsi="Arial" w:cs="Arial"/>
                <w:b w:val="0"/>
                <w:bCs w:val="0"/>
                <w:sz w:val="28"/>
                <w:szCs w:val="28"/>
              </w:rPr>
            </w:pPr>
          </w:p>
        </w:tc>
      </w:tr>
      <w:tr w:rsidR="00FD7E23">
        <w:trPr>
          <w:trHeight w:val="290"/>
        </w:trPr>
        <w:tc>
          <w:tcPr>
            <w:tcW w:w="5167" w:type="dxa"/>
          </w:tcPr>
          <w:p w:rsidR="00FD7E23" w:rsidRDefault="00856D1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FD7E23" w:rsidRDefault="00856D1E">
            <w:pPr>
              <w:rPr>
                <w:rFonts w:ascii="Arial" w:eastAsia="Arial" w:hAnsi="Arial" w:cs="Arial"/>
                <w:color w:val="0000FF"/>
                <w:sz w:val="20"/>
                <w:szCs w:val="20"/>
              </w:rPr>
            </w:pPr>
            <w:hyperlink r:id="rId8">
              <w:r>
                <w:rPr>
                  <w:rFonts w:ascii="Arial" w:eastAsia="Arial" w:hAnsi="Arial" w:cs="Arial"/>
                  <w:b/>
                  <w:bCs/>
                  <w:color w:val="0000FF"/>
                  <w:sz w:val="20"/>
                  <w:szCs w:val="20"/>
                  <w:u w:val="single"/>
                </w:rPr>
                <w:t>Journal of Geography, Environment and Earth Science International</w:t>
              </w:r>
            </w:hyperlink>
            <w:r>
              <w:rPr>
                <w:rFonts w:ascii="Arial" w:eastAsia="Arial" w:hAnsi="Arial" w:cs="Arial"/>
                <w:b/>
                <w:bCs/>
                <w:color w:val="0000FF"/>
                <w:sz w:val="20"/>
                <w:szCs w:val="20"/>
              </w:rPr>
              <w:t xml:space="preserve"> </w:t>
            </w:r>
          </w:p>
        </w:tc>
      </w:tr>
      <w:tr w:rsidR="00FD7E23">
        <w:trPr>
          <w:trHeight w:val="290"/>
        </w:trPr>
        <w:tc>
          <w:tcPr>
            <w:tcW w:w="5167" w:type="dxa"/>
          </w:tcPr>
          <w:p w:rsidR="00FD7E23" w:rsidRDefault="00856D1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FD7E23" w:rsidRDefault="00856D1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Ms_JGEESI_150449</w:t>
            </w:r>
          </w:p>
        </w:tc>
      </w:tr>
      <w:tr w:rsidR="00FD7E23">
        <w:trPr>
          <w:trHeight w:val="650"/>
        </w:trPr>
        <w:tc>
          <w:tcPr>
            <w:tcW w:w="5167" w:type="dxa"/>
          </w:tcPr>
          <w:p w:rsidR="00FD7E23" w:rsidRDefault="00856D1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FD7E23" w:rsidRDefault="00856D1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Influence of Topographic Elements on Land Surface Temperature: A Case Study Using Remote Sensing and GIS</w:t>
            </w:r>
          </w:p>
        </w:tc>
      </w:tr>
      <w:tr w:rsidR="00FD7E23">
        <w:trPr>
          <w:trHeight w:val="332"/>
        </w:trPr>
        <w:tc>
          <w:tcPr>
            <w:tcW w:w="5167" w:type="dxa"/>
          </w:tcPr>
          <w:p w:rsidR="00FD7E23" w:rsidRDefault="00856D1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FD7E23" w:rsidRDefault="00856D1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FD7E23" w:rsidRDefault="00FD7E23">
      <w:pPr>
        <w:rPr>
          <w:sz w:val="20"/>
          <w:szCs w:val="20"/>
        </w:rPr>
      </w:pPr>
      <w:bookmarkStart w:id="0" w:name="_heading=h.tmh0xrss779h"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D7E23">
        <w:tc>
          <w:tcPr>
            <w:tcW w:w="21150" w:type="dxa"/>
            <w:gridSpan w:val="3"/>
            <w:tcBorders>
              <w:top w:val="nil"/>
              <w:left w:val="nil"/>
              <w:right w:val="nil"/>
            </w:tcBorders>
          </w:tcPr>
          <w:p w:rsidR="00FD7E23" w:rsidRDefault="00856D1E">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FD7E23" w:rsidRDefault="00FD7E23">
            <w:pPr>
              <w:rPr>
                <w:sz w:val="20"/>
                <w:szCs w:val="20"/>
              </w:rPr>
            </w:pPr>
          </w:p>
        </w:tc>
      </w:tr>
      <w:tr w:rsidR="00FD7E23">
        <w:tc>
          <w:tcPr>
            <w:tcW w:w="5351" w:type="dxa"/>
          </w:tcPr>
          <w:p w:rsidR="00FD7E23" w:rsidRDefault="00FD7E23">
            <w:pPr>
              <w:pStyle w:val="Heading2"/>
              <w:jc w:val="left"/>
              <w:rPr>
                <w:rFonts w:ascii="Times New Roman" w:eastAsia="Times New Roman" w:hAnsi="Times New Roman" w:cs="Times New Roman"/>
              </w:rPr>
            </w:pPr>
          </w:p>
        </w:tc>
        <w:tc>
          <w:tcPr>
            <w:tcW w:w="9357" w:type="dxa"/>
          </w:tcPr>
          <w:p w:rsidR="00FD7E23" w:rsidRDefault="00856D1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FD7E23" w:rsidRDefault="00856D1E">
            <w:pPr>
              <w:rPr>
                <w:sz w:val="20"/>
                <w:szCs w:val="20"/>
              </w:rPr>
            </w:pPr>
            <w:r>
              <w:rPr>
                <w:b/>
                <w:bCs/>
                <w:sz w:val="20"/>
                <w:szCs w:val="20"/>
                <w:highlight w:val="yellow"/>
              </w:rPr>
              <w:t>Artificial Intelligence (AI) generated or assisted review comments are strictly prohibited during peer review.</w:t>
            </w:r>
          </w:p>
          <w:p w:rsidR="00FD7E23" w:rsidRDefault="00FD7E23"/>
        </w:tc>
        <w:tc>
          <w:tcPr>
            <w:tcW w:w="6442" w:type="dxa"/>
          </w:tcPr>
          <w:p w:rsidR="00FD7E23" w:rsidRDefault="00856D1E">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FD7E23" w:rsidRDefault="00FD7E23">
            <w:pPr>
              <w:pStyle w:val="Heading2"/>
              <w:jc w:val="left"/>
              <w:rPr>
                <w:rFonts w:ascii="Times New Roman" w:eastAsia="Times New Roman" w:hAnsi="Times New Roman" w:cs="Times New Roman"/>
                <w:b w:val="0"/>
                <w:bCs w:val="0"/>
              </w:rPr>
            </w:pPr>
          </w:p>
        </w:tc>
      </w:tr>
      <w:tr w:rsidR="00FD7E23">
        <w:trPr>
          <w:trHeight w:val="1264"/>
        </w:trPr>
        <w:tc>
          <w:tcPr>
            <w:tcW w:w="5351" w:type="dxa"/>
          </w:tcPr>
          <w:p w:rsidR="00FD7E23" w:rsidRDefault="00856D1E">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FD7E23" w:rsidRDefault="00FD7E23">
            <w:pPr>
              <w:ind w:left="360"/>
              <w:rPr>
                <w:sz w:val="20"/>
                <w:szCs w:val="20"/>
              </w:rPr>
            </w:pPr>
          </w:p>
        </w:tc>
        <w:tc>
          <w:tcPr>
            <w:tcW w:w="9357" w:type="dxa"/>
          </w:tcPr>
          <w:p w:rsidR="00FD7E23" w:rsidRDefault="00856D1E">
            <w:pPr>
              <w:pBdr>
                <w:top w:val="nil"/>
                <w:left w:val="nil"/>
                <w:bottom w:val="nil"/>
                <w:right w:val="nil"/>
                <w:between w:val="nil"/>
              </w:pBdr>
              <w:jc w:val="both"/>
              <w:rPr>
                <w:color w:val="000000"/>
                <w:sz w:val="20"/>
                <w:szCs w:val="20"/>
              </w:rPr>
            </w:pPr>
            <w:r>
              <w:rPr>
                <w:b/>
                <w:bCs/>
                <w:color w:val="000000"/>
                <w:sz w:val="20"/>
                <w:szCs w:val="20"/>
              </w:rPr>
              <w:t xml:space="preserve">The manuscript titled </w:t>
            </w:r>
            <w:r>
              <w:rPr>
                <w:b/>
                <w:bCs/>
                <w:i/>
                <w:iCs/>
                <w:color w:val="000000"/>
                <w:sz w:val="20"/>
                <w:szCs w:val="20"/>
              </w:rPr>
              <w:t>“Influence of Topographic Elements on Land Surface Temperature: A Case S</w:t>
            </w:r>
            <w:r>
              <w:rPr>
                <w:b/>
                <w:bCs/>
                <w:i/>
                <w:iCs/>
                <w:color w:val="000000"/>
                <w:sz w:val="20"/>
                <w:szCs w:val="20"/>
              </w:rPr>
              <w:t>tudy Using Remote Sensing and GIS”</w:t>
            </w:r>
            <w:r>
              <w:rPr>
                <w:b/>
                <w:bCs/>
                <w:color w:val="000000"/>
                <w:sz w:val="20"/>
                <w:szCs w:val="20"/>
              </w:rPr>
              <w:t xml:space="preserve"> makes a valuable contribution to urban climatology and applied remote sensing by empirically disentangling the relative roles of topographic elements and vegetation in controlling land surface temperature (LST) within a t</w:t>
            </w:r>
            <w:r>
              <w:rPr>
                <w:b/>
                <w:bCs/>
                <w:color w:val="000000"/>
                <w:sz w:val="20"/>
                <w:szCs w:val="20"/>
              </w:rPr>
              <w:t>ropical urban environment. By focusing on Ibadan-a rapidly urbanizing city with undulating terrain-the study addresses a geographic and climatic context that remains underrepresented in the LST–topography literature, which is often dominated by temperate o</w:t>
            </w:r>
            <w:r>
              <w:rPr>
                <w:b/>
                <w:bCs/>
                <w:color w:val="000000"/>
                <w:sz w:val="20"/>
                <w:szCs w:val="20"/>
              </w:rPr>
              <w:t>r high-relief regions. The integration of DEM-derived terrain parameters with Landsat-based thermal and vegetation indices offers practical insights for urban heat mitigation and spatial planning. Importantly, the finding that vegetation overwhelmingly out</w:t>
            </w:r>
            <w:r>
              <w:rPr>
                <w:b/>
                <w:bCs/>
                <w:color w:val="000000"/>
                <w:sz w:val="20"/>
                <w:szCs w:val="20"/>
              </w:rPr>
              <w:t>weighs topographic control provides strong evidence for nature-based solutions in tropical cities, making the study relevant to planners, geographers, climate scientists, and policy-oriented researchers.</w:t>
            </w:r>
          </w:p>
        </w:tc>
        <w:tc>
          <w:tcPr>
            <w:tcW w:w="6442" w:type="dxa"/>
          </w:tcPr>
          <w:p w:rsidR="00FD7E23" w:rsidRDefault="00856D1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We sincerely thank the reviewer for the encouraging </w:t>
            </w:r>
            <w:r>
              <w:rPr>
                <w:rFonts w:ascii="Times New Roman" w:eastAsia="Times New Roman" w:hAnsi="Times New Roman" w:cs="Times New Roman"/>
                <w:b w:val="0"/>
                <w:bCs w:val="0"/>
              </w:rPr>
              <w:t>and positive feedback. We appreciate the recognition of the study’s contribution to understanding the relative roles of topography and vegetation in controlling LST, as well as its relevance for urban planning and nature-based solutions in tropical cities.</w:t>
            </w:r>
          </w:p>
        </w:tc>
      </w:tr>
      <w:tr w:rsidR="00FD7E23">
        <w:trPr>
          <w:trHeight w:val="1262"/>
        </w:trPr>
        <w:tc>
          <w:tcPr>
            <w:tcW w:w="5351" w:type="dxa"/>
          </w:tcPr>
          <w:p w:rsidR="00FD7E23" w:rsidRDefault="00856D1E">
            <w:pPr>
              <w:ind w:left="360"/>
              <w:rPr>
                <w:sz w:val="20"/>
                <w:szCs w:val="20"/>
              </w:rPr>
            </w:pPr>
            <w:r>
              <w:rPr>
                <w:b/>
                <w:bCs/>
                <w:sz w:val="20"/>
                <w:szCs w:val="20"/>
              </w:rPr>
              <w:t>Is the title of the article suitable?</w:t>
            </w:r>
          </w:p>
          <w:p w:rsidR="00FD7E23" w:rsidRDefault="00856D1E">
            <w:pPr>
              <w:ind w:left="360"/>
              <w:rPr>
                <w:sz w:val="20"/>
                <w:szCs w:val="20"/>
              </w:rPr>
            </w:pPr>
            <w:r>
              <w:rPr>
                <w:b/>
                <w:bCs/>
                <w:sz w:val="20"/>
                <w:szCs w:val="20"/>
              </w:rPr>
              <w:t>(If not please suggest an alternative title)</w:t>
            </w:r>
          </w:p>
          <w:p w:rsidR="00FD7E23" w:rsidRDefault="00FD7E23">
            <w:pPr>
              <w:pStyle w:val="Heading2"/>
              <w:jc w:val="left"/>
              <w:rPr>
                <w:rFonts w:ascii="Times New Roman" w:eastAsia="Times New Roman" w:hAnsi="Times New Roman" w:cs="Times New Roman"/>
                <w:u w:val="single"/>
              </w:rPr>
            </w:pPr>
          </w:p>
        </w:tc>
        <w:tc>
          <w:tcPr>
            <w:tcW w:w="9357" w:type="dxa"/>
          </w:tcPr>
          <w:p w:rsidR="00FD7E23" w:rsidRDefault="00856D1E">
            <w:pPr>
              <w:jc w:val="both"/>
              <w:rPr>
                <w:sz w:val="20"/>
                <w:szCs w:val="20"/>
              </w:rPr>
            </w:pPr>
            <w:r>
              <w:rPr>
                <w:b/>
                <w:bCs/>
                <w:sz w:val="20"/>
                <w:szCs w:val="20"/>
              </w:rPr>
              <w:t>The title is generally appropriate but underrepresents the dominant role of vegetation, which is a major finding of the study.</w:t>
            </w:r>
          </w:p>
          <w:p w:rsidR="00FD7E23" w:rsidRDefault="00FD7E23">
            <w:pPr>
              <w:jc w:val="both"/>
              <w:rPr>
                <w:sz w:val="20"/>
                <w:szCs w:val="20"/>
              </w:rPr>
            </w:pPr>
          </w:p>
          <w:p w:rsidR="00FD7E23" w:rsidRDefault="00856D1E">
            <w:pPr>
              <w:jc w:val="both"/>
              <w:rPr>
                <w:sz w:val="20"/>
                <w:szCs w:val="20"/>
              </w:rPr>
            </w:pPr>
            <w:r>
              <w:rPr>
                <w:b/>
                <w:bCs/>
                <w:sz w:val="20"/>
                <w:szCs w:val="20"/>
                <w:u w:val="single"/>
              </w:rPr>
              <w:t>Suggested alternative title:</w:t>
            </w:r>
            <w:r>
              <w:rPr>
                <w:b/>
                <w:bCs/>
                <w:sz w:val="20"/>
                <w:szCs w:val="20"/>
              </w:rPr>
              <w:t xml:space="preserve"> </w:t>
            </w:r>
            <w:r>
              <w:rPr>
                <w:b/>
                <w:bCs/>
                <w:i/>
                <w:iCs/>
                <w:sz w:val="20"/>
                <w:szCs w:val="20"/>
              </w:rPr>
              <w:t>Relative Influence of Topography and Vegetation on Land Surface Temperature in a Tropical City: Evidence from Remote Sensing and GIS</w:t>
            </w:r>
          </w:p>
        </w:tc>
        <w:tc>
          <w:tcPr>
            <w:tcW w:w="6442" w:type="dxa"/>
          </w:tcPr>
          <w:p w:rsidR="00FD7E23" w:rsidRDefault="00856D1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thank the reviewer for the suggestion. We believe the original title accurately reflects the study’s focus on both topog</w:t>
            </w:r>
            <w:r>
              <w:rPr>
                <w:rFonts w:ascii="Times New Roman" w:eastAsia="Times New Roman" w:hAnsi="Times New Roman" w:cs="Times New Roman"/>
                <w:b w:val="0"/>
                <w:bCs w:val="0"/>
              </w:rPr>
              <w:t>raphic elements and vegetation in influencing LST, while remaining concise and clear. Therefore, we have retained the original title.</w:t>
            </w:r>
          </w:p>
        </w:tc>
      </w:tr>
      <w:tr w:rsidR="00FD7E23">
        <w:trPr>
          <w:trHeight w:val="1262"/>
        </w:trPr>
        <w:tc>
          <w:tcPr>
            <w:tcW w:w="5351" w:type="dxa"/>
          </w:tcPr>
          <w:p w:rsidR="00FD7E23" w:rsidRDefault="00856D1E">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FD7E23" w:rsidRDefault="00FD7E23">
            <w:pPr>
              <w:pStyle w:val="Heading2"/>
              <w:jc w:val="left"/>
              <w:rPr>
                <w:rFonts w:ascii="Times New Roman" w:eastAsia="Times New Roman" w:hAnsi="Times New Roman" w:cs="Times New Roman"/>
                <w:u w:val="single"/>
              </w:rPr>
            </w:pPr>
          </w:p>
        </w:tc>
        <w:tc>
          <w:tcPr>
            <w:tcW w:w="9357" w:type="dxa"/>
          </w:tcPr>
          <w:p w:rsidR="00FD7E23" w:rsidRDefault="00856D1E">
            <w:pPr>
              <w:jc w:val="both"/>
              <w:rPr>
                <w:sz w:val="20"/>
                <w:szCs w:val="20"/>
              </w:rPr>
            </w:pPr>
            <w:r>
              <w:rPr>
                <w:b/>
                <w:bCs/>
                <w:sz w:val="20"/>
                <w:szCs w:val="20"/>
              </w:rPr>
              <w:t>Yes, the abstract of the article is comprehensive.</w:t>
            </w:r>
          </w:p>
        </w:tc>
        <w:tc>
          <w:tcPr>
            <w:tcW w:w="6442" w:type="dxa"/>
          </w:tcPr>
          <w:p w:rsidR="00FD7E23" w:rsidRDefault="00856D1E">
            <w:pPr>
              <w:pStyle w:val="Heading2"/>
              <w:jc w:val="left"/>
              <w:rPr>
                <w:rFonts w:ascii="Times New Roman" w:eastAsia="Times New Roman" w:hAnsi="Times New Roman" w:cs="Times New Roman"/>
                <w:b w:val="0"/>
                <w:bCs w:val="0"/>
                <w:sz w:val="16"/>
                <w:szCs w:val="16"/>
              </w:rPr>
            </w:pPr>
            <w:bookmarkStart w:id="1" w:name="_heading=h.oh6bwsz8izd" w:colFirst="0" w:colLast="0"/>
            <w:bookmarkEnd w:id="1"/>
            <w:r>
              <w:rPr>
                <w:rFonts w:ascii="Times New Roman" w:eastAsia="Times New Roman" w:hAnsi="Times New Roman" w:cs="Times New Roman"/>
                <w:b w:val="0"/>
                <w:bCs w:val="0"/>
              </w:rPr>
              <w:t>We appreciate the reviewer for this positive ass</w:t>
            </w:r>
            <w:r>
              <w:rPr>
                <w:rFonts w:ascii="Times New Roman" w:eastAsia="Times New Roman" w:hAnsi="Times New Roman" w:cs="Times New Roman"/>
                <w:b w:val="0"/>
                <w:bCs w:val="0"/>
              </w:rPr>
              <w:t>essment.</w:t>
            </w:r>
          </w:p>
        </w:tc>
      </w:tr>
      <w:tr w:rsidR="00FD7E23">
        <w:trPr>
          <w:trHeight w:val="704"/>
        </w:trPr>
        <w:tc>
          <w:tcPr>
            <w:tcW w:w="5351" w:type="dxa"/>
          </w:tcPr>
          <w:p w:rsidR="00FD7E23" w:rsidRDefault="00856D1E">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FD7E23" w:rsidRDefault="00856D1E">
            <w:pPr>
              <w:pBdr>
                <w:top w:val="nil"/>
                <w:left w:val="nil"/>
                <w:bottom w:val="nil"/>
                <w:right w:val="nil"/>
                <w:between w:val="nil"/>
              </w:pBdr>
              <w:jc w:val="both"/>
              <w:rPr>
                <w:color w:val="000000"/>
                <w:sz w:val="20"/>
                <w:szCs w:val="20"/>
              </w:rPr>
            </w:pPr>
            <w:r>
              <w:rPr>
                <w:color w:val="000000"/>
                <w:sz w:val="20"/>
                <w:szCs w:val="20"/>
              </w:rPr>
              <w:t>The manuscript is scientifically correct and methodologically robust. Use of RTE-based LST retrieval, NDVI-based emissivity correction, and grid-based statistical sampling is appropriate and well justified. Statistical interpretations are cautious and cons</w:t>
            </w:r>
            <w:r>
              <w:rPr>
                <w:color w:val="000000"/>
                <w:sz w:val="20"/>
                <w:szCs w:val="20"/>
              </w:rPr>
              <w:t>istent with the results.</w:t>
            </w:r>
          </w:p>
          <w:p w:rsidR="00FD7E23" w:rsidRDefault="00FD7E23">
            <w:pPr>
              <w:pBdr>
                <w:top w:val="nil"/>
                <w:left w:val="nil"/>
                <w:bottom w:val="nil"/>
                <w:right w:val="nil"/>
                <w:between w:val="nil"/>
              </w:pBdr>
              <w:ind w:left="720"/>
              <w:jc w:val="both"/>
              <w:rPr>
                <w:color w:val="000000"/>
                <w:sz w:val="20"/>
                <w:szCs w:val="20"/>
              </w:rPr>
            </w:pPr>
          </w:p>
          <w:p w:rsidR="00FD7E23" w:rsidRDefault="00856D1E">
            <w:pPr>
              <w:pBdr>
                <w:top w:val="nil"/>
                <w:left w:val="nil"/>
                <w:bottom w:val="nil"/>
                <w:right w:val="nil"/>
                <w:between w:val="nil"/>
              </w:pBdr>
              <w:jc w:val="both"/>
              <w:rPr>
                <w:color w:val="000000"/>
                <w:sz w:val="20"/>
                <w:szCs w:val="20"/>
                <w:u w:val="single"/>
              </w:rPr>
            </w:pPr>
            <w:r>
              <w:rPr>
                <w:b/>
                <w:bCs/>
                <w:color w:val="000000"/>
                <w:sz w:val="20"/>
                <w:szCs w:val="20"/>
                <w:u w:val="single"/>
              </w:rPr>
              <w:t xml:space="preserve">Minor suggestions: </w:t>
            </w:r>
          </w:p>
          <w:p w:rsidR="00FD7E23" w:rsidRDefault="00FD7E23">
            <w:pPr>
              <w:pBdr>
                <w:top w:val="nil"/>
                <w:left w:val="nil"/>
                <w:bottom w:val="nil"/>
                <w:right w:val="nil"/>
                <w:between w:val="nil"/>
              </w:pBdr>
              <w:ind w:left="720"/>
              <w:jc w:val="both"/>
              <w:rPr>
                <w:color w:val="000000"/>
                <w:sz w:val="20"/>
                <w:szCs w:val="20"/>
              </w:rPr>
            </w:pPr>
          </w:p>
          <w:p w:rsidR="00FD7E23" w:rsidRDefault="00856D1E">
            <w:pPr>
              <w:numPr>
                <w:ilvl w:val="0"/>
                <w:numId w:val="1"/>
              </w:numPr>
              <w:pBdr>
                <w:top w:val="nil"/>
                <w:left w:val="nil"/>
                <w:bottom w:val="nil"/>
                <w:right w:val="nil"/>
                <w:between w:val="nil"/>
              </w:pBdr>
              <w:jc w:val="both"/>
              <w:rPr>
                <w:color w:val="000000"/>
                <w:sz w:val="20"/>
                <w:szCs w:val="20"/>
              </w:rPr>
            </w:pPr>
            <w:r>
              <w:rPr>
                <w:color w:val="000000"/>
                <w:sz w:val="20"/>
                <w:szCs w:val="20"/>
              </w:rPr>
              <w:t>Clarify whether multicollinearity diagnostics (e.g., VIF) were tested in the regression models.</w:t>
            </w:r>
          </w:p>
          <w:p w:rsidR="00FD7E23" w:rsidRDefault="00856D1E">
            <w:pPr>
              <w:numPr>
                <w:ilvl w:val="0"/>
                <w:numId w:val="1"/>
              </w:numPr>
              <w:pBdr>
                <w:top w:val="nil"/>
                <w:left w:val="nil"/>
                <w:bottom w:val="nil"/>
                <w:right w:val="nil"/>
                <w:between w:val="nil"/>
              </w:pBdr>
              <w:jc w:val="both"/>
              <w:rPr>
                <w:color w:val="000000"/>
                <w:sz w:val="20"/>
                <w:szCs w:val="20"/>
              </w:rPr>
            </w:pPr>
            <w:r>
              <w:rPr>
                <w:color w:val="000000"/>
                <w:sz w:val="20"/>
                <w:szCs w:val="20"/>
              </w:rPr>
              <w:t>A brief discussion on temporal limitation (single-date imagery) would improve scientific transparency.</w:t>
            </w:r>
          </w:p>
        </w:tc>
        <w:tc>
          <w:tcPr>
            <w:tcW w:w="6442" w:type="dxa"/>
          </w:tcPr>
          <w:p w:rsidR="00FD7E23" w:rsidRDefault="00856D1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thank the reviewer for the constructive suggestions. Variance Inflation Factor (VIF) diagnostics were conducted for all regression models to ensure multicollinearity was not a concern; this information has been added to Section 2.3.3. We have also inclu</w:t>
            </w:r>
            <w:r>
              <w:rPr>
                <w:rFonts w:ascii="Times New Roman" w:eastAsia="Times New Roman" w:hAnsi="Times New Roman" w:cs="Times New Roman"/>
                <w:b w:val="0"/>
                <w:bCs w:val="0"/>
              </w:rPr>
              <w:t>ded a note on the temporal limitation of using single-date Landsat imagery and its implications for capturing temporal variability in LST at the end of Section 3.5 to improve scientific transparency.</w:t>
            </w:r>
          </w:p>
        </w:tc>
      </w:tr>
      <w:tr w:rsidR="00FD7E23">
        <w:trPr>
          <w:trHeight w:val="703"/>
        </w:trPr>
        <w:tc>
          <w:tcPr>
            <w:tcW w:w="5351" w:type="dxa"/>
          </w:tcPr>
          <w:p w:rsidR="00FD7E23" w:rsidRDefault="00856D1E">
            <w:pPr>
              <w:ind w:left="360"/>
              <w:rPr>
                <w:sz w:val="20"/>
                <w:szCs w:val="20"/>
              </w:rPr>
            </w:pPr>
            <w:r>
              <w:rPr>
                <w:b/>
                <w:bCs/>
                <w:sz w:val="20"/>
                <w:szCs w:val="20"/>
              </w:rPr>
              <w:t>Are the references sufficient and recent? If you have s</w:t>
            </w:r>
            <w:r>
              <w:rPr>
                <w:b/>
                <w:bCs/>
                <w:sz w:val="20"/>
                <w:szCs w:val="20"/>
              </w:rPr>
              <w:t>uggestions of additional references, please mention them in the review form.</w:t>
            </w:r>
          </w:p>
        </w:tc>
        <w:tc>
          <w:tcPr>
            <w:tcW w:w="9357" w:type="dxa"/>
          </w:tcPr>
          <w:p w:rsidR="00FD7E23" w:rsidRDefault="00856D1E">
            <w:pPr>
              <w:pBdr>
                <w:top w:val="nil"/>
                <w:left w:val="nil"/>
                <w:bottom w:val="nil"/>
                <w:right w:val="nil"/>
                <w:between w:val="nil"/>
              </w:pBdr>
              <w:jc w:val="both"/>
              <w:rPr>
                <w:color w:val="000000"/>
                <w:sz w:val="20"/>
                <w:szCs w:val="20"/>
              </w:rPr>
            </w:pPr>
            <w:r>
              <w:rPr>
                <w:color w:val="000000"/>
                <w:sz w:val="20"/>
                <w:szCs w:val="20"/>
              </w:rPr>
              <w:t>Yes, the references are sufficient and recent. The reference of the article Yang et al. (2020) appears twice in the references section and should be corrected.</w:t>
            </w:r>
          </w:p>
        </w:tc>
        <w:tc>
          <w:tcPr>
            <w:tcW w:w="6442" w:type="dxa"/>
          </w:tcPr>
          <w:p w:rsidR="00FD7E23" w:rsidRDefault="00856D1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thank the review</w:t>
            </w:r>
            <w:r>
              <w:rPr>
                <w:rFonts w:ascii="Times New Roman" w:eastAsia="Times New Roman" w:hAnsi="Times New Roman" w:cs="Times New Roman"/>
                <w:b w:val="0"/>
                <w:bCs w:val="0"/>
              </w:rPr>
              <w:t>er for pointing this out. The duplicate reference to Yang et al. (2020) has been corrected in the reference list.</w:t>
            </w:r>
          </w:p>
        </w:tc>
      </w:tr>
      <w:tr w:rsidR="00FD7E23">
        <w:trPr>
          <w:trHeight w:val="386"/>
        </w:trPr>
        <w:tc>
          <w:tcPr>
            <w:tcW w:w="5351" w:type="dxa"/>
          </w:tcPr>
          <w:p w:rsidR="00FD7E23" w:rsidRDefault="00856D1E">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FD7E23" w:rsidRDefault="00FD7E23">
            <w:pPr>
              <w:rPr>
                <w:sz w:val="20"/>
                <w:szCs w:val="20"/>
              </w:rPr>
            </w:pPr>
          </w:p>
        </w:tc>
        <w:tc>
          <w:tcPr>
            <w:tcW w:w="9357" w:type="dxa"/>
          </w:tcPr>
          <w:p w:rsidR="00FD7E23" w:rsidRDefault="00856D1E">
            <w:pPr>
              <w:rPr>
                <w:sz w:val="20"/>
                <w:szCs w:val="20"/>
              </w:rPr>
            </w:pPr>
            <w:r>
              <w:rPr>
                <w:sz w:val="20"/>
                <w:szCs w:val="20"/>
              </w:rPr>
              <w:t>Yes, the language/English quality of the article is suitable for scholarly communications.</w:t>
            </w:r>
          </w:p>
        </w:tc>
        <w:tc>
          <w:tcPr>
            <w:tcW w:w="6442" w:type="dxa"/>
          </w:tcPr>
          <w:p w:rsidR="00FD7E23" w:rsidRDefault="00856D1E">
            <w:pPr>
              <w:pStyle w:val="Heading2"/>
              <w:jc w:val="left"/>
              <w:rPr>
                <w:sz w:val="16"/>
                <w:szCs w:val="16"/>
              </w:rPr>
            </w:pPr>
            <w:bookmarkStart w:id="2" w:name="_heading=h.zekjl9fxphec" w:colFirst="0" w:colLast="0"/>
            <w:bookmarkEnd w:id="2"/>
            <w:r>
              <w:rPr>
                <w:rFonts w:ascii="Times New Roman" w:eastAsia="Times New Roman" w:hAnsi="Times New Roman" w:cs="Times New Roman"/>
                <w:b w:val="0"/>
                <w:bCs w:val="0"/>
              </w:rPr>
              <w:t>We appreciate the reviewer for this positive assessment.</w:t>
            </w:r>
          </w:p>
        </w:tc>
      </w:tr>
      <w:tr w:rsidR="00FD7E23">
        <w:trPr>
          <w:trHeight w:val="1178"/>
        </w:trPr>
        <w:tc>
          <w:tcPr>
            <w:tcW w:w="5351" w:type="dxa"/>
          </w:tcPr>
          <w:p w:rsidR="00FD7E23" w:rsidRDefault="00856D1E">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FD7E23" w:rsidRDefault="00FD7E23">
            <w:pPr>
              <w:pStyle w:val="Heading2"/>
              <w:jc w:val="left"/>
              <w:rPr>
                <w:rFonts w:ascii="Times New Roman" w:eastAsia="Times New Roman" w:hAnsi="Times New Roman" w:cs="Times New Roman"/>
                <w:b w:val="0"/>
                <w:bCs w:val="0"/>
              </w:rPr>
            </w:pPr>
          </w:p>
        </w:tc>
        <w:tc>
          <w:tcPr>
            <w:tcW w:w="9357" w:type="dxa"/>
          </w:tcPr>
          <w:p w:rsidR="00FD7E23" w:rsidRDefault="00856D1E">
            <w:pPr>
              <w:pBdr>
                <w:top w:val="nil"/>
                <w:left w:val="nil"/>
                <w:bottom w:val="nil"/>
                <w:right w:val="nil"/>
                <w:between w:val="nil"/>
              </w:pBdr>
              <w:rPr>
                <w:color w:val="000000"/>
                <w:sz w:val="20"/>
                <w:szCs w:val="20"/>
                <w:u w:val="single"/>
              </w:rPr>
            </w:pPr>
            <w:r>
              <w:rPr>
                <w:b/>
                <w:bCs/>
                <w:color w:val="000000"/>
                <w:sz w:val="20"/>
                <w:szCs w:val="20"/>
                <w:u w:val="single"/>
              </w:rPr>
              <w:t>Additional section-wise improvement suggestions</w:t>
            </w:r>
          </w:p>
          <w:p w:rsidR="00FD7E23" w:rsidRDefault="00FD7E23">
            <w:pPr>
              <w:pBdr>
                <w:top w:val="nil"/>
                <w:left w:val="nil"/>
                <w:bottom w:val="nil"/>
                <w:right w:val="nil"/>
                <w:between w:val="nil"/>
              </w:pBdr>
              <w:rPr>
                <w:color w:val="000000"/>
                <w:sz w:val="20"/>
                <w:szCs w:val="20"/>
              </w:rPr>
            </w:pPr>
          </w:p>
          <w:p w:rsidR="00FD7E23" w:rsidRDefault="00856D1E">
            <w:pPr>
              <w:pBdr>
                <w:top w:val="nil"/>
                <w:left w:val="nil"/>
                <w:bottom w:val="nil"/>
                <w:right w:val="nil"/>
                <w:between w:val="nil"/>
              </w:pBdr>
              <w:rPr>
                <w:color w:val="000000"/>
                <w:sz w:val="20"/>
                <w:szCs w:val="20"/>
              </w:rPr>
            </w:pPr>
            <w:proofErr w:type="spellStart"/>
            <w:r>
              <w:rPr>
                <w:b/>
                <w:bCs/>
                <w:color w:val="000000"/>
                <w:sz w:val="20"/>
                <w:szCs w:val="20"/>
              </w:rPr>
              <w:t>i</w:t>
            </w:r>
            <w:proofErr w:type="spellEnd"/>
            <w:r>
              <w:rPr>
                <w:b/>
                <w:bCs/>
                <w:color w:val="000000"/>
                <w:sz w:val="20"/>
                <w:szCs w:val="20"/>
              </w:rPr>
              <w:t xml:space="preserve">. Abstract and Keywords </w:t>
            </w:r>
          </w:p>
          <w:p w:rsidR="00FD7E23" w:rsidRDefault="00856D1E">
            <w:pPr>
              <w:numPr>
                <w:ilvl w:val="0"/>
                <w:numId w:val="2"/>
              </w:numPr>
              <w:pBdr>
                <w:top w:val="nil"/>
                <w:left w:val="nil"/>
                <w:bottom w:val="nil"/>
                <w:right w:val="nil"/>
                <w:between w:val="nil"/>
              </w:pBdr>
              <w:rPr>
                <w:color w:val="000000"/>
                <w:sz w:val="20"/>
                <w:szCs w:val="20"/>
              </w:rPr>
            </w:pPr>
            <w:r>
              <w:rPr>
                <w:color w:val="000000"/>
                <w:sz w:val="20"/>
                <w:szCs w:val="20"/>
              </w:rPr>
              <w:t>Add a clear concluding implication for urban planning.</w:t>
            </w:r>
          </w:p>
          <w:p w:rsidR="00FD7E23" w:rsidRDefault="00856D1E">
            <w:pPr>
              <w:numPr>
                <w:ilvl w:val="0"/>
                <w:numId w:val="2"/>
              </w:numPr>
              <w:pBdr>
                <w:top w:val="nil"/>
                <w:left w:val="nil"/>
                <w:bottom w:val="nil"/>
                <w:right w:val="nil"/>
                <w:between w:val="nil"/>
              </w:pBdr>
              <w:rPr>
                <w:color w:val="000000"/>
                <w:sz w:val="20"/>
                <w:szCs w:val="20"/>
              </w:rPr>
            </w:pPr>
            <w:r>
              <w:rPr>
                <w:color w:val="000000"/>
                <w:sz w:val="20"/>
                <w:szCs w:val="20"/>
              </w:rPr>
              <w:t>Refine keywords by adding: Urban Heat Island, Topographic variability, Tropical city.</w:t>
            </w:r>
          </w:p>
          <w:p w:rsidR="00FD7E23" w:rsidRDefault="00FD7E23">
            <w:pPr>
              <w:pBdr>
                <w:top w:val="nil"/>
                <w:left w:val="nil"/>
                <w:bottom w:val="nil"/>
                <w:right w:val="nil"/>
                <w:between w:val="nil"/>
              </w:pBdr>
              <w:rPr>
                <w:color w:val="000000"/>
                <w:sz w:val="20"/>
                <w:szCs w:val="20"/>
              </w:rPr>
            </w:pPr>
          </w:p>
          <w:p w:rsidR="00FD7E23" w:rsidRDefault="00856D1E">
            <w:pPr>
              <w:pBdr>
                <w:top w:val="nil"/>
                <w:left w:val="nil"/>
                <w:bottom w:val="nil"/>
                <w:right w:val="nil"/>
                <w:between w:val="nil"/>
              </w:pBdr>
              <w:rPr>
                <w:color w:val="000000"/>
                <w:sz w:val="20"/>
                <w:szCs w:val="20"/>
              </w:rPr>
            </w:pPr>
            <w:r>
              <w:rPr>
                <w:b/>
                <w:bCs/>
                <w:color w:val="000000"/>
                <w:sz w:val="20"/>
                <w:szCs w:val="20"/>
              </w:rPr>
              <w:t>ii. Introduction</w:t>
            </w:r>
          </w:p>
          <w:p w:rsidR="00FD7E23" w:rsidRDefault="00856D1E">
            <w:pPr>
              <w:numPr>
                <w:ilvl w:val="0"/>
                <w:numId w:val="3"/>
              </w:numPr>
              <w:pBdr>
                <w:top w:val="nil"/>
                <w:left w:val="nil"/>
                <w:bottom w:val="nil"/>
                <w:right w:val="nil"/>
                <w:between w:val="nil"/>
              </w:pBdr>
              <w:rPr>
                <w:color w:val="000000"/>
                <w:sz w:val="20"/>
                <w:szCs w:val="20"/>
              </w:rPr>
            </w:pPr>
            <w:r>
              <w:rPr>
                <w:color w:val="000000"/>
                <w:sz w:val="20"/>
                <w:szCs w:val="20"/>
              </w:rPr>
              <w:t>Clearly articulate the research gap in low-relief tropical cities.</w:t>
            </w:r>
          </w:p>
          <w:p w:rsidR="00FD7E23" w:rsidRDefault="00856D1E">
            <w:pPr>
              <w:numPr>
                <w:ilvl w:val="0"/>
                <w:numId w:val="3"/>
              </w:numPr>
              <w:pBdr>
                <w:top w:val="nil"/>
                <w:left w:val="nil"/>
                <w:bottom w:val="nil"/>
                <w:right w:val="nil"/>
                <w:between w:val="nil"/>
              </w:pBdr>
              <w:rPr>
                <w:color w:val="000000"/>
                <w:sz w:val="20"/>
                <w:szCs w:val="20"/>
              </w:rPr>
            </w:pPr>
            <w:r>
              <w:rPr>
                <w:color w:val="000000"/>
                <w:sz w:val="20"/>
                <w:szCs w:val="20"/>
              </w:rPr>
              <w:t>Reduce background repetition a</w:t>
            </w:r>
            <w:r>
              <w:rPr>
                <w:color w:val="000000"/>
                <w:sz w:val="20"/>
                <w:szCs w:val="20"/>
              </w:rPr>
              <w:t>nd strengthen the problem statement.</w:t>
            </w:r>
          </w:p>
          <w:p w:rsidR="00FD7E23" w:rsidRDefault="00856D1E">
            <w:pPr>
              <w:numPr>
                <w:ilvl w:val="0"/>
                <w:numId w:val="3"/>
              </w:numPr>
              <w:pBdr>
                <w:top w:val="nil"/>
                <w:left w:val="nil"/>
                <w:bottom w:val="nil"/>
                <w:right w:val="nil"/>
                <w:between w:val="nil"/>
              </w:pBdr>
              <w:rPr>
                <w:color w:val="000000"/>
                <w:sz w:val="20"/>
                <w:szCs w:val="20"/>
              </w:rPr>
            </w:pPr>
            <w:r>
              <w:rPr>
                <w:color w:val="000000"/>
                <w:sz w:val="20"/>
                <w:szCs w:val="20"/>
              </w:rPr>
              <w:t>Explicitly state research questions or hypotheses.</w:t>
            </w:r>
          </w:p>
          <w:p w:rsidR="00FD7E23" w:rsidRDefault="00FD7E23">
            <w:pPr>
              <w:pBdr>
                <w:top w:val="nil"/>
                <w:left w:val="nil"/>
                <w:bottom w:val="nil"/>
                <w:right w:val="nil"/>
                <w:between w:val="nil"/>
              </w:pBdr>
              <w:rPr>
                <w:color w:val="000000"/>
                <w:sz w:val="20"/>
                <w:szCs w:val="20"/>
              </w:rPr>
            </w:pPr>
          </w:p>
          <w:p w:rsidR="00FD7E23" w:rsidRDefault="00856D1E">
            <w:pPr>
              <w:pBdr>
                <w:top w:val="nil"/>
                <w:left w:val="nil"/>
                <w:bottom w:val="nil"/>
                <w:right w:val="nil"/>
                <w:between w:val="nil"/>
              </w:pBdr>
              <w:rPr>
                <w:color w:val="000000"/>
                <w:sz w:val="20"/>
                <w:szCs w:val="20"/>
              </w:rPr>
            </w:pPr>
            <w:r>
              <w:rPr>
                <w:b/>
                <w:bCs/>
                <w:color w:val="000000"/>
                <w:sz w:val="20"/>
                <w:szCs w:val="20"/>
              </w:rPr>
              <w:t>iii. Materials and Methods</w:t>
            </w:r>
          </w:p>
          <w:p w:rsidR="00FD7E23" w:rsidRDefault="00856D1E">
            <w:pPr>
              <w:numPr>
                <w:ilvl w:val="0"/>
                <w:numId w:val="4"/>
              </w:numPr>
              <w:pBdr>
                <w:top w:val="nil"/>
                <w:left w:val="nil"/>
                <w:bottom w:val="nil"/>
                <w:right w:val="nil"/>
                <w:between w:val="nil"/>
              </w:pBdr>
              <w:rPr>
                <w:color w:val="000000"/>
                <w:sz w:val="20"/>
                <w:szCs w:val="20"/>
              </w:rPr>
            </w:pPr>
            <w:r>
              <w:rPr>
                <w:color w:val="000000"/>
                <w:sz w:val="20"/>
                <w:szCs w:val="20"/>
              </w:rPr>
              <w:t>Add a workflow diagram summarizing data processing steps.</w:t>
            </w:r>
          </w:p>
          <w:p w:rsidR="00FD7E23" w:rsidRDefault="00856D1E">
            <w:pPr>
              <w:numPr>
                <w:ilvl w:val="0"/>
                <w:numId w:val="4"/>
              </w:numPr>
              <w:pBdr>
                <w:top w:val="nil"/>
                <w:left w:val="nil"/>
                <w:bottom w:val="nil"/>
                <w:right w:val="nil"/>
                <w:between w:val="nil"/>
              </w:pBdr>
              <w:rPr>
                <w:color w:val="000000"/>
                <w:sz w:val="20"/>
                <w:szCs w:val="20"/>
              </w:rPr>
            </w:pPr>
            <w:r>
              <w:rPr>
                <w:color w:val="000000"/>
                <w:sz w:val="20"/>
                <w:szCs w:val="20"/>
              </w:rPr>
              <w:t>Specify software versions (e.g., ArcGIS Pro version).</w:t>
            </w:r>
          </w:p>
          <w:p w:rsidR="00FD7E23" w:rsidRDefault="00856D1E">
            <w:pPr>
              <w:numPr>
                <w:ilvl w:val="0"/>
                <w:numId w:val="4"/>
              </w:numPr>
              <w:pBdr>
                <w:top w:val="nil"/>
                <w:left w:val="nil"/>
                <w:bottom w:val="nil"/>
                <w:right w:val="nil"/>
                <w:between w:val="nil"/>
              </w:pBdr>
              <w:rPr>
                <w:color w:val="000000"/>
                <w:sz w:val="20"/>
                <w:szCs w:val="20"/>
              </w:rPr>
            </w:pPr>
            <w:r>
              <w:rPr>
                <w:color w:val="000000"/>
                <w:sz w:val="20"/>
                <w:szCs w:val="20"/>
              </w:rPr>
              <w:t>Briefly justify the 500 × 500 m grid size selection.</w:t>
            </w:r>
          </w:p>
          <w:p w:rsidR="00FD7E23" w:rsidRDefault="00856D1E">
            <w:pPr>
              <w:numPr>
                <w:ilvl w:val="0"/>
                <w:numId w:val="4"/>
              </w:numPr>
              <w:pBdr>
                <w:top w:val="nil"/>
                <w:left w:val="nil"/>
                <w:bottom w:val="nil"/>
                <w:right w:val="nil"/>
                <w:between w:val="nil"/>
              </w:pBdr>
              <w:rPr>
                <w:color w:val="000000"/>
                <w:sz w:val="20"/>
                <w:szCs w:val="20"/>
              </w:rPr>
            </w:pPr>
            <w:r>
              <w:rPr>
                <w:color w:val="000000"/>
                <w:sz w:val="20"/>
                <w:szCs w:val="20"/>
              </w:rPr>
              <w:t>Mention checks for statistical assumptions (normality, multicollinearity).</w:t>
            </w:r>
          </w:p>
          <w:p w:rsidR="00FD7E23" w:rsidRDefault="00FD7E23">
            <w:pPr>
              <w:pBdr>
                <w:top w:val="nil"/>
                <w:left w:val="nil"/>
                <w:bottom w:val="nil"/>
                <w:right w:val="nil"/>
                <w:between w:val="nil"/>
              </w:pBdr>
              <w:rPr>
                <w:color w:val="000000"/>
                <w:sz w:val="20"/>
                <w:szCs w:val="20"/>
              </w:rPr>
            </w:pPr>
          </w:p>
          <w:p w:rsidR="00FD7E23" w:rsidRDefault="00856D1E">
            <w:pPr>
              <w:pBdr>
                <w:top w:val="nil"/>
                <w:left w:val="nil"/>
                <w:bottom w:val="nil"/>
                <w:right w:val="nil"/>
                <w:between w:val="nil"/>
              </w:pBdr>
              <w:rPr>
                <w:color w:val="000000"/>
                <w:sz w:val="20"/>
                <w:szCs w:val="20"/>
              </w:rPr>
            </w:pPr>
            <w:r>
              <w:rPr>
                <w:b/>
                <w:bCs/>
                <w:color w:val="000000"/>
                <w:sz w:val="20"/>
                <w:szCs w:val="20"/>
              </w:rPr>
              <w:t>iv. Results and Discussion</w:t>
            </w:r>
          </w:p>
          <w:p w:rsidR="00FD7E23" w:rsidRDefault="00856D1E">
            <w:pPr>
              <w:numPr>
                <w:ilvl w:val="0"/>
                <w:numId w:val="5"/>
              </w:numPr>
              <w:pBdr>
                <w:top w:val="nil"/>
                <w:left w:val="nil"/>
                <w:bottom w:val="nil"/>
                <w:right w:val="nil"/>
                <w:between w:val="nil"/>
              </w:pBdr>
              <w:rPr>
                <w:color w:val="000000"/>
                <w:sz w:val="20"/>
                <w:szCs w:val="20"/>
              </w:rPr>
            </w:pPr>
            <w:r>
              <w:rPr>
                <w:color w:val="000000"/>
                <w:sz w:val="20"/>
                <w:szCs w:val="20"/>
              </w:rPr>
              <w:t>Separate results and discussion more clearly using sub-headings.</w:t>
            </w:r>
          </w:p>
          <w:p w:rsidR="00FD7E23" w:rsidRDefault="00856D1E">
            <w:pPr>
              <w:numPr>
                <w:ilvl w:val="0"/>
                <w:numId w:val="5"/>
              </w:numPr>
              <w:pBdr>
                <w:top w:val="nil"/>
                <w:left w:val="nil"/>
                <w:bottom w:val="nil"/>
                <w:right w:val="nil"/>
                <w:between w:val="nil"/>
              </w:pBdr>
              <w:rPr>
                <w:color w:val="000000"/>
                <w:sz w:val="20"/>
                <w:szCs w:val="20"/>
              </w:rPr>
            </w:pPr>
            <w:r>
              <w:rPr>
                <w:color w:val="000000"/>
                <w:sz w:val="20"/>
                <w:szCs w:val="20"/>
              </w:rPr>
              <w:t>Avoid repeating vegetation mechanis</w:t>
            </w:r>
            <w:r>
              <w:rPr>
                <w:color w:val="000000"/>
                <w:sz w:val="20"/>
                <w:szCs w:val="20"/>
              </w:rPr>
              <w:t>ms already established in literature.</w:t>
            </w:r>
          </w:p>
          <w:p w:rsidR="00FD7E23" w:rsidRDefault="00856D1E">
            <w:pPr>
              <w:numPr>
                <w:ilvl w:val="0"/>
                <w:numId w:val="5"/>
              </w:numPr>
              <w:pBdr>
                <w:top w:val="nil"/>
                <w:left w:val="nil"/>
                <w:bottom w:val="nil"/>
                <w:right w:val="nil"/>
                <w:between w:val="nil"/>
              </w:pBdr>
              <w:rPr>
                <w:color w:val="000000"/>
                <w:sz w:val="20"/>
                <w:szCs w:val="20"/>
              </w:rPr>
            </w:pPr>
            <w:r>
              <w:rPr>
                <w:color w:val="000000"/>
                <w:sz w:val="20"/>
                <w:szCs w:val="20"/>
              </w:rPr>
              <w:t>Compare findings more explicitly with similar tropical or African studies.</w:t>
            </w:r>
          </w:p>
          <w:p w:rsidR="00FD7E23" w:rsidRDefault="00856D1E">
            <w:pPr>
              <w:numPr>
                <w:ilvl w:val="0"/>
                <w:numId w:val="5"/>
              </w:numPr>
              <w:pBdr>
                <w:top w:val="nil"/>
                <w:left w:val="nil"/>
                <w:bottom w:val="nil"/>
                <w:right w:val="nil"/>
                <w:between w:val="nil"/>
              </w:pBdr>
              <w:rPr>
                <w:color w:val="000000"/>
                <w:sz w:val="20"/>
                <w:szCs w:val="20"/>
              </w:rPr>
            </w:pPr>
            <w:r>
              <w:rPr>
                <w:color w:val="000000"/>
                <w:sz w:val="20"/>
                <w:szCs w:val="20"/>
              </w:rPr>
              <w:t>Add uncertainty discussion related to single-date imagery.</w:t>
            </w:r>
          </w:p>
          <w:p w:rsidR="00FD7E23" w:rsidRDefault="00856D1E">
            <w:pPr>
              <w:numPr>
                <w:ilvl w:val="0"/>
                <w:numId w:val="5"/>
              </w:numPr>
              <w:pBdr>
                <w:top w:val="nil"/>
                <w:left w:val="nil"/>
                <w:bottom w:val="nil"/>
                <w:right w:val="nil"/>
                <w:between w:val="nil"/>
              </w:pBdr>
              <w:rPr>
                <w:color w:val="000000"/>
                <w:sz w:val="20"/>
                <w:szCs w:val="20"/>
              </w:rPr>
            </w:pPr>
            <w:r>
              <w:rPr>
                <w:color w:val="000000"/>
                <w:sz w:val="20"/>
                <w:szCs w:val="20"/>
              </w:rPr>
              <w:t>Discuss limitations.</w:t>
            </w:r>
          </w:p>
          <w:p w:rsidR="00FD7E23" w:rsidRDefault="00FD7E23">
            <w:pPr>
              <w:pBdr>
                <w:top w:val="nil"/>
                <w:left w:val="nil"/>
                <w:bottom w:val="nil"/>
                <w:right w:val="nil"/>
                <w:between w:val="nil"/>
              </w:pBdr>
              <w:rPr>
                <w:color w:val="000000"/>
                <w:sz w:val="20"/>
                <w:szCs w:val="20"/>
              </w:rPr>
            </w:pPr>
          </w:p>
          <w:p w:rsidR="00FD7E23" w:rsidRDefault="00856D1E">
            <w:pPr>
              <w:pBdr>
                <w:top w:val="nil"/>
                <w:left w:val="nil"/>
                <w:bottom w:val="nil"/>
                <w:right w:val="nil"/>
                <w:between w:val="nil"/>
              </w:pBdr>
              <w:rPr>
                <w:color w:val="000000"/>
                <w:sz w:val="20"/>
                <w:szCs w:val="20"/>
              </w:rPr>
            </w:pPr>
            <w:r>
              <w:rPr>
                <w:b/>
                <w:bCs/>
                <w:color w:val="000000"/>
                <w:sz w:val="20"/>
                <w:szCs w:val="20"/>
              </w:rPr>
              <w:t>v. Conclusions</w:t>
            </w:r>
          </w:p>
          <w:p w:rsidR="00FD7E23" w:rsidRDefault="00856D1E">
            <w:pPr>
              <w:numPr>
                <w:ilvl w:val="0"/>
                <w:numId w:val="6"/>
              </w:numPr>
              <w:pBdr>
                <w:top w:val="nil"/>
                <w:left w:val="nil"/>
                <w:bottom w:val="nil"/>
                <w:right w:val="nil"/>
                <w:between w:val="nil"/>
              </w:pBdr>
              <w:rPr>
                <w:color w:val="000000"/>
                <w:sz w:val="20"/>
                <w:szCs w:val="20"/>
              </w:rPr>
            </w:pPr>
            <w:r>
              <w:rPr>
                <w:color w:val="000000"/>
                <w:sz w:val="20"/>
                <w:szCs w:val="20"/>
              </w:rPr>
              <w:t>Make conclusions more forward-looking.</w:t>
            </w:r>
          </w:p>
          <w:p w:rsidR="00FD7E23" w:rsidRDefault="00856D1E">
            <w:pPr>
              <w:numPr>
                <w:ilvl w:val="0"/>
                <w:numId w:val="6"/>
              </w:numPr>
              <w:pBdr>
                <w:top w:val="nil"/>
                <w:left w:val="nil"/>
                <w:bottom w:val="nil"/>
                <w:right w:val="nil"/>
                <w:between w:val="nil"/>
              </w:pBdr>
              <w:rPr>
                <w:color w:val="000000"/>
                <w:sz w:val="20"/>
                <w:szCs w:val="20"/>
              </w:rPr>
            </w:pPr>
            <w:r>
              <w:rPr>
                <w:color w:val="000000"/>
                <w:sz w:val="20"/>
                <w:szCs w:val="20"/>
              </w:rPr>
              <w:t>Add a short paragraph on policy and planning implications.</w:t>
            </w:r>
          </w:p>
          <w:p w:rsidR="00FD7E23" w:rsidRDefault="00856D1E">
            <w:pPr>
              <w:numPr>
                <w:ilvl w:val="0"/>
                <w:numId w:val="6"/>
              </w:numPr>
              <w:pBdr>
                <w:top w:val="nil"/>
                <w:left w:val="nil"/>
                <w:bottom w:val="nil"/>
                <w:right w:val="nil"/>
                <w:between w:val="nil"/>
              </w:pBdr>
              <w:rPr>
                <w:color w:val="000000"/>
                <w:sz w:val="20"/>
                <w:szCs w:val="20"/>
              </w:rPr>
            </w:pPr>
            <w:r>
              <w:rPr>
                <w:color w:val="000000"/>
                <w:sz w:val="20"/>
                <w:szCs w:val="20"/>
              </w:rPr>
              <w:t>Suggest directions for future research (multi-temporal analysis, LCZ integration).</w:t>
            </w:r>
          </w:p>
          <w:p w:rsidR="00FD7E23" w:rsidRDefault="00856D1E">
            <w:pPr>
              <w:numPr>
                <w:ilvl w:val="0"/>
                <w:numId w:val="6"/>
              </w:numPr>
              <w:pBdr>
                <w:top w:val="nil"/>
                <w:left w:val="nil"/>
                <w:bottom w:val="nil"/>
                <w:right w:val="nil"/>
                <w:between w:val="nil"/>
              </w:pBdr>
              <w:rPr>
                <w:color w:val="000000"/>
                <w:sz w:val="20"/>
                <w:szCs w:val="20"/>
              </w:rPr>
            </w:pPr>
            <w:r>
              <w:rPr>
                <w:color w:val="000000"/>
                <w:sz w:val="20"/>
                <w:szCs w:val="20"/>
              </w:rPr>
              <w:t>Mention potential future work.</w:t>
            </w:r>
          </w:p>
          <w:p w:rsidR="00FD7E23" w:rsidRDefault="00FD7E23">
            <w:pPr>
              <w:pBdr>
                <w:top w:val="nil"/>
                <w:left w:val="nil"/>
                <w:bottom w:val="nil"/>
                <w:right w:val="nil"/>
                <w:between w:val="nil"/>
              </w:pBdr>
              <w:rPr>
                <w:color w:val="000000"/>
                <w:sz w:val="20"/>
                <w:szCs w:val="20"/>
              </w:rPr>
            </w:pPr>
          </w:p>
          <w:p w:rsidR="00FD7E23" w:rsidRDefault="00856D1E">
            <w:pPr>
              <w:pBdr>
                <w:top w:val="nil"/>
                <w:left w:val="nil"/>
                <w:bottom w:val="nil"/>
                <w:right w:val="nil"/>
                <w:between w:val="nil"/>
              </w:pBdr>
              <w:rPr>
                <w:color w:val="000000"/>
                <w:sz w:val="20"/>
                <w:szCs w:val="20"/>
              </w:rPr>
            </w:pPr>
            <w:r>
              <w:rPr>
                <w:b/>
                <w:bCs/>
                <w:color w:val="000000"/>
                <w:sz w:val="20"/>
                <w:szCs w:val="20"/>
              </w:rPr>
              <w:t>vi. Additional comments:</w:t>
            </w:r>
          </w:p>
          <w:p w:rsidR="00FD7E23" w:rsidRDefault="00856D1E">
            <w:pPr>
              <w:numPr>
                <w:ilvl w:val="0"/>
                <w:numId w:val="7"/>
              </w:numPr>
              <w:pBdr>
                <w:top w:val="nil"/>
                <w:left w:val="nil"/>
                <w:bottom w:val="nil"/>
                <w:right w:val="nil"/>
                <w:between w:val="nil"/>
              </w:pBdr>
              <w:jc w:val="both"/>
              <w:rPr>
                <w:color w:val="000000"/>
                <w:sz w:val="20"/>
                <w:szCs w:val="20"/>
              </w:rPr>
            </w:pPr>
            <w:r>
              <w:rPr>
                <w:color w:val="000000"/>
                <w:sz w:val="20"/>
                <w:szCs w:val="20"/>
              </w:rPr>
              <w:t>The author(s) should add sections pertaining to recommendations and future scope of the study after the conclusions section, describing in brief how this current research can help in future research and related policies.</w:t>
            </w:r>
          </w:p>
          <w:p w:rsidR="00FD7E23" w:rsidRDefault="00856D1E">
            <w:pPr>
              <w:numPr>
                <w:ilvl w:val="0"/>
                <w:numId w:val="7"/>
              </w:numPr>
              <w:pBdr>
                <w:top w:val="nil"/>
                <w:left w:val="nil"/>
                <w:bottom w:val="nil"/>
                <w:right w:val="nil"/>
                <w:between w:val="nil"/>
              </w:pBdr>
              <w:jc w:val="both"/>
              <w:rPr>
                <w:color w:val="000000"/>
                <w:sz w:val="20"/>
                <w:szCs w:val="20"/>
              </w:rPr>
            </w:pPr>
            <w:r>
              <w:rPr>
                <w:color w:val="000000"/>
                <w:sz w:val="20"/>
                <w:szCs w:val="20"/>
              </w:rPr>
              <w:t>Incorporate multi-seasonal or multi</w:t>
            </w:r>
            <w:r>
              <w:rPr>
                <w:color w:val="000000"/>
                <w:sz w:val="20"/>
                <w:szCs w:val="20"/>
              </w:rPr>
              <w:t>-year imagery to examine temporal stability of relationships.</w:t>
            </w:r>
          </w:p>
          <w:p w:rsidR="00FD7E23" w:rsidRDefault="00856D1E">
            <w:pPr>
              <w:numPr>
                <w:ilvl w:val="0"/>
                <w:numId w:val="7"/>
              </w:numPr>
              <w:pBdr>
                <w:top w:val="nil"/>
                <w:left w:val="nil"/>
                <w:bottom w:val="nil"/>
                <w:right w:val="nil"/>
                <w:between w:val="nil"/>
              </w:pBdr>
              <w:jc w:val="both"/>
              <w:rPr>
                <w:color w:val="000000"/>
                <w:sz w:val="20"/>
                <w:szCs w:val="20"/>
              </w:rPr>
            </w:pPr>
            <w:r>
              <w:rPr>
                <w:color w:val="000000"/>
                <w:sz w:val="20"/>
                <w:szCs w:val="20"/>
              </w:rPr>
              <w:t>Explore Local Climate Zones (LCZs) to link terrain–vegetation effects with urban morphology.</w:t>
            </w:r>
          </w:p>
          <w:p w:rsidR="00FD7E23" w:rsidRDefault="00856D1E">
            <w:pPr>
              <w:numPr>
                <w:ilvl w:val="0"/>
                <w:numId w:val="7"/>
              </w:numPr>
              <w:pBdr>
                <w:top w:val="nil"/>
                <w:left w:val="nil"/>
                <w:bottom w:val="nil"/>
                <w:right w:val="nil"/>
                <w:between w:val="nil"/>
              </w:pBdr>
              <w:jc w:val="both"/>
              <w:rPr>
                <w:color w:val="000000"/>
                <w:sz w:val="20"/>
                <w:szCs w:val="20"/>
              </w:rPr>
            </w:pPr>
            <w:r>
              <w:rPr>
                <w:color w:val="000000"/>
                <w:sz w:val="20"/>
                <w:szCs w:val="20"/>
              </w:rPr>
              <w:t>Consider non-linear or machine-learning models (e.g., Random Forest) for comparative analysis.</w:t>
            </w:r>
          </w:p>
          <w:p w:rsidR="00FD7E23" w:rsidRDefault="00856D1E">
            <w:pPr>
              <w:numPr>
                <w:ilvl w:val="0"/>
                <w:numId w:val="7"/>
              </w:numPr>
              <w:pBdr>
                <w:top w:val="nil"/>
                <w:left w:val="nil"/>
                <w:bottom w:val="nil"/>
                <w:right w:val="nil"/>
                <w:between w:val="nil"/>
              </w:pBdr>
              <w:jc w:val="both"/>
              <w:rPr>
                <w:color w:val="000000"/>
                <w:sz w:val="20"/>
                <w:szCs w:val="20"/>
              </w:rPr>
            </w:pPr>
            <w:r>
              <w:rPr>
                <w:color w:val="000000"/>
                <w:sz w:val="20"/>
                <w:szCs w:val="20"/>
              </w:rPr>
              <w:t>Include surface albedo or impervious surface fraction as additional explanatory variables.</w:t>
            </w:r>
          </w:p>
          <w:p w:rsidR="00FD7E23" w:rsidRDefault="00856D1E">
            <w:pPr>
              <w:numPr>
                <w:ilvl w:val="0"/>
                <w:numId w:val="7"/>
              </w:numPr>
              <w:pBdr>
                <w:top w:val="nil"/>
                <w:left w:val="nil"/>
                <w:bottom w:val="nil"/>
                <w:right w:val="nil"/>
                <w:between w:val="nil"/>
              </w:pBdr>
              <w:jc w:val="both"/>
              <w:rPr>
                <w:color w:val="000000"/>
                <w:sz w:val="20"/>
                <w:szCs w:val="20"/>
              </w:rPr>
            </w:pPr>
            <w:r>
              <w:rPr>
                <w:color w:val="000000"/>
                <w:sz w:val="20"/>
                <w:szCs w:val="20"/>
              </w:rPr>
              <w:t>Improve figure captions by briefly stating key interpretations, not only descriptions.</w:t>
            </w:r>
          </w:p>
          <w:p w:rsidR="00FD7E23" w:rsidRDefault="00FD7E23">
            <w:pPr>
              <w:pBdr>
                <w:top w:val="nil"/>
                <w:left w:val="nil"/>
                <w:bottom w:val="nil"/>
                <w:right w:val="nil"/>
                <w:between w:val="nil"/>
              </w:pBdr>
              <w:rPr>
                <w:color w:val="000000"/>
                <w:sz w:val="20"/>
                <w:szCs w:val="20"/>
              </w:rPr>
            </w:pPr>
          </w:p>
        </w:tc>
        <w:tc>
          <w:tcPr>
            <w:tcW w:w="6442" w:type="dxa"/>
          </w:tcPr>
          <w:p w:rsidR="00FD7E23" w:rsidRDefault="00FD7E23">
            <w:pPr>
              <w:rPr>
                <w:sz w:val="20"/>
                <w:szCs w:val="20"/>
              </w:rPr>
            </w:pPr>
          </w:p>
          <w:p w:rsidR="00FD7E23" w:rsidRDefault="00FD7E23">
            <w:pPr>
              <w:rPr>
                <w:sz w:val="20"/>
                <w:szCs w:val="20"/>
              </w:rPr>
            </w:pPr>
          </w:p>
          <w:p w:rsidR="00FD7E23" w:rsidRDefault="00FD7E23">
            <w:pPr>
              <w:rPr>
                <w:sz w:val="20"/>
                <w:szCs w:val="20"/>
              </w:rPr>
            </w:pPr>
          </w:p>
          <w:p w:rsidR="00FD7E23" w:rsidRDefault="00856D1E">
            <w:pPr>
              <w:rPr>
                <w:sz w:val="20"/>
                <w:szCs w:val="20"/>
              </w:rPr>
            </w:pPr>
            <w:r>
              <w:rPr>
                <w:sz w:val="20"/>
                <w:szCs w:val="20"/>
              </w:rPr>
              <w:t>We thank the reviewer for the suggestions. The abstract now clearly highli</w:t>
            </w:r>
            <w:r>
              <w:rPr>
                <w:sz w:val="20"/>
                <w:szCs w:val="20"/>
              </w:rPr>
              <w:t>ghts implications for urban planning.</w:t>
            </w:r>
          </w:p>
          <w:p w:rsidR="00FD7E23" w:rsidRDefault="00FD7E23">
            <w:pPr>
              <w:rPr>
                <w:sz w:val="20"/>
                <w:szCs w:val="20"/>
              </w:rPr>
            </w:pPr>
          </w:p>
          <w:p w:rsidR="00FD7E23" w:rsidRDefault="00FD7E23">
            <w:pPr>
              <w:rPr>
                <w:sz w:val="20"/>
                <w:szCs w:val="20"/>
              </w:rPr>
            </w:pPr>
          </w:p>
          <w:p w:rsidR="00FD7E23" w:rsidRDefault="00856D1E">
            <w:pPr>
              <w:rPr>
                <w:sz w:val="20"/>
                <w:szCs w:val="20"/>
              </w:rPr>
            </w:pPr>
            <w:r>
              <w:rPr>
                <w:sz w:val="20"/>
                <w:szCs w:val="20"/>
              </w:rPr>
              <w:t>The introduction has been revised to clearly articulate the research gap in low-relief tropical cities, reduce background repetition, and strengthen the problem statement.</w:t>
            </w:r>
          </w:p>
          <w:p w:rsidR="00FD7E23" w:rsidRDefault="00FD7E23">
            <w:pPr>
              <w:rPr>
                <w:sz w:val="20"/>
                <w:szCs w:val="20"/>
              </w:rPr>
            </w:pPr>
          </w:p>
          <w:p w:rsidR="00FD7E23" w:rsidRDefault="00FD7E23">
            <w:pPr>
              <w:rPr>
                <w:sz w:val="20"/>
                <w:szCs w:val="20"/>
              </w:rPr>
            </w:pPr>
          </w:p>
          <w:p w:rsidR="00FD7E23" w:rsidRDefault="00856D1E">
            <w:pPr>
              <w:rPr>
                <w:sz w:val="20"/>
                <w:szCs w:val="20"/>
              </w:rPr>
            </w:pPr>
            <w:r>
              <w:rPr>
                <w:sz w:val="20"/>
                <w:szCs w:val="20"/>
              </w:rPr>
              <w:t>We have specified the software version used (ArcGIS Pro 3.1). The rationale for selecting the 500 × 500 m grid size has been briefly explained. Checks for statistical assumptions, including multicollinearity (VIF) and normality, have been incorporated in S</w:t>
            </w:r>
            <w:r>
              <w:rPr>
                <w:sz w:val="20"/>
                <w:szCs w:val="20"/>
              </w:rPr>
              <w:t>ection 2.3.3.</w:t>
            </w:r>
          </w:p>
          <w:p w:rsidR="00FD7E23" w:rsidRDefault="00FD7E23">
            <w:pPr>
              <w:rPr>
                <w:sz w:val="20"/>
                <w:szCs w:val="20"/>
              </w:rPr>
            </w:pPr>
          </w:p>
          <w:p w:rsidR="00FD7E23" w:rsidRDefault="00FD7E23">
            <w:pPr>
              <w:rPr>
                <w:sz w:val="20"/>
                <w:szCs w:val="20"/>
              </w:rPr>
            </w:pPr>
          </w:p>
          <w:p w:rsidR="00FD7E23" w:rsidRDefault="00856D1E">
            <w:pPr>
              <w:rPr>
                <w:sz w:val="20"/>
                <w:szCs w:val="20"/>
              </w:rPr>
            </w:pPr>
            <w:r>
              <w:rPr>
                <w:sz w:val="20"/>
                <w:szCs w:val="20"/>
              </w:rPr>
              <w:t xml:space="preserve">Comparisons with similar tropical and African studies, including </w:t>
            </w:r>
            <w:proofErr w:type="spellStart"/>
            <w:r>
              <w:rPr>
                <w:sz w:val="20"/>
                <w:szCs w:val="20"/>
              </w:rPr>
              <w:t>Sulaiman</w:t>
            </w:r>
            <w:proofErr w:type="spellEnd"/>
            <w:r>
              <w:rPr>
                <w:sz w:val="20"/>
                <w:szCs w:val="20"/>
              </w:rPr>
              <w:t xml:space="preserve"> et al. (2025), have been added. Prediction uncertainties related to single-date imagery and other limitations have been discussed in Section 3.5.</w:t>
            </w:r>
          </w:p>
          <w:p w:rsidR="00FD7E23" w:rsidRDefault="00FD7E23">
            <w:pPr>
              <w:rPr>
                <w:sz w:val="20"/>
                <w:szCs w:val="20"/>
              </w:rPr>
            </w:pPr>
          </w:p>
          <w:p w:rsidR="00FD7E23" w:rsidRDefault="00FD7E23">
            <w:pPr>
              <w:rPr>
                <w:sz w:val="20"/>
                <w:szCs w:val="20"/>
              </w:rPr>
            </w:pPr>
          </w:p>
          <w:p w:rsidR="00FD7E23" w:rsidRDefault="00FD7E23">
            <w:pPr>
              <w:rPr>
                <w:sz w:val="20"/>
                <w:szCs w:val="20"/>
              </w:rPr>
            </w:pPr>
          </w:p>
          <w:p w:rsidR="00FD7E23" w:rsidRDefault="00FD7E23">
            <w:pPr>
              <w:rPr>
                <w:sz w:val="20"/>
                <w:szCs w:val="20"/>
              </w:rPr>
            </w:pPr>
          </w:p>
          <w:p w:rsidR="00FD7E23" w:rsidRDefault="00FD7E23">
            <w:pPr>
              <w:rPr>
                <w:sz w:val="20"/>
                <w:szCs w:val="20"/>
              </w:rPr>
            </w:pPr>
          </w:p>
          <w:p w:rsidR="00FD7E23" w:rsidRDefault="00856D1E">
            <w:pPr>
              <w:rPr>
                <w:sz w:val="20"/>
                <w:szCs w:val="20"/>
              </w:rPr>
            </w:pPr>
            <w:r>
              <w:rPr>
                <w:sz w:val="20"/>
                <w:szCs w:val="20"/>
              </w:rPr>
              <w:t xml:space="preserve">The conclusion </w:t>
            </w:r>
            <w:r>
              <w:rPr>
                <w:sz w:val="20"/>
                <w:szCs w:val="20"/>
              </w:rPr>
              <w:t>has been made more forward-looking, and a short paragraph on policy and planning implications has been added. Future research directions, including multi-temporal analysis and LCZ integration, have been suggested.</w:t>
            </w:r>
          </w:p>
          <w:p w:rsidR="00FD7E23" w:rsidRDefault="00FD7E23">
            <w:pPr>
              <w:rPr>
                <w:sz w:val="20"/>
                <w:szCs w:val="20"/>
              </w:rPr>
            </w:pPr>
          </w:p>
          <w:p w:rsidR="00FD7E23" w:rsidRDefault="00FD7E23">
            <w:pPr>
              <w:rPr>
                <w:sz w:val="20"/>
                <w:szCs w:val="20"/>
              </w:rPr>
            </w:pPr>
          </w:p>
          <w:p w:rsidR="00FD7E23" w:rsidRDefault="00856D1E">
            <w:pPr>
              <w:rPr>
                <w:sz w:val="20"/>
                <w:szCs w:val="20"/>
              </w:rPr>
            </w:pPr>
            <w:r>
              <w:rPr>
                <w:sz w:val="20"/>
                <w:szCs w:val="20"/>
              </w:rPr>
              <w:t>We acknowledge the reviewer’s suggestion</w:t>
            </w:r>
            <w:r>
              <w:rPr>
                <w:sz w:val="20"/>
                <w:szCs w:val="20"/>
              </w:rPr>
              <w:t xml:space="preserve">s regarding future scope. Statements on recommendations and future research have been added to the conclusion. Multi-seasonal or multi-year imagery, Local Climate Zones, and advanced </w:t>
            </w:r>
            <w:proofErr w:type="spellStart"/>
            <w:r>
              <w:rPr>
                <w:sz w:val="20"/>
                <w:szCs w:val="20"/>
              </w:rPr>
              <w:t>modeling</w:t>
            </w:r>
            <w:proofErr w:type="spellEnd"/>
            <w:r>
              <w:rPr>
                <w:sz w:val="20"/>
                <w:szCs w:val="20"/>
              </w:rPr>
              <w:t xml:space="preserve"> approaches are proposed as potential avenues for follow-up studi</w:t>
            </w:r>
            <w:r>
              <w:rPr>
                <w:sz w:val="20"/>
                <w:szCs w:val="20"/>
              </w:rPr>
              <w:t>es.</w:t>
            </w:r>
          </w:p>
        </w:tc>
      </w:tr>
    </w:tbl>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FD7E23">
        <w:tc>
          <w:tcPr>
            <w:tcW w:w="21150" w:type="dxa"/>
            <w:gridSpan w:val="3"/>
            <w:tcBorders>
              <w:top w:val="nil"/>
              <w:left w:val="nil"/>
              <w:right w:val="nil"/>
            </w:tcBorders>
            <w:tcMar>
              <w:top w:w="0" w:type="dxa"/>
              <w:left w:w="108" w:type="dxa"/>
              <w:bottom w:w="0" w:type="dxa"/>
              <w:right w:w="108" w:type="dxa"/>
            </w:tcMar>
            <w:vAlign w:val="center"/>
          </w:tcPr>
          <w:p w:rsidR="008E52B0" w:rsidRDefault="008E52B0">
            <w:pPr>
              <w:rPr>
                <w:rFonts w:ascii="Arial" w:eastAsia="Arial" w:hAnsi="Arial" w:cs="Arial"/>
                <w:b/>
                <w:bCs/>
                <w:sz w:val="20"/>
                <w:szCs w:val="20"/>
                <w:highlight w:val="yellow"/>
                <w:u w:val="single"/>
              </w:rPr>
            </w:pPr>
            <w:bookmarkStart w:id="3" w:name="_heading=h.qfqar9i59tn4" w:colFirst="0" w:colLast="0"/>
            <w:bookmarkEnd w:id="3"/>
          </w:p>
          <w:p w:rsidR="00FD7E23" w:rsidRDefault="00856D1E">
            <w:pPr>
              <w:rPr>
                <w:rFonts w:ascii="Arial" w:eastAsia="Arial" w:hAnsi="Arial" w:cs="Arial"/>
                <w:sz w:val="20"/>
                <w:szCs w:val="20"/>
                <w:u w:val="single"/>
              </w:rPr>
            </w:pPr>
            <w:bookmarkStart w:id="4" w:name="_GoBack"/>
            <w:bookmarkEnd w:id="4"/>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FD7E23" w:rsidRDefault="00FD7E23">
            <w:pPr>
              <w:rPr>
                <w:rFonts w:ascii="Arial" w:eastAsia="Arial" w:hAnsi="Arial" w:cs="Arial"/>
                <w:sz w:val="20"/>
                <w:szCs w:val="20"/>
                <w:u w:val="single"/>
              </w:rPr>
            </w:pPr>
          </w:p>
        </w:tc>
      </w:tr>
      <w:tr w:rsidR="00FD7E23">
        <w:tc>
          <w:tcPr>
            <w:tcW w:w="6831" w:type="dxa"/>
            <w:tcMar>
              <w:top w:w="0" w:type="dxa"/>
              <w:left w:w="108" w:type="dxa"/>
              <w:bottom w:w="0" w:type="dxa"/>
              <w:right w:w="108" w:type="dxa"/>
            </w:tcMar>
            <w:vAlign w:val="center"/>
          </w:tcPr>
          <w:p w:rsidR="00FD7E23" w:rsidRDefault="00FD7E23">
            <w:pPr>
              <w:rPr>
                <w:rFonts w:ascii="Arial" w:eastAsia="Arial" w:hAnsi="Arial" w:cs="Arial"/>
                <w:sz w:val="20"/>
                <w:szCs w:val="20"/>
              </w:rPr>
            </w:pPr>
          </w:p>
        </w:tc>
        <w:tc>
          <w:tcPr>
            <w:tcW w:w="7166" w:type="dxa"/>
            <w:tcMar>
              <w:top w:w="0" w:type="dxa"/>
              <w:left w:w="108" w:type="dxa"/>
              <w:bottom w:w="0" w:type="dxa"/>
              <w:right w:w="108" w:type="dxa"/>
            </w:tcMar>
          </w:tcPr>
          <w:p w:rsidR="00FD7E23" w:rsidRDefault="00856D1E">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FD7E23" w:rsidRDefault="00856D1E">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FD7E23" w:rsidRDefault="00FD7E23">
            <w:pPr>
              <w:keepNext/>
              <w:rPr>
                <w:rFonts w:ascii="Arial" w:eastAsia="Arial" w:hAnsi="Arial" w:cs="Arial"/>
                <w:sz w:val="20"/>
                <w:szCs w:val="20"/>
              </w:rPr>
            </w:pPr>
          </w:p>
        </w:tc>
      </w:tr>
      <w:tr w:rsidR="00FD7E23">
        <w:trPr>
          <w:trHeight w:val="890"/>
        </w:trPr>
        <w:tc>
          <w:tcPr>
            <w:tcW w:w="6831" w:type="dxa"/>
            <w:tcMar>
              <w:top w:w="0" w:type="dxa"/>
              <w:left w:w="108" w:type="dxa"/>
              <w:bottom w:w="0" w:type="dxa"/>
              <w:right w:w="108" w:type="dxa"/>
            </w:tcMar>
            <w:vAlign w:val="center"/>
          </w:tcPr>
          <w:p w:rsidR="00FD7E23" w:rsidRDefault="00856D1E">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FD7E23" w:rsidRDefault="00FD7E23">
            <w:pPr>
              <w:rPr>
                <w:rFonts w:ascii="Arial" w:eastAsia="Arial" w:hAnsi="Arial" w:cs="Arial"/>
                <w:sz w:val="20"/>
                <w:szCs w:val="20"/>
              </w:rPr>
            </w:pPr>
          </w:p>
        </w:tc>
        <w:tc>
          <w:tcPr>
            <w:tcW w:w="7166" w:type="dxa"/>
            <w:tcMar>
              <w:top w:w="0" w:type="dxa"/>
              <w:left w:w="108" w:type="dxa"/>
              <w:bottom w:w="0" w:type="dxa"/>
              <w:right w:w="108" w:type="dxa"/>
            </w:tcMar>
            <w:vAlign w:val="center"/>
          </w:tcPr>
          <w:p w:rsidR="00FD7E23" w:rsidRDefault="00856D1E">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FD7E23" w:rsidRDefault="00FD7E23">
            <w:pPr>
              <w:rPr>
                <w:rFonts w:ascii="Arial" w:eastAsia="Arial" w:hAnsi="Arial" w:cs="Arial"/>
                <w:sz w:val="20"/>
                <w:szCs w:val="20"/>
              </w:rPr>
            </w:pPr>
          </w:p>
        </w:tc>
        <w:tc>
          <w:tcPr>
            <w:tcW w:w="7153" w:type="dxa"/>
            <w:vAlign w:val="center"/>
          </w:tcPr>
          <w:p w:rsidR="00FD7E23" w:rsidRDefault="00FD7E23">
            <w:pPr>
              <w:rPr>
                <w:rFonts w:ascii="Arial" w:eastAsia="Arial" w:hAnsi="Arial" w:cs="Arial"/>
                <w:sz w:val="20"/>
                <w:szCs w:val="20"/>
              </w:rPr>
            </w:pPr>
          </w:p>
          <w:p w:rsidR="00FD7E23" w:rsidRDefault="00FD7E23">
            <w:pPr>
              <w:rPr>
                <w:rFonts w:ascii="Arial" w:eastAsia="Arial" w:hAnsi="Arial" w:cs="Arial"/>
                <w:sz w:val="20"/>
                <w:szCs w:val="20"/>
              </w:rPr>
            </w:pPr>
          </w:p>
          <w:p w:rsidR="00FD7E23" w:rsidRDefault="00FD7E23">
            <w:pPr>
              <w:rPr>
                <w:rFonts w:ascii="Arial" w:eastAsia="Arial" w:hAnsi="Arial" w:cs="Arial"/>
                <w:sz w:val="20"/>
                <w:szCs w:val="20"/>
              </w:rPr>
            </w:pPr>
          </w:p>
        </w:tc>
      </w:tr>
    </w:tbl>
    <w:p w:rsidR="00FD7E23" w:rsidRDefault="00FD7E23"/>
    <w:p w:rsidR="00FD7E23" w:rsidRDefault="00FD7E23"/>
    <w:p w:rsidR="00FD7E23" w:rsidRDefault="00FD7E23">
      <w:pPr>
        <w:rPr>
          <w:u w:val="single"/>
        </w:rPr>
      </w:pPr>
    </w:p>
    <w:p w:rsidR="00FD7E23" w:rsidRDefault="00FD7E23"/>
    <w:p w:rsidR="00FD7E23" w:rsidRDefault="00FD7E23">
      <w:pPr>
        <w:pBdr>
          <w:top w:val="nil"/>
          <w:left w:val="nil"/>
          <w:bottom w:val="nil"/>
          <w:right w:val="nil"/>
          <w:between w:val="nil"/>
        </w:pBdr>
        <w:jc w:val="both"/>
        <w:rPr>
          <w:color w:val="000000"/>
          <w:sz w:val="20"/>
          <w:szCs w:val="20"/>
          <w:u w:val="single"/>
        </w:rPr>
      </w:pPr>
    </w:p>
    <w:sectPr w:rsidR="00FD7E23">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56D1E" w:rsidRDefault="00856D1E">
      <w:r>
        <w:separator/>
      </w:r>
    </w:p>
  </w:endnote>
  <w:endnote w:type="continuationSeparator" w:id="0">
    <w:p w:rsidR="00856D1E" w:rsidRDefault="00856D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0394E45A-DB88-4A59-84D9-2D1FE48C795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2" w:fontKey="{C0AD2647-A021-45AC-8BBD-B737A972048F}"/>
    <w:embedBold r:id="rId3" w:fontKey="{1F3718D7-2B8E-41AB-9CA0-E533DF098BAA}"/>
  </w:font>
  <w:font w:name="Arimo">
    <w:charset w:val="00"/>
    <w:family w:val="auto"/>
    <w:pitch w:val="default"/>
    <w:embedBold r:id="rId4" w:fontKey="{42DAE9C5-5084-4C80-9197-F82DD44D440E}"/>
  </w:font>
  <w:font w:name="Helvetica">
    <w:panose1 w:val="020B0604020202020204"/>
    <w:charset w:val="00"/>
    <w:family w:val="swiss"/>
    <w:pitch w:val="variable"/>
    <w:sig w:usb0="E0002EFF" w:usb1="C000785B" w:usb2="00000009" w:usb3="00000000" w:csb0="000001FF" w:csb1="00000000"/>
    <w:embedRegular r:id="rId5" w:fontKey="{FCFF5529-72EA-4DFD-BC10-BB8BFAFE828D}"/>
    <w:embedBold r:id="rId6" w:fontKey="{9021BE54-3B72-4225-AAEF-C4D4A380E7BC}"/>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7" w:fontKey="{9C6B7E72-F01B-4044-B963-3350BB7FE675}"/>
  </w:font>
  <w:font w:name="Georgia">
    <w:panose1 w:val="02040502050405020303"/>
    <w:charset w:val="00"/>
    <w:family w:val="roman"/>
    <w:pitch w:val="variable"/>
    <w:sig w:usb0="00000287" w:usb1="00000000" w:usb2="00000000" w:usb3="00000000" w:csb0="0000009F" w:csb1="00000000"/>
    <w:embedItalic r:id="rId8" w:fontKey="{7BF16BCE-74ED-4180-B023-51ED4D2F0F3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672E0EB8-7948-4FB5-8704-A9BA1ED0C3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D7E23" w:rsidRDefault="00856D1E">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56D1E" w:rsidRDefault="00856D1E">
      <w:r>
        <w:separator/>
      </w:r>
    </w:p>
  </w:footnote>
  <w:footnote w:type="continuationSeparator" w:id="0">
    <w:p w:rsidR="00856D1E" w:rsidRDefault="00856D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D7E23" w:rsidRDefault="00FD7E23">
    <w:pPr>
      <w:spacing w:after="280"/>
      <w:jc w:val="center"/>
      <w:rPr>
        <w:rFonts w:ascii="Arial" w:eastAsia="Arial" w:hAnsi="Arial" w:cs="Arial"/>
        <w:color w:val="003399"/>
        <w:u w:val="single"/>
      </w:rPr>
    </w:pPr>
  </w:p>
  <w:p w:rsidR="00FD7E23" w:rsidRDefault="00856D1E">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F16957"/>
    <w:multiLevelType w:val="multilevel"/>
    <w:tmpl w:val="DDA23C0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295C5903"/>
    <w:multiLevelType w:val="multilevel"/>
    <w:tmpl w:val="13E0E6B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38EF677D"/>
    <w:multiLevelType w:val="multilevel"/>
    <w:tmpl w:val="EF1EE092"/>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3" w15:restartNumberingAfterBreak="0">
    <w:nsid w:val="584F0C33"/>
    <w:multiLevelType w:val="multilevel"/>
    <w:tmpl w:val="4C9A1BF4"/>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4" w15:restartNumberingAfterBreak="0">
    <w:nsid w:val="694973C3"/>
    <w:multiLevelType w:val="multilevel"/>
    <w:tmpl w:val="81C00D48"/>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5" w15:restartNumberingAfterBreak="0">
    <w:nsid w:val="6DDD06C3"/>
    <w:multiLevelType w:val="multilevel"/>
    <w:tmpl w:val="2F1A7F84"/>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6" w15:restartNumberingAfterBreak="0">
    <w:nsid w:val="73D759FB"/>
    <w:multiLevelType w:val="multilevel"/>
    <w:tmpl w:val="542A6762"/>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num w:numId="1">
    <w:abstractNumId w:val="0"/>
  </w:num>
  <w:num w:numId="2">
    <w:abstractNumId w:val="3"/>
  </w:num>
  <w:num w:numId="3">
    <w:abstractNumId w:val="4"/>
  </w:num>
  <w:num w:numId="4">
    <w:abstractNumId w:val="6"/>
  </w:num>
  <w:num w:numId="5">
    <w:abstractNumId w:val="2"/>
  </w:num>
  <w:num w:numId="6">
    <w:abstractNumId w:val="5"/>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7E23"/>
    <w:rsid w:val="00856D1E"/>
    <w:rsid w:val="008E52B0"/>
    <w:rsid w:val="00FD7E2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7CC461"/>
  <w15:docId w15:val="{F98D2CA0-4016-4712-8F3E-1CE18A28F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jgeesi.com/index.php/JGEESI"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2/8qRJVuSNopRWAvE7oAfGFfNDw==">CgMxLjAyDmgudG1oMHhyc3M3NzloMg1oLm9oNmJ3c3o4aXpkMg5oLnpla2psOWZ4cGhlYzIOaC5xZnFhcjlpNTl0bjQ4AHIhMUprWEYydlllZVpQcHdzeldCN2lGUm5wb2xtZzk2R0Y2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1232</Words>
  <Characters>7029</Characters>
  <Application>Microsoft Office Word</Application>
  <DocSecurity>0</DocSecurity>
  <Lines>58</Lines>
  <Paragraphs>16</Paragraphs>
  <ScaleCrop>false</ScaleCrop>
  <Company/>
  <LinksUpToDate>false</LinksUpToDate>
  <CharactersWithSpaces>8245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2011-08-01T09:21:00Z</dcterms:created>
  <dcterms:modified xsi:type="dcterms:W3CDTF">2025-12-24T07:26:00Z</dcterms:modified>
</cp:coreProperties>
</file>