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9C632" w14:textId="77777777" w:rsidR="007F16A4" w:rsidRDefault="007F16A4">
      <w:pPr>
        <w:spacing w:before="99" w:after="1"/>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7F16A4" w14:paraId="31D92F27" w14:textId="77777777">
        <w:trPr>
          <w:trHeight w:val="284"/>
        </w:trPr>
        <w:tc>
          <w:tcPr>
            <w:tcW w:w="5166" w:type="dxa"/>
            <w:tcBorders>
              <w:left w:val="single" w:sz="4" w:space="0" w:color="000000"/>
              <w:right w:val="single" w:sz="4" w:space="0" w:color="000000"/>
            </w:tcBorders>
          </w:tcPr>
          <w:p w14:paraId="4BD5561D" w14:textId="77777777" w:rsidR="007F16A4" w:rsidRDefault="003822E7">
            <w:pPr>
              <w:pStyle w:val="TableParagraph"/>
              <w:spacing w:before="2"/>
              <w:ind w:left="91"/>
              <w:rPr>
                <w:rFonts w:ascii="Arial"/>
                <w:sz w:val="20"/>
              </w:rPr>
            </w:pPr>
            <w:r>
              <w:rPr>
                <w:rFonts w:ascii="Arial"/>
                <w:sz w:val="20"/>
              </w:rPr>
              <w:t>Journal</w:t>
            </w:r>
            <w:r>
              <w:rPr>
                <w:rFonts w:ascii="Arial"/>
                <w:spacing w:val="-11"/>
                <w:sz w:val="20"/>
              </w:rPr>
              <w:t xml:space="preserve"> </w:t>
            </w:r>
            <w:r>
              <w:rPr>
                <w:rFonts w:ascii="Arial"/>
                <w:spacing w:val="-2"/>
                <w:sz w:val="20"/>
              </w:rPr>
              <w:t>Name:</w:t>
            </w:r>
          </w:p>
        </w:tc>
        <w:tc>
          <w:tcPr>
            <w:tcW w:w="15769" w:type="dxa"/>
            <w:tcBorders>
              <w:left w:val="single" w:sz="4" w:space="0" w:color="000000"/>
              <w:right w:val="single" w:sz="4" w:space="0" w:color="000000"/>
            </w:tcBorders>
          </w:tcPr>
          <w:p w14:paraId="52556A3B" w14:textId="77777777" w:rsidR="007F16A4" w:rsidRDefault="003822E7">
            <w:pPr>
              <w:pStyle w:val="TableParagraph"/>
              <w:spacing w:before="30"/>
              <w:ind w:left="108"/>
              <w:rPr>
                <w:rFonts w:ascii="Arial"/>
                <w:b/>
                <w:sz w:val="20"/>
              </w:rPr>
            </w:pPr>
            <w:hyperlink r:id="rId7">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Advances</w:t>
              </w:r>
              <w:r>
                <w:rPr>
                  <w:rFonts w:ascii="Arial"/>
                  <w:b/>
                  <w:color w:val="0000FF"/>
                  <w:spacing w:val="-5"/>
                  <w:sz w:val="20"/>
                  <w:u w:val="single" w:color="0000FF"/>
                </w:rPr>
                <w:t xml:space="preserve"> </w:t>
              </w:r>
              <w:r>
                <w:rPr>
                  <w:rFonts w:ascii="Arial"/>
                  <w:b/>
                  <w:color w:val="0000FF"/>
                  <w:sz w:val="20"/>
                  <w:u w:val="single" w:color="0000FF"/>
                </w:rPr>
                <w:t>in</w:t>
              </w:r>
              <w:r>
                <w:rPr>
                  <w:rFonts w:ascii="Arial"/>
                  <w:b/>
                  <w:color w:val="0000FF"/>
                  <w:spacing w:val="-5"/>
                  <w:sz w:val="20"/>
                  <w:u w:val="single" w:color="0000FF"/>
                </w:rPr>
                <w:t xml:space="preserve"> </w:t>
              </w:r>
              <w:r>
                <w:rPr>
                  <w:rFonts w:ascii="Arial"/>
                  <w:b/>
                  <w:color w:val="0000FF"/>
                  <w:sz w:val="20"/>
                  <w:u w:val="single" w:color="0000FF"/>
                </w:rPr>
                <w:t>Biology</w:t>
              </w:r>
              <w:r>
                <w:rPr>
                  <w:rFonts w:ascii="Arial"/>
                  <w:b/>
                  <w:color w:val="0000FF"/>
                  <w:spacing w:val="-7"/>
                  <w:sz w:val="20"/>
                  <w:u w:val="single" w:color="0000FF"/>
                </w:rPr>
                <w:t xml:space="preserve"> </w:t>
              </w:r>
              <w:r>
                <w:rPr>
                  <w:rFonts w:ascii="Arial"/>
                  <w:b/>
                  <w:color w:val="0000FF"/>
                  <w:sz w:val="20"/>
                  <w:u w:val="single" w:color="0000FF"/>
                </w:rPr>
                <w:t>&amp;</w:t>
              </w:r>
              <w:r>
                <w:rPr>
                  <w:rFonts w:ascii="Arial"/>
                  <w:b/>
                  <w:color w:val="0000FF"/>
                  <w:spacing w:val="-8"/>
                  <w:sz w:val="20"/>
                  <w:u w:val="single" w:color="0000FF"/>
                </w:rPr>
                <w:t xml:space="preserve"> </w:t>
              </w:r>
              <w:r>
                <w:rPr>
                  <w:rFonts w:ascii="Arial"/>
                  <w:b/>
                  <w:color w:val="0000FF"/>
                  <w:spacing w:val="-2"/>
                  <w:sz w:val="20"/>
                  <w:u w:val="single" w:color="0000FF"/>
                </w:rPr>
                <w:t>Biotechnology</w:t>
              </w:r>
            </w:hyperlink>
          </w:p>
        </w:tc>
      </w:tr>
      <w:tr w:rsidR="007F16A4" w14:paraId="54C6B0F7" w14:textId="77777777">
        <w:trPr>
          <w:trHeight w:val="288"/>
        </w:trPr>
        <w:tc>
          <w:tcPr>
            <w:tcW w:w="5166" w:type="dxa"/>
            <w:tcBorders>
              <w:left w:val="single" w:sz="4" w:space="0" w:color="000000"/>
              <w:bottom w:val="single" w:sz="4" w:space="0" w:color="000000"/>
              <w:right w:val="single" w:sz="4" w:space="0" w:color="000000"/>
            </w:tcBorders>
          </w:tcPr>
          <w:p w14:paraId="73F2BD36" w14:textId="77777777" w:rsidR="007F16A4" w:rsidRDefault="003822E7">
            <w:pPr>
              <w:pStyle w:val="TableParagraph"/>
              <w:spacing w:before="2"/>
              <w:ind w:left="91"/>
              <w:rPr>
                <w:rFonts w:ascii="Arial"/>
                <w:sz w:val="20"/>
              </w:rPr>
            </w:pPr>
            <w:r>
              <w:rPr>
                <w:rFonts w:ascii="Arial"/>
                <w:sz w:val="20"/>
              </w:rPr>
              <w:t>Manuscript</w:t>
            </w:r>
            <w:r>
              <w:rPr>
                <w:rFonts w:ascii="Arial"/>
                <w:spacing w:val="-12"/>
                <w:sz w:val="20"/>
              </w:rPr>
              <w:t xml:space="preserve"> </w:t>
            </w:r>
            <w:r>
              <w:rPr>
                <w:rFonts w:ascii="Arial"/>
                <w:spacing w:val="-2"/>
                <w:sz w:val="20"/>
              </w:rPr>
              <w:t>Number:</w:t>
            </w:r>
          </w:p>
        </w:tc>
        <w:tc>
          <w:tcPr>
            <w:tcW w:w="15769" w:type="dxa"/>
            <w:tcBorders>
              <w:left w:val="single" w:sz="4" w:space="0" w:color="000000"/>
              <w:bottom w:val="single" w:sz="4" w:space="0" w:color="000000"/>
              <w:right w:val="single" w:sz="4" w:space="0" w:color="000000"/>
            </w:tcBorders>
          </w:tcPr>
          <w:p w14:paraId="4251BCD9" w14:textId="77777777" w:rsidR="007F16A4" w:rsidRDefault="003822E7">
            <w:pPr>
              <w:pStyle w:val="TableParagraph"/>
              <w:spacing w:before="33"/>
              <w:ind w:left="108"/>
              <w:rPr>
                <w:rFonts w:ascii="Arial"/>
                <w:b/>
                <w:sz w:val="20"/>
              </w:rPr>
            </w:pPr>
            <w:r>
              <w:rPr>
                <w:rFonts w:ascii="Arial"/>
                <w:b/>
                <w:spacing w:val="-2"/>
                <w:sz w:val="20"/>
              </w:rPr>
              <w:t>Ms_JABB_150954</w:t>
            </w:r>
          </w:p>
        </w:tc>
      </w:tr>
      <w:tr w:rsidR="007F16A4" w14:paraId="043341FF"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57FCF4A" w14:textId="77777777" w:rsidR="007F16A4" w:rsidRDefault="003822E7">
            <w:pPr>
              <w:pStyle w:val="TableParagraph"/>
              <w:spacing w:before="3"/>
              <w:ind w:left="91"/>
              <w:rPr>
                <w:rFonts w:ascii="Arial"/>
                <w:sz w:val="20"/>
              </w:rPr>
            </w:pPr>
            <w:r>
              <w:rPr>
                <w:rFonts w:ascii="Arial"/>
                <w:sz w:val="20"/>
              </w:rPr>
              <w:t>Title</w:t>
            </w:r>
            <w:r>
              <w:rPr>
                <w:rFonts w:ascii="Arial"/>
                <w:spacing w:val="-5"/>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69" w:type="dxa"/>
            <w:tcBorders>
              <w:top w:val="single" w:sz="4" w:space="0" w:color="000000"/>
              <w:left w:val="single" w:sz="4" w:space="0" w:color="000000"/>
              <w:bottom w:val="single" w:sz="4" w:space="0" w:color="000000"/>
              <w:right w:val="single" w:sz="4" w:space="0" w:color="000000"/>
            </w:tcBorders>
          </w:tcPr>
          <w:p w14:paraId="734048BC" w14:textId="77777777" w:rsidR="007F16A4" w:rsidRDefault="003822E7">
            <w:pPr>
              <w:pStyle w:val="TableParagraph"/>
              <w:spacing w:before="213"/>
              <w:ind w:left="108"/>
              <w:rPr>
                <w:rFonts w:ascii="Arial"/>
                <w:b/>
                <w:sz w:val="20"/>
              </w:rPr>
            </w:pPr>
            <w:r>
              <w:rPr>
                <w:rFonts w:ascii="Arial"/>
                <w:b/>
                <w:sz w:val="20"/>
              </w:rPr>
              <w:t>Survey,</w:t>
            </w:r>
            <w:r>
              <w:rPr>
                <w:rFonts w:ascii="Arial"/>
                <w:b/>
                <w:spacing w:val="-9"/>
                <w:sz w:val="20"/>
              </w:rPr>
              <w:t xml:space="preserve"> </w:t>
            </w:r>
            <w:r>
              <w:rPr>
                <w:rFonts w:ascii="Arial"/>
                <w:b/>
                <w:sz w:val="20"/>
              </w:rPr>
              <w:t>Pathogenicity</w:t>
            </w:r>
            <w:r>
              <w:rPr>
                <w:rFonts w:ascii="Arial"/>
                <w:b/>
                <w:spacing w:val="-7"/>
                <w:sz w:val="20"/>
              </w:rPr>
              <w:t xml:space="preserve"> </w:t>
            </w:r>
            <w:r>
              <w:rPr>
                <w:rFonts w:ascii="Arial"/>
                <w:b/>
                <w:sz w:val="20"/>
              </w:rPr>
              <w:t>and</w:t>
            </w:r>
            <w:r>
              <w:rPr>
                <w:rFonts w:ascii="Arial"/>
                <w:b/>
                <w:spacing w:val="-10"/>
                <w:sz w:val="20"/>
              </w:rPr>
              <w:t xml:space="preserve"> </w:t>
            </w:r>
            <w:r>
              <w:rPr>
                <w:rFonts w:ascii="Arial"/>
                <w:b/>
                <w:sz w:val="20"/>
              </w:rPr>
              <w:t>Molecular</w:t>
            </w:r>
            <w:r>
              <w:rPr>
                <w:rFonts w:ascii="Arial"/>
                <w:b/>
                <w:spacing w:val="-5"/>
                <w:sz w:val="20"/>
              </w:rPr>
              <w:t xml:space="preserve"> </w:t>
            </w:r>
            <w:r>
              <w:rPr>
                <w:rFonts w:ascii="Arial"/>
                <w:b/>
                <w:sz w:val="20"/>
              </w:rPr>
              <w:t>Characterization</w:t>
            </w:r>
            <w:r>
              <w:rPr>
                <w:rFonts w:ascii="Arial"/>
                <w:b/>
                <w:spacing w:val="-7"/>
                <w:sz w:val="20"/>
              </w:rPr>
              <w:t xml:space="preserve"> </w:t>
            </w:r>
            <w:r>
              <w:rPr>
                <w:rFonts w:ascii="Arial"/>
                <w:b/>
                <w:sz w:val="20"/>
              </w:rPr>
              <w:t>of</w:t>
            </w:r>
            <w:r>
              <w:rPr>
                <w:rFonts w:ascii="Arial"/>
                <w:b/>
                <w:spacing w:val="-7"/>
                <w:sz w:val="20"/>
              </w:rPr>
              <w:t xml:space="preserve"> </w:t>
            </w:r>
            <w:r>
              <w:rPr>
                <w:rFonts w:ascii="Arial"/>
                <w:b/>
                <w:sz w:val="20"/>
              </w:rPr>
              <w:t>Colletotrichum</w:t>
            </w:r>
            <w:r>
              <w:rPr>
                <w:rFonts w:ascii="Arial"/>
                <w:b/>
                <w:spacing w:val="-4"/>
                <w:sz w:val="20"/>
              </w:rPr>
              <w:t xml:space="preserve"> </w:t>
            </w:r>
            <w:proofErr w:type="spellStart"/>
            <w:r>
              <w:rPr>
                <w:rFonts w:ascii="Arial"/>
                <w:b/>
                <w:sz w:val="20"/>
              </w:rPr>
              <w:t>capsici</w:t>
            </w:r>
            <w:proofErr w:type="spellEnd"/>
            <w:r>
              <w:rPr>
                <w:rFonts w:ascii="Arial"/>
                <w:b/>
                <w:spacing w:val="-9"/>
                <w:sz w:val="20"/>
              </w:rPr>
              <w:t xml:space="preserve"> </w:t>
            </w:r>
            <w:r>
              <w:rPr>
                <w:rFonts w:ascii="Arial"/>
                <w:b/>
                <w:sz w:val="20"/>
              </w:rPr>
              <w:t>Causing</w:t>
            </w:r>
            <w:r>
              <w:rPr>
                <w:rFonts w:ascii="Arial"/>
                <w:b/>
                <w:spacing w:val="-10"/>
                <w:sz w:val="20"/>
              </w:rPr>
              <w:t xml:space="preserve"> </w:t>
            </w:r>
            <w:r>
              <w:rPr>
                <w:rFonts w:ascii="Arial"/>
                <w:b/>
                <w:sz w:val="20"/>
              </w:rPr>
              <w:t>Anthracnose</w:t>
            </w:r>
            <w:r>
              <w:rPr>
                <w:rFonts w:ascii="Arial"/>
                <w:b/>
                <w:spacing w:val="-9"/>
                <w:sz w:val="20"/>
              </w:rPr>
              <w:t xml:space="preserve"> </w:t>
            </w:r>
            <w:r>
              <w:rPr>
                <w:rFonts w:ascii="Arial"/>
                <w:b/>
                <w:sz w:val="20"/>
              </w:rPr>
              <w:t>of</w:t>
            </w:r>
            <w:r>
              <w:rPr>
                <w:rFonts w:ascii="Arial"/>
                <w:b/>
                <w:spacing w:val="-10"/>
                <w:sz w:val="20"/>
              </w:rPr>
              <w:t xml:space="preserve"> </w:t>
            </w:r>
            <w:r>
              <w:rPr>
                <w:rFonts w:ascii="Arial"/>
                <w:b/>
                <w:sz w:val="20"/>
              </w:rPr>
              <w:t>Chilli</w:t>
            </w:r>
            <w:r>
              <w:rPr>
                <w:rFonts w:ascii="Arial"/>
                <w:b/>
                <w:spacing w:val="-6"/>
                <w:sz w:val="20"/>
              </w:rPr>
              <w:t xml:space="preserve"> </w:t>
            </w:r>
            <w:r>
              <w:rPr>
                <w:rFonts w:ascii="Arial"/>
                <w:b/>
                <w:sz w:val="20"/>
              </w:rPr>
              <w:t>(Capsicum</w:t>
            </w:r>
            <w:r>
              <w:rPr>
                <w:rFonts w:ascii="Arial"/>
                <w:b/>
                <w:spacing w:val="-7"/>
                <w:sz w:val="20"/>
              </w:rPr>
              <w:t xml:space="preserve"> </w:t>
            </w:r>
            <w:r>
              <w:rPr>
                <w:rFonts w:ascii="Arial"/>
                <w:b/>
                <w:sz w:val="20"/>
              </w:rPr>
              <w:t>annum</w:t>
            </w:r>
            <w:r>
              <w:rPr>
                <w:rFonts w:ascii="Arial"/>
                <w:b/>
                <w:spacing w:val="1"/>
                <w:sz w:val="20"/>
              </w:rPr>
              <w:t xml:space="preserve"> </w:t>
            </w:r>
            <w:r>
              <w:rPr>
                <w:rFonts w:ascii="Arial"/>
                <w:b/>
                <w:sz w:val="20"/>
              </w:rPr>
              <w:t>L.)</w:t>
            </w:r>
            <w:r>
              <w:rPr>
                <w:rFonts w:ascii="Arial"/>
                <w:b/>
                <w:spacing w:val="-10"/>
                <w:sz w:val="20"/>
              </w:rPr>
              <w:t xml:space="preserve"> </w:t>
            </w:r>
            <w:r>
              <w:rPr>
                <w:rFonts w:ascii="Arial"/>
                <w:b/>
                <w:sz w:val="20"/>
              </w:rPr>
              <w:t>in</w:t>
            </w:r>
            <w:r>
              <w:rPr>
                <w:rFonts w:ascii="Arial"/>
                <w:b/>
                <w:spacing w:val="-10"/>
                <w:sz w:val="20"/>
              </w:rPr>
              <w:t xml:space="preserve"> </w:t>
            </w:r>
            <w:r>
              <w:rPr>
                <w:rFonts w:ascii="Arial"/>
                <w:b/>
                <w:sz w:val="20"/>
              </w:rPr>
              <w:t>Tamil</w:t>
            </w:r>
            <w:r>
              <w:rPr>
                <w:rFonts w:ascii="Arial"/>
                <w:b/>
                <w:spacing w:val="-9"/>
                <w:sz w:val="20"/>
              </w:rPr>
              <w:t xml:space="preserve"> </w:t>
            </w:r>
            <w:r>
              <w:rPr>
                <w:rFonts w:ascii="Arial"/>
                <w:b/>
                <w:sz w:val="20"/>
              </w:rPr>
              <w:t>Nadu,</w:t>
            </w:r>
            <w:r>
              <w:rPr>
                <w:rFonts w:ascii="Arial"/>
                <w:b/>
                <w:spacing w:val="-6"/>
                <w:sz w:val="20"/>
              </w:rPr>
              <w:t xml:space="preserve"> </w:t>
            </w:r>
            <w:r>
              <w:rPr>
                <w:rFonts w:ascii="Arial"/>
                <w:b/>
                <w:spacing w:val="-2"/>
                <w:sz w:val="20"/>
              </w:rPr>
              <w:t>India</w:t>
            </w:r>
          </w:p>
        </w:tc>
      </w:tr>
      <w:tr w:rsidR="007F16A4" w14:paraId="7C108003" w14:textId="77777777">
        <w:trPr>
          <w:trHeight w:val="333"/>
        </w:trPr>
        <w:tc>
          <w:tcPr>
            <w:tcW w:w="5166" w:type="dxa"/>
            <w:tcBorders>
              <w:top w:val="single" w:sz="4" w:space="0" w:color="000000"/>
              <w:left w:val="single" w:sz="4" w:space="0" w:color="000000"/>
              <w:bottom w:val="single" w:sz="4" w:space="0" w:color="000000"/>
              <w:right w:val="single" w:sz="4" w:space="0" w:color="000000"/>
            </w:tcBorders>
          </w:tcPr>
          <w:p w14:paraId="3D77841E" w14:textId="77777777" w:rsidR="007F16A4" w:rsidRDefault="003822E7">
            <w:pPr>
              <w:pStyle w:val="TableParagraph"/>
              <w:spacing w:before="3"/>
              <w:ind w:left="91"/>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5"/>
                <w:sz w:val="20"/>
              </w:rPr>
              <w:t xml:space="preserve"> </w:t>
            </w:r>
            <w:r>
              <w:rPr>
                <w:rFonts w:ascii="Arial"/>
                <w:sz w:val="20"/>
              </w:rPr>
              <w:t>the</w:t>
            </w:r>
            <w:r>
              <w:rPr>
                <w:rFonts w:ascii="Arial"/>
                <w:spacing w:val="-4"/>
                <w:sz w:val="20"/>
              </w:rPr>
              <w:t xml:space="preserve"> </w:t>
            </w:r>
            <w:r>
              <w:rPr>
                <w:rFonts w:ascii="Arial"/>
                <w:spacing w:val="-2"/>
                <w:sz w:val="20"/>
              </w:rPr>
              <w:t>Article</w:t>
            </w:r>
          </w:p>
        </w:tc>
        <w:tc>
          <w:tcPr>
            <w:tcW w:w="15769" w:type="dxa"/>
            <w:tcBorders>
              <w:top w:val="single" w:sz="4" w:space="0" w:color="000000"/>
              <w:left w:val="single" w:sz="4" w:space="0" w:color="000000"/>
              <w:bottom w:val="single" w:sz="4" w:space="0" w:color="000000"/>
              <w:right w:val="single" w:sz="4" w:space="0" w:color="000000"/>
            </w:tcBorders>
          </w:tcPr>
          <w:p w14:paraId="2D143A62" w14:textId="77777777" w:rsidR="007F16A4" w:rsidRDefault="003822E7">
            <w:pPr>
              <w:pStyle w:val="TableParagraph"/>
              <w:spacing w:before="55"/>
              <w:ind w:left="108"/>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11"/>
                <w:sz w:val="20"/>
              </w:rPr>
              <w:t xml:space="preserve"> </w:t>
            </w:r>
            <w:r>
              <w:rPr>
                <w:rFonts w:ascii="Arial"/>
                <w:b/>
                <w:spacing w:val="-2"/>
                <w:sz w:val="20"/>
              </w:rPr>
              <w:t>Article</w:t>
            </w:r>
          </w:p>
        </w:tc>
      </w:tr>
    </w:tbl>
    <w:p w14:paraId="0744A19E" w14:textId="77777777" w:rsidR="007F16A4" w:rsidRDefault="007F16A4">
      <w:pPr>
        <w:pStyle w:val="BodyText"/>
        <w:ind w:left="165"/>
        <w:rPr>
          <w:color w:val="000000"/>
          <w:highlight w:val="yellow"/>
        </w:rPr>
      </w:pPr>
      <w:bookmarkStart w:id="0" w:name="_GoBack"/>
      <w:bookmarkEnd w:id="0"/>
    </w:p>
    <w:p w14:paraId="6EF8E298" w14:textId="77777777" w:rsidR="007F16A4" w:rsidRDefault="003822E7">
      <w:pPr>
        <w:pStyle w:val="BodyText"/>
        <w:ind w:left="165"/>
      </w:pPr>
      <w:r>
        <w:rPr>
          <w:color w:val="000000"/>
          <w:highlight w:val="yellow"/>
        </w:rPr>
        <w:t>PART</w:t>
      </w:r>
      <w:r>
        <w:rPr>
          <w:color w:val="000000"/>
          <w:spacing w:val="46"/>
          <w:highlight w:val="yellow"/>
        </w:rPr>
        <w:t xml:space="preserve"> </w:t>
      </w:r>
      <w:r>
        <w:rPr>
          <w:color w:val="000000"/>
          <w:highlight w:val="yellow"/>
        </w:rPr>
        <w:t>1:</w:t>
      </w:r>
      <w:r>
        <w:rPr>
          <w:color w:val="000000"/>
          <w:spacing w:val="-3"/>
        </w:rPr>
        <w:t xml:space="preserve"> </w:t>
      </w:r>
      <w:r>
        <w:rPr>
          <w:color w:val="000000"/>
          <w:spacing w:val="-2"/>
        </w:rPr>
        <w:t>Comments</w:t>
      </w:r>
    </w:p>
    <w:p w14:paraId="5D19C3E6" w14:textId="77777777" w:rsidR="007F16A4" w:rsidRDefault="007F16A4">
      <w:pPr>
        <w:spacing w:before="1" w:after="1"/>
        <w:rPr>
          <w:b/>
          <w:sz w:val="20"/>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F16A4" w14:paraId="4C82D438" w14:textId="77777777">
        <w:trPr>
          <w:trHeight w:val="966"/>
        </w:trPr>
        <w:tc>
          <w:tcPr>
            <w:tcW w:w="5352" w:type="dxa"/>
          </w:tcPr>
          <w:p w14:paraId="407D30F0" w14:textId="77777777" w:rsidR="007F16A4" w:rsidRDefault="007F16A4">
            <w:pPr>
              <w:pStyle w:val="TableParagraph"/>
              <w:ind w:left="0"/>
              <w:rPr>
                <w:sz w:val="18"/>
              </w:rPr>
            </w:pPr>
          </w:p>
        </w:tc>
        <w:tc>
          <w:tcPr>
            <w:tcW w:w="9356" w:type="dxa"/>
          </w:tcPr>
          <w:p w14:paraId="1DCB2D9F" w14:textId="77777777" w:rsidR="007F16A4" w:rsidRDefault="003822E7">
            <w:pPr>
              <w:pStyle w:val="TableParagraph"/>
              <w:rPr>
                <w:b/>
                <w:sz w:val="20"/>
              </w:rPr>
            </w:pPr>
            <w:r>
              <w:rPr>
                <w:b/>
                <w:sz w:val="20"/>
              </w:rPr>
              <w:t>Reviewer’s</w:t>
            </w:r>
            <w:r>
              <w:rPr>
                <w:b/>
                <w:spacing w:val="-11"/>
                <w:sz w:val="20"/>
              </w:rPr>
              <w:t xml:space="preserve"> </w:t>
            </w:r>
            <w:r>
              <w:rPr>
                <w:b/>
                <w:spacing w:val="-2"/>
                <w:sz w:val="20"/>
              </w:rPr>
              <w:t>comment</w:t>
            </w:r>
          </w:p>
          <w:p w14:paraId="16A1FCB7" w14:textId="77777777" w:rsidR="007F16A4" w:rsidRDefault="003822E7">
            <w:pPr>
              <w:pStyle w:val="TableParagraph"/>
              <w:spacing w:before="3" w:line="237" w:lineRule="auto"/>
              <w:ind w:right="19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6"/>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5F68A4B0" w14:textId="77777777" w:rsidR="007F16A4" w:rsidRDefault="003822E7">
            <w:pPr>
              <w:pStyle w:val="TableParagraph"/>
              <w:spacing w:line="254" w:lineRule="auto"/>
              <w:ind w:left="108" w:right="738"/>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7"/>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5"/>
                <w:sz w:val="20"/>
              </w:rPr>
              <w:t xml:space="preserve"> </w:t>
            </w:r>
            <w:r>
              <w:rPr>
                <w:sz w:val="20"/>
              </w:rPr>
              <w:t>should</w:t>
            </w:r>
            <w:r>
              <w:rPr>
                <w:spacing w:val="-7"/>
                <w:sz w:val="20"/>
              </w:rPr>
              <w:t xml:space="preserve"> </w:t>
            </w:r>
            <w:r>
              <w:rPr>
                <w:sz w:val="20"/>
              </w:rPr>
              <w:t>write</w:t>
            </w:r>
            <w:r>
              <w:rPr>
                <w:spacing w:val="-5"/>
                <w:sz w:val="20"/>
              </w:rPr>
              <w:t xml:space="preserve"> </w:t>
            </w:r>
            <w:r>
              <w:rPr>
                <w:sz w:val="20"/>
              </w:rPr>
              <w:t>his/her feedback here)</w:t>
            </w:r>
          </w:p>
        </w:tc>
      </w:tr>
      <w:tr w:rsidR="007F16A4" w14:paraId="3651B90C" w14:textId="77777777">
        <w:trPr>
          <w:trHeight w:val="1261"/>
        </w:trPr>
        <w:tc>
          <w:tcPr>
            <w:tcW w:w="5352" w:type="dxa"/>
          </w:tcPr>
          <w:p w14:paraId="521451D8" w14:textId="77777777" w:rsidR="007F16A4" w:rsidRDefault="003822E7">
            <w:pPr>
              <w:pStyle w:val="TableParagraph"/>
              <w:ind w:left="466" w:right="202"/>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7"/>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0949BB7" w14:textId="77777777" w:rsidR="007F16A4" w:rsidRDefault="003822E7">
            <w:pPr>
              <w:pStyle w:val="TableParagraph"/>
              <w:rPr>
                <w:sz w:val="20"/>
              </w:rPr>
            </w:pPr>
            <w:r>
              <w:rPr>
                <w:sz w:val="20"/>
              </w:rPr>
              <w:t>This manuscript</w:t>
            </w:r>
            <w:r>
              <w:rPr>
                <w:spacing w:val="-1"/>
                <w:sz w:val="20"/>
              </w:rPr>
              <w:t xml:space="preserve"> </w:t>
            </w:r>
            <w:r>
              <w:rPr>
                <w:sz w:val="20"/>
              </w:rPr>
              <w:t>is</w:t>
            </w:r>
            <w:r>
              <w:rPr>
                <w:spacing w:val="-3"/>
                <w:sz w:val="20"/>
              </w:rPr>
              <w:t xml:space="preserve"> </w:t>
            </w:r>
            <w:r>
              <w:rPr>
                <w:sz w:val="20"/>
              </w:rPr>
              <w:t>significant</w:t>
            </w:r>
            <w:r>
              <w:rPr>
                <w:spacing w:val="-1"/>
                <w:sz w:val="20"/>
              </w:rPr>
              <w:t xml:space="preserve"> </w:t>
            </w:r>
            <w:r>
              <w:rPr>
                <w:sz w:val="20"/>
              </w:rPr>
              <w:t>for</w:t>
            </w:r>
            <w:r>
              <w:rPr>
                <w:spacing w:val="-1"/>
                <w:sz w:val="20"/>
              </w:rPr>
              <w:t xml:space="preserve"> </w:t>
            </w:r>
            <w:r>
              <w:rPr>
                <w:sz w:val="20"/>
              </w:rPr>
              <w:t>the scientific community as it</w:t>
            </w:r>
            <w:r>
              <w:rPr>
                <w:spacing w:val="-1"/>
                <w:sz w:val="20"/>
              </w:rPr>
              <w:t xml:space="preserve"> </w:t>
            </w:r>
            <w:r>
              <w:rPr>
                <w:sz w:val="20"/>
              </w:rPr>
              <w:t xml:space="preserve">provides a detailed assessment of </w:t>
            </w:r>
            <w:r>
              <w:rPr>
                <w:i/>
                <w:sz w:val="20"/>
              </w:rPr>
              <w:t xml:space="preserve">Colletotrichum </w:t>
            </w:r>
            <w:proofErr w:type="spellStart"/>
            <w:r>
              <w:rPr>
                <w:i/>
                <w:sz w:val="20"/>
              </w:rPr>
              <w:t>capsici</w:t>
            </w:r>
            <w:proofErr w:type="spellEnd"/>
            <w:r>
              <w:rPr>
                <w:i/>
                <w:sz w:val="20"/>
              </w:rPr>
              <w:t xml:space="preserve"> </w:t>
            </w:r>
            <w:r>
              <w:rPr>
                <w:sz w:val="20"/>
              </w:rPr>
              <w:t>diversity in Ta</w:t>
            </w:r>
            <w:r>
              <w:rPr>
                <w:sz w:val="20"/>
              </w:rPr>
              <w:t xml:space="preserve">mil Nadu, a major </w:t>
            </w:r>
            <w:proofErr w:type="spellStart"/>
            <w:r>
              <w:rPr>
                <w:sz w:val="20"/>
              </w:rPr>
              <w:t>chilli</w:t>
            </w:r>
            <w:proofErr w:type="spellEnd"/>
            <w:r>
              <w:rPr>
                <w:sz w:val="20"/>
              </w:rPr>
              <w:t>-growing hub in India. By combining field surveys with morphological,</w:t>
            </w:r>
            <w:r>
              <w:rPr>
                <w:spacing w:val="-3"/>
                <w:sz w:val="20"/>
              </w:rPr>
              <w:t xml:space="preserve"> </w:t>
            </w:r>
            <w:r>
              <w:rPr>
                <w:sz w:val="20"/>
              </w:rPr>
              <w:t>pathogenic,</w:t>
            </w:r>
            <w:r>
              <w:rPr>
                <w:spacing w:val="-2"/>
                <w:sz w:val="20"/>
              </w:rPr>
              <w:t xml:space="preserve"> </w:t>
            </w:r>
            <w:r>
              <w:rPr>
                <w:sz w:val="20"/>
              </w:rPr>
              <w:t>and</w:t>
            </w:r>
            <w:r>
              <w:rPr>
                <w:spacing w:val="-3"/>
                <w:sz w:val="20"/>
              </w:rPr>
              <w:t xml:space="preserve"> </w:t>
            </w:r>
            <w:r>
              <w:rPr>
                <w:sz w:val="20"/>
              </w:rPr>
              <w:t>molecular</w:t>
            </w:r>
            <w:r>
              <w:rPr>
                <w:spacing w:val="-7"/>
                <w:sz w:val="20"/>
              </w:rPr>
              <w:t xml:space="preserve"> </w:t>
            </w:r>
            <w:r>
              <w:rPr>
                <w:sz w:val="20"/>
              </w:rPr>
              <w:t>data</w:t>
            </w:r>
            <w:r>
              <w:rPr>
                <w:spacing w:val="-3"/>
                <w:sz w:val="20"/>
              </w:rPr>
              <w:t xml:space="preserve"> </w:t>
            </w:r>
            <w:r>
              <w:rPr>
                <w:sz w:val="20"/>
              </w:rPr>
              <w:t>(ITS</w:t>
            </w:r>
            <w:r>
              <w:rPr>
                <w:spacing w:val="-4"/>
                <w:sz w:val="20"/>
              </w:rPr>
              <w:t xml:space="preserve"> </w:t>
            </w:r>
            <w:r>
              <w:rPr>
                <w:sz w:val="20"/>
              </w:rPr>
              <w:t>rDNA</w:t>
            </w:r>
            <w:r>
              <w:rPr>
                <w:spacing w:val="-3"/>
                <w:sz w:val="20"/>
              </w:rPr>
              <w:t xml:space="preserve"> </w:t>
            </w:r>
            <w:r>
              <w:rPr>
                <w:sz w:val="20"/>
              </w:rPr>
              <w:t>sequencing),</w:t>
            </w:r>
            <w:r>
              <w:rPr>
                <w:spacing w:val="-2"/>
                <w:sz w:val="20"/>
              </w:rPr>
              <w:t xml:space="preserve"> </w:t>
            </w:r>
            <w:r>
              <w:rPr>
                <w:sz w:val="20"/>
              </w:rPr>
              <w:t>the</w:t>
            </w:r>
            <w:r>
              <w:rPr>
                <w:spacing w:val="-6"/>
                <w:sz w:val="20"/>
              </w:rPr>
              <w:t xml:space="preserve"> </w:t>
            </w:r>
            <w:r>
              <w:rPr>
                <w:sz w:val="20"/>
              </w:rPr>
              <w:t>study</w:t>
            </w:r>
            <w:r>
              <w:rPr>
                <w:spacing w:val="-4"/>
                <w:sz w:val="20"/>
              </w:rPr>
              <w:t xml:space="preserve"> </w:t>
            </w:r>
            <w:r>
              <w:rPr>
                <w:sz w:val="20"/>
              </w:rPr>
              <w:t>establishes</w:t>
            </w:r>
            <w:r>
              <w:rPr>
                <w:spacing w:val="-3"/>
                <w:sz w:val="20"/>
              </w:rPr>
              <w:t xml:space="preserve"> </w:t>
            </w:r>
            <w:r>
              <w:rPr>
                <w:sz w:val="20"/>
              </w:rPr>
              <w:t>a</w:t>
            </w:r>
            <w:r>
              <w:rPr>
                <w:spacing w:val="-3"/>
                <w:sz w:val="20"/>
              </w:rPr>
              <w:t xml:space="preserve"> </w:t>
            </w:r>
            <w:r>
              <w:rPr>
                <w:sz w:val="20"/>
              </w:rPr>
              <w:t>robust</w:t>
            </w:r>
            <w:r>
              <w:rPr>
                <w:spacing w:val="-4"/>
                <w:sz w:val="20"/>
              </w:rPr>
              <w:t xml:space="preserve"> </w:t>
            </w:r>
            <w:r>
              <w:rPr>
                <w:sz w:val="20"/>
              </w:rPr>
              <w:t>framework for identifying virulent strains like Cc 03.</w:t>
            </w:r>
          </w:p>
        </w:tc>
        <w:tc>
          <w:tcPr>
            <w:tcW w:w="6445" w:type="dxa"/>
          </w:tcPr>
          <w:p w14:paraId="1026A9EE" w14:textId="77777777" w:rsidR="007F16A4" w:rsidRPr="00676676" w:rsidRDefault="007F16A4" w:rsidP="00676676">
            <w:pPr>
              <w:pStyle w:val="TableParagraph"/>
              <w:rPr>
                <w:sz w:val="18"/>
                <w:lang w:val="en-IN"/>
              </w:rPr>
            </w:pPr>
          </w:p>
        </w:tc>
      </w:tr>
      <w:tr w:rsidR="007F16A4" w14:paraId="7B7B4D7F" w14:textId="77777777">
        <w:trPr>
          <w:trHeight w:val="1382"/>
        </w:trPr>
        <w:tc>
          <w:tcPr>
            <w:tcW w:w="5352" w:type="dxa"/>
          </w:tcPr>
          <w:p w14:paraId="7834D3ED" w14:textId="77777777" w:rsidR="007F16A4" w:rsidRDefault="003822E7">
            <w:pPr>
              <w:pStyle w:val="TableParagraph"/>
              <w:ind w:left="466"/>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2"/>
                <w:sz w:val="20"/>
              </w:rPr>
              <w:t xml:space="preserve"> suitable?</w:t>
            </w:r>
          </w:p>
          <w:p w14:paraId="1DB331BF" w14:textId="77777777" w:rsidR="007F16A4" w:rsidRDefault="003822E7">
            <w:pPr>
              <w:pStyle w:val="TableParagraph"/>
              <w:spacing w:before="1"/>
              <w:ind w:left="466"/>
              <w:rPr>
                <w:b/>
                <w:sz w:val="20"/>
              </w:rPr>
            </w:pPr>
            <w:r>
              <w:rPr>
                <w:b/>
                <w:sz w:val="20"/>
              </w:rPr>
              <w:t>(If</w:t>
            </w:r>
            <w:r>
              <w:rPr>
                <w:b/>
                <w:spacing w:val="-6"/>
                <w:sz w:val="20"/>
              </w:rPr>
              <w:t xml:space="preserve"> </w:t>
            </w:r>
            <w:r>
              <w:rPr>
                <w:b/>
                <w:sz w:val="20"/>
              </w:rPr>
              <w:t>not</w:t>
            </w:r>
            <w:r>
              <w:rPr>
                <w:b/>
                <w:spacing w:val="-6"/>
                <w:sz w:val="20"/>
              </w:rPr>
              <w:t xml:space="preserve"> </w:t>
            </w:r>
            <w:r>
              <w:rPr>
                <w:b/>
                <w:sz w:val="20"/>
              </w:rPr>
              <w:t>please</w:t>
            </w:r>
            <w:r>
              <w:rPr>
                <w:b/>
                <w:spacing w:val="-4"/>
                <w:sz w:val="20"/>
              </w:rPr>
              <w:t xml:space="preserve"> </w:t>
            </w:r>
            <w:r>
              <w:rPr>
                <w:b/>
                <w:sz w:val="20"/>
              </w:rPr>
              <w:t>suggest</w:t>
            </w:r>
            <w:r>
              <w:rPr>
                <w:b/>
                <w:spacing w:val="-6"/>
                <w:sz w:val="20"/>
              </w:rPr>
              <w:t xml:space="preserve"> </w:t>
            </w:r>
            <w:r>
              <w:rPr>
                <w:b/>
                <w:sz w:val="20"/>
              </w:rPr>
              <w:t>an</w:t>
            </w:r>
            <w:r>
              <w:rPr>
                <w:b/>
                <w:spacing w:val="-6"/>
                <w:sz w:val="20"/>
              </w:rPr>
              <w:t xml:space="preserve"> </w:t>
            </w:r>
            <w:r>
              <w:rPr>
                <w:b/>
                <w:sz w:val="20"/>
              </w:rPr>
              <w:t>alternative</w:t>
            </w:r>
            <w:r>
              <w:rPr>
                <w:b/>
                <w:spacing w:val="-5"/>
                <w:sz w:val="20"/>
              </w:rPr>
              <w:t xml:space="preserve"> </w:t>
            </w:r>
            <w:r>
              <w:rPr>
                <w:b/>
                <w:spacing w:val="-2"/>
                <w:sz w:val="20"/>
              </w:rPr>
              <w:t>title)</w:t>
            </w:r>
          </w:p>
        </w:tc>
        <w:tc>
          <w:tcPr>
            <w:tcW w:w="9356" w:type="dxa"/>
          </w:tcPr>
          <w:p w14:paraId="7E882F98" w14:textId="77777777" w:rsidR="007F16A4" w:rsidRDefault="003822E7">
            <w:pPr>
              <w:pStyle w:val="TableParagraph"/>
              <w:ind w:right="191"/>
              <w:rPr>
                <w:sz w:val="20"/>
              </w:rPr>
            </w:pPr>
            <w:r>
              <w:rPr>
                <w:sz w:val="20"/>
              </w:rPr>
              <w:t>The</w:t>
            </w:r>
            <w:r>
              <w:rPr>
                <w:spacing w:val="-3"/>
                <w:sz w:val="20"/>
              </w:rPr>
              <w:t xml:space="preserve"> </w:t>
            </w:r>
            <w:r>
              <w:rPr>
                <w:sz w:val="20"/>
              </w:rPr>
              <w:t>title</w:t>
            </w:r>
            <w:r>
              <w:rPr>
                <w:spacing w:val="-3"/>
                <w:sz w:val="20"/>
              </w:rPr>
              <w:t xml:space="preserve"> </w:t>
            </w:r>
            <w:r>
              <w:rPr>
                <w:sz w:val="20"/>
              </w:rPr>
              <w:t>"Survey,</w:t>
            </w:r>
            <w:r>
              <w:rPr>
                <w:spacing w:val="-2"/>
                <w:sz w:val="20"/>
              </w:rPr>
              <w:t xml:space="preserve"> </w:t>
            </w:r>
            <w:r>
              <w:rPr>
                <w:sz w:val="20"/>
              </w:rPr>
              <w:t>Pathogenicity</w:t>
            </w:r>
            <w:r>
              <w:rPr>
                <w:spacing w:val="-4"/>
                <w:sz w:val="20"/>
              </w:rPr>
              <w:t xml:space="preserve"> </w:t>
            </w:r>
            <w:r>
              <w:rPr>
                <w:sz w:val="20"/>
              </w:rPr>
              <w:t>and</w:t>
            </w:r>
            <w:r>
              <w:rPr>
                <w:spacing w:val="-4"/>
                <w:sz w:val="20"/>
              </w:rPr>
              <w:t xml:space="preserve"> </w:t>
            </w:r>
            <w:r>
              <w:rPr>
                <w:sz w:val="20"/>
              </w:rPr>
              <w:t>Molecular</w:t>
            </w:r>
            <w:r>
              <w:rPr>
                <w:spacing w:val="-5"/>
                <w:sz w:val="20"/>
              </w:rPr>
              <w:t xml:space="preserve"> </w:t>
            </w:r>
            <w:r>
              <w:rPr>
                <w:sz w:val="20"/>
              </w:rPr>
              <w:t>Characterization</w:t>
            </w:r>
            <w:r>
              <w:rPr>
                <w:spacing w:val="-4"/>
                <w:sz w:val="20"/>
              </w:rPr>
              <w:t xml:space="preserve"> </w:t>
            </w:r>
            <w:r>
              <w:rPr>
                <w:sz w:val="20"/>
              </w:rPr>
              <w:t>of</w:t>
            </w:r>
            <w:r>
              <w:rPr>
                <w:spacing w:val="-5"/>
                <w:sz w:val="20"/>
              </w:rPr>
              <w:t xml:space="preserve"> </w:t>
            </w:r>
            <w:r>
              <w:rPr>
                <w:sz w:val="20"/>
              </w:rPr>
              <w:t>Colletotrichum</w:t>
            </w:r>
            <w:r>
              <w:rPr>
                <w:spacing w:val="-5"/>
                <w:sz w:val="20"/>
              </w:rPr>
              <w:t xml:space="preserve"> </w:t>
            </w:r>
            <w:proofErr w:type="spellStart"/>
            <w:r>
              <w:rPr>
                <w:sz w:val="20"/>
              </w:rPr>
              <w:t>capsici</w:t>
            </w:r>
            <w:proofErr w:type="spellEnd"/>
            <w:r>
              <w:rPr>
                <w:spacing w:val="-4"/>
                <w:sz w:val="20"/>
              </w:rPr>
              <w:t xml:space="preserve"> </w:t>
            </w:r>
            <w:r>
              <w:rPr>
                <w:sz w:val="20"/>
              </w:rPr>
              <w:t>Causing</w:t>
            </w:r>
            <w:r>
              <w:rPr>
                <w:spacing w:val="-5"/>
                <w:sz w:val="20"/>
              </w:rPr>
              <w:t xml:space="preserve"> </w:t>
            </w:r>
            <w:r>
              <w:rPr>
                <w:sz w:val="20"/>
              </w:rPr>
              <w:t xml:space="preserve">Anthracnose of Chilli (Capsicum annum L.) in Tamil Nadu, India" is highly suitable. It clearly </w:t>
            </w:r>
            <w:r>
              <w:rPr>
                <w:sz w:val="20"/>
              </w:rPr>
              <w:t>defines the</w:t>
            </w:r>
            <w:r>
              <w:rPr>
                <w:spacing w:val="-2"/>
                <w:sz w:val="20"/>
              </w:rPr>
              <w:t xml:space="preserve"> </w:t>
            </w:r>
            <w:r>
              <w:rPr>
                <w:sz w:val="20"/>
              </w:rPr>
              <w:t>scope (survey and characterization), the specific pathogen (</w:t>
            </w:r>
            <w:r>
              <w:rPr>
                <w:i/>
                <w:sz w:val="20"/>
              </w:rPr>
              <w:t xml:space="preserve">C. </w:t>
            </w:r>
            <w:proofErr w:type="spellStart"/>
            <w:r>
              <w:rPr>
                <w:i/>
                <w:sz w:val="20"/>
              </w:rPr>
              <w:t>capsici</w:t>
            </w:r>
            <w:proofErr w:type="spellEnd"/>
            <w:r>
              <w:rPr>
                <w:sz w:val="20"/>
              </w:rPr>
              <w:t>), the host crop, and the geographical location of the study.</w:t>
            </w:r>
          </w:p>
          <w:p w14:paraId="4996D7CC" w14:textId="77777777" w:rsidR="007F16A4" w:rsidRDefault="003822E7">
            <w:pPr>
              <w:pStyle w:val="TableParagraph"/>
              <w:spacing w:before="2"/>
              <w:ind w:right="191"/>
              <w:rPr>
                <w:sz w:val="20"/>
              </w:rPr>
            </w:pPr>
            <w:r>
              <w:rPr>
                <w:b/>
                <w:color w:val="000000"/>
                <w:sz w:val="20"/>
                <w:highlight w:val="yellow"/>
              </w:rPr>
              <w:t>Suggestion:</w:t>
            </w:r>
            <w:r>
              <w:rPr>
                <w:b/>
                <w:color w:val="000000"/>
                <w:spacing w:val="-3"/>
                <w:sz w:val="20"/>
              </w:rPr>
              <w:t xml:space="preserve"> </w:t>
            </w:r>
            <w:r>
              <w:rPr>
                <w:color w:val="000000"/>
                <w:sz w:val="20"/>
                <w:highlight w:val="yellow"/>
              </w:rPr>
              <w:t>Ensure</w:t>
            </w:r>
            <w:r>
              <w:rPr>
                <w:color w:val="000000"/>
                <w:spacing w:val="-2"/>
                <w:sz w:val="20"/>
                <w:highlight w:val="yellow"/>
              </w:rPr>
              <w:t xml:space="preserve"> </w:t>
            </w:r>
            <w:r>
              <w:rPr>
                <w:b/>
                <w:color w:val="000000"/>
                <w:sz w:val="20"/>
                <w:highlight w:val="yellow"/>
              </w:rPr>
              <w:t>"annuum</w:t>
            </w:r>
            <w:r>
              <w:rPr>
                <w:color w:val="000000"/>
                <w:sz w:val="20"/>
                <w:highlight w:val="yellow"/>
              </w:rPr>
              <w:t>"</w:t>
            </w:r>
            <w:r>
              <w:rPr>
                <w:color w:val="000000"/>
                <w:spacing w:val="-2"/>
                <w:sz w:val="20"/>
                <w:highlight w:val="yellow"/>
              </w:rPr>
              <w:t xml:space="preserve"> </w:t>
            </w:r>
            <w:r>
              <w:rPr>
                <w:color w:val="000000"/>
                <w:sz w:val="20"/>
                <w:highlight w:val="yellow"/>
              </w:rPr>
              <w:t>is</w:t>
            </w:r>
            <w:r>
              <w:rPr>
                <w:color w:val="000000"/>
                <w:spacing w:val="-2"/>
                <w:sz w:val="20"/>
                <w:highlight w:val="yellow"/>
              </w:rPr>
              <w:t xml:space="preserve"> </w:t>
            </w:r>
            <w:r>
              <w:rPr>
                <w:color w:val="000000"/>
                <w:sz w:val="20"/>
                <w:highlight w:val="yellow"/>
              </w:rPr>
              <w:t>spelled</w:t>
            </w:r>
            <w:r>
              <w:rPr>
                <w:color w:val="000000"/>
                <w:spacing w:val="-5"/>
                <w:sz w:val="20"/>
                <w:highlight w:val="yellow"/>
              </w:rPr>
              <w:t xml:space="preserve"> </w:t>
            </w:r>
            <w:r>
              <w:rPr>
                <w:color w:val="000000"/>
                <w:sz w:val="20"/>
                <w:highlight w:val="yellow"/>
              </w:rPr>
              <w:t>with</w:t>
            </w:r>
            <w:r>
              <w:rPr>
                <w:color w:val="000000"/>
                <w:spacing w:val="-3"/>
                <w:sz w:val="20"/>
                <w:highlight w:val="yellow"/>
              </w:rPr>
              <w:t xml:space="preserve"> </w:t>
            </w:r>
            <w:r>
              <w:rPr>
                <w:color w:val="000000"/>
                <w:sz w:val="20"/>
                <w:highlight w:val="yellow"/>
              </w:rPr>
              <w:t>two</w:t>
            </w:r>
            <w:r>
              <w:rPr>
                <w:color w:val="000000"/>
                <w:spacing w:val="-2"/>
                <w:sz w:val="20"/>
                <w:highlight w:val="yellow"/>
              </w:rPr>
              <w:t xml:space="preserve"> </w:t>
            </w:r>
            <w:r>
              <w:rPr>
                <w:color w:val="000000"/>
                <w:sz w:val="20"/>
                <w:highlight w:val="yellow"/>
              </w:rPr>
              <w:t>'u's</w:t>
            </w:r>
            <w:r>
              <w:rPr>
                <w:color w:val="000000"/>
                <w:spacing w:val="-2"/>
                <w:sz w:val="20"/>
                <w:highlight w:val="yellow"/>
              </w:rPr>
              <w:t xml:space="preserve"> </w:t>
            </w:r>
            <w:r>
              <w:rPr>
                <w:color w:val="000000"/>
                <w:sz w:val="20"/>
                <w:highlight w:val="yellow"/>
              </w:rPr>
              <w:t>in</w:t>
            </w:r>
            <w:r>
              <w:rPr>
                <w:color w:val="000000"/>
                <w:spacing w:val="-3"/>
                <w:sz w:val="20"/>
                <w:highlight w:val="yellow"/>
              </w:rPr>
              <w:t xml:space="preserve"> </w:t>
            </w:r>
            <w:r>
              <w:rPr>
                <w:color w:val="000000"/>
                <w:sz w:val="20"/>
                <w:highlight w:val="yellow"/>
              </w:rPr>
              <w:t>the</w:t>
            </w:r>
            <w:r>
              <w:rPr>
                <w:color w:val="000000"/>
                <w:spacing w:val="-2"/>
                <w:sz w:val="20"/>
                <w:highlight w:val="yellow"/>
              </w:rPr>
              <w:t xml:space="preserve"> </w:t>
            </w:r>
            <w:r>
              <w:rPr>
                <w:color w:val="000000"/>
                <w:sz w:val="20"/>
                <w:highlight w:val="yellow"/>
              </w:rPr>
              <w:t>final</w:t>
            </w:r>
            <w:r>
              <w:rPr>
                <w:color w:val="000000"/>
                <w:spacing w:val="-2"/>
                <w:sz w:val="20"/>
                <w:highlight w:val="yellow"/>
              </w:rPr>
              <w:t xml:space="preserve"> </w:t>
            </w:r>
            <w:r>
              <w:rPr>
                <w:color w:val="000000"/>
                <w:sz w:val="20"/>
                <w:highlight w:val="yellow"/>
              </w:rPr>
              <w:t>title</w:t>
            </w:r>
            <w:r>
              <w:rPr>
                <w:color w:val="000000"/>
                <w:spacing w:val="-2"/>
                <w:sz w:val="20"/>
                <w:highlight w:val="yellow"/>
              </w:rPr>
              <w:t xml:space="preserve"> </w:t>
            </w:r>
            <w:r>
              <w:rPr>
                <w:color w:val="000000"/>
                <w:sz w:val="20"/>
                <w:highlight w:val="yellow"/>
              </w:rPr>
              <w:t>(it</w:t>
            </w:r>
            <w:r>
              <w:rPr>
                <w:color w:val="000000"/>
                <w:spacing w:val="-3"/>
                <w:sz w:val="20"/>
                <w:highlight w:val="yellow"/>
              </w:rPr>
              <w:t xml:space="preserve"> </w:t>
            </w:r>
            <w:r>
              <w:rPr>
                <w:color w:val="000000"/>
                <w:sz w:val="20"/>
                <w:highlight w:val="yellow"/>
              </w:rPr>
              <w:t>appears</w:t>
            </w:r>
            <w:r>
              <w:rPr>
                <w:color w:val="000000"/>
                <w:spacing w:val="-2"/>
                <w:sz w:val="20"/>
                <w:highlight w:val="yellow"/>
              </w:rPr>
              <w:t xml:space="preserve"> </w:t>
            </w:r>
            <w:r>
              <w:rPr>
                <w:color w:val="000000"/>
                <w:sz w:val="20"/>
                <w:highlight w:val="yellow"/>
              </w:rPr>
              <w:t>as</w:t>
            </w:r>
            <w:r>
              <w:rPr>
                <w:color w:val="000000"/>
                <w:spacing w:val="-4"/>
                <w:sz w:val="20"/>
                <w:highlight w:val="yellow"/>
              </w:rPr>
              <w:t xml:space="preserve"> </w:t>
            </w:r>
            <w:r>
              <w:rPr>
                <w:color w:val="000000"/>
                <w:sz w:val="20"/>
                <w:highlight w:val="yellow"/>
              </w:rPr>
              <w:t>"annum"</w:t>
            </w:r>
            <w:r>
              <w:rPr>
                <w:color w:val="000000"/>
                <w:spacing w:val="-2"/>
                <w:sz w:val="20"/>
                <w:highlight w:val="yellow"/>
              </w:rPr>
              <w:t xml:space="preserve"> </w:t>
            </w:r>
            <w:r>
              <w:rPr>
                <w:color w:val="000000"/>
                <w:sz w:val="20"/>
                <w:highlight w:val="yellow"/>
              </w:rPr>
              <w:t>in</w:t>
            </w:r>
            <w:r>
              <w:rPr>
                <w:color w:val="000000"/>
                <w:spacing w:val="-3"/>
                <w:sz w:val="20"/>
                <w:highlight w:val="yellow"/>
              </w:rPr>
              <w:t xml:space="preserve"> </w:t>
            </w:r>
            <w:r>
              <w:rPr>
                <w:color w:val="000000"/>
                <w:sz w:val="20"/>
                <w:highlight w:val="yellow"/>
              </w:rPr>
              <w:t>the</w:t>
            </w:r>
            <w:r>
              <w:rPr>
                <w:color w:val="000000"/>
                <w:spacing w:val="-2"/>
                <w:sz w:val="20"/>
                <w:highlight w:val="yellow"/>
              </w:rPr>
              <w:t xml:space="preserve"> </w:t>
            </w:r>
            <w:r>
              <w:rPr>
                <w:color w:val="000000"/>
                <w:sz w:val="20"/>
                <w:highlight w:val="yellow"/>
              </w:rPr>
              <w:t>provided</w:t>
            </w:r>
            <w:r>
              <w:rPr>
                <w:color w:val="000000"/>
                <w:sz w:val="20"/>
              </w:rPr>
              <w:t xml:space="preserve"> </w:t>
            </w:r>
            <w:r>
              <w:rPr>
                <w:color w:val="000000"/>
                <w:sz w:val="20"/>
                <w:highlight w:val="yellow"/>
              </w:rPr>
              <w:t>t</w:t>
            </w:r>
            <w:r>
              <w:rPr>
                <w:color w:val="000000"/>
                <w:sz w:val="20"/>
                <w:highlight w:val="yellow"/>
              </w:rPr>
              <w:t>itle text). See Abstract, Introduction and later in four different References.</w:t>
            </w:r>
          </w:p>
        </w:tc>
        <w:tc>
          <w:tcPr>
            <w:tcW w:w="6445" w:type="dxa"/>
          </w:tcPr>
          <w:p w14:paraId="39E2B5C0" w14:textId="77777777" w:rsidR="00676676" w:rsidRPr="00676676" w:rsidRDefault="00676676" w:rsidP="00676676">
            <w:pPr>
              <w:pStyle w:val="TableParagraph"/>
              <w:rPr>
                <w:sz w:val="18"/>
                <w:lang w:val="en-IN"/>
              </w:rPr>
            </w:pPr>
            <w:r w:rsidRPr="00676676">
              <w:rPr>
                <w:sz w:val="18"/>
                <w:lang w:val="en-IN"/>
              </w:rPr>
              <w:t xml:space="preserve">We thank the reviewer for the careful observation. The spelling of </w:t>
            </w:r>
            <w:r w:rsidRPr="00676676">
              <w:rPr>
                <w:i/>
                <w:iCs/>
                <w:sz w:val="18"/>
                <w:lang w:val="en-IN"/>
              </w:rPr>
              <w:t>Capsicum annuum</w:t>
            </w:r>
            <w:r w:rsidRPr="00676676">
              <w:rPr>
                <w:sz w:val="18"/>
                <w:lang w:val="en-IN"/>
              </w:rPr>
              <w:t xml:space="preserve"> has been corrected throughout the manuscript, including the title, Abstract, Introduction, and References, to ensure consistency and accuracy.</w:t>
            </w:r>
          </w:p>
          <w:p w14:paraId="3AE1976F" w14:textId="77777777" w:rsidR="007F16A4" w:rsidRPr="00676676" w:rsidRDefault="007F16A4">
            <w:pPr>
              <w:pStyle w:val="TableParagraph"/>
              <w:ind w:left="0"/>
              <w:rPr>
                <w:sz w:val="18"/>
                <w:lang w:val="en-IN"/>
              </w:rPr>
            </w:pPr>
          </w:p>
        </w:tc>
      </w:tr>
      <w:tr w:rsidR="007F16A4" w14:paraId="11924148" w14:textId="77777777">
        <w:trPr>
          <w:trHeight w:val="1261"/>
        </w:trPr>
        <w:tc>
          <w:tcPr>
            <w:tcW w:w="5352" w:type="dxa"/>
          </w:tcPr>
          <w:p w14:paraId="4458E89D" w14:textId="77777777" w:rsidR="007F16A4" w:rsidRDefault="003822E7">
            <w:pPr>
              <w:pStyle w:val="TableParagraph"/>
              <w:ind w:left="466" w:right="202"/>
              <w:rPr>
                <w:b/>
                <w:sz w:val="20"/>
              </w:rPr>
            </w:pPr>
            <w:r>
              <w:rPr>
                <w:b/>
                <w:sz w:val="20"/>
              </w:rPr>
              <w:t>Is the abstract of the article comprehensive? Do you suggest</w:t>
            </w:r>
            <w:r>
              <w:rPr>
                <w:b/>
                <w:spacing w:val="-6"/>
                <w:sz w:val="20"/>
              </w:rPr>
              <w:t xml:space="preserve"> </w:t>
            </w:r>
            <w:r>
              <w:rPr>
                <w:b/>
                <w:sz w:val="20"/>
              </w:rPr>
              <w:t>the</w:t>
            </w:r>
            <w:r>
              <w:rPr>
                <w:b/>
                <w:spacing w:val="-4"/>
                <w:sz w:val="20"/>
              </w:rPr>
              <w:t xml:space="preserve"> </w:t>
            </w:r>
            <w:r>
              <w:rPr>
                <w:b/>
                <w:sz w:val="20"/>
              </w:rPr>
              <w:t>addition</w:t>
            </w:r>
            <w:r>
              <w:rPr>
                <w:b/>
                <w:spacing w:val="-6"/>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6"/>
                <w:sz w:val="20"/>
              </w:rPr>
              <w:t xml:space="preserve"> </w:t>
            </w:r>
            <w:r>
              <w:rPr>
                <w:b/>
                <w:sz w:val="20"/>
              </w:rPr>
              <w:t>some</w:t>
            </w:r>
            <w:r>
              <w:rPr>
                <w:b/>
                <w:spacing w:val="-8"/>
                <w:sz w:val="20"/>
              </w:rPr>
              <w:t xml:space="preserve"> </w:t>
            </w:r>
            <w:r>
              <w:rPr>
                <w:b/>
                <w:sz w:val="20"/>
              </w:rPr>
              <w:t>points</w:t>
            </w:r>
            <w:r>
              <w:rPr>
                <w:b/>
                <w:spacing w:val="-4"/>
                <w:sz w:val="20"/>
              </w:rPr>
              <w:t xml:space="preserve"> </w:t>
            </w:r>
            <w:r>
              <w:rPr>
                <w:b/>
                <w:sz w:val="20"/>
              </w:rPr>
              <w:t>in</w:t>
            </w:r>
            <w:r>
              <w:rPr>
                <w:b/>
                <w:spacing w:val="-6"/>
                <w:sz w:val="20"/>
              </w:rPr>
              <w:t xml:space="preserve"> </w:t>
            </w:r>
            <w:r>
              <w:rPr>
                <w:b/>
                <w:sz w:val="20"/>
              </w:rPr>
              <w:t>this</w:t>
            </w:r>
            <w:r>
              <w:rPr>
                <w:b/>
                <w:sz w:val="20"/>
              </w:rPr>
              <w:t xml:space="preserve"> section? Please write your suggestions here.</w:t>
            </w:r>
          </w:p>
        </w:tc>
        <w:tc>
          <w:tcPr>
            <w:tcW w:w="9356" w:type="dxa"/>
          </w:tcPr>
          <w:p w14:paraId="21E0A308" w14:textId="77777777" w:rsidR="007F16A4" w:rsidRDefault="003822E7">
            <w:pPr>
              <w:pStyle w:val="TableParagraph"/>
              <w:ind w:right="191"/>
              <w:rPr>
                <w:sz w:val="20"/>
              </w:rPr>
            </w:pPr>
            <w:r>
              <w:rPr>
                <w:sz w:val="20"/>
              </w:rPr>
              <w:t>The</w:t>
            </w:r>
            <w:r>
              <w:rPr>
                <w:spacing w:val="-2"/>
                <w:sz w:val="20"/>
              </w:rPr>
              <w:t xml:space="preserve"> </w:t>
            </w:r>
            <w:r>
              <w:rPr>
                <w:sz w:val="20"/>
              </w:rPr>
              <w:t>abstract</w:t>
            </w:r>
            <w:r>
              <w:rPr>
                <w:spacing w:val="-4"/>
                <w:sz w:val="20"/>
              </w:rPr>
              <w:t xml:space="preserve"> </w:t>
            </w:r>
            <w:r>
              <w:rPr>
                <w:sz w:val="20"/>
              </w:rPr>
              <w:t>is comprehensive</w:t>
            </w:r>
            <w:r>
              <w:rPr>
                <w:spacing w:val="-1"/>
                <w:sz w:val="20"/>
              </w:rPr>
              <w:t xml:space="preserve"> </w:t>
            </w:r>
            <w:r>
              <w:rPr>
                <w:sz w:val="20"/>
              </w:rPr>
              <w:t>as</w:t>
            </w:r>
            <w:r>
              <w:rPr>
                <w:spacing w:val="-2"/>
                <w:sz w:val="20"/>
              </w:rPr>
              <w:t xml:space="preserve"> </w:t>
            </w:r>
            <w:r>
              <w:rPr>
                <w:sz w:val="20"/>
              </w:rPr>
              <w:t>it</w:t>
            </w:r>
            <w:r>
              <w:rPr>
                <w:spacing w:val="-7"/>
                <w:sz w:val="20"/>
              </w:rPr>
              <w:t xml:space="preserve"> </w:t>
            </w:r>
            <w:r>
              <w:rPr>
                <w:sz w:val="20"/>
              </w:rPr>
              <w:t>summarizes</w:t>
            </w:r>
            <w:r>
              <w:rPr>
                <w:spacing w:val="-2"/>
                <w:sz w:val="20"/>
              </w:rPr>
              <w:t xml:space="preserve"> </w:t>
            </w:r>
            <w:r>
              <w:rPr>
                <w:sz w:val="20"/>
              </w:rPr>
              <w:t>the</w:t>
            </w:r>
            <w:r>
              <w:rPr>
                <w:spacing w:val="-6"/>
                <w:sz w:val="20"/>
              </w:rPr>
              <w:t xml:space="preserve"> </w:t>
            </w:r>
            <w:r>
              <w:rPr>
                <w:sz w:val="20"/>
              </w:rPr>
              <w:t>study's</w:t>
            </w:r>
            <w:r>
              <w:rPr>
                <w:spacing w:val="-2"/>
                <w:sz w:val="20"/>
              </w:rPr>
              <w:t xml:space="preserve"> </w:t>
            </w:r>
            <w:r>
              <w:rPr>
                <w:sz w:val="20"/>
              </w:rPr>
              <w:t>objective,</w:t>
            </w:r>
            <w:r>
              <w:rPr>
                <w:spacing w:val="-1"/>
                <w:sz w:val="20"/>
              </w:rPr>
              <w:t xml:space="preserve"> </w:t>
            </w:r>
            <w:r>
              <w:rPr>
                <w:sz w:val="20"/>
              </w:rPr>
              <w:t>key</w:t>
            </w:r>
            <w:r>
              <w:rPr>
                <w:spacing w:val="-6"/>
                <w:sz w:val="20"/>
              </w:rPr>
              <w:t xml:space="preserve"> </w:t>
            </w:r>
            <w:r>
              <w:rPr>
                <w:sz w:val="20"/>
              </w:rPr>
              <w:t>survey</w:t>
            </w:r>
            <w:r>
              <w:rPr>
                <w:spacing w:val="-3"/>
                <w:sz w:val="20"/>
              </w:rPr>
              <w:t xml:space="preserve"> </w:t>
            </w:r>
            <w:r>
              <w:rPr>
                <w:sz w:val="20"/>
              </w:rPr>
              <w:t>findings,</w:t>
            </w:r>
            <w:r>
              <w:rPr>
                <w:spacing w:val="-1"/>
                <w:sz w:val="20"/>
              </w:rPr>
              <w:t xml:space="preserve"> </w:t>
            </w:r>
            <w:r>
              <w:rPr>
                <w:sz w:val="20"/>
              </w:rPr>
              <w:t>variability</w:t>
            </w:r>
            <w:r>
              <w:rPr>
                <w:spacing w:val="-4"/>
                <w:sz w:val="20"/>
              </w:rPr>
              <w:t xml:space="preserve"> </w:t>
            </w:r>
            <w:r>
              <w:rPr>
                <w:sz w:val="20"/>
              </w:rPr>
              <w:t>of</w:t>
            </w:r>
            <w:r>
              <w:rPr>
                <w:spacing w:val="-4"/>
                <w:sz w:val="20"/>
              </w:rPr>
              <w:t xml:space="preserve"> </w:t>
            </w:r>
            <w:r>
              <w:rPr>
                <w:sz w:val="20"/>
              </w:rPr>
              <w:t>isolates, and molecular confirmation. It effectively highlights the most virulent isolate and the broade</w:t>
            </w:r>
            <w:r>
              <w:rPr>
                <w:sz w:val="20"/>
              </w:rPr>
              <w:t>r implications for disease management.</w:t>
            </w:r>
          </w:p>
        </w:tc>
        <w:tc>
          <w:tcPr>
            <w:tcW w:w="6445" w:type="dxa"/>
          </w:tcPr>
          <w:p w14:paraId="41DB3522" w14:textId="77777777" w:rsidR="007F16A4" w:rsidRDefault="007F16A4">
            <w:pPr>
              <w:pStyle w:val="TableParagraph"/>
              <w:ind w:left="0"/>
              <w:rPr>
                <w:sz w:val="18"/>
              </w:rPr>
            </w:pPr>
          </w:p>
        </w:tc>
      </w:tr>
      <w:tr w:rsidR="007F16A4" w14:paraId="7570103B" w14:textId="77777777">
        <w:trPr>
          <w:trHeight w:val="1839"/>
        </w:trPr>
        <w:tc>
          <w:tcPr>
            <w:tcW w:w="5352" w:type="dxa"/>
          </w:tcPr>
          <w:p w14:paraId="32DF1829" w14:textId="77777777" w:rsidR="007F16A4" w:rsidRDefault="003822E7">
            <w:pPr>
              <w:pStyle w:val="TableParagraph"/>
              <w:ind w:left="466" w:right="202"/>
              <w:rPr>
                <w:b/>
                <w:sz w:val="20"/>
              </w:rPr>
            </w:pPr>
            <w:r>
              <w:rPr>
                <w:b/>
                <w:sz w:val="20"/>
              </w:rPr>
              <w:t>Is</w:t>
            </w:r>
            <w:r>
              <w:rPr>
                <w:b/>
                <w:spacing w:val="-7"/>
                <w:sz w:val="20"/>
              </w:rPr>
              <w:t xml:space="preserve"> </w:t>
            </w:r>
            <w:r>
              <w:rPr>
                <w:b/>
                <w:sz w:val="20"/>
              </w:rPr>
              <w:t>the</w:t>
            </w:r>
            <w:r>
              <w:rPr>
                <w:b/>
                <w:spacing w:val="-9"/>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33AEAECB" w14:textId="77777777" w:rsidR="007F16A4" w:rsidRDefault="003822E7">
            <w:pPr>
              <w:pStyle w:val="TableParagraph"/>
              <w:rPr>
                <w:sz w:val="20"/>
              </w:rPr>
            </w:pPr>
            <w:r>
              <w:rPr>
                <w:sz w:val="20"/>
              </w:rPr>
              <w:t>The</w:t>
            </w:r>
            <w:r>
              <w:rPr>
                <w:spacing w:val="-7"/>
                <w:sz w:val="20"/>
              </w:rPr>
              <w:t xml:space="preserve"> </w:t>
            </w:r>
            <w:r>
              <w:rPr>
                <w:sz w:val="20"/>
              </w:rPr>
              <w:t>manuscript</w:t>
            </w:r>
            <w:r>
              <w:rPr>
                <w:spacing w:val="-8"/>
                <w:sz w:val="20"/>
              </w:rPr>
              <w:t xml:space="preserve"> </w:t>
            </w:r>
            <w:r>
              <w:rPr>
                <w:sz w:val="20"/>
              </w:rPr>
              <w:t>appears</w:t>
            </w:r>
            <w:r>
              <w:rPr>
                <w:spacing w:val="-7"/>
                <w:sz w:val="20"/>
              </w:rPr>
              <w:t xml:space="preserve"> </w:t>
            </w:r>
            <w:r>
              <w:rPr>
                <w:sz w:val="20"/>
              </w:rPr>
              <w:t>scientifically</w:t>
            </w:r>
            <w:r>
              <w:rPr>
                <w:spacing w:val="-8"/>
                <w:sz w:val="20"/>
              </w:rPr>
              <w:t xml:space="preserve"> </w:t>
            </w:r>
            <w:r>
              <w:rPr>
                <w:sz w:val="20"/>
              </w:rPr>
              <w:t>sound.</w:t>
            </w:r>
            <w:r>
              <w:rPr>
                <w:spacing w:val="-5"/>
                <w:sz w:val="20"/>
              </w:rPr>
              <w:t xml:space="preserve"> </w:t>
            </w:r>
            <w:r>
              <w:rPr>
                <w:sz w:val="20"/>
              </w:rPr>
              <w:t>It</w:t>
            </w:r>
            <w:r>
              <w:rPr>
                <w:spacing w:val="-9"/>
                <w:sz w:val="20"/>
              </w:rPr>
              <w:t xml:space="preserve"> </w:t>
            </w:r>
            <w:r>
              <w:rPr>
                <w:sz w:val="20"/>
              </w:rPr>
              <w:t>utilizes</w:t>
            </w:r>
            <w:r>
              <w:rPr>
                <w:spacing w:val="-6"/>
                <w:sz w:val="20"/>
              </w:rPr>
              <w:t xml:space="preserve"> </w:t>
            </w:r>
            <w:r>
              <w:rPr>
                <w:sz w:val="20"/>
              </w:rPr>
              <w:t>established</w:t>
            </w:r>
            <w:r>
              <w:rPr>
                <w:spacing w:val="-7"/>
                <w:sz w:val="20"/>
              </w:rPr>
              <w:t xml:space="preserve"> </w:t>
            </w:r>
            <w:r>
              <w:rPr>
                <w:sz w:val="20"/>
              </w:rPr>
              <w:t>methodologies</w:t>
            </w:r>
            <w:r>
              <w:rPr>
                <w:spacing w:val="-7"/>
                <w:sz w:val="20"/>
              </w:rPr>
              <w:t xml:space="preserve"> </w:t>
            </w:r>
            <w:r>
              <w:rPr>
                <w:spacing w:val="-4"/>
                <w:sz w:val="20"/>
              </w:rPr>
              <w:t>for:</w:t>
            </w:r>
          </w:p>
          <w:p w14:paraId="4F7469AD" w14:textId="77777777" w:rsidR="007F16A4" w:rsidRDefault="003822E7">
            <w:pPr>
              <w:pStyle w:val="TableParagraph"/>
              <w:numPr>
                <w:ilvl w:val="0"/>
                <w:numId w:val="1"/>
              </w:numPr>
              <w:tabs>
                <w:tab w:val="left" w:pos="826"/>
              </w:tabs>
              <w:spacing w:before="1"/>
              <w:rPr>
                <w:sz w:val="20"/>
              </w:rPr>
            </w:pPr>
            <w:r>
              <w:rPr>
                <w:sz w:val="20"/>
              </w:rPr>
              <w:t>Pathogen</w:t>
            </w:r>
            <w:r>
              <w:rPr>
                <w:spacing w:val="-7"/>
                <w:sz w:val="20"/>
              </w:rPr>
              <w:t xml:space="preserve"> </w:t>
            </w:r>
            <w:r>
              <w:rPr>
                <w:sz w:val="20"/>
              </w:rPr>
              <w:t>Isolation:</w:t>
            </w:r>
            <w:r>
              <w:rPr>
                <w:spacing w:val="-6"/>
                <w:sz w:val="20"/>
              </w:rPr>
              <w:t xml:space="preserve"> </w:t>
            </w:r>
            <w:r>
              <w:rPr>
                <w:sz w:val="20"/>
              </w:rPr>
              <w:t>Single</w:t>
            </w:r>
            <w:r>
              <w:rPr>
                <w:spacing w:val="-5"/>
                <w:sz w:val="20"/>
              </w:rPr>
              <w:t xml:space="preserve"> </w:t>
            </w:r>
            <w:r>
              <w:rPr>
                <w:sz w:val="20"/>
              </w:rPr>
              <w:t>spore</w:t>
            </w:r>
            <w:r>
              <w:rPr>
                <w:spacing w:val="-5"/>
                <w:sz w:val="20"/>
              </w:rPr>
              <w:t xml:space="preserve"> </w:t>
            </w:r>
            <w:r>
              <w:rPr>
                <w:sz w:val="20"/>
              </w:rPr>
              <w:t>isolation</w:t>
            </w:r>
            <w:r>
              <w:rPr>
                <w:spacing w:val="-7"/>
                <w:sz w:val="20"/>
              </w:rPr>
              <w:t xml:space="preserve"> </w:t>
            </w:r>
            <w:r>
              <w:rPr>
                <w:spacing w:val="-2"/>
                <w:sz w:val="20"/>
              </w:rPr>
              <w:t>technique.</w:t>
            </w:r>
          </w:p>
          <w:p w14:paraId="4006FA13" w14:textId="77777777" w:rsidR="007F16A4" w:rsidRDefault="003822E7">
            <w:pPr>
              <w:pStyle w:val="TableParagraph"/>
              <w:numPr>
                <w:ilvl w:val="0"/>
                <w:numId w:val="1"/>
              </w:numPr>
              <w:tabs>
                <w:tab w:val="left" w:pos="826"/>
              </w:tabs>
              <w:rPr>
                <w:sz w:val="20"/>
              </w:rPr>
            </w:pPr>
            <w:r>
              <w:rPr>
                <w:sz w:val="20"/>
              </w:rPr>
              <w:t>Pathogenicity:</w:t>
            </w:r>
            <w:r>
              <w:rPr>
                <w:spacing w:val="-6"/>
                <w:sz w:val="20"/>
              </w:rPr>
              <w:t xml:space="preserve"> </w:t>
            </w:r>
            <w:r>
              <w:rPr>
                <w:sz w:val="20"/>
              </w:rPr>
              <w:t>The</w:t>
            </w:r>
            <w:r>
              <w:rPr>
                <w:spacing w:val="-5"/>
                <w:sz w:val="20"/>
              </w:rPr>
              <w:t xml:space="preserve"> </w:t>
            </w:r>
            <w:r>
              <w:rPr>
                <w:sz w:val="20"/>
              </w:rPr>
              <w:t>pin-pricking</w:t>
            </w:r>
            <w:r>
              <w:rPr>
                <w:spacing w:val="-6"/>
                <w:sz w:val="20"/>
              </w:rPr>
              <w:t xml:space="preserve"> </w:t>
            </w:r>
            <w:r>
              <w:rPr>
                <w:sz w:val="20"/>
              </w:rPr>
              <w:t>method,</w:t>
            </w:r>
            <w:r>
              <w:rPr>
                <w:spacing w:val="-4"/>
                <w:sz w:val="20"/>
              </w:rPr>
              <w:t xml:space="preserve"> </w:t>
            </w:r>
            <w:r>
              <w:rPr>
                <w:sz w:val="20"/>
              </w:rPr>
              <w:t>which</w:t>
            </w:r>
            <w:r>
              <w:rPr>
                <w:spacing w:val="-5"/>
                <w:sz w:val="20"/>
              </w:rPr>
              <w:t xml:space="preserve"> </w:t>
            </w:r>
            <w:r>
              <w:rPr>
                <w:sz w:val="20"/>
              </w:rPr>
              <w:t>is</w:t>
            </w:r>
            <w:r>
              <w:rPr>
                <w:spacing w:val="-5"/>
                <w:sz w:val="20"/>
              </w:rPr>
              <w:t xml:space="preserve"> </w:t>
            </w:r>
            <w:r>
              <w:rPr>
                <w:sz w:val="20"/>
              </w:rPr>
              <w:t>a</w:t>
            </w:r>
            <w:r>
              <w:rPr>
                <w:spacing w:val="-5"/>
                <w:sz w:val="20"/>
              </w:rPr>
              <w:t xml:space="preserve"> </w:t>
            </w:r>
            <w:r>
              <w:rPr>
                <w:sz w:val="20"/>
              </w:rPr>
              <w:t>recognized</w:t>
            </w:r>
            <w:r>
              <w:rPr>
                <w:spacing w:val="-8"/>
                <w:sz w:val="20"/>
              </w:rPr>
              <w:t xml:space="preserve"> </w:t>
            </w:r>
            <w:r>
              <w:rPr>
                <w:sz w:val="20"/>
              </w:rPr>
              <w:t>standard</w:t>
            </w:r>
            <w:r>
              <w:rPr>
                <w:spacing w:val="-6"/>
                <w:sz w:val="20"/>
              </w:rPr>
              <w:t xml:space="preserve"> </w:t>
            </w:r>
            <w:r>
              <w:rPr>
                <w:sz w:val="20"/>
              </w:rPr>
              <w:t>for</w:t>
            </w:r>
            <w:r>
              <w:rPr>
                <w:spacing w:val="-4"/>
                <w:sz w:val="20"/>
              </w:rPr>
              <w:t xml:space="preserve"> </w:t>
            </w:r>
            <w:r>
              <w:rPr>
                <w:i/>
                <w:sz w:val="20"/>
              </w:rPr>
              <w:t>Colletotrichum</w:t>
            </w:r>
            <w:r>
              <w:rPr>
                <w:i/>
                <w:spacing w:val="-4"/>
                <w:sz w:val="20"/>
              </w:rPr>
              <w:t xml:space="preserve"> </w:t>
            </w:r>
            <w:r>
              <w:rPr>
                <w:spacing w:val="-2"/>
                <w:sz w:val="20"/>
              </w:rPr>
              <w:t>studies.</w:t>
            </w:r>
          </w:p>
          <w:p w14:paraId="66B477C7" w14:textId="77777777" w:rsidR="007F16A4" w:rsidRDefault="003822E7">
            <w:pPr>
              <w:pStyle w:val="TableParagraph"/>
              <w:numPr>
                <w:ilvl w:val="0"/>
                <w:numId w:val="1"/>
              </w:numPr>
              <w:tabs>
                <w:tab w:val="left" w:pos="826"/>
              </w:tabs>
              <w:spacing w:before="3" w:line="237" w:lineRule="auto"/>
              <w:ind w:right="814"/>
              <w:rPr>
                <w:sz w:val="20"/>
              </w:rPr>
            </w:pPr>
            <w:r>
              <w:rPr>
                <w:sz w:val="20"/>
              </w:rPr>
              <w:t>Molecular</w:t>
            </w:r>
            <w:r>
              <w:rPr>
                <w:spacing w:val="-5"/>
                <w:sz w:val="20"/>
              </w:rPr>
              <w:t xml:space="preserve"> </w:t>
            </w:r>
            <w:r>
              <w:rPr>
                <w:sz w:val="20"/>
              </w:rPr>
              <w:t>Identification:</w:t>
            </w:r>
            <w:r>
              <w:rPr>
                <w:spacing w:val="-4"/>
                <w:sz w:val="20"/>
              </w:rPr>
              <w:t xml:space="preserve"> </w:t>
            </w:r>
            <w:r>
              <w:rPr>
                <w:sz w:val="20"/>
              </w:rPr>
              <w:t>ITS</w:t>
            </w:r>
            <w:r>
              <w:rPr>
                <w:spacing w:val="-5"/>
                <w:sz w:val="20"/>
              </w:rPr>
              <w:t xml:space="preserve"> </w:t>
            </w:r>
            <w:r>
              <w:rPr>
                <w:sz w:val="20"/>
              </w:rPr>
              <w:t>rDNA</w:t>
            </w:r>
            <w:r>
              <w:rPr>
                <w:spacing w:val="-5"/>
                <w:sz w:val="20"/>
              </w:rPr>
              <w:t xml:space="preserve"> </w:t>
            </w:r>
            <w:r>
              <w:rPr>
                <w:sz w:val="20"/>
              </w:rPr>
              <w:t>sequencing</w:t>
            </w:r>
            <w:r>
              <w:rPr>
                <w:spacing w:val="-5"/>
                <w:sz w:val="20"/>
              </w:rPr>
              <w:t xml:space="preserve"> </w:t>
            </w:r>
            <w:r>
              <w:rPr>
                <w:sz w:val="20"/>
              </w:rPr>
              <w:t>and</w:t>
            </w:r>
            <w:r>
              <w:rPr>
                <w:spacing w:val="-5"/>
                <w:sz w:val="20"/>
              </w:rPr>
              <w:t xml:space="preserve"> </w:t>
            </w:r>
            <w:r>
              <w:rPr>
                <w:sz w:val="20"/>
              </w:rPr>
              <w:t>Neighbor-joining</w:t>
            </w:r>
            <w:r>
              <w:rPr>
                <w:spacing w:val="-5"/>
                <w:sz w:val="20"/>
              </w:rPr>
              <w:t xml:space="preserve"> </w:t>
            </w:r>
            <w:r>
              <w:rPr>
                <w:sz w:val="20"/>
              </w:rPr>
              <w:t>phylogenetic</w:t>
            </w:r>
            <w:r>
              <w:rPr>
                <w:spacing w:val="-4"/>
                <w:sz w:val="20"/>
              </w:rPr>
              <w:t xml:space="preserve"> </w:t>
            </w:r>
            <w:r>
              <w:rPr>
                <w:sz w:val="20"/>
              </w:rPr>
              <w:t>analysis</w:t>
            </w:r>
            <w:r>
              <w:rPr>
                <w:spacing w:val="-4"/>
                <w:sz w:val="20"/>
              </w:rPr>
              <w:t xml:space="preserve"> </w:t>
            </w:r>
            <w:r>
              <w:rPr>
                <w:sz w:val="20"/>
              </w:rPr>
              <w:t>are standard practices for accurate species-level identification.</w:t>
            </w:r>
          </w:p>
          <w:p w14:paraId="3463F512" w14:textId="77777777" w:rsidR="007F16A4" w:rsidRDefault="003822E7">
            <w:pPr>
              <w:pStyle w:val="TableParagraph"/>
              <w:numPr>
                <w:ilvl w:val="0"/>
                <w:numId w:val="1"/>
              </w:numPr>
              <w:tabs>
                <w:tab w:val="left" w:pos="826"/>
              </w:tabs>
              <w:ind w:right="732"/>
              <w:rPr>
                <w:sz w:val="20"/>
              </w:rPr>
            </w:pPr>
            <w:r>
              <w:rPr>
                <w:sz w:val="20"/>
              </w:rPr>
              <w:t>Statistical</w:t>
            </w:r>
            <w:r>
              <w:rPr>
                <w:spacing w:val="-4"/>
                <w:sz w:val="20"/>
              </w:rPr>
              <w:t xml:space="preserve"> </w:t>
            </w:r>
            <w:r>
              <w:rPr>
                <w:sz w:val="20"/>
              </w:rPr>
              <w:t>Analysis:</w:t>
            </w:r>
            <w:r>
              <w:rPr>
                <w:spacing w:val="-1"/>
                <w:sz w:val="20"/>
              </w:rPr>
              <w:t xml:space="preserve"> </w:t>
            </w:r>
            <w:r>
              <w:rPr>
                <w:sz w:val="20"/>
              </w:rPr>
              <w:t>Use</w:t>
            </w:r>
            <w:r>
              <w:rPr>
                <w:spacing w:val="-2"/>
                <w:sz w:val="20"/>
              </w:rPr>
              <w:t xml:space="preserve"> </w:t>
            </w:r>
            <w:r>
              <w:rPr>
                <w:sz w:val="20"/>
              </w:rPr>
              <w:t>of</w:t>
            </w:r>
            <w:r>
              <w:rPr>
                <w:spacing w:val="-4"/>
                <w:sz w:val="20"/>
              </w:rPr>
              <w:t xml:space="preserve"> </w:t>
            </w:r>
            <w:r>
              <w:rPr>
                <w:sz w:val="20"/>
              </w:rPr>
              <w:t>DMRT</w:t>
            </w:r>
            <w:r>
              <w:rPr>
                <w:spacing w:val="-5"/>
                <w:sz w:val="20"/>
              </w:rPr>
              <w:t xml:space="preserve"> </w:t>
            </w:r>
            <w:r>
              <w:rPr>
                <w:sz w:val="20"/>
              </w:rPr>
              <w:t>(P=0.05)</w:t>
            </w:r>
            <w:r>
              <w:rPr>
                <w:spacing w:val="-4"/>
                <w:sz w:val="20"/>
              </w:rPr>
              <w:t xml:space="preserve"> </w:t>
            </w:r>
            <w:r>
              <w:rPr>
                <w:sz w:val="20"/>
              </w:rPr>
              <w:t>to</w:t>
            </w:r>
            <w:r>
              <w:rPr>
                <w:spacing w:val="-4"/>
                <w:sz w:val="20"/>
              </w:rPr>
              <w:t xml:space="preserve"> </w:t>
            </w:r>
            <w:r>
              <w:rPr>
                <w:sz w:val="20"/>
              </w:rPr>
              <w:t>determine</w:t>
            </w:r>
            <w:r>
              <w:rPr>
                <w:spacing w:val="-2"/>
                <w:sz w:val="20"/>
              </w:rPr>
              <w:t xml:space="preserve"> </w:t>
            </w:r>
            <w:r>
              <w:rPr>
                <w:sz w:val="20"/>
              </w:rPr>
              <w:t>significant</w:t>
            </w:r>
            <w:r>
              <w:rPr>
                <w:spacing w:val="-4"/>
                <w:sz w:val="20"/>
              </w:rPr>
              <w:t xml:space="preserve"> </w:t>
            </w:r>
            <w:r>
              <w:rPr>
                <w:sz w:val="20"/>
              </w:rPr>
              <w:t>differences</w:t>
            </w:r>
            <w:r>
              <w:rPr>
                <w:spacing w:val="-2"/>
                <w:sz w:val="20"/>
              </w:rPr>
              <w:t xml:space="preserve"> </w:t>
            </w:r>
            <w:r>
              <w:rPr>
                <w:sz w:val="20"/>
              </w:rPr>
              <w:t>in</w:t>
            </w:r>
            <w:r>
              <w:rPr>
                <w:spacing w:val="-4"/>
                <w:sz w:val="20"/>
              </w:rPr>
              <w:t xml:space="preserve"> </w:t>
            </w:r>
            <w:r>
              <w:rPr>
                <w:sz w:val="20"/>
              </w:rPr>
              <w:t>virulence</w:t>
            </w:r>
            <w:r>
              <w:rPr>
                <w:spacing w:val="-2"/>
                <w:sz w:val="20"/>
              </w:rPr>
              <w:t xml:space="preserve"> </w:t>
            </w:r>
            <w:r>
              <w:rPr>
                <w:sz w:val="20"/>
              </w:rPr>
              <w:t xml:space="preserve">and </w:t>
            </w:r>
            <w:r>
              <w:rPr>
                <w:spacing w:val="-2"/>
                <w:sz w:val="20"/>
              </w:rPr>
              <w:t>morphology.</w:t>
            </w:r>
          </w:p>
        </w:tc>
        <w:tc>
          <w:tcPr>
            <w:tcW w:w="6445" w:type="dxa"/>
          </w:tcPr>
          <w:p w14:paraId="79BD7CF7" w14:textId="77777777" w:rsidR="007F16A4" w:rsidRDefault="007F16A4">
            <w:pPr>
              <w:pStyle w:val="TableParagraph"/>
              <w:ind w:left="0"/>
              <w:rPr>
                <w:sz w:val="18"/>
              </w:rPr>
            </w:pPr>
          </w:p>
        </w:tc>
      </w:tr>
      <w:tr w:rsidR="007F16A4" w14:paraId="00B09164" w14:textId="77777777">
        <w:trPr>
          <w:trHeight w:val="705"/>
        </w:trPr>
        <w:tc>
          <w:tcPr>
            <w:tcW w:w="5352" w:type="dxa"/>
          </w:tcPr>
          <w:p w14:paraId="672B950D" w14:textId="77777777" w:rsidR="007F16A4" w:rsidRDefault="003822E7">
            <w:pPr>
              <w:pStyle w:val="TableParagraph"/>
              <w:spacing w:line="230" w:lineRule="atLeast"/>
              <w:ind w:left="466" w:right="202"/>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7"/>
                <w:sz w:val="20"/>
              </w:rPr>
              <w:t xml:space="preserve"> </w:t>
            </w:r>
            <w:r>
              <w:rPr>
                <w:b/>
                <w:sz w:val="20"/>
              </w:rPr>
              <w:t>sufficient</w:t>
            </w:r>
            <w:r>
              <w:rPr>
                <w:b/>
                <w:spacing w:val="-6"/>
                <w:sz w:val="20"/>
              </w:rPr>
              <w:t xml:space="preserve"> </w:t>
            </w:r>
            <w:r>
              <w:rPr>
                <w:b/>
                <w:sz w:val="20"/>
              </w:rPr>
              <w:t>and</w:t>
            </w:r>
            <w:r>
              <w:rPr>
                <w:b/>
                <w:spacing w:val="-6"/>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E020A0A" w14:textId="77777777" w:rsidR="007F16A4" w:rsidRDefault="003822E7">
            <w:pPr>
              <w:pStyle w:val="TableParagraph"/>
              <w:rPr>
                <w:sz w:val="20"/>
              </w:rPr>
            </w:pPr>
            <w:r>
              <w:rPr>
                <w:spacing w:val="-5"/>
                <w:sz w:val="20"/>
              </w:rPr>
              <w:t>Yes</w:t>
            </w:r>
          </w:p>
        </w:tc>
        <w:tc>
          <w:tcPr>
            <w:tcW w:w="6445" w:type="dxa"/>
          </w:tcPr>
          <w:p w14:paraId="7F47CDD6" w14:textId="77777777" w:rsidR="007F16A4" w:rsidRDefault="007F16A4">
            <w:pPr>
              <w:pStyle w:val="TableParagraph"/>
              <w:ind w:left="0"/>
              <w:rPr>
                <w:sz w:val="18"/>
              </w:rPr>
            </w:pPr>
          </w:p>
        </w:tc>
      </w:tr>
      <w:tr w:rsidR="007F16A4" w14:paraId="7EAB0259" w14:textId="77777777">
        <w:trPr>
          <w:trHeight w:val="687"/>
        </w:trPr>
        <w:tc>
          <w:tcPr>
            <w:tcW w:w="5352" w:type="dxa"/>
          </w:tcPr>
          <w:p w14:paraId="10C66C8B" w14:textId="77777777" w:rsidR="007F16A4" w:rsidRDefault="003822E7">
            <w:pPr>
              <w:pStyle w:val="TableParagraph"/>
              <w:spacing w:before="2" w:line="237" w:lineRule="auto"/>
              <w:ind w:left="466" w:right="202"/>
              <w:rPr>
                <w:b/>
                <w:sz w:val="20"/>
              </w:rPr>
            </w:pPr>
            <w:r>
              <w:rPr>
                <w:b/>
                <w:sz w:val="20"/>
              </w:rPr>
              <w:t>Is</w:t>
            </w:r>
            <w:r>
              <w:rPr>
                <w:b/>
                <w:spacing w:val="-5"/>
                <w:sz w:val="20"/>
              </w:rPr>
              <w:t xml:space="preserve"> </w:t>
            </w:r>
            <w:r>
              <w:rPr>
                <w:b/>
                <w:sz w:val="20"/>
              </w:rPr>
              <w:t>the</w:t>
            </w:r>
            <w:r>
              <w:rPr>
                <w:b/>
                <w:spacing w:val="-6"/>
                <w:sz w:val="20"/>
              </w:rPr>
              <w:t xml:space="preserve"> </w:t>
            </w:r>
            <w:r>
              <w:rPr>
                <w:b/>
                <w:sz w:val="20"/>
              </w:rPr>
              <w:t>language/English</w:t>
            </w:r>
            <w:r>
              <w:rPr>
                <w:b/>
                <w:spacing w:val="-8"/>
                <w:sz w:val="20"/>
              </w:rPr>
              <w:t xml:space="preserve"> </w:t>
            </w:r>
            <w:r>
              <w:rPr>
                <w:b/>
                <w:sz w:val="20"/>
              </w:rPr>
              <w:t>quality</w:t>
            </w:r>
            <w:r>
              <w:rPr>
                <w:b/>
                <w:spacing w:val="-7"/>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73EC15A" w14:textId="77777777" w:rsidR="007F16A4" w:rsidRDefault="003822E7">
            <w:pPr>
              <w:pStyle w:val="TableParagraph"/>
              <w:spacing w:before="2" w:line="237" w:lineRule="auto"/>
              <w:rPr>
                <w:sz w:val="20"/>
              </w:rPr>
            </w:pPr>
            <w:r>
              <w:rPr>
                <w:sz w:val="20"/>
              </w:rPr>
              <w:t>The</w:t>
            </w:r>
            <w:r>
              <w:rPr>
                <w:spacing w:val="-3"/>
                <w:sz w:val="20"/>
              </w:rPr>
              <w:t xml:space="preserve"> </w:t>
            </w:r>
            <w:r>
              <w:rPr>
                <w:sz w:val="20"/>
              </w:rPr>
              <w:t>language</w:t>
            </w:r>
            <w:r>
              <w:rPr>
                <w:spacing w:val="-3"/>
                <w:sz w:val="20"/>
              </w:rPr>
              <w:t xml:space="preserve"> </w:t>
            </w:r>
            <w:r>
              <w:rPr>
                <w:sz w:val="20"/>
              </w:rPr>
              <w:t>quality</w:t>
            </w:r>
            <w:r>
              <w:rPr>
                <w:spacing w:val="-4"/>
                <w:sz w:val="20"/>
              </w:rPr>
              <w:t xml:space="preserve"> </w:t>
            </w:r>
            <w:r>
              <w:rPr>
                <w:sz w:val="20"/>
              </w:rPr>
              <w:t>is</w:t>
            </w:r>
            <w:r>
              <w:rPr>
                <w:spacing w:val="-4"/>
                <w:sz w:val="20"/>
              </w:rPr>
              <w:t xml:space="preserve"> </w:t>
            </w:r>
            <w:r>
              <w:rPr>
                <w:sz w:val="20"/>
              </w:rPr>
              <w:t>suitable</w:t>
            </w:r>
            <w:r>
              <w:rPr>
                <w:spacing w:val="-3"/>
                <w:sz w:val="20"/>
              </w:rPr>
              <w:t xml:space="preserve"> </w:t>
            </w:r>
            <w:r>
              <w:rPr>
                <w:sz w:val="20"/>
              </w:rPr>
              <w:t>for</w:t>
            </w:r>
            <w:r>
              <w:rPr>
                <w:spacing w:val="-4"/>
                <w:sz w:val="20"/>
              </w:rPr>
              <w:t xml:space="preserve"> </w:t>
            </w:r>
            <w:r>
              <w:rPr>
                <w:sz w:val="20"/>
              </w:rPr>
              <w:t>scholarly</w:t>
            </w:r>
            <w:r>
              <w:rPr>
                <w:spacing w:val="-4"/>
                <w:sz w:val="20"/>
              </w:rPr>
              <w:t xml:space="preserve"> </w:t>
            </w:r>
            <w:r>
              <w:rPr>
                <w:sz w:val="20"/>
              </w:rPr>
              <w:t>communication.</w:t>
            </w:r>
            <w:r>
              <w:rPr>
                <w:spacing w:val="-1"/>
                <w:sz w:val="20"/>
              </w:rPr>
              <w:t xml:space="preserve"> </w:t>
            </w:r>
            <w:r>
              <w:rPr>
                <w:sz w:val="20"/>
              </w:rPr>
              <w:t>The</w:t>
            </w:r>
            <w:r>
              <w:rPr>
                <w:spacing w:val="-3"/>
                <w:sz w:val="20"/>
              </w:rPr>
              <w:t xml:space="preserve"> </w:t>
            </w:r>
            <w:r>
              <w:rPr>
                <w:sz w:val="20"/>
              </w:rPr>
              <w:t>terminology</w:t>
            </w:r>
            <w:r>
              <w:rPr>
                <w:spacing w:val="-4"/>
                <w:sz w:val="20"/>
              </w:rPr>
              <w:t xml:space="preserve"> </w:t>
            </w:r>
            <w:r>
              <w:rPr>
                <w:sz w:val="20"/>
              </w:rPr>
              <w:t>is</w:t>
            </w:r>
            <w:r>
              <w:rPr>
                <w:spacing w:val="-3"/>
                <w:sz w:val="20"/>
              </w:rPr>
              <w:t xml:space="preserve"> </w:t>
            </w:r>
            <w:r>
              <w:rPr>
                <w:sz w:val="20"/>
              </w:rPr>
              <w:t>technically</w:t>
            </w:r>
            <w:r>
              <w:rPr>
                <w:spacing w:val="-4"/>
                <w:sz w:val="20"/>
              </w:rPr>
              <w:t xml:space="preserve"> </w:t>
            </w:r>
            <w:r>
              <w:rPr>
                <w:sz w:val="20"/>
              </w:rPr>
              <w:t>accurate,</w:t>
            </w:r>
            <w:r>
              <w:rPr>
                <w:spacing w:val="-2"/>
                <w:sz w:val="20"/>
              </w:rPr>
              <w:t xml:space="preserve"> </w:t>
            </w:r>
            <w:r>
              <w:rPr>
                <w:sz w:val="20"/>
              </w:rPr>
              <w:t>and</w:t>
            </w:r>
            <w:r>
              <w:rPr>
                <w:spacing w:val="-6"/>
                <w:sz w:val="20"/>
              </w:rPr>
              <w:t xml:space="preserve"> </w:t>
            </w:r>
            <w:r>
              <w:rPr>
                <w:sz w:val="20"/>
              </w:rPr>
              <w:t>the structure follows standard scientific reporting.</w:t>
            </w:r>
          </w:p>
        </w:tc>
        <w:tc>
          <w:tcPr>
            <w:tcW w:w="6445" w:type="dxa"/>
          </w:tcPr>
          <w:p w14:paraId="2D8C6929" w14:textId="77777777" w:rsidR="007F16A4" w:rsidRDefault="007F16A4">
            <w:pPr>
              <w:pStyle w:val="TableParagraph"/>
              <w:ind w:left="0"/>
              <w:rPr>
                <w:sz w:val="18"/>
              </w:rPr>
            </w:pPr>
          </w:p>
        </w:tc>
      </w:tr>
      <w:tr w:rsidR="007F16A4" w14:paraId="70CD1226" w14:textId="77777777">
        <w:trPr>
          <w:trHeight w:val="1179"/>
        </w:trPr>
        <w:tc>
          <w:tcPr>
            <w:tcW w:w="5352" w:type="dxa"/>
          </w:tcPr>
          <w:p w14:paraId="01861E96" w14:textId="77777777" w:rsidR="007F16A4" w:rsidRDefault="003822E7">
            <w:pPr>
              <w:pStyle w:val="TableParagraph"/>
              <w:rPr>
                <w:sz w:val="20"/>
              </w:rPr>
            </w:pPr>
            <w:r>
              <w:rPr>
                <w:b/>
                <w:spacing w:val="-2"/>
                <w:sz w:val="20"/>
                <w:u w:val="single"/>
              </w:rPr>
              <w:t>Optional/General</w:t>
            </w:r>
            <w:r>
              <w:rPr>
                <w:b/>
                <w:spacing w:val="17"/>
                <w:sz w:val="20"/>
              </w:rPr>
              <w:t xml:space="preserve"> </w:t>
            </w:r>
            <w:r>
              <w:rPr>
                <w:spacing w:val="-2"/>
                <w:sz w:val="20"/>
              </w:rPr>
              <w:t>comments</w:t>
            </w:r>
          </w:p>
        </w:tc>
        <w:tc>
          <w:tcPr>
            <w:tcW w:w="9356" w:type="dxa"/>
          </w:tcPr>
          <w:p w14:paraId="1150214F" w14:textId="77777777" w:rsidR="007F16A4" w:rsidRDefault="003822E7">
            <w:pPr>
              <w:pStyle w:val="TableParagraph"/>
              <w:rPr>
                <w:b/>
                <w:sz w:val="20"/>
              </w:rPr>
            </w:pPr>
            <w:r>
              <w:rPr>
                <w:b/>
                <w:sz w:val="20"/>
              </w:rPr>
              <w:t>Following</w:t>
            </w:r>
            <w:r>
              <w:rPr>
                <w:b/>
                <w:spacing w:val="-6"/>
                <w:sz w:val="20"/>
              </w:rPr>
              <w:t xml:space="preserve"> </w:t>
            </w:r>
            <w:r>
              <w:rPr>
                <w:b/>
                <w:sz w:val="20"/>
              </w:rPr>
              <w:t>are</w:t>
            </w:r>
            <w:r>
              <w:rPr>
                <w:b/>
                <w:spacing w:val="-5"/>
                <w:sz w:val="20"/>
              </w:rPr>
              <w:t xml:space="preserve"> </w:t>
            </w:r>
            <w:r>
              <w:rPr>
                <w:b/>
                <w:sz w:val="20"/>
              </w:rPr>
              <w:t>expected</w:t>
            </w:r>
            <w:r>
              <w:rPr>
                <w:b/>
                <w:spacing w:val="-5"/>
                <w:sz w:val="20"/>
              </w:rPr>
              <w:t xml:space="preserve"> </w:t>
            </w:r>
            <w:r>
              <w:rPr>
                <w:b/>
                <w:sz w:val="20"/>
              </w:rPr>
              <w:t>in</w:t>
            </w:r>
            <w:r>
              <w:rPr>
                <w:b/>
                <w:spacing w:val="-7"/>
                <w:sz w:val="20"/>
              </w:rPr>
              <w:t xml:space="preserve"> </w:t>
            </w:r>
            <w:r>
              <w:rPr>
                <w:b/>
                <w:sz w:val="20"/>
              </w:rPr>
              <w:t>current</w:t>
            </w:r>
            <w:r>
              <w:rPr>
                <w:b/>
                <w:spacing w:val="-5"/>
                <w:sz w:val="20"/>
              </w:rPr>
              <w:t xml:space="preserve"> </w:t>
            </w:r>
            <w:r>
              <w:rPr>
                <w:b/>
                <w:spacing w:val="-2"/>
                <w:sz w:val="20"/>
              </w:rPr>
              <w:t>article</w:t>
            </w:r>
          </w:p>
          <w:p w14:paraId="4A1A8BBF" w14:textId="77777777" w:rsidR="007F16A4" w:rsidRDefault="003822E7">
            <w:pPr>
              <w:pStyle w:val="TableParagraph"/>
              <w:spacing w:before="1"/>
              <w:rPr>
                <w:b/>
                <w:sz w:val="20"/>
              </w:rPr>
            </w:pPr>
            <w:r>
              <w:rPr>
                <w:b/>
                <w:sz w:val="20"/>
              </w:rPr>
              <w:t>To</w:t>
            </w:r>
            <w:r>
              <w:rPr>
                <w:b/>
                <w:spacing w:val="-6"/>
                <w:sz w:val="20"/>
              </w:rPr>
              <w:t xml:space="preserve"> </w:t>
            </w:r>
            <w:r>
              <w:rPr>
                <w:b/>
                <w:sz w:val="20"/>
              </w:rPr>
              <w:t>help</w:t>
            </w:r>
            <w:r>
              <w:rPr>
                <w:b/>
                <w:spacing w:val="-6"/>
                <w:sz w:val="20"/>
              </w:rPr>
              <w:t xml:space="preserve"> </w:t>
            </w:r>
            <w:r>
              <w:rPr>
                <w:b/>
                <w:sz w:val="20"/>
              </w:rPr>
              <w:t>readers</w:t>
            </w:r>
            <w:r>
              <w:rPr>
                <w:b/>
                <w:spacing w:val="-5"/>
                <w:sz w:val="20"/>
              </w:rPr>
              <w:t xml:space="preserve"> </w:t>
            </w:r>
            <w:r>
              <w:rPr>
                <w:b/>
                <w:sz w:val="20"/>
              </w:rPr>
              <w:t>visualize</w:t>
            </w:r>
            <w:r>
              <w:rPr>
                <w:b/>
                <w:spacing w:val="-4"/>
                <w:sz w:val="20"/>
              </w:rPr>
              <w:t xml:space="preserve"> </w:t>
            </w:r>
            <w:r>
              <w:rPr>
                <w:b/>
                <w:sz w:val="20"/>
              </w:rPr>
              <w:t>the</w:t>
            </w:r>
            <w:r>
              <w:rPr>
                <w:b/>
                <w:spacing w:val="-8"/>
                <w:sz w:val="20"/>
              </w:rPr>
              <w:t xml:space="preserve"> </w:t>
            </w:r>
            <w:r>
              <w:rPr>
                <w:b/>
                <w:sz w:val="20"/>
              </w:rPr>
              <w:t>molecular</w:t>
            </w:r>
            <w:r>
              <w:rPr>
                <w:b/>
                <w:spacing w:val="-5"/>
                <w:sz w:val="20"/>
              </w:rPr>
              <w:t xml:space="preserve"> </w:t>
            </w:r>
            <w:r>
              <w:rPr>
                <w:b/>
                <w:spacing w:val="-2"/>
                <w:sz w:val="20"/>
              </w:rPr>
              <w:t>target.</w:t>
            </w:r>
          </w:p>
          <w:p w14:paraId="776FFEA1" w14:textId="77777777" w:rsidR="007F16A4" w:rsidRDefault="003822E7">
            <w:pPr>
              <w:pStyle w:val="TableParagraph"/>
              <w:ind w:right="191"/>
              <w:rPr>
                <w:b/>
                <w:sz w:val="20"/>
              </w:rPr>
            </w:pPr>
            <w:r>
              <w:rPr>
                <w:b/>
                <w:sz w:val="20"/>
              </w:rPr>
              <w:t>The</w:t>
            </w:r>
            <w:r>
              <w:rPr>
                <w:b/>
                <w:spacing w:val="-3"/>
                <w:sz w:val="20"/>
              </w:rPr>
              <w:t xml:space="preserve"> </w:t>
            </w:r>
            <w:r>
              <w:rPr>
                <w:b/>
                <w:sz w:val="20"/>
              </w:rPr>
              <w:t>specific</w:t>
            </w:r>
            <w:r>
              <w:rPr>
                <w:b/>
                <w:spacing w:val="-4"/>
                <w:sz w:val="20"/>
              </w:rPr>
              <w:t xml:space="preserve"> </w:t>
            </w:r>
            <w:r>
              <w:rPr>
                <w:b/>
                <w:sz w:val="20"/>
              </w:rPr>
              <w:t>GenBank</w:t>
            </w:r>
            <w:r>
              <w:rPr>
                <w:b/>
                <w:spacing w:val="-5"/>
                <w:sz w:val="20"/>
              </w:rPr>
              <w:t xml:space="preserve"> </w:t>
            </w:r>
            <w:r>
              <w:rPr>
                <w:b/>
                <w:sz w:val="20"/>
              </w:rPr>
              <w:t>accession</w:t>
            </w:r>
            <w:r>
              <w:rPr>
                <w:b/>
                <w:spacing w:val="-5"/>
                <w:sz w:val="20"/>
              </w:rPr>
              <w:t xml:space="preserve"> </w:t>
            </w:r>
            <w:r>
              <w:rPr>
                <w:b/>
                <w:sz w:val="20"/>
              </w:rPr>
              <w:t>numbers</w:t>
            </w:r>
            <w:r>
              <w:rPr>
                <w:b/>
                <w:spacing w:val="-3"/>
                <w:sz w:val="20"/>
              </w:rPr>
              <w:t xml:space="preserve"> </w:t>
            </w:r>
            <w:r>
              <w:rPr>
                <w:b/>
                <w:sz w:val="20"/>
              </w:rPr>
              <w:t>for</w:t>
            </w:r>
            <w:r>
              <w:rPr>
                <w:b/>
                <w:spacing w:val="-3"/>
                <w:sz w:val="20"/>
              </w:rPr>
              <w:t xml:space="preserve"> </w:t>
            </w:r>
            <w:r>
              <w:rPr>
                <w:b/>
                <w:sz w:val="20"/>
              </w:rPr>
              <w:t>all</w:t>
            </w:r>
            <w:r>
              <w:rPr>
                <w:b/>
                <w:spacing w:val="-5"/>
                <w:sz w:val="20"/>
              </w:rPr>
              <w:t xml:space="preserve"> </w:t>
            </w:r>
            <w:r>
              <w:rPr>
                <w:b/>
                <w:sz w:val="20"/>
              </w:rPr>
              <w:t>five</w:t>
            </w:r>
            <w:r>
              <w:rPr>
                <w:b/>
                <w:spacing w:val="-4"/>
                <w:sz w:val="20"/>
              </w:rPr>
              <w:t xml:space="preserve"> </w:t>
            </w:r>
            <w:r>
              <w:rPr>
                <w:b/>
                <w:sz w:val="20"/>
              </w:rPr>
              <w:t>isolates,</w:t>
            </w:r>
            <w:r>
              <w:rPr>
                <w:b/>
                <w:spacing w:val="-6"/>
                <w:sz w:val="20"/>
              </w:rPr>
              <w:t xml:space="preserve"> </w:t>
            </w:r>
            <w:r>
              <w:rPr>
                <w:b/>
                <w:sz w:val="20"/>
              </w:rPr>
              <w:t>rather</w:t>
            </w:r>
            <w:r>
              <w:rPr>
                <w:b/>
                <w:spacing w:val="-3"/>
                <w:sz w:val="20"/>
              </w:rPr>
              <w:t xml:space="preserve"> </w:t>
            </w:r>
            <w:r>
              <w:rPr>
                <w:b/>
                <w:sz w:val="20"/>
              </w:rPr>
              <w:t>than</w:t>
            </w:r>
            <w:r>
              <w:rPr>
                <w:b/>
                <w:spacing w:val="-5"/>
                <w:sz w:val="20"/>
              </w:rPr>
              <w:t xml:space="preserve"> </w:t>
            </w:r>
            <w:r>
              <w:rPr>
                <w:b/>
                <w:sz w:val="20"/>
              </w:rPr>
              <w:t>just</w:t>
            </w:r>
            <w:r>
              <w:rPr>
                <w:b/>
                <w:spacing w:val="-5"/>
                <w:sz w:val="20"/>
              </w:rPr>
              <w:t xml:space="preserve"> </w:t>
            </w:r>
            <w:r>
              <w:rPr>
                <w:b/>
                <w:sz w:val="20"/>
              </w:rPr>
              <w:t>the</w:t>
            </w:r>
            <w:r>
              <w:rPr>
                <w:b/>
                <w:spacing w:val="-3"/>
                <w:sz w:val="20"/>
              </w:rPr>
              <w:t xml:space="preserve"> </w:t>
            </w:r>
            <w:r>
              <w:rPr>
                <w:b/>
                <w:sz w:val="20"/>
              </w:rPr>
              <w:t>one</w:t>
            </w:r>
            <w:r>
              <w:rPr>
                <w:b/>
                <w:spacing w:val="-3"/>
                <w:sz w:val="20"/>
              </w:rPr>
              <w:t xml:space="preserve"> </w:t>
            </w:r>
            <w:r>
              <w:rPr>
                <w:b/>
                <w:sz w:val="20"/>
              </w:rPr>
              <w:t>representative sequence (PX765820).</w:t>
            </w:r>
          </w:p>
        </w:tc>
        <w:tc>
          <w:tcPr>
            <w:tcW w:w="6445" w:type="dxa"/>
          </w:tcPr>
          <w:p w14:paraId="1E885FBA" w14:textId="26331401" w:rsidR="007F16A4" w:rsidRDefault="00676676">
            <w:pPr>
              <w:pStyle w:val="TableParagraph"/>
              <w:ind w:left="0"/>
              <w:rPr>
                <w:sz w:val="18"/>
              </w:rPr>
            </w:pPr>
            <w:r w:rsidRPr="00676676">
              <w:rPr>
                <w:sz w:val="18"/>
              </w:rPr>
              <w:t xml:space="preserve">We thank the reviewer for the suggestion. In the present study, one representative ITS sequence was submitted to GenBank to serve as a reference for the molecular identity of the isolates, as all five isolates showed highly similar ITS sequences and clustered within the same </w:t>
            </w:r>
            <w:r w:rsidRPr="00676676">
              <w:rPr>
                <w:i/>
                <w:iCs/>
                <w:sz w:val="18"/>
              </w:rPr>
              <w:t xml:space="preserve">Colletotrichum </w:t>
            </w:r>
            <w:proofErr w:type="spellStart"/>
            <w:r w:rsidRPr="00676676">
              <w:rPr>
                <w:i/>
                <w:iCs/>
                <w:sz w:val="18"/>
              </w:rPr>
              <w:t>capsici</w:t>
            </w:r>
            <w:proofErr w:type="spellEnd"/>
            <w:r w:rsidRPr="00676676">
              <w:rPr>
                <w:sz w:val="18"/>
              </w:rPr>
              <w:t xml:space="preserve"> clade. To improve clarity and transparency, the manuscript has been revised to explicitly state this rationale. We acknowledge that submission of accession numbers for all isolates would further enhance data availability and will be considered in future studies</w:t>
            </w:r>
          </w:p>
        </w:tc>
      </w:tr>
    </w:tbl>
    <w:p w14:paraId="063E22C3" w14:textId="77777777" w:rsidR="007F16A4" w:rsidRDefault="007F16A4">
      <w:pPr>
        <w:rPr>
          <w:b/>
          <w:sz w:val="20"/>
        </w:rPr>
      </w:pPr>
    </w:p>
    <w:p w14:paraId="18C83622" w14:textId="77777777" w:rsidR="007F16A4" w:rsidRDefault="007F16A4">
      <w:pPr>
        <w:rPr>
          <w:b/>
          <w:sz w:val="20"/>
        </w:rPr>
      </w:pPr>
    </w:p>
    <w:p w14:paraId="53D17F08" w14:textId="77777777" w:rsidR="007F16A4" w:rsidRDefault="007F16A4">
      <w:pPr>
        <w:rPr>
          <w:b/>
          <w:sz w:val="20"/>
        </w:rPr>
      </w:pPr>
    </w:p>
    <w:p w14:paraId="27033717" w14:textId="77777777" w:rsidR="007F16A4" w:rsidRDefault="007F16A4">
      <w:pPr>
        <w:rPr>
          <w:b/>
          <w:sz w:val="20"/>
        </w:rPr>
      </w:pPr>
    </w:p>
    <w:p w14:paraId="41653763" w14:textId="77777777" w:rsidR="007F16A4" w:rsidRDefault="007F16A4">
      <w:pPr>
        <w:rPr>
          <w:b/>
          <w:sz w:val="20"/>
        </w:rPr>
      </w:pPr>
    </w:p>
    <w:p w14:paraId="630A961F" w14:textId="77777777" w:rsidR="007F16A4" w:rsidRDefault="007F16A4">
      <w:pPr>
        <w:rPr>
          <w:b/>
          <w:sz w:val="20"/>
        </w:rPr>
      </w:pPr>
    </w:p>
    <w:p w14:paraId="282E1634" w14:textId="77777777" w:rsidR="007F16A4" w:rsidRDefault="007F16A4">
      <w:pPr>
        <w:rPr>
          <w:b/>
          <w:sz w:val="20"/>
        </w:rPr>
      </w:pPr>
    </w:p>
    <w:p w14:paraId="0B1694CC" w14:textId="77777777" w:rsidR="007F16A4" w:rsidRDefault="007F16A4">
      <w:pPr>
        <w:rPr>
          <w:b/>
          <w:sz w:val="20"/>
        </w:rPr>
      </w:pPr>
    </w:p>
    <w:p w14:paraId="7C5709A8" w14:textId="77777777" w:rsidR="007F16A4" w:rsidRDefault="003822E7">
      <w:pPr>
        <w:rPr>
          <w:b/>
          <w:sz w:val="20"/>
        </w:rPr>
      </w:pPr>
      <w:r>
        <w:rPr>
          <w:color w:val="000000"/>
          <w:highlight w:val="yellow"/>
          <w:u w:val="single"/>
        </w:rPr>
        <w:lastRenderedPageBreak/>
        <w:t>PART</w:t>
      </w:r>
      <w:r>
        <w:rPr>
          <w:color w:val="000000"/>
          <w:spacing w:val="44"/>
          <w:highlight w:val="yellow"/>
          <w:u w:val="single"/>
        </w:rPr>
        <w:t xml:space="preserve"> </w:t>
      </w:r>
      <w:r>
        <w:rPr>
          <w:color w:val="000000"/>
          <w:spacing w:val="-5"/>
          <w:highlight w:val="yellow"/>
          <w:u w:val="single"/>
        </w:rPr>
        <w:t>2</w:t>
      </w:r>
    </w:p>
    <w:p w14:paraId="321A7109" w14:textId="77777777" w:rsidR="007F16A4" w:rsidRDefault="007F16A4">
      <w:pPr>
        <w:rPr>
          <w:b/>
          <w:sz w:val="20"/>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5"/>
        <w:gridCol w:w="5678"/>
      </w:tblGrid>
      <w:tr w:rsidR="007F16A4" w14:paraId="4AA08FFB" w14:textId="77777777">
        <w:trPr>
          <w:trHeight w:val="935"/>
        </w:trPr>
        <w:tc>
          <w:tcPr>
            <w:tcW w:w="6830" w:type="dxa"/>
          </w:tcPr>
          <w:p w14:paraId="3B6F3B9D" w14:textId="77777777" w:rsidR="007F16A4" w:rsidRDefault="007F16A4">
            <w:pPr>
              <w:pStyle w:val="TableParagraph"/>
              <w:ind w:left="0"/>
              <w:rPr>
                <w:sz w:val="18"/>
              </w:rPr>
            </w:pPr>
          </w:p>
        </w:tc>
        <w:tc>
          <w:tcPr>
            <w:tcW w:w="8645" w:type="dxa"/>
          </w:tcPr>
          <w:p w14:paraId="354ECB9B" w14:textId="77777777" w:rsidR="007F16A4" w:rsidRDefault="003822E7">
            <w:pPr>
              <w:pStyle w:val="TableParagraph"/>
              <w:ind w:left="108"/>
              <w:rPr>
                <w:b/>
                <w:sz w:val="20"/>
              </w:rPr>
            </w:pPr>
            <w:r>
              <w:rPr>
                <w:b/>
                <w:sz w:val="20"/>
              </w:rPr>
              <w:t>Reviewer’s</w:t>
            </w:r>
            <w:r>
              <w:rPr>
                <w:b/>
                <w:spacing w:val="-11"/>
                <w:sz w:val="20"/>
              </w:rPr>
              <w:t xml:space="preserve"> </w:t>
            </w:r>
            <w:r>
              <w:rPr>
                <w:b/>
                <w:spacing w:val="-2"/>
                <w:sz w:val="20"/>
              </w:rPr>
              <w:t>comment</w:t>
            </w:r>
          </w:p>
        </w:tc>
        <w:tc>
          <w:tcPr>
            <w:tcW w:w="5678" w:type="dxa"/>
          </w:tcPr>
          <w:p w14:paraId="2AE5BD6C" w14:textId="77777777" w:rsidR="007F16A4" w:rsidRDefault="003822E7">
            <w:pPr>
              <w:pStyle w:val="TableParagraph"/>
              <w:spacing w:line="254" w:lineRule="auto"/>
              <w:ind w:left="1" w:right="78"/>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7"/>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5"/>
                <w:sz w:val="20"/>
              </w:rPr>
              <w:t xml:space="preserve"> </w:t>
            </w:r>
            <w:r>
              <w:rPr>
                <w:sz w:val="20"/>
              </w:rPr>
              <w:t>should</w:t>
            </w:r>
            <w:r>
              <w:rPr>
                <w:spacing w:val="-7"/>
                <w:sz w:val="20"/>
              </w:rPr>
              <w:t xml:space="preserve"> </w:t>
            </w:r>
            <w:r>
              <w:rPr>
                <w:sz w:val="20"/>
              </w:rPr>
              <w:t>write</w:t>
            </w:r>
            <w:r>
              <w:rPr>
                <w:spacing w:val="-5"/>
                <w:sz w:val="20"/>
              </w:rPr>
              <w:t xml:space="preserve"> </w:t>
            </w:r>
            <w:r>
              <w:rPr>
                <w:sz w:val="20"/>
              </w:rPr>
              <w:t>his/her feedback here)</w:t>
            </w:r>
          </w:p>
        </w:tc>
      </w:tr>
      <w:tr w:rsidR="007F16A4" w14:paraId="250FDA2A" w14:textId="77777777">
        <w:trPr>
          <w:trHeight w:val="921"/>
        </w:trPr>
        <w:tc>
          <w:tcPr>
            <w:tcW w:w="6830" w:type="dxa"/>
          </w:tcPr>
          <w:p w14:paraId="0CC06F6C" w14:textId="77777777" w:rsidR="007F16A4" w:rsidRDefault="007F16A4">
            <w:pPr>
              <w:pStyle w:val="TableParagraph"/>
              <w:ind w:left="0"/>
              <w:rPr>
                <w:b/>
                <w:sz w:val="20"/>
              </w:rPr>
            </w:pPr>
          </w:p>
          <w:p w14:paraId="4D7F308A" w14:textId="77777777" w:rsidR="007F16A4" w:rsidRDefault="003822E7">
            <w:pPr>
              <w:pStyle w:val="TableParagraph"/>
              <w:spacing w:before="1"/>
              <w:rPr>
                <w:b/>
                <w:sz w:val="20"/>
              </w:rPr>
            </w:pPr>
            <w:r>
              <w:rPr>
                <w:b/>
                <w:sz w:val="20"/>
              </w:rPr>
              <w:t>Are</w:t>
            </w:r>
            <w:r>
              <w:rPr>
                <w:b/>
                <w:spacing w:val="-4"/>
                <w:sz w:val="20"/>
              </w:rPr>
              <w:t xml:space="preserve"> </w:t>
            </w:r>
            <w:r>
              <w:rPr>
                <w:b/>
                <w:sz w:val="20"/>
              </w:rPr>
              <w:t>there</w:t>
            </w:r>
            <w:r>
              <w:rPr>
                <w:b/>
                <w:spacing w:val="-3"/>
                <w:sz w:val="20"/>
              </w:rPr>
              <w:t xml:space="preserve"> </w:t>
            </w:r>
            <w:r>
              <w:rPr>
                <w:b/>
                <w:sz w:val="20"/>
              </w:rPr>
              <w:t>ethical</w:t>
            </w:r>
            <w:r>
              <w:rPr>
                <w:b/>
                <w:spacing w:val="-4"/>
                <w:sz w:val="20"/>
              </w:rPr>
              <w:t xml:space="preserve"> </w:t>
            </w:r>
            <w:r>
              <w:rPr>
                <w:b/>
                <w:sz w:val="20"/>
              </w:rPr>
              <w:t>issues</w:t>
            </w:r>
            <w:r>
              <w:rPr>
                <w:b/>
                <w:spacing w:val="-6"/>
                <w:sz w:val="20"/>
              </w:rPr>
              <w:t xml:space="preserve"> </w:t>
            </w:r>
            <w:r>
              <w:rPr>
                <w:b/>
                <w:sz w:val="20"/>
              </w:rPr>
              <w:t>in</w:t>
            </w:r>
            <w:r>
              <w:rPr>
                <w:b/>
                <w:spacing w:val="-5"/>
                <w:sz w:val="20"/>
              </w:rPr>
              <w:t xml:space="preserve"> </w:t>
            </w:r>
            <w:r>
              <w:rPr>
                <w:b/>
                <w:sz w:val="20"/>
              </w:rPr>
              <w:t>this</w:t>
            </w:r>
            <w:r>
              <w:rPr>
                <w:b/>
                <w:spacing w:val="-3"/>
                <w:sz w:val="20"/>
              </w:rPr>
              <w:t xml:space="preserve"> </w:t>
            </w:r>
            <w:r>
              <w:rPr>
                <w:b/>
                <w:spacing w:val="-2"/>
                <w:sz w:val="20"/>
              </w:rPr>
              <w:t>manuscript?</w:t>
            </w:r>
          </w:p>
        </w:tc>
        <w:tc>
          <w:tcPr>
            <w:tcW w:w="8645" w:type="dxa"/>
          </w:tcPr>
          <w:p w14:paraId="237601B7" w14:textId="77777777" w:rsidR="007F16A4" w:rsidRDefault="003822E7">
            <w:pPr>
              <w:pStyle w:val="TableParagraph"/>
              <w:spacing w:before="114"/>
              <w:ind w:left="108"/>
              <w:rPr>
                <w:i/>
                <w:sz w:val="20"/>
              </w:rPr>
            </w:pPr>
            <w:r>
              <w:rPr>
                <w:i/>
                <w:sz w:val="20"/>
                <w:u w:val="single"/>
              </w:rPr>
              <w:t>(If</w:t>
            </w:r>
            <w:r>
              <w:rPr>
                <w:i/>
                <w:spacing w:val="-5"/>
                <w:sz w:val="20"/>
                <w:u w:val="single"/>
              </w:rPr>
              <w:t xml:space="preserve"> </w:t>
            </w:r>
            <w:r>
              <w:rPr>
                <w:i/>
                <w:sz w:val="20"/>
                <w:u w:val="single"/>
              </w:rPr>
              <w:t>yes,</w:t>
            </w:r>
            <w:r>
              <w:rPr>
                <w:i/>
                <w:spacing w:val="-2"/>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3"/>
                <w:sz w:val="20"/>
                <w:u w:val="single"/>
              </w:rPr>
              <w:t xml:space="preserve"> </w:t>
            </w:r>
            <w:r>
              <w:rPr>
                <w:i/>
                <w:sz w:val="20"/>
                <w:u w:val="single"/>
              </w:rPr>
              <w:t>write</w:t>
            </w:r>
            <w:r>
              <w:rPr>
                <w:i/>
                <w:spacing w:val="-3"/>
                <w:sz w:val="20"/>
                <w:u w:val="single"/>
              </w:rPr>
              <w:t xml:space="preserve"> </w:t>
            </w:r>
            <w:r>
              <w:rPr>
                <w:i/>
                <w:sz w:val="20"/>
                <w:u w:val="single"/>
              </w:rPr>
              <w:t>down</w:t>
            </w:r>
            <w:r>
              <w:rPr>
                <w:i/>
                <w:spacing w:val="-4"/>
                <w:sz w:val="20"/>
                <w:u w:val="single"/>
              </w:rPr>
              <w:t xml:space="preserve"> </w:t>
            </w:r>
            <w:r>
              <w:rPr>
                <w:i/>
                <w:sz w:val="20"/>
                <w:u w:val="single"/>
              </w:rPr>
              <w:t>the</w:t>
            </w:r>
            <w:r>
              <w:rPr>
                <w:i/>
                <w:spacing w:val="-6"/>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7"/>
                <w:sz w:val="20"/>
                <w:u w:val="single"/>
              </w:rPr>
              <w:t xml:space="preserve"> </w:t>
            </w:r>
            <w:r>
              <w:rPr>
                <w:i/>
                <w:sz w:val="20"/>
                <w:u w:val="single"/>
              </w:rPr>
              <w:t>in</w:t>
            </w:r>
            <w:r>
              <w:rPr>
                <w:i/>
                <w:spacing w:val="2"/>
                <w:sz w:val="20"/>
                <w:u w:val="single"/>
              </w:rPr>
              <w:t xml:space="preserve"> </w:t>
            </w:r>
            <w:r>
              <w:rPr>
                <w:i/>
                <w:spacing w:val="-2"/>
                <w:sz w:val="20"/>
                <w:u w:val="single"/>
              </w:rPr>
              <w:t>detail)</w:t>
            </w:r>
          </w:p>
        </w:tc>
        <w:tc>
          <w:tcPr>
            <w:tcW w:w="5678" w:type="dxa"/>
          </w:tcPr>
          <w:p w14:paraId="012C8C52" w14:textId="77777777" w:rsidR="007F16A4" w:rsidRDefault="007F16A4">
            <w:pPr>
              <w:pStyle w:val="TableParagraph"/>
              <w:ind w:left="0"/>
              <w:rPr>
                <w:sz w:val="18"/>
              </w:rPr>
            </w:pPr>
          </w:p>
        </w:tc>
      </w:tr>
    </w:tbl>
    <w:p w14:paraId="6C3155D2" w14:textId="77777777" w:rsidR="007F16A4" w:rsidRDefault="007F16A4">
      <w:pPr>
        <w:rPr>
          <w:b/>
          <w:sz w:val="20"/>
        </w:rPr>
      </w:pPr>
    </w:p>
    <w:sectPr w:rsidR="007F16A4">
      <w:pgSz w:w="23820" w:h="16840" w:orient="landscape"/>
      <w:pgMar w:top="1820" w:right="1275" w:bottom="880" w:left="1275" w:header="128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72A77" w14:textId="77777777" w:rsidR="003822E7" w:rsidRDefault="003822E7">
      <w:r>
        <w:separator/>
      </w:r>
    </w:p>
  </w:endnote>
  <w:endnote w:type="continuationSeparator" w:id="0">
    <w:p w14:paraId="47EE6741" w14:textId="77777777" w:rsidR="003822E7" w:rsidRDefault="0038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7A62E" w14:textId="77777777" w:rsidR="003822E7" w:rsidRDefault="003822E7">
      <w:r>
        <w:separator/>
      </w:r>
    </w:p>
  </w:footnote>
  <w:footnote w:type="continuationSeparator" w:id="0">
    <w:p w14:paraId="7ED7F296" w14:textId="77777777" w:rsidR="003822E7" w:rsidRDefault="00382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BC70B0"/>
    <w:multiLevelType w:val="hybridMultilevel"/>
    <w:tmpl w:val="BF8015FE"/>
    <w:lvl w:ilvl="0" w:tplc="F726F8E6">
      <w:start w:val="1"/>
      <w:numFmt w:val="decimal"/>
      <w:lvlText w:val="%1."/>
      <w:lvlJc w:val="left"/>
      <w:pPr>
        <w:ind w:left="826" w:hanging="361"/>
      </w:pPr>
      <w:rPr>
        <w:rFonts w:ascii="Times New Roman" w:eastAsia="Times New Roman" w:hAnsi="Times New Roman" w:cs="Times New Roman" w:hint="default"/>
        <w:b w:val="0"/>
        <w:bCs w:val="0"/>
        <w:i w:val="0"/>
        <w:iCs w:val="0"/>
        <w:spacing w:val="0"/>
        <w:w w:val="99"/>
        <w:sz w:val="20"/>
        <w:szCs w:val="20"/>
        <w:lang w:val="en-US" w:eastAsia="en-US" w:bidi="ar-SA"/>
      </w:rPr>
    </w:lvl>
    <w:lvl w:ilvl="1" w:tplc="13D09B18">
      <w:numFmt w:val="bullet"/>
      <w:lvlText w:val="•"/>
      <w:lvlJc w:val="left"/>
      <w:pPr>
        <w:ind w:left="1672" w:hanging="361"/>
      </w:pPr>
      <w:rPr>
        <w:rFonts w:hint="default"/>
        <w:lang w:val="en-US" w:eastAsia="en-US" w:bidi="ar-SA"/>
      </w:rPr>
    </w:lvl>
    <w:lvl w:ilvl="2" w:tplc="4FD04F18">
      <w:numFmt w:val="bullet"/>
      <w:lvlText w:val="•"/>
      <w:lvlJc w:val="left"/>
      <w:pPr>
        <w:ind w:left="2525" w:hanging="361"/>
      </w:pPr>
      <w:rPr>
        <w:rFonts w:hint="default"/>
        <w:lang w:val="en-US" w:eastAsia="en-US" w:bidi="ar-SA"/>
      </w:rPr>
    </w:lvl>
    <w:lvl w:ilvl="3" w:tplc="AA6EBF44">
      <w:numFmt w:val="bullet"/>
      <w:lvlText w:val="•"/>
      <w:lvlJc w:val="left"/>
      <w:pPr>
        <w:ind w:left="3377" w:hanging="361"/>
      </w:pPr>
      <w:rPr>
        <w:rFonts w:hint="default"/>
        <w:lang w:val="en-US" w:eastAsia="en-US" w:bidi="ar-SA"/>
      </w:rPr>
    </w:lvl>
    <w:lvl w:ilvl="4" w:tplc="08E6BCFA">
      <w:numFmt w:val="bullet"/>
      <w:lvlText w:val="•"/>
      <w:lvlJc w:val="left"/>
      <w:pPr>
        <w:ind w:left="4230" w:hanging="361"/>
      </w:pPr>
      <w:rPr>
        <w:rFonts w:hint="default"/>
        <w:lang w:val="en-US" w:eastAsia="en-US" w:bidi="ar-SA"/>
      </w:rPr>
    </w:lvl>
    <w:lvl w:ilvl="5" w:tplc="42F634D0">
      <w:numFmt w:val="bullet"/>
      <w:lvlText w:val="•"/>
      <w:lvlJc w:val="left"/>
      <w:pPr>
        <w:ind w:left="5083" w:hanging="361"/>
      </w:pPr>
      <w:rPr>
        <w:rFonts w:hint="default"/>
        <w:lang w:val="en-US" w:eastAsia="en-US" w:bidi="ar-SA"/>
      </w:rPr>
    </w:lvl>
    <w:lvl w:ilvl="6" w:tplc="73527E62">
      <w:numFmt w:val="bullet"/>
      <w:lvlText w:val="•"/>
      <w:lvlJc w:val="left"/>
      <w:pPr>
        <w:ind w:left="5935" w:hanging="361"/>
      </w:pPr>
      <w:rPr>
        <w:rFonts w:hint="default"/>
        <w:lang w:val="en-US" w:eastAsia="en-US" w:bidi="ar-SA"/>
      </w:rPr>
    </w:lvl>
    <w:lvl w:ilvl="7" w:tplc="D3D052C0">
      <w:numFmt w:val="bullet"/>
      <w:lvlText w:val="•"/>
      <w:lvlJc w:val="left"/>
      <w:pPr>
        <w:ind w:left="6788" w:hanging="361"/>
      </w:pPr>
      <w:rPr>
        <w:rFonts w:hint="default"/>
        <w:lang w:val="en-US" w:eastAsia="en-US" w:bidi="ar-SA"/>
      </w:rPr>
    </w:lvl>
    <w:lvl w:ilvl="8" w:tplc="2A72B2D2">
      <w:numFmt w:val="bullet"/>
      <w:lvlText w:val="•"/>
      <w:lvlJc w:val="left"/>
      <w:pPr>
        <w:ind w:left="7640" w:hanging="36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F16A4"/>
    <w:rsid w:val="003822E7"/>
    <w:rsid w:val="00555263"/>
    <w:rsid w:val="00676676"/>
    <w:rsid w:val="007F16A4"/>
    <w:rsid w:val="00CD696E"/>
    <w:rsid w:val="00E60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C7969"/>
  <w15:docId w15:val="{D049EA79-78C5-4113-BFCC-1AFFC401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4"/>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655</Words>
  <Characters>3735</Characters>
  <Application>Microsoft Office Word</Application>
  <DocSecurity>0</DocSecurity>
  <Lines>31</Lines>
  <Paragraphs>8</Paragraphs>
  <ScaleCrop>false</ScaleCrop>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2026-01-03T07:22:00Z</dcterms:created>
  <dcterms:modified xsi:type="dcterms:W3CDTF">2026-01-07T06:36:00Z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2026-01-02T00:00:00Z</vt:filetime>
  </property>
  <property fmtid="{D5CDD505-2E9C-101B-9397-08002B2CF9AE}" pid="3" name="Creator">
    <vt:lpwstr>Microsoft® Word for Microsoft 365</vt:lpwstr>
  </property>
  <property fmtid="{D5CDD505-2E9C-101B-9397-08002B2CF9AE}" pid="4" name="LastSaved">
    <vt:filetime>2026-01-03T00:00:00Z</vt:filetime>
  </property>
  <property fmtid="{D5CDD505-2E9C-101B-9397-08002B2CF9AE}" pid="5" name="Producer">
    <vt:lpwstr>3-Heights(TM) PDF Security Shell 4.8.25.2 (http://www.pdf-tools.com)</vt:lpwstr>
  </property>
</Properties>
</file>