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243B062" w14:textId="77777777" w:rsidTr="002643B3">
        <w:trPr>
          <w:trHeight w:val="290"/>
        </w:trPr>
        <w:tc>
          <w:tcPr>
            <w:tcW w:w="5000" w:type="pct"/>
            <w:gridSpan w:val="2"/>
            <w:tcBorders>
              <w:top w:val="nil"/>
              <w:left w:val="nil"/>
              <w:right w:val="nil"/>
            </w:tcBorders>
          </w:tcPr>
          <w:p w14:paraId="03795F25"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05EF4DBF" w14:textId="77777777" w:rsidTr="002643B3">
        <w:trPr>
          <w:trHeight w:val="290"/>
        </w:trPr>
        <w:tc>
          <w:tcPr>
            <w:tcW w:w="1234" w:type="pct"/>
          </w:tcPr>
          <w:p w14:paraId="59D2844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14:paraId="7C2A82F8" w14:textId="77777777" w:rsidR="0000007A" w:rsidRPr="00E65EB7" w:rsidRDefault="00B02FDC" w:rsidP="00E65EB7">
            <w:pPr>
              <w:rPr>
                <w:rFonts w:ascii="Arial" w:hAnsi="Arial" w:cs="Arial"/>
                <w:b/>
                <w:bCs/>
                <w:color w:val="0000FF"/>
                <w:sz w:val="20"/>
                <w:szCs w:val="20"/>
              </w:rPr>
            </w:pPr>
            <w:hyperlink r:id="rId8" w:history="1">
              <w:r w:rsidR="00DF2920" w:rsidRPr="00B3093C">
                <w:rPr>
                  <w:rStyle w:val="Hyperlink"/>
                  <w:rFonts w:ascii="Arial" w:hAnsi="Arial" w:cs="Arial"/>
                  <w:b/>
                  <w:bCs/>
                  <w:sz w:val="20"/>
                  <w:szCs w:val="20"/>
                </w:rPr>
                <w:t>International Journal of TROPICAL DISEASE &amp; Health</w:t>
              </w:r>
            </w:hyperlink>
          </w:p>
        </w:tc>
      </w:tr>
      <w:tr w:rsidR="0000007A" w:rsidRPr="00F245A7" w14:paraId="30AC17D6" w14:textId="77777777" w:rsidTr="002643B3">
        <w:trPr>
          <w:trHeight w:val="290"/>
        </w:trPr>
        <w:tc>
          <w:tcPr>
            <w:tcW w:w="1234" w:type="pct"/>
          </w:tcPr>
          <w:p w14:paraId="4886505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14:paraId="63C5A732" w14:textId="77777777" w:rsidR="0000007A" w:rsidRPr="00F245A7" w:rsidRDefault="00E307B9" w:rsidP="00F3669D">
            <w:pPr>
              <w:pStyle w:val="NormalWeb"/>
              <w:spacing w:before="0" w:beforeAutospacing="0" w:after="0" w:afterAutospacing="0"/>
              <w:rPr>
                <w:rFonts w:ascii="Arial" w:hAnsi="Arial" w:cs="Arial"/>
                <w:b/>
                <w:bCs/>
                <w:sz w:val="20"/>
                <w:szCs w:val="28"/>
                <w:lang w:val="en-GB"/>
              </w:rPr>
            </w:pPr>
            <w:r w:rsidRPr="00E307B9">
              <w:rPr>
                <w:rFonts w:ascii="Arial" w:hAnsi="Arial" w:cs="Arial"/>
                <w:b/>
                <w:bCs/>
                <w:sz w:val="20"/>
                <w:szCs w:val="28"/>
                <w:lang w:val="en-GB"/>
              </w:rPr>
              <w:t>Ms_IJTDH_150644</w:t>
            </w:r>
          </w:p>
        </w:tc>
      </w:tr>
      <w:tr w:rsidR="0000007A" w:rsidRPr="00F245A7" w14:paraId="46942AFD" w14:textId="77777777" w:rsidTr="002643B3">
        <w:trPr>
          <w:trHeight w:val="650"/>
        </w:trPr>
        <w:tc>
          <w:tcPr>
            <w:tcW w:w="1234" w:type="pct"/>
          </w:tcPr>
          <w:p w14:paraId="551B2B15"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14:paraId="0E50A344" w14:textId="77777777" w:rsidR="0000007A" w:rsidRPr="00F245A7" w:rsidRDefault="00E307B9" w:rsidP="000450FC">
            <w:pPr>
              <w:pStyle w:val="NormalWeb"/>
              <w:spacing w:before="0" w:beforeAutospacing="0" w:after="0" w:afterAutospacing="0"/>
              <w:rPr>
                <w:rFonts w:ascii="Arial" w:hAnsi="Arial" w:cs="Arial"/>
                <w:b/>
                <w:sz w:val="20"/>
                <w:szCs w:val="28"/>
                <w:lang w:val="en-GB"/>
              </w:rPr>
            </w:pPr>
            <w:r w:rsidRPr="00E307B9">
              <w:rPr>
                <w:rFonts w:ascii="Arial" w:hAnsi="Arial" w:cs="Arial"/>
                <w:b/>
                <w:sz w:val="20"/>
                <w:szCs w:val="28"/>
                <w:lang w:val="en-GB"/>
              </w:rPr>
              <w:t>ASSESSING NIGERIA’S EMERGING CAPACITY FOR LOCAL MANUFACTURING OF MALARIA COMMODITIES</w:t>
            </w:r>
          </w:p>
        </w:tc>
      </w:tr>
      <w:tr w:rsidR="00CF0BBB" w:rsidRPr="00F245A7" w14:paraId="331DCE49" w14:textId="77777777" w:rsidTr="002643B3">
        <w:trPr>
          <w:trHeight w:val="332"/>
        </w:trPr>
        <w:tc>
          <w:tcPr>
            <w:tcW w:w="1234" w:type="pct"/>
          </w:tcPr>
          <w:p w14:paraId="3D420A18"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14:paraId="298A20EC" w14:textId="77777777" w:rsidR="00CF0BBB" w:rsidRPr="001A25DE" w:rsidRDefault="001A25DE" w:rsidP="000450FC">
            <w:pPr>
              <w:pStyle w:val="NormalWeb"/>
              <w:spacing w:before="0" w:beforeAutospacing="0" w:after="0" w:afterAutospacing="0"/>
              <w:rPr>
                <w:rFonts w:ascii="Arial" w:hAnsi="Arial" w:cs="Arial"/>
                <w:sz w:val="20"/>
                <w:szCs w:val="28"/>
                <w:lang w:val="en-GB"/>
              </w:rPr>
            </w:pPr>
            <w:r w:rsidRPr="001A25DE">
              <w:rPr>
                <w:rFonts w:ascii="Arial" w:hAnsi="Arial" w:cs="Arial"/>
                <w:sz w:val="20"/>
                <w:szCs w:val="28"/>
                <w:lang w:val="en-GB"/>
              </w:rPr>
              <w:t>Original Research Article</w:t>
            </w:r>
          </w:p>
        </w:tc>
      </w:tr>
    </w:tbl>
    <w:p w14:paraId="197F841D" w14:textId="77777777" w:rsidR="00037D52" w:rsidRPr="00F245A7"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40BFD" w:rsidRPr="00900E9B" w14:paraId="6E367272" w14:textId="77777777">
        <w:tc>
          <w:tcPr>
            <w:tcW w:w="5000" w:type="pct"/>
            <w:gridSpan w:val="3"/>
            <w:tcBorders>
              <w:top w:val="nil"/>
              <w:left w:val="nil"/>
              <w:right w:val="nil"/>
            </w:tcBorders>
            <w:noWrap/>
          </w:tcPr>
          <w:p w14:paraId="2B6520F5" w14:textId="77777777" w:rsidR="00A40BFD" w:rsidRPr="00900E9B" w:rsidRDefault="00A40BFD">
            <w:pPr>
              <w:pStyle w:val="Heading2"/>
              <w:jc w:val="left"/>
              <w:rPr>
                <w:rFonts w:ascii="Times New Roman" w:hAnsi="Times New Roman"/>
                <w:lang w:val="en-GB"/>
              </w:rPr>
            </w:pPr>
            <w:bookmarkStart w:id="0" w:name="_Hlk171324449"/>
            <w:bookmarkStart w:id="1" w:name="_Hlk170903434"/>
            <w:bookmarkStart w:id="2" w:name="_GoBack"/>
            <w:bookmarkEnd w:id="2"/>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1AE13B2" w14:textId="77777777" w:rsidR="00A40BFD" w:rsidRPr="00900E9B" w:rsidRDefault="00A40BFD">
            <w:pPr>
              <w:rPr>
                <w:sz w:val="20"/>
                <w:szCs w:val="20"/>
                <w:lang w:val="en-GB"/>
              </w:rPr>
            </w:pPr>
          </w:p>
        </w:tc>
      </w:tr>
      <w:tr w:rsidR="00A40BFD" w:rsidRPr="00900E9B" w14:paraId="73BC8CE9" w14:textId="77777777">
        <w:tc>
          <w:tcPr>
            <w:tcW w:w="1265" w:type="pct"/>
            <w:noWrap/>
          </w:tcPr>
          <w:p w14:paraId="39D17700" w14:textId="77777777" w:rsidR="00A40BFD" w:rsidRPr="00900E9B" w:rsidRDefault="00A40BFD">
            <w:pPr>
              <w:pStyle w:val="Heading2"/>
              <w:jc w:val="left"/>
              <w:rPr>
                <w:rFonts w:ascii="Times New Roman" w:hAnsi="Times New Roman"/>
                <w:lang w:val="en-GB"/>
              </w:rPr>
            </w:pPr>
          </w:p>
        </w:tc>
        <w:tc>
          <w:tcPr>
            <w:tcW w:w="2212" w:type="pct"/>
          </w:tcPr>
          <w:p w14:paraId="33CF10F2" w14:textId="77777777" w:rsidR="00A40BFD" w:rsidRDefault="00A40BFD">
            <w:pPr>
              <w:pStyle w:val="Heading2"/>
              <w:jc w:val="left"/>
              <w:rPr>
                <w:rFonts w:ascii="Times New Roman" w:hAnsi="Times New Roman"/>
                <w:lang w:val="en-GB"/>
              </w:rPr>
            </w:pPr>
            <w:r w:rsidRPr="00900E9B">
              <w:rPr>
                <w:rFonts w:ascii="Times New Roman" w:hAnsi="Times New Roman"/>
                <w:lang w:val="en-GB"/>
              </w:rPr>
              <w:t>Reviewer’s comment</w:t>
            </w:r>
          </w:p>
          <w:p w14:paraId="29C9D481" w14:textId="77777777" w:rsidR="00904837" w:rsidRDefault="00904837" w:rsidP="00904837">
            <w:pPr>
              <w:rPr>
                <w:b/>
                <w:bCs/>
                <w:sz w:val="20"/>
                <w:szCs w:val="20"/>
              </w:rPr>
            </w:pPr>
            <w:r w:rsidRPr="00A604EE">
              <w:rPr>
                <w:b/>
                <w:bCs/>
                <w:sz w:val="20"/>
                <w:szCs w:val="20"/>
                <w:highlight w:val="yellow"/>
              </w:rPr>
              <w:t>Artificial Intelligence (AI) generated or assisted review comments are strictly prohibited during peer review.</w:t>
            </w:r>
          </w:p>
          <w:p w14:paraId="3EEA225E" w14:textId="77777777" w:rsidR="00904837" w:rsidRPr="00904837" w:rsidRDefault="00904837" w:rsidP="00904837">
            <w:pPr>
              <w:rPr>
                <w:lang w:val="en-GB"/>
              </w:rPr>
            </w:pPr>
          </w:p>
        </w:tc>
        <w:tc>
          <w:tcPr>
            <w:tcW w:w="1523" w:type="pct"/>
          </w:tcPr>
          <w:p w14:paraId="37355142" w14:textId="77777777" w:rsidR="00DE42AB" w:rsidRDefault="00DE42AB" w:rsidP="00DE42A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37B140A" w14:textId="77777777" w:rsidR="00A40BFD" w:rsidRPr="00900E9B" w:rsidRDefault="00A40BFD">
            <w:pPr>
              <w:pStyle w:val="Heading2"/>
              <w:jc w:val="left"/>
              <w:rPr>
                <w:rFonts w:ascii="Times New Roman" w:hAnsi="Times New Roman"/>
                <w:b w:val="0"/>
                <w:lang w:val="en-GB"/>
              </w:rPr>
            </w:pPr>
          </w:p>
        </w:tc>
      </w:tr>
      <w:tr w:rsidR="00A40BFD" w:rsidRPr="00900E9B" w14:paraId="4AE127E7" w14:textId="77777777">
        <w:trPr>
          <w:trHeight w:val="1264"/>
        </w:trPr>
        <w:tc>
          <w:tcPr>
            <w:tcW w:w="1265" w:type="pct"/>
            <w:noWrap/>
          </w:tcPr>
          <w:p w14:paraId="2376B936" w14:textId="77777777" w:rsidR="00A40BFD" w:rsidRPr="00900E9B" w:rsidRDefault="00A40BFD">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CAC1C1E" w14:textId="77777777" w:rsidR="00A40BFD" w:rsidRPr="00900E9B" w:rsidRDefault="00A40BFD">
            <w:pPr>
              <w:ind w:left="360"/>
              <w:rPr>
                <w:rFonts w:eastAsia="MS Mincho"/>
                <w:b/>
                <w:bCs/>
                <w:sz w:val="20"/>
                <w:szCs w:val="20"/>
                <w:lang w:val="en-GB"/>
              </w:rPr>
            </w:pPr>
          </w:p>
        </w:tc>
        <w:tc>
          <w:tcPr>
            <w:tcW w:w="2212" w:type="pct"/>
          </w:tcPr>
          <w:p w14:paraId="11BF7A07" w14:textId="77777777" w:rsidR="00A40BFD" w:rsidRPr="001A25DE" w:rsidRDefault="001A25DE">
            <w:pPr>
              <w:pStyle w:val="ListParagraph"/>
              <w:ind w:left="0"/>
              <w:rPr>
                <w:bCs/>
                <w:sz w:val="20"/>
                <w:szCs w:val="20"/>
                <w:lang w:val="en-GB"/>
              </w:rPr>
            </w:pPr>
            <w:r w:rsidRPr="001A25DE">
              <w:rPr>
                <w:bCs/>
                <w:sz w:val="20"/>
                <w:szCs w:val="20"/>
                <w:lang w:val="en-GB"/>
              </w:rPr>
              <w:t xml:space="preserve">This manuscript provides a comprehensive and timely assessment of Nigeria's capacity for local manufacturing of malaria commodities, addressing a critical gap in the literature on health security and pharmaceutical industrialization in low- and middle-income countries. By integrating evidence across ACTs, APIs, LLINs, and RDTs, the study advances understanding of how regulatory readiness, procurement structures, and financing environments shape manufacturing outcomes. The findings are highly relevant for policymakers, development partners, and researchers focused on sustainable health supply chains and resilience against global supply disruptions. Moreover, the study offers transferable insights applicable to other malaria-endemic countries pursuing localization strategies under regional frameworks such as </w:t>
            </w:r>
            <w:proofErr w:type="spellStart"/>
            <w:r w:rsidRPr="001A25DE">
              <w:rPr>
                <w:bCs/>
                <w:sz w:val="20"/>
                <w:szCs w:val="20"/>
                <w:lang w:val="en-GB"/>
              </w:rPr>
              <w:t>AfCFTA</w:t>
            </w:r>
            <w:proofErr w:type="spellEnd"/>
            <w:r w:rsidRPr="001A25DE">
              <w:rPr>
                <w:bCs/>
                <w:sz w:val="20"/>
                <w:szCs w:val="20"/>
                <w:lang w:val="en-GB"/>
              </w:rPr>
              <w:t xml:space="preserve"> and ECOWAS.</w:t>
            </w:r>
          </w:p>
        </w:tc>
        <w:tc>
          <w:tcPr>
            <w:tcW w:w="1523" w:type="pct"/>
          </w:tcPr>
          <w:p w14:paraId="79B90AD3" w14:textId="43C99DE0" w:rsidR="00A40BFD" w:rsidRPr="00900E9B" w:rsidRDefault="0061246B">
            <w:pPr>
              <w:pStyle w:val="Heading2"/>
              <w:jc w:val="left"/>
              <w:rPr>
                <w:rFonts w:ascii="Times New Roman" w:hAnsi="Times New Roman"/>
                <w:b w:val="0"/>
                <w:lang w:val="en-GB"/>
              </w:rPr>
            </w:pPr>
            <w:r>
              <w:rPr>
                <w:rFonts w:ascii="Times New Roman" w:hAnsi="Times New Roman"/>
                <w:b w:val="0"/>
                <w:lang w:val="en-GB"/>
              </w:rPr>
              <w:t>This is on point</w:t>
            </w:r>
          </w:p>
        </w:tc>
      </w:tr>
      <w:tr w:rsidR="00A40BFD" w:rsidRPr="00900E9B" w14:paraId="0AD8C554" w14:textId="77777777">
        <w:trPr>
          <w:trHeight w:val="1262"/>
        </w:trPr>
        <w:tc>
          <w:tcPr>
            <w:tcW w:w="1265" w:type="pct"/>
            <w:noWrap/>
          </w:tcPr>
          <w:p w14:paraId="3AC4AE72" w14:textId="77777777" w:rsidR="00A40BFD" w:rsidRPr="00900E9B" w:rsidRDefault="00A40BFD">
            <w:pPr>
              <w:ind w:left="360"/>
              <w:rPr>
                <w:b/>
                <w:bCs/>
                <w:sz w:val="20"/>
                <w:szCs w:val="20"/>
                <w:lang w:val="en-GB"/>
              </w:rPr>
            </w:pPr>
            <w:r w:rsidRPr="00900E9B">
              <w:rPr>
                <w:b/>
                <w:bCs/>
                <w:sz w:val="20"/>
                <w:szCs w:val="20"/>
                <w:lang w:val="en-GB"/>
              </w:rPr>
              <w:t>Is the title of the article suitable?</w:t>
            </w:r>
          </w:p>
          <w:p w14:paraId="266529FA" w14:textId="77777777" w:rsidR="00A40BFD" w:rsidRPr="00900E9B" w:rsidRDefault="00A40BFD">
            <w:pPr>
              <w:ind w:left="360"/>
              <w:rPr>
                <w:b/>
                <w:bCs/>
                <w:sz w:val="20"/>
                <w:szCs w:val="20"/>
                <w:lang w:val="en-GB"/>
              </w:rPr>
            </w:pPr>
            <w:r w:rsidRPr="00900E9B">
              <w:rPr>
                <w:b/>
                <w:bCs/>
                <w:sz w:val="20"/>
                <w:szCs w:val="20"/>
                <w:lang w:val="en-GB"/>
              </w:rPr>
              <w:t>(If not please suggest an alternative title)</w:t>
            </w:r>
          </w:p>
          <w:p w14:paraId="12081824" w14:textId="77777777" w:rsidR="00A40BFD" w:rsidRPr="00900E9B" w:rsidRDefault="00A40BFD">
            <w:pPr>
              <w:pStyle w:val="Heading2"/>
              <w:jc w:val="left"/>
              <w:rPr>
                <w:rFonts w:ascii="Times New Roman" w:hAnsi="Times New Roman"/>
                <w:u w:val="single"/>
                <w:lang w:val="en-GB"/>
              </w:rPr>
            </w:pPr>
          </w:p>
        </w:tc>
        <w:tc>
          <w:tcPr>
            <w:tcW w:w="2212" w:type="pct"/>
          </w:tcPr>
          <w:p w14:paraId="5B92D905" w14:textId="77777777" w:rsidR="001A25DE" w:rsidRPr="001A25DE" w:rsidRDefault="001A25DE" w:rsidP="001A25DE">
            <w:pPr>
              <w:rPr>
                <w:bCs/>
                <w:sz w:val="20"/>
                <w:szCs w:val="20"/>
                <w:lang w:val="en-GB"/>
              </w:rPr>
            </w:pPr>
            <w:r w:rsidRPr="001A25DE">
              <w:rPr>
                <w:bCs/>
                <w:sz w:val="20"/>
                <w:szCs w:val="20"/>
                <w:lang w:val="en-GB"/>
              </w:rPr>
              <w:t>Yes, the title is suitable, clear, and accurately reflects the scope and objectives of the manuscript.</w:t>
            </w:r>
          </w:p>
          <w:p w14:paraId="2B9C7AA5" w14:textId="77777777" w:rsidR="001A25DE" w:rsidRPr="001A25DE" w:rsidRDefault="001A25DE" w:rsidP="001A25DE">
            <w:pPr>
              <w:rPr>
                <w:bCs/>
                <w:sz w:val="20"/>
                <w:szCs w:val="20"/>
                <w:lang w:val="en-GB"/>
              </w:rPr>
            </w:pPr>
            <w:r w:rsidRPr="001A25DE">
              <w:rPr>
                <w:bCs/>
                <w:sz w:val="20"/>
                <w:szCs w:val="20"/>
                <w:lang w:val="en-GB"/>
              </w:rPr>
              <w:t xml:space="preserve"> But optional alternative title (if a stronger policy emphasis is desired):</w:t>
            </w:r>
          </w:p>
          <w:p w14:paraId="2D19E003" w14:textId="77777777" w:rsidR="00A40BFD" w:rsidRPr="001A25DE" w:rsidRDefault="001A25DE" w:rsidP="001A25DE">
            <w:pPr>
              <w:rPr>
                <w:bCs/>
                <w:i/>
                <w:sz w:val="20"/>
                <w:szCs w:val="20"/>
                <w:lang w:val="en-GB"/>
              </w:rPr>
            </w:pPr>
            <w:r w:rsidRPr="001A25DE">
              <w:rPr>
                <w:bCs/>
                <w:i/>
                <w:sz w:val="20"/>
                <w:szCs w:val="20"/>
                <w:lang w:val="en-GB"/>
              </w:rPr>
              <w:t>Local Manufacturing of Malaria Commodities in Nigeria: Capacity, Constraints, and Policy Pathways for Health Security</w:t>
            </w:r>
          </w:p>
        </w:tc>
        <w:tc>
          <w:tcPr>
            <w:tcW w:w="1523" w:type="pct"/>
          </w:tcPr>
          <w:p w14:paraId="54B3A549" w14:textId="46713C3A" w:rsidR="00A40BFD" w:rsidRPr="000E7244" w:rsidRDefault="000E7244">
            <w:pPr>
              <w:pStyle w:val="Heading2"/>
              <w:jc w:val="left"/>
              <w:rPr>
                <w:rFonts w:ascii="Times New Roman" w:hAnsi="Times New Roman"/>
                <w:b w:val="0"/>
                <w:lang w:val="en-GB"/>
              </w:rPr>
            </w:pPr>
            <w:r w:rsidRPr="000E7244">
              <w:rPr>
                <w:rFonts w:ascii="Times New Roman" w:hAnsi="Times New Roman"/>
                <w:b w:val="0"/>
                <w:lang w:val="en-GB"/>
              </w:rPr>
              <w:t>Thank you</w:t>
            </w:r>
          </w:p>
        </w:tc>
      </w:tr>
      <w:tr w:rsidR="00A40BFD" w:rsidRPr="00900E9B" w14:paraId="58588BB2" w14:textId="77777777">
        <w:trPr>
          <w:trHeight w:val="1262"/>
        </w:trPr>
        <w:tc>
          <w:tcPr>
            <w:tcW w:w="1265" w:type="pct"/>
            <w:noWrap/>
          </w:tcPr>
          <w:p w14:paraId="3916D8E5" w14:textId="77777777" w:rsidR="00A40BFD" w:rsidRPr="00900E9B" w:rsidRDefault="00A40BFD">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3C8B9791" w14:textId="77777777" w:rsidR="00A40BFD" w:rsidRPr="00900E9B" w:rsidRDefault="00A40BFD">
            <w:pPr>
              <w:pStyle w:val="Heading2"/>
              <w:jc w:val="left"/>
              <w:rPr>
                <w:rFonts w:ascii="Times New Roman" w:hAnsi="Times New Roman"/>
                <w:u w:val="single"/>
                <w:lang w:val="en-GB"/>
              </w:rPr>
            </w:pPr>
          </w:p>
        </w:tc>
        <w:tc>
          <w:tcPr>
            <w:tcW w:w="2212" w:type="pct"/>
          </w:tcPr>
          <w:p w14:paraId="52426F5D" w14:textId="77777777" w:rsidR="00A40BFD" w:rsidRPr="001A25DE" w:rsidRDefault="001A25DE" w:rsidP="001A25DE">
            <w:pPr>
              <w:rPr>
                <w:bCs/>
                <w:sz w:val="20"/>
                <w:szCs w:val="20"/>
                <w:lang w:val="en-GB"/>
              </w:rPr>
            </w:pPr>
            <w:r w:rsidRPr="001A25DE">
              <w:rPr>
                <w:bCs/>
                <w:sz w:val="20"/>
                <w:szCs w:val="20"/>
                <w:lang w:val="en-GB"/>
              </w:rPr>
              <w:t>The abstract is comprehensive and well structured, clearly presenting the background, methods, key findings, and conclusions. It successfully captures the cross-commodity approach and highlights the main systemic constraints affecting capacity utilization.</w:t>
            </w:r>
          </w:p>
          <w:p w14:paraId="59B72CE2" w14:textId="77777777" w:rsidR="001A25DE" w:rsidRPr="001A25DE" w:rsidRDefault="001A25DE" w:rsidP="001A25DE">
            <w:pPr>
              <w:rPr>
                <w:bCs/>
                <w:sz w:val="20"/>
                <w:szCs w:val="20"/>
                <w:lang w:val="en-GB"/>
              </w:rPr>
            </w:pPr>
            <w:r w:rsidRPr="001A25DE">
              <w:rPr>
                <w:bCs/>
                <w:sz w:val="20"/>
                <w:szCs w:val="20"/>
                <w:lang w:val="en-GB"/>
              </w:rPr>
              <w:t>Suggestions:</w:t>
            </w:r>
          </w:p>
          <w:p w14:paraId="6341BBBB" w14:textId="77777777" w:rsidR="001A25DE" w:rsidRPr="001A25DE" w:rsidRDefault="001A25DE" w:rsidP="001A25DE">
            <w:pPr>
              <w:jc w:val="both"/>
              <w:rPr>
                <w:bCs/>
                <w:sz w:val="20"/>
                <w:szCs w:val="20"/>
                <w:lang w:val="en-GB"/>
              </w:rPr>
            </w:pPr>
            <w:r w:rsidRPr="001A25DE">
              <w:rPr>
                <w:bCs/>
                <w:sz w:val="20"/>
                <w:szCs w:val="20"/>
                <w:lang w:val="en-GB"/>
              </w:rPr>
              <w:t>- Consider briefly emphasizing the policy and regional implications (</w:t>
            </w:r>
            <w:proofErr w:type="spellStart"/>
            <w:r w:rsidRPr="001A25DE">
              <w:rPr>
                <w:bCs/>
                <w:sz w:val="20"/>
                <w:szCs w:val="20"/>
                <w:lang w:val="en-GB"/>
              </w:rPr>
              <w:t>eg</w:t>
            </w:r>
            <w:proofErr w:type="spellEnd"/>
            <w:r w:rsidRPr="001A25DE">
              <w:rPr>
                <w:bCs/>
                <w:sz w:val="20"/>
                <w:szCs w:val="20"/>
                <w:lang w:val="en-GB"/>
              </w:rPr>
              <w:t>, ECOWAS/</w:t>
            </w:r>
            <w:proofErr w:type="spellStart"/>
            <w:r w:rsidRPr="001A25DE">
              <w:rPr>
                <w:bCs/>
                <w:sz w:val="20"/>
                <w:szCs w:val="20"/>
                <w:lang w:val="en-GB"/>
              </w:rPr>
              <w:t>AfCFTA</w:t>
            </w:r>
            <w:proofErr w:type="spellEnd"/>
            <w:r w:rsidRPr="001A25DE">
              <w:rPr>
                <w:bCs/>
                <w:sz w:val="20"/>
                <w:szCs w:val="20"/>
                <w:lang w:val="en-GB"/>
              </w:rPr>
              <w:t xml:space="preserve"> relevance) in the concluding sentence.</w:t>
            </w:r>
          </w:p>
          <w:p w14:paraId="6BCBE8C5" w14:textId="77777777" w:rsidR="001A25DE" w:rsidRPr="001A25DE" w:rsidRDefault="001A25DE" w:rsidP="001A25DE">
            <w:pPr>
              <w:jc w:val="both"/>
              <w:rPr>
                <w:bCs/>
                <w:sz w:val="20"/>
                <w:szCs w:val="20"/>
                <w:lang w:val="en-GB"/>
              </w:rPr>
            </w:pPr>
            <w:r w:rsidRPr="001A25DE">
              <w:rPr>
                <w:bCs/>
                <w:sz w:val="20"/>
                <w:szCs w:val="20"/>
                <w:lang w:val="en-GB"/>
              </w:rPr>
              <w:t>- The abstract could be slightly strengthened by explicitly referencing the analytical framework used.</w:t>
            </w:r>
          </w:p>
          <w:p w14:paraId="08ADC6BB" w14:textId="77777777" w:rsidR="001A25DE" w:rsidRPr="00900E9B" w:rsidRDefault="001A25DE" w:rsidP="001A25DE">
            <w:pPr>
              <w:rPr>
                <w:b/>
                <w:bCs/>
                <w:sz w:val="20"/>
                <w:szCs w:val="20"/>
                <w:lang w:val="en-GB"/>
              </w:rPr>
            </w:pPr>
            <w:r w:rsidRPr="001A25DE">
              <w:rPr>
                <w:bCs/>
                <w:sz w:val="20"/>
                <w:szCs w:val="20"/>
                <w:lang w:val="en-GB"/>
              </w:rPr>
              <w:t>No major deletions are required.</w:t>
            </w:r>
          </w:p>
        </w:tc>
        <w:tc>
          <w:tcPr>
            <w:tcW w:w="1523" w:type="pct"/>
          </w:tcPr>
          <w:p w14:paraId="0DAD9C79" w14:textId="08045C00" w:rsidR="00A40BFD" w:rsidRPr="000E7244" w:rsidRDefault="000E7244">
            <w:pPr>
              <w:pStyle w:val="Heading2"/>
              <w:jc w:val="left"/>
              <w:rPr>
                <w:rFonts w:ascii="Times New Roman" w:hAnsi="Times New Roman"/>
                <w:bCs w:val="0"/>
                <w:lang w:val="en-GB"/>
              </w:rPr>
            </w:pPr>
            <w:proofErr w:type="spellStart"/>
            <w:r w:rsidRPr="000E7244">
              <w:rPr>
                <w:bCs w:val="0"/>
              </w:rPr>
              <w:t>We</w:t>
            </w:r>
            <w:proofErr w:type="spellEnd"/>
            <w:r w:rsidRPr="000E7244">
              <w:rPr>
                <w:bCs w:val="0"/>
              </w:rPr>
              <w:t xml:space="preserve"> have </w:t>
            </w:r>
            <w:proofErr w:type="spellStart"/>
            <w:r w:rsidRPr="000E7244">
              <w:rPr>
                <w:bCs w:val="0"/>
              </w:rPr>
              <w:t>revised</w:t>
            </w:r>
            <w:proofErr w:type="spellEnd"/>
            <w:r w:rsidRPr="000E7244">
              <w:rPr>
                <w:bCs w:val="0"/>
              </w:rPr>
              <w:t xml:space="preserve"> the </w:t>
            </w:r>
            <w:proofErr w:type="spellStart"/>
            <w:r w:rsidRPr="000E7244">
              <w:rPr>
                <w:bCs w:val="0"/>
              </w:rPr>
              <w:t>concluding</w:t>
            </w:r>
            <w:proofErr w:type="spellEnd"/>
            <w:r w:rsidRPr="000E7244">
              <w:rPr>
                <w:bCs w:val="0"/>
              </w:rPr>
              <w:t xml:space="preserve"> sentence of the abstract to </w:t>
            </w:r>
            <w:proofErr w:type="spellStart"/>
            <w:r w:rsidRPr="000E7244">
              <w:rPr>
                <w:bCs w:val="0"/>
              </w:rPr>
              <w:t>briefly</w:t>
            </w:r>
            <w:proofErr w:type="spellEnd"/>
            <w:r w:rsidRPr="000E7244">
              <w:rPr>
                <w:bCs w:val="0"/>
              </w:rPr>
              <w:t xml:space="preserve"> highlight the </w:t>
            </w:r>
            <w:proofErr w:type="spellStart"/>
            <w:r w:rsidRPr="000E7244">
              <w:rPr>
                <w:bCs w:val="0"/>
              </w:rPr>
              <w:t>policy</w:t>
            </w:r>
            <w:proofErr w:type="spellEnd"/>
            <w:r w:rsidRPr="000E7244">
              <w:rPr>
                <w:bCs w:val="0"/>
              </w:rPr>
              <w:t xml:space="preserve"> and </w:t>
            </w:r>
            <w:proofErr w:type="spellStart"/>
            <w:r w:rsidRPr="000E7244">
              <w:rPr>
                <w:bCs w:val="0"/>
              </w:rPr>
              <w:t>regional</w:t>
            </w:r>
            <w:proofErr w:type="spellEnd"/>
            <w:r w:rsidRPr="000E7244">
              <w:rPr>
                <w:bCs w:val="0"/>
              </w:rPr>
              <w:t xml:space="preserve"> implications of the </w:t>
            </w:r>
            <w:proofErr w:type="spellStart"/>
            <w:r w:rsidRPr="000E7244">
              <w:rPr>
                <w:bCs w:val="0"/>
              </w:rPr>
              <w:t>findings</w:t>
            </w:r>
            <w:proofErr w:type="spellEnd"/>
            <w:r w:rsidRPr="000E7244">
              <w:rPr>
                <w:bCs w:val="0"/>
              </w:rPr>
              <w:t xml:space="preserve">, </w:t>
            </w:r>
            <w:proofErr w:type="spellStart"/>
            <w:r w:rsidRPr="000E7244">
              <w:rPr>
                <w:bCs w:val="0"/>
              </w:rPr>
              <w:t>including</w:t>
            </w:r>
            <w:proofErr w:type="spellEnd"/>
            <w:r w:rsidRPr="000E7244">
              <w:rPr>
                <w:bCs w:val="0"/>
              </w:rPr>
              <w:t xml:space="preserve"> relevance for ECOWAS and </w:t>
            </w:r>
            <w:proofErr w:type="spellStart"/>
            <w:r w:rsidRPr="000E7244">
              <w:rPr>
                <w:bCs w:val="0"/>
              </w:rPr>
              <w:t>AfCFTA-enabled</w:t>
            </w:r>
            <w:proofErr w:type="spellEnd"/>
            <w:r w:rsidRPr="000E7244">
              <w:rPr>
                <w:bCs w:val="0"/>
              </w:rPr>
              <w:t xml:space="preserve"> </w:t>
            </w:r>
            <w:proofErr w:type="spellStart"/>
            <w:r w:rsidRPr="000E7244">
              <w:rPr>
                <w:bCs w:val="0"/>
              </w:rPr>
              <w:t>regional</w:t>
            </w:r>
            <w:proofErr w:type="spellEnd"/>
            <w:r w:rsidRPr="000E7244">
              <w:rPr>
                <w:bCs w:val="0"/>
              </w:rPr>
              <w:t xml:space="preserve"> </w:t>
            </w:r>
            <w:proofErr w:type="spellStart"/>
            <w:r w:rsidRPr="000E7244">
              <w:rPr>
                <w:bCs w:val="0"/>
              </w:rPr>
              <w:t>supply</w:t>
            </w:r>
            <w:proofErr w:type="spellEnd"/>
            <w:r w:rsidRPr="000E7244">
              <w:rPr>
                <w:bCs w:val="0"/>
              </w:rPr>
              <w:t xml:space="preserve"> </w:t>
            </w:r>
            <w:proofErr w:type="spellStart"/>
            <w:r w:rsidRPr="000E7244">
              <w:rPr>
                <w:bCs w:val="0"/>
              </w:rPr>
              <w:t>integration</w:t>
            </w:r>
            <w:proofErr w:type="spellEnd"/>
            <w:r w:rsidRPr="000E7244">
              <w:rPr>
                <w:bCs w:val="0"/>
              </w:rPr>
              <w:t>.</w:t>
            </w:r>
          </w:p>
        </w:tc>
      </w:tr>
      <w:tr w:rsidR="00A40BFD" w:rsidRPr="00900E9B" w14:paraId="361CE4DF" w14:textId="77777777">
        <w:trPr>
          <w:trHeight w:val="704"/>
        </w:trPr>
        <w:tc>
          <w:tcPr>
            <w:tcW w:w="1265" w:type="pct"/>
            <w:noWrap/>
          </w:tcPr>
          <w:p w14:paraId="57F41F47" w14:textId="77777777" w:rsidR="00A40BFD" w:rsidRPr="00900E9B" w:rsidRDefault="00A40BFD">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B60CB0C" w14:textId="77777777" w:rsidR="00A40BFD" w:rsidRPr="00C115E9" w:rsidRDefault="001A25DE" w:rsidP="001A25DE">
            <w:pPr>
              <w:pStyle w:val="ListParagraph"/>
              <w:ind w:left="0"/>
              <w:jc w:val="both"/>
              <w:rPr>
                <w:bCs/>
                <w:sz w:val="20"/>
                <w:szCs w:val="20"/>
                <w:lang w:val="en-GB"/>
              </w:rPr>
            </w:pPr>
            <w:r w:rsidRPr="001A25DE">
              <w:rPr>
                <w:bCs/>
                <w:sz w:val="20"/>
                <w:szCs w:val="20"/>
                <w:lang w:val="en-GB"/>
              </w:rPr>
              <w:t>The manuscript is scientifically sound and methodologically appropriate. The multisite descriptive design, triangulation of facility audits, regulatory reviews, and policy documents provide a strong evidence base. The analytical framework is clearly articulated, and the findings are logically presented and well supported by existing literature. Conclusions are consistent with the data and do not overstate the results.</w:t>
            </w:r>
          </w:p>
        </w:tc>
        <w:tc>
          <w:tcPr>
            <w:tcW w:w="1523" w:type="pct"/>
          </w:tcPr>
          <w:p w14:paraId="5B5A668C" w14:textId="427A92CE" w:rsidR="00A40BFD" w:rsidRPr="00900E9B" w:rsidRDefault="000E7244">
            <w:pPr>
              <w:pStyle w:val="Heading2"/>
              <w:jc w:val="left"/>
              <w:rPr>
                <w:rFonts w:ascii="Times New Roman" w:hAnsi="Times New Roman"/>
                <w:b w:val="0"/>
                <w:lang w:val="en-GB"/>
              </w:rPr>
            </w:pPr>
            <w:r>
              <w:rPr>
                <w:rFonts w:ascii="Times New Roman" w:hAnsi="Times New Roman"/>
                <w:b w:val="0"/>
                <w:lang w:val="en-GB"/>
              </w:rPr>
              <w:t>Absolutely</w:t>
            </w:r>
          </w:p>
        </w:tc>
      </w:tr>
      <w:tr w:rsidR="00A40BFD" w:rsidRPr="00900E9B" w14:paraId="6FAA77DD" w14:textId="77777777">
        <w:trPr>
          <w:trHeight w:val="703"/>
        </w:trPr>
        <w:tc>
          <w:tcPr>
            <w:tcW w:w="1265" w:type="pct"/>
            <w:noWrap/>
          </w:tcPr>
          <w:p w14:paraId="0D851AF4" w14:textId="77777777" w:rsidR="00A40BFD" w:rsidRPr="00E10705" w:rsidRDefault="00A40BFD">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4667B13F" w14:textId="77777777" w:rsidR="001A25DE" w:rsidRPr="001A25DE" w:rsidRDefault="001A25DE" w:rsidP="001A25DE">
            <w:pPr>
              <w:pStyle w:val="ListParagraph"/>
              <w:ind w:left="0"/>
              <w:jc w:val="both"/>
              <w:rPr>
                <w:bCs/>
                <w:sz w:val="20"/>
                <w:szCs w:val="20"/>
                <w:lang w:val="en-GB"/>
              </w:rPr>
            </w:pPr>
            <w:r w:rsidRPr="001A25DE">
              <w:rPr>
                <w:bCs/>
                <w:sz w:val="20"/>
                <w:szCs w:val="20"/>
                <w:lang w:val="en-GB"/>
              </w:rPr>
              <w:t>The references are adequate, relevant, and largely up to date, with strong use of WHO, UNIDO, African Union, and peer-reviewed sources.</w:t>
            </w:r>
          </w:p>
          <w:p w14:paraId="130796FB" w14:textId="77777777" w:rsidR="001A25DE" w:rsidRPr="001A25DE" w:rsidRDefault="001A25DE" w:rsidP="001A25DE">
            <w:pPr>
              <w:pStyle w:val="ListParagraph"/>
              <w:ind w:left="0"/>
              <w:jc w:val="both"/>
              <w:rPr>
                <w:bCs/>
                <w:sz w:val="20"/>
                <w:szCs w:val="20"/>
                <w:lang w:val="en-GB"/>
              </w:rPr>
            </w:pPr>
            <w:r w:rsidRPr="001A25DE">
              <w:rPr>
                <w:bCs/>
                <w:sz w:val="20"/>
                <w:szCs w:val="20"/>
                <w:lang w:val="en-GB"/>
              </w:rPr>
              <w:t>Optional additional references:</w:t>
            </w:r>
          </w:p>
          <w:p w14:paraId="2537CD8A" w14:textId="77777777" w:rsidR="001A25DE" w:rsidRPr="001A25DE" w:rsidRDefault="001A25DE" w:rsidP="001A25DE">
            <w:pPr>
              <w:pStyle w:val="ListParagraph"/>
              <w:ind w:left="0"/>
              <w:jc w:val="both"/>
              <w:rPr>
                <w:bCs/>
                <w:sz w:val="20"/>
                <w:szCs w:val="20"/>
                <w:lang w:val="en-GB"/>
              </w:rPr>
            </w:pPr>
            <w:r>
              <w:rPr>
                <w:bCs/>
                <w:sz w:val="20"/>
                <w:szCs w:val="20"/>
                <w:lang w:val="en-GB"/>
              </w:rPr>
              <w:t>-</w:t>
            </w:r>
            <w:r w:rsidRPr="001A25DE">
              <w:rPr>
                <w:bCs/>
                <w:sz w:val="20"/>
                <w:szCs w:val="20"/>
                <w:lang w:val="en-GB"/>
              </w:rPr>
              <w:t>WHO (2023). Local Production and Technology Transfer to Increase Access to Medicines.</w:t>
            </w:r>
          </w:p>
          <w:p w14:paraId="68D4DD01" w14:textId="77777777" w:rsidR="001A25DE" w:rsidRPr="001A25DE" w:rsidRDefault="001A25DE" w:rsidP="001A25DE">
            <w:pPr>
              <w:pStyle w:val="ListParagraph"/>
              <w:ind w:left="0"/>
              <w:jc w:val="both"/>
              <w:rPr>
                <w:bCs/>
                <w:sz w:val="20"/>
                <w:szCs w:val="20"/>
                <w:lang w:val="en-GB"/>
              </w:rPr>
            </w:pPr>
            <w:r>
              <w:rPr>
                <w:bCs/>
                <w:sz w:val="20"/>
                <w:szCs w:val="20"/>
                <w:lang w:val="en-GB"/>
              </w:rPr>
              <w:t>-</w:t>
            </w:r>
            <w:r w:rsidRPr="001A25DE">
              <w:rPr>
                <w:bCs/>
                <w:sz w:val="20"/>
                <w:szCs w:val="20"/>
                <w:lang w:val="en-GB"/>
              </w:rPr>
              <w:t>AUDA-NEPAD (2022). African Pharmaceutical Manufacturing Plan: Progress and Gaps.</w:t>
            </w:r>
          </w:p>
          <w:p w14:paraId="492F6034" w14:textId="77777777" w:rsidR="001A25DE" w:rsidRPr="001A25DE" w:rsidRDefault="001A25DE" w:rsidP="001A25DE">
            <w:pPr>
              <w:pStyle w:val="ListParagraph"/>
              <w:ind w:left="0"/>
              <w:jc w:val="both"/>
              <w:rPr>
                <w:bCs/>
                <w:sz w:val="20"/>
                <w:szCs w:val="20"/>
                <w:lang w:val="en-GB"/>
              </w:rPr>
            </w:pPr>
            <w:r>
              <w:rPr>
                <w:bCs/>
                <w:sz w:val="20"/>
                <w:szCs w:val="20"/>
                <w:lang w:val="en-GB"/>
              </w:rPr>
              <w:t>-</w:t>
            </w:r>
            <w:r w:rsidRPr="001A25DE">
              <w:rPr>
                <w:bCs/>
                <w:sz w:val="20"/>
                <w:szCs w:val="20"/>
                <w:lang w:val="en-GB"/>
              </w:rPr>
              <w:t>OECD (2021). Global Supply Chains and Health Security.</w:t>
            </w:r>
          </w:p>
          <w:p w14:paraId="398A99DC" w14:textId="77777777" w:rsidR="00A40BFD" w:rsidRPr="006F5EBE" w:rsidRDefault="001A25DE" w:rsidP="001A25DE">
            <w:pPr>
              <w:pStyle w:val="ListParagraph"/>
              <w:ind w:left="0"/>
              <w:jc w:val="both"/>
              <w:rPr>
                <w:bCs/>
                <w:sz w:val="20"/>
                <w:szCs w:val="20"/>
                <w:lang w:val="en-GB"/>
              </w:rPr>
            </w:pPr>
            <w:r w:rsidRPr="001A25DE">
              <w:rPr>
                <w:bCs/>
                <w:sz w:val="20"/>
                <w:szCs w:val="20"/>
                <w:lang w:val="en-GB"/>
              </w:rPr>
              <w:t>These could further strengthen the global comparative context.</w:t>
            </w:r>
          </w:p>
        </w:tc>
        <w:tc>
          <w:tcPr>
            <w:tcW w:w="1523" w:type="pct"/>
          </w:tcPr>
          <w:p w14:paraId="153D6723" w14:textId="77777777" w:rsidR="00A40BFD" w:rsidRPr="00900E9B" w:rsidRDefault="00A40BFD">
            <w:pPr>
              <w:pStyle w:val="Heading2"/>
              <w:jc w:val="left"/>
              <w:rPr>
                <w:rFonts w:ascii="Times New Roman" w:hAnsi="Times New Roman"/>
                <w:b w:val="0"/>
                <w:lang w:val="en-GB"/>
              </w:rPr>
            </w:pPr>
          </w:p>
        </w:tc>
      </w:tr>
      <w:tr w:rsidR="00A40BFD" w:rsidRPr="00900E9B" w14:paraId="45E64C5B" w14:textId="77777777">
        <w:trPr>
          <w:trHeight w:val="386"/>
        </w:trPr>
        <w:tc>
          <w:tcPr>
            <w:tcW w:w="1265" w:type="pct"/>
            <w:noWrap/>
          </w:tcPr>
          <w:p w14:paraId="79C5446E" w14:textId="77777777" w:rsidR="00A40BFD" w:rsidRPr="00900E9B" w:rsidRDefault="00A40BFD">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FDF2693" w14:textId="77777777" w:rsidR="00A40BFD" w:rsidRPr="00900E9B" w:rsidRDefault="00A40BFD">
            <w:pPr>
              <w:rPr>
                <w:sz w:val="20"/>
                <w:szCs w:val="20"/>
                <w:lang w:val="en-GB"/>
              </w:rPr>
            </w:pPr>
          </w:p>
        </w:tc>
        <w:tc>
          <w:tcPr>
            <w:tcW w:w="2212" w:type="pct"/>
          </w:tcPr>
          <w:p w14:paraId="4ED79D8F" w14:textId="77777777" w:rsidR="00A40BFD" w:rsidRPr="00900E9B" w:rsidRDefault="001A25DE">
            <w:pPr>
              <w:rPr>
                <w:sz w:val="20"/>
                <w:szCs w:val="20"/>
                <w:lang w:val="en-GB"/>
              </w:rPr>
            </w:pPr>
            <w:r w:rsidRPr="001A25DE">
              <w:rPr>
                <w:sz w:val="20"/>
                <w:szCs w:val="20"/>
                <w:lang w:val="en-GB"/>
              </w:rPr>
              <w:t>The quality language is suitable for scholarly communication. The manuscript is generally clear and professional, though minor grammatical and stylistic edits are recommended to improve readability and conciseness.</w:t>
            </w:r>
          </w:p>
        </w:tc>
        <w:tc>
          <w:tcPr>
            <w:tcW w:w="1523" w:type="pct"/>
          </w:tcPr>
          <w:p w14:paraId="40C44DB7" w14:textId="77777777" w:rsidR="00A40BFD" w:rsidRPr="00900E9B" w:rsidRDefault="00A40BFD">
            <w:pPr>
              <w:rPr>
                <w:sz w:val="20"/>
                <w:szCs w:val="20"/>
                <w:lang w:val="en-GB"/>
              </w:rPr>
            </w:pPr>
          </w:p>
        </w:tc>
      </w:tr>
      <w:tr w:rsidR="00A40BFD" w:rsidRPr="00900E9B" w14:paraId="3B425407" w14:textId="77777777">
        <w:trPr>
          <w:trHeight w:val="1178"/>
        </w:trPr>
        <w:tc>
          <w:tcPr>
            <w:tcW w:w="1265" w:type="pct"/>
            <w:noWrap/>
          </w:tcPr>
          <w:p w14:paraId="2F0C27F6" w14:textId="77777777" w:rsidR="00A40BFD" w:rsidRPr="00900E9B" w:rsidRDefault="00A40BFD">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0065C73C" w14:textId="77777777" w:rsidR="00A40BFD" w:rsidRPr="00900E9B" w:rsidRDefault="00A40BFD">
            <w:pPr>
              <w:pStyle w:val="Heading2"/>
              <w:jc w:val="left"/>
              <w:rPr>
                <w:rFonts w:ascii="Times New Roman" w:hAnsi="Times New Roman"/>
                <w:b w:val="0"/>
                <w:lang w:val="en-GB"/>
              </w:rPr>
            </w:pPr>
          </w:p>
        </w:tc>
        <w:tc>
          <w:tcPr>
            <w:tcW w:w="2212" w:type="pct"/>
          </w:tcPr>
          <w:p w14:paraId="5B990B7B" w14:textId="77777777" w:rsidR="00A40BFD" w:rsidRPr="001A25DE" w:rsidRDefault="001A25DE" w:rsidP="001A25DE">
            <w:pPr>
              <w:pStyle w:val="NormalWeb"/>
              <w:spacing w:before="0" w:beforeAutospacing="0" w:after="0" w:afterAutospacing="0"/>
              <w:jc w:val="both"/>
              <w:rPr>
                <w:rFonts w:ascii="Times New Roman" w:hAnsi="Times New Roman" w:cs="Times New Roman"/>
                <w:sz w:val="20"/>
                <w:szCs w:val="20"/>
                <w:lang w:val="en-GB"/>
              </w:rPr>
            </w:pPr>
            <w:r w:rsidRPr="001A25DE">
              <w:rPr>
                <w:rFonts w:ascii="Times New Roman" w:hAnsi="Times New Roman" w:cs="Times New Roman"/>
                <w:sz w:val="20"/>
                <w:szCs w:val="20"/>
                <w:lang w:val="en-GB"/>
              </w:rPr>
              <w:t>This is a high-quality, policy-relevant manuscript with strong empirical grounding. The integrated treatment of manufacturing capacity, regulation, procurement, and financing is a key strength. Minor editorial refinement and slight sharpening of policy implications would further enhance its impact.</w:t>
            </w:r>
          </w:p>
        </w:tc>
        <w:tc>
          <w:tcPr>
            <w:tcW w:w="1523" w:type="pct"/>
          </w:tcPr>
          <w:p w14:paraId="195A60DA" w14:textId="77777777" w:rsidR="00A40BFD" w:rsidRPr="00900E9B" w:rsidRDefault="00A40BFD">
            <w:pPr>
              <w:rPr>
                <w:sz w:val="20"/>
                <w:szCs w:val="20"/>
                <w:lang w:val="en-GB"/>
              </w:rPr>
            </w:pPr>
          </w:p>
        </w:tc>
      </w:tr>
    </w:tbl>
    <w:p w14:paraId="7A9E594C" w14:textId="77777777" w:rsidR="00A40BFD" w:rsidRPr="00900E9B" w:rsidRDefault="00A40BFD" w:rsidP="00A40BFD">
      <w:pPr>
        <w:pStyle w:val="BodyText"/>
        <w:rPr>
          <w:rFonts w:ascii="Times New Roman" w:hAnsi="Times New Roman"/>
          <w:b/>
          <w:bCs/>
          <w:sz w:val="20"/>
          <w:szCs w:val="20"/>
          <w:u w:val="single"/>
          <w:lang w:val="en-GB"/>
        </w:rPr>
      </w:pPr>
    </w:p>
    <w:p w14:paraId="27D4A0C3" w14:textId="77777777" w:rsidR="00A40BFD" w:rsidRPr="00900E9B" w:rsidRDefault="00A40BFD" w:rsidP="00A40BFD">
      <w:pPr>
        <w:pStyle w:val="BodyText"/>
        <w:rPr>
          <w:rFonts w:ascii="Times New Roman" w:hAnsi="Times New Roman"/>
          <w:b/>
          <w:bCs/>
          <w:sz w:val="20"/>
          <w:szCs w:val="20"/>
          <w:u w:val="single"/>
          <w:lang w:val="en-GB"/>
        </w:rPr>
      </w:pPr>
    </w:p>
    <w:p w14:paraId="23281EE6" w14:textId="77777777" w:rsidR="00A40BFD" w:rsidRPr="00900E9B" w:rsidRDefault="00A40BFD" w:rsidP="00A40BFD">
      <w:pPr>
        <w:pStyle w:val="BodyText"/>
        <w:rPr>
          <w:rFonts w:ascii="Times New Roman" w:hAnsi="Times New Roman"/>
          <w:b/>
          <w:bCs/>
          <w:sz w:val="20"/>
          <w:szCs w:val="20"/>
          <w:u w:val="single"/>
          <w:lang w:val="en-GB"/>
        </w:rPr>
      </w:pPr>
    </w:p>
    <w:p w14:paraId="55363106" w14:textId="77777777" w:rsidR="00A40BFD" w:rsidRPr="00900E9B" w:rsidRDefault="00A40BFD" w:rsidP="00A40BFD">
      <w:pPr>
        <w:pStyle w:val="BodyText"/>
        <w:rPr>
          <w:rFonts w:ascii="Times New Roman" w:hAnsi="Times New Roman"/>
          <w:b/>
          <w:bCs/>
          <w:sz w:val="20"/>
          <w:szCs w:val="20"/>
          <w:u w:val="single"/>
          <w:lang w:val="en-GB"/>
        </w:rPr>
      </w:pPr>
    </w:p>
    <w:p w14:paraId="1B039A5C" w14:textId="77777777" w:rsidR="00A40BFD" w:rsidRPr="00900E9B" w:rsidRDefault="00A40BFD" w:rsidP="00A40BFD">
      <w:pPr>
        <w:pStyle w:val="BodyText"/>
        <w:rPr>
          <w:rFonts w:ascii="Times New Roman" w:hAnsi="Times New Roman"/>
          <w:b/>
          <w:bCs/>
          <w:sz w:val="20"/>
          <w:szCs w:val="20"/>
          <w:u w:val="single"/>
          <w:lang w:val="en-GB"/>
        </w:rPr>
      </w:pPr>
    </w:p>
    <w:p w14:paraId="74457377" w14:textId="77777777" w:rsidR="00A40BFD" w:rsidRPr="00900E9B" w:rsidRDefault="00A40BFD" w:rsidP="00A40BFD">
      <w:pPr>
        <w:pStyle w:val="BodyText"/>
        <w:rPr>
          <w:rFonts w:ascii="Times New Roman" w:hAnsi="Times New Roman"/>
          <w:b/>
          <w:bCs/>
          <w:sz w:val="20"/>
          <w:szCs w:val="20"/>
          <w:u w:val="single"/>
          <w:lang w:val="en-GB"/>
        </w:rPr>
      </w:pPr>
    </w:p>
    <w:p w14:paraId="276B9757" w14:textId="77777777" w:rsidR="00A40BFD" w:rsidRPr="00900E9B" w:rsidRDefault="00A40BFD" w:rsidP="00A40BFD">
      <w:pPr>
        <w:pStyle w:val="BodyText"/>
        <w:rPr>
          <w:rFonts w:ascii="Times New Roman" w:hAnsi="Times New Roman"/>
          <w:b/>
          <w:bCs/>
          <w:sz w:val="20"/>
          <w:szCs w:val="20"/>
          <w:u w:val="single"/>
          <w:lang w:val="en-GB"/>
        </w:rPr>
      </w:pPr>
    </w:p>
    <w:p w14:paraId="6599A8DD" w14:textId="77777777" w:rsidR="00A40BFD" w:rsidRPr="00900E9B" w:rsidRDefault="00A40BFD" w:rsidP="00A40BFD">
      <w:pPr>
        <w:pStyle w:val="BodyText"/>
        <w:rPr>
          <w:rFonts w:ascii="Times New Roman" w:hAnsi="Times New Roman"/>
          <w:b/>
          <w:bCs/>
          <w:sz w:val="20"/>
          <w:szCs w:val="20"/>
          <w:u w:val="single"/>
          <w:lang w:val="en-GB"/>
        </w:rPr>
      </w:pPr>
    </w:p>
    <w:p w14:paraId="52F01255" w14:textId="77777777" w:rsidR="00A40BFD" w:rsidRPr="00900E9B" w:rsidRDefault="00A40BFD" w:rsidP="00A40BFD">
      <w:pPr>
        <w:pStyle w:val="BodyText"/>
        <w:rPr>
          <w:rFonts w:ascii="Times New Roman" w:hAnsi="Times New Roman"/>
          <w:b/>
          <w:bCs/>
          <w:sz w:val="20"/>
          <w:szCs w:val="20"/>
          <w:u w:val="single"/>
          <w:lang w:val="en-GB"/>
        </w:rPr>
      </w:pPr>
    </w:p>
    <w:p w14:paraId="5EFC1DDE" w14:textId="77777777" w:rsidR="00A40BFD" w:rsidRDefault="00A40BFD" w:rsidP="00A40BFD">
      <w:pPr>
        <w:pStyle w:val="BodyText"/>
        <w:rPr>
          <w:rFonts w:ascii="Times New Roman" w:hAnsi="Times New Roman"/>
          <w:b/>
          <w:bCs/>
          <w:sz w:val="20"/>
          <w:szCs w:val="20"/>
          <w:u w:val="single"/>
          <w:lang w:val="en-GB"/>
        </w:rPr>
      </w:pPr>
    </w:p>
    <w:p w14:paraId="0912C96F" w14:textId="77777777" w:rsidR="00A40BFD" w:rsidRDefault="00A40BFD" w:rsidP="00A40BFD">
      <w:pPr>
        <w:pStyle w:val="BodyText"/>
        <w:rPr>
          <w:rFonts w:ascii="Times New Roman" w:hAnsi="Times New Roman"/>
          <w:b/>
          <w:bCs/>
          <w:sz w:val="20"/>
          <w:szCs w:val="20"/>
          <w:u w:val="single"/>
          <w:lang w:val="en-GB"/>
        </w:rPr>
      </w:pPr>
    </w:p>
    <w:p w14:paraId="30C65D80" w14:textId="77777777" w:rsidR="00A40BFD" w:rsidRPr="00900E9B" w:rsidRDefault="00A40BFD" w:rsidP="00A40BFD">
      <w:pPr>
        <w:pStyle w:val="BodyText"/>
        <w:rPr>
          <w:rFonts w:ascii="Times New Roman" w:hAnsi="Times New Roman"/>
          <w:b/>
          <w:bCs/>
          <w:sz w:val="20"/>
          <w:szCs w:val="20"/>
          <w:u w:val="single"/>
          <w:lang w:val="en-GB"/>
        </w:rPr>
      </w:pPr>
    </w:p>
    <w:p w14:paraId="44FDB77D" w14:textId="77777777" w:rsidR="00A40BFD" w:rsidRPr="00900E9B" w:rsidRDefault="00A40BFD" w:rsidP="00A40BFD">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A40BFD" w:rsidRPr="00900E9B" w14:paraId="278B3459"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547514E5" w14:textId="77777777" w:rsidR="00A40BFD" w:rsidRPr="00900E9B" w:rsidRDefault="00A40BFD">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2AAF70E8" w14:textId="77777777" w:rsidR="00A40BFD" w:rsidRPr="00900E9B" w:rsidRDefault="00A40BFD">
            <w:pPr>
              <w:pStyle w:val="NormalWeb"/>
              <w:spacing w:before="0" w:beforeAutospacing="0" w:after="0" w:afterAutospacing="0"/>
              <w:rPr>
                <w:rFonts w:ascii="Times New Roman" w:hAnsi="Times New Roman" w:cs="Times New Roman"/>
                <w:b/>
                <w:sz w:val="20"/>
                <w:szCs w:val="20"/>
                <w:u w:val="single"/>
                <w:lang w:val="en-GB"/>
              </w:rPr>
            </w:pPr>
          </w:p>
        </w:tc>
      </w:tr>
      <w:tr w:rsidR="00A40BFD" w:rsidRPr="00900E9B" w14:paraId="755A23E3" w14:textId="77777777">
        <w:trPr>
          <w:trHeight w:val="935"/>
        </w:trPr>
        <w:tc>
          <w:tcPr>
            <w:tcW w:w="1615" w:type="pct"/>
            <w:shd w:val="clear" w:color="auto" w:fill="auto"/>
            <w:noWrap/>
            <w:tcMar>
              <w:top w:w="0" w:type="dxa"/>
              <w:left w:w="108" w:type="dxa"/>
              <w:bottom w:w="0" w:type="dxa"/>
              <w:right w:w="108" w:type="dxa"/>
            </w:tcMar>
            <w:vAlign w:val="center"/>
          </w:tcPr>
          <w:p w14:paraId="2263F96C" w14:textId="77777777" w:rsidR="00A40BFD" w:rsidRPr="00900E9B" w:rsidRDefault="00A40BFD">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14:paraId="70647BD3" w14:textId="77777777" w:rsidR="00A40BFD" w:rsidRPr="00900E9B" w:rsidRDefault="00A40BFD">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shd w:val="clear" w:color="auto" w:fill="auto"/>
          </w:tcPr>
          <w:p w14:paraId="59EF3474" w14:textId="77777777" w:rsidR="00DE42AB" w:rsidRDefault="00DE42AB" w:rsidP="00DE42A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8BC2812" w14:textId="77777777" w:rsidR="00A40BFD" w:rsidRPr="00900E9B" w:rsidRDefault="00A40BFD">
            <w:pPr>
              <w:pStyle w:val="Heading2"/>
              <w:jc w:val="left"/>
              <w:rPr>
                <w:rFonts w:ascii="Times New Roman" w:hAnsi="Times New Roman"/>
                <w:b w:val="0"/>
                <w:lang w:val="en-GB"/>
              </w:rPr>
            </w:pPr>
          </w:p>
        </w:tc>
      </w:tr>
      <w:tr w:rsidR="00A40BFD" w:rsidRPr="00900E9B" w14:paraId="3B6A7790" w14:textId="77777777">
        <w:trPr>
          <w:trHeight w:val="697"/>
        </w:trPr>
        <w:tc>
          <w:tcPr>
            <w:tcW w:w="1615" w:type="pct"/>
            <w:shd w:val="clear" w:color="auto" w:fill="auto"/>
            <w:noWrap/>
            <w:tcMar>
              <w:top w:w="0" w:type="dxa"/>
              <w:left w:w="108" w:type="dxa"/>
              <w:bottom w:w="0" w:type="dxa"/>
              <w:right w:w="108" w:type="dxa"/>
            </w:tcMar>
            <w:vAlign w:val="center"/>
          </w:tcPr>
          <w:p w14:paraId="1E1FA424" w14:textId="77777777" w:rsidR="00A40BFD" w:rsidRPr="00900E9B" w:rsidRDefault="00A40BFD">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3EE8C97A" w14:textId="77777777" w:rsidR="00A40BFD" w:rsidRPr="00900E9B" w:rsidRDefault="00A40BFD">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14:paraId="03862358" w14:textId="77777777" w:rsidR="00A40BFD" w:rsidRPr="001A25DE" w:rsidRDefault="001A25DE">
            <w:pPr>
              <w:pStyle w:val="NormalWeb"/>
              <w:spacing w:before="0" w:beforeAutospacing="0" w:after="0" w:afterAutospacing="0"/>
              <w:rPr>
                <w:rFonts w:ascii="Times New Roman" w:hAnsi="Times New Roman" w:cs="Times New Roman"/>
                <w:iCs/>
                <w:sz w:val="20"/>
                <w:szCs w:val="20"/>
                <w:lang w:val="en-GB"/>
              </w:rPr>
            </w:pPr>
            <w:r w:rsidRPr="001A25DE">
              <w:rPr>
                <w:rFonts w:ascii="Times New Roman" w:hAnsi="Times New Roman" w:cs="Times New Roman"/>
                <w:iCs/>
                <w:sz w:val="20"/>
                <w:szCs w:val="20"/>
                <w:lang w:val="en-GB"/>
              </w:rPr>
              <w:t>No ethical issues are identified. The study relies on secondary institutional data and does not involve human participants or personal data.</w:t>
            </w:r>
          </w:p>
          <w:p w14:paraId="4C068829" w14:textId="77777777" w:rsidR="00A40BFD" w:rsidRDefault="00A40BFD">
            <w:pPr>
              <w:pStyle w:val="NormalWeb"/>
              <w:spacing w:before="0" w:beforeAutospacing="0" w:after="0" w:afterAutospacing="0"/>
              <w:rPr>
                <w:rFonts w:ascii="Times New Roman" w:hAnsi="Times New Roman" w:cs="Times New Roman"/>
                <w:sz w:val="20"/>
                <w:szCs w:val="20"/>
              </w:rPr>
            </w:pPr>
          </w:p>
          <w:p w14:paraId="31A278A5" w14:textId="77777777" w:rsidR="00A40BFD" w:rsidRPr="00900E9B" w:rsidRDefault="00A40BFD">
            <w:pPr>
              <w:pStyle w:val="NormalWeb"/>
              <w:spacing w:before="0" w:beforeAutospacing="0" w:after="0" w:afterAutospacing="0"/>
              <w:rPr>
                <w:rFonts w:ascii="Times New Roman" w:hAnsi="Times New Roman" w:cs="Times New Roman"/>
                <w:sz w:val="20"/>
                <w:szCs w:val="20"/>
                <w:lang w:val="en-GB"/>
              </w:rPr>
            </w:pPr>
          </w:p>
        </w:tc>
        <w:tc>
          <w:tcPr>
            <w:tcW w:w="1342" w:type="pct"/>
            <w:shd w:val="clear" w:color="auto" w:fill="auto"/>
            <w:vAlign w:val="center"/>
          </w:tcPr>
          <w:p w14:paraId="40FB0D0F" w14:textId="77777777" w:rsidR="00A40BFD" w:rsidRPr="00900E9B" w:rsidRDefault="00A40BFD">
            <w:pPr>
              <w:rPr>
                <w:rFonts w:eastAsia="Arial Unicode MS"/>
                <w:sz w:val="20"/>
                <w:szCs w:val="20"/>
                <w:lang w:val="en-GB"/>
              </w:rPr>
            </w:pPr>
          </w:p>
          <w:p w14:paraId="7A30DE59" w14:textId="77777777" w:rsidR="00A40BFD" w:rsidRPr="00900E9B" w:rsidRDefault="00A40BFD">
            <w:pPr>
              <w:rPr>
                <w:rFonts w:eastAsia="Arial Unicode MS"/>
                <w:sz w:val="20"/>
                <w:szCs w:val="20"/>
                <w:lang w:val="en-GB"/>
              </w:rPr>
            </w:pPr>
          </w:p>
          <w:p w14:paraId="3FCEFDBC" w14:textId="65EB9C71" w:rsidR="00A40BFD" w:rsidRPr="00900E9B" w:rsidRDefault="000E7244">
            <w:pPr>
              <w:rPr>
                <w:rFonts w:eastAsia="Arial Unicode MS"/>
                <w:sz w:val="20"/>
                <w:szCs w:val="20"/>
                <w:lang w:val="en-GB"/>
              </w:rPr>
            </w:pPr>
            <w:r>
              <w:rPr>
                <w:rFonts w:eastAsia="Arial Unicode MS"/>
                <w:sz w:val="20"/>
                <w:szCs w:val="20"/>
                <w:lang w:val="en-GB"/>
              </w:rPr>
              <w:t>None</w:t>
            </w:r>
          </w:p>
          <w:p w14:paraId="02E8E373" w14:textId="77777777" w:rsidR="00A40BFD" w:rsidRPr="00900E9B" w:rsidRDefault="00A40BFD">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7E799F69" w14:textId="77777777" w:rsidR="008913D5" w:rsidRDefault="008913D5" w:rsidP="00A40BFD">
      <w:pPr>
        <w:pStyle w:val="BodyText"/>
        <w:outlineLvl w:val="0"/>
        <w:rPr>
          <w:rFonts w:ascii="Arial" w:hAnsi="Arial" w:cs="Arial"/>
          <w:sz w:val="20"/>
          <w:szCs w:val="20"/>
          <w:lang w:val="en-GB"/>
        </w:rPr>
      </w:pPr>
    </w:p>
    <w:sectPr w:rsidR="008913D5" w:rsidSect="002D1F1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51B2D" w14:textId="77777777" w:rsidR="00B02FDC" w:rsidRPr="0000007A" w:rsidRDefault="00B02FDC" w:rsidP="0099583E">
      <w:r>
        <w:separator/>
      </w:r>
    </w:p>
  </w:endnote>
  <w:endnote w:type="continuationSeparator" w:id="0">
    <w:p w14:paraId="40D662EF" w14:textId="77777777" w:rsidR="00B02FDC" w:rsidRPr="0000007A" w:rsidRDefault="00B02FD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D920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710B6" w:rsidRPr="00F710B6">
      <w:rPr>
        <w:sz w:val="16"/>
      </w:rPr>
      <w:t xml:space="preserve">Version: </w:t>
    </w:r>
    <w:r w:rsidR="00A96178">
      <w:rPr>
        <w:sz w:val="16"/>
      </w:rPr>
      <w:t>3</w:t>
    </w:r>
    <w:r w:rsidR="00F710B6" w:rsidRPr="00F710B6">
      <w:rPr>
        <w:sz w:val="16"/>
      </w:rPr>
      <w:t xml:space="preserve"> (0</w:t>
    </w:r>
    <w:r w:rsidR="00A96178">
      <w:rPr>
        <w:sz w:val="16"/>
      </w:rPr>
      <w:t>7</w:t>
    </w:r>
    <w:r w:rsidR="00F710B6" w:rsidRPr="00F710B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F1BCF" w14:textId="77777777" w:rsidR="00B02FDC" w:rsidRPr="0000007A" w:rsidRDefault="00B02FDC" w:rsidP="0099583E">
      <w:r>
        <w:separator/>
      </w:r>
    </w:p>
  </w:footnote>
  <w:footnote w:type="continuationSeparator" w:id="0">
    <w:p w14:paraId="08E102B6" w14:textId="77777777" w:rsidR="00B02FDC" w:rsidRPr="0000007A" w:rsidRDefault="00B02FD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8059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F4B1A18"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A96178">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4A0B"/>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E7244"/>
    <w:rsid w:val="00100577"/>
    <w:rsid w:val="00101322"/>
    <w:rsid w:val="00136984"/>
    <w:rsid w:val="00144521"/>
    <w:rsid w:val="00150304"/>
    <w:rsid w:val="001514A4"/>
    <w:rsid w:val="0015296D"/>
    <w:rsid w:val="00161B0A"/>
    <w:rsid w:val="00163622"/>
    <w:rsid w:val="001645A2"/>
    <w:rsid w:val="00164F4E"/>
    <w:rsid w:val="00165685"/>
    <w:rsid w:val="0017480A"/>
    <w:rsid w:val="001766DF"/>
    <w:rsid w:val="00184644"/>
    <w:rsid w:val="0018753A"/>
    <w:rsid w:val="0019527A"/>
    <w:rsid w:val="00197E68"/>
    <w:rsid w:val="001A1605"/>
    <w:rsid w:val="001A25DE"/>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B206A"/>
    <w:rsid w:val="002B5038"/>
    <w:rsid w:val="002D1F1A"/>
    <w:rsid w:val="002D7EA9"/>
    <w:rsid w:val="002E1211"/>
    <w:rsid w:val="002E2339"/>
    <w:rsid w:val="002E6D86"/>
    <w:rsid w:val="002F643F"/>
    <w:rsid w:val="002F6935"/>
    <w:rsid w:val="0031095C"/>
    <w:rsid w:val="00312559"/>
    <w:rsid w:val="003204B8"/>
    <w:rsid w:val="0033692F"/>
    <w:rsid w:val="00346223"/>
    <w:rsid w:val="003A04E7"/>
    <w:rsid w:val="003A4991"/>
    <w:rsid w:val="003A6E1A"/>
    <w:rsid w:val="003B2172"/>
    <w:rsid w:val="003E746A"/>
    <w:rsid w:val="004166AD"/>
    <w:rsid w:val="0042465A"/>
    <w:rsid w:val="0042538C"/>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10CC7"/>
    <w:rsid w:val="0061246B"/>
    <w:rsid w:val="00620677"/>
    <w:rsid w:val="00624032"/>
    <w:rsid w:val="00645A56"/>
    <w:rsid w:val="006532DF"/>
    <w:rsid w:val="0065579D"/>
    <w:rsid w:val="00663792"/>
    <w:rsid w:val="0067046C"/>
    <w:rsid w:val="00676845"/>
    <w:rsid w:val="00680547"/>
    <w:rsid w:val="0068446F"/>
    <w:rsid w:val="006867AD"/>
    <w:rsid w:val="0069428E"/>
    <w:rsid w:val="00696CAD"/>
    <w:rsid w:val="006A5E0B"/>
    <w:rsid w:val="006B1796"/>
    <w:rsid w:val="006C3797"/>
    <w:rsid w:val="006E7D6E"/>
    <w:rsid w:val="006F6F2F"/>
    <w:rsid w:val="00701186"/>
    <w:rsid w:val="00707BE1"/>
    <w:rsid w:val="007224CA"/>
    <w:rsid w:val="00722F99"/>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C2169"/>
    <w:rsid w:val="007D0246"/>
    <w:rsid w:val="007D10D0"/>
    <w:rsid w:val="007E08D1"/>
    <w:rsid w:val="007F5873"/>
    <w:rsid w:val="00806382"/>
    <w:rsid w:val="00813158"/>
    <w:rsid w:val="00815F94"/>
    <w:rsid w:val="0082130C"/>
    <w:rsid w:val="008224E2"/>
    <w:rsid w:val="00825DC9"/>
    <w:rsid w:val="0082676D"/>
    <w:rsid w:val="00831055"/>
    <w:rsid w:val="008423BB"/>
    <w:rsid w:val="00846F1F"/>
    <w:rsid w:val="0087201B"/>
    <w:rsid w:val="00877F10"/>
    <w:rsid w:val="00882091"/>
    <w:rsid w:val="008913D5"/>
    <w:rsid w:val="00893E75"/>
    <w:rsid w:val="008B0A90"/>
    <w:rsid w:val="008C2778"/>
    <w:rsid w:val="008C2F62"/>
    <w:rsid w:val="008D020E"/>
    <w:rsid w:val="008D1117"/>
    <w:rsid w:val="008D15A4"/>
    <w:rsid w:val="008F36E4"/>
    <w:rsid w:val="00904837"/>
    <w:rsid w:val="00925C47"/>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0BFD"/>
    <w:rsid w:val="00A519D1"/>
    <w:rsid w:val="00A6343B"/>
    <w:rsid w:val="00A65C50"/>
    <w:rsid w:val="00A66DD2"/>
    <w:rsid w:val="00A96178"/>
    <w:rsid w:val="00AA41B3"/>
    <w:rsid w:val="00AA6670"/>
    <w:rsid w:val="00AB1ED6"/>
    <w:rsid w:val="00AB397D"/>
    <w:rsid w:val="00AB638A"/>
    <w:rsid w:val="00AB6E43"/>
    <w:rsid w:val="00AC1349"/>
    <w:rsid w:val="00AD6C51"/>
    <w:rsid w:val="00AF3016"/>
    <w:rsid w:val="00B02FDC"/>
    <w:rsid w:val="00B03A45"/>
    <w:rsid w:val="00B2236C"/>
    <w:rsid w:val="00B22FE6"/>
    <w:rsid w:val="00B3033D"/>
    <w:rsid w:val="00B3093C"/>
    <w:rsid w:val="00B356AF"/>
    <w:rsid w:val="00B62087"/>
    <w:rsid w:val="00B62F41"/>
    <w:rsid w:val="00B73785"/>
    <w:rsid w:val="00B760E1"/>
    <w:rsid w:val="00B807F8"/>
    <w:rsid w:val="00B858FF"/>
    <w:rsid w:val="00BA1AB3"/>
    <w:rsid w:val="00BA6421"/>
    <w:rsid w:val="00BB34E6"/>
    <w:rsid w:val="00BB4FEC"/>
    <w:rsid w:val="00BC402F"/>
    <w:rsid w:val="00BD27BA"/>
    <w:rsid w:val="00BD2E03"/>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E42AB"/>
    <w:rsid w:val="00DF2920"/>
    <w:rsid w:val="00E15807"/>
    <w:rsid w:val="00E307B9"/>
    <w:rsid w:val="00E451EA"/>
    <w:rsid w:val="00E53E52"/>
    <w:rsid w:val="00E57F4B"/>
    <w:rsid w:val="00E63889"/>
    <w:rsid w:val="00E65EB7"/>
    <w:rsid w:val="00E71C8D"/>
    <w:rsid w:val="00E72360"/>
    <w:rsid w:val="00E972A7"/>
    <w:rsid w:val="00EA2839"/>
    <w:rsid w:val="00EB3E91"/>
    <w:rsid w:val="00EC6894"/>
    <w:rsid w:val="00ED6B12"/>
    <w:rsid w:val="00EE0D3E"/>
    <w:rsid w:val="00EE1146"/>
    <w:rsid w:val="00EF326D"/>
    <w:rsid w:val="00EF53FE"/>
    <w:rsid w:val="00F245A7"/>
    <w:rsid w:val="00F2643C"/>
    <w:rsid w:val="00F3295A"/>
    <w:rsid w:val="00F34D8E"/>
    <w:rsid w:val="00F3669D"/>
    <w:rsid w:val="00F405F8"/>
    <w:rsid w:val="00F41154"/>
    <w:rsid w:val="00F4700F"/>
    <w:rsid w:val="00F51F7F"/>
    <w:rsid w:val="00F573EA"/>
    <w:rsid w:val="00F57E9D"/>
    <w:rsid w:val="00F710B6"/>
    <w:rsid w:val="00FA6528"/>
    <w:rsid w:val="00FB64B6"/>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CB7694"/>
  <w15:chartTrackingRefBased/>
  <w15:docId w15:val="{F499F78C-5139-4229-8985-A1DB254B9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B309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92876202">
      <w:bodyDiv w:val="1"/>
      <w:marLeft w:val="0"/>
      <w:marRight w:val="0"/>
      <w:marTop w:val="0"/>
      <w:marBottom w:val="0"/>
      <w:divBdr>
        <w:top w:val="none" w:sz="0" w:space="0" w:color="auto"/>
        <w:left w:val="none" w:sz="0" w:space="0" w:color="auto"/>
        <w:bottom w:val="none" w:sz="0" w:space="0" w:color="auto"/>
        <w:right w:val="none" w:sz="0" w:space="0" w:color="auto"/>
      </w:divBdr>
    </w:div>
    <w:div w:id="13144139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93176738">
      <w:bodyDiv w:val="1"/>
      <w:marLeft w:val="0"/>
      <w:marRight w:val="0"/>
      <w:marTop w:val="0"/>
      <w:marBottom w:val="0"/>
      <w:divBdr>
        <w:top w:val="none" w:sz="0" w:space="0" w:color="auto"/>
        <w:left w:val="none" w:sz="0" w:space="0" w:color="auto"/>
        <w:bottom w:val="none" w:sz="0" w:space="0" w:color="auto"/>
        <w:right w:val="none" w:sz="0" w:space="0" w:color="auto"/>
      </w:divBdr>
    </w:div>
    <w:div w:id="1831939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tdh.com/index.php/IJTD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90482-0F21-4405-85FD-F3D5D4FDC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734</Words>
  <Characters>4184</Characters>
  <Application>Microsoft Office Word</Application>
  <DocSecurity>0</DocSecurity>
  <Lines>34</Lines>
  <Paragraphs>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4909</CharactersWithSpaces>
  <SharedDoc>false</SharedDoc>
  <HLinks>
    <vt:vector size="6" baseType="variant">
      <vt:variant>
        <vt:i4>1441873</vt:i4>
      </vt:variant>
      <vt:variant>
        <vt:i4>0</vt:i4>
      </vt:variant>
      <vt:variant>
        <vt:i4>0</vt:i4>
      </vt:variant>
      <vt:variant>
        <vt:i4>5</vt:i4>
      </vt:variant>
      <vt:variant>
        <vt:lpwstr>https://journalijtdh.com/index.php/IJTDH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2025-12-30T04:48:00Z</dcterms:created>
  <dcterms:modified xsi:type="dcterms:W3CDTF">2025-12-30T09:56:00Z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06edb309-b7fb-4ead-9010-fd8eccbd3921</vt:lpwstr>
  </property>
</Properties>
</file>