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60BC" w:rsidRPr="004B12A5" w:rsidRDefault="000360BC">
      <w:pPr>
        <w:rPr>
          <w:rFonts w:ascii="Arial" w:hAnsi="Arial" w:cs="Arial"/>
          <w:sz w:val="20"/>
          <w:szCs w:val="20"/>
        </w:rPr>
      </w:pPr>
      <w:bookmarkStart w:id="0" w:name="_GoBack"/>
    </w:p>
    <w:p w:rsidR="000360BC" w:rsidRPr="004B12A5" w:rsidRDefault="000360BC">
      <w:pPr>
        <w:spacing w:before="148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0"/>
      </w:tblGrid>
      <w:tr w:rsidR="000360BC" w:rsidRPr="004B12A5">
        <w:trPr>
          <w:trHeight w:val="280"/>
        </w:trPr>
        <w:tc>
          <w:tcPr>
            <w:tcW w:w="5160" w:type="dxa"/>
          </w:tcPr>
          <w:p w:rsidR="000360BC" w:rsidRPr="004B12A5" w:rsidRDefault="004328E2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4B12A5">
              <w:rPr>
                <w:rFonts w:ascii="Arial" w:hAnsi="Arial" w:cs="Arial"/>
                <w:sz w:val="20"/>
                <w:szCs w:val="20"/>
              </w:rPr>
              <w:t>Journal</w:t>
            </w:r>
            <w:r w:rsidRPr="004B12A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0" w:type="dxa"/>
          </w:tcPr>
          <w:p w:rsidR="000360BC" w:rsidRPr="004B12A5" w:rsidRDefault="00300C25">
            <w:pPr>
              <w:pStyle w:val="TableParagraph"/>
              <w:spacing w:before="27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4328E2" w:rsidRPr="004B12A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European</w:t>
              </w:r>
              <w:r w:rsidR="004328E2" w:rsidRPr="004B12A5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4328E2" w:rsidRPr="004B12A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4328E2" w:rsidRPr="004B12A5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4328E2" w:rsidRPr="004B12A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4328E2" w:rsidRPr="004B12A5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4328E2" w:rsidRPr="004B12A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Nutrition</w:t>
              </w:r>
              <w:r w:rsidR="004328E2" w:rsidRPr="004B12A5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4328E2" w:rsidRPr="004B12A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4328E2" w:rsidRPr="004B12A5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4328E2" w:rsidRPr="004B12A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Food</w:t>
              </w:r>
              <w:r w:rsidR="004328E2" w:rsidRPr="004B12A5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4328E2" w:rsidRPr="004B12A5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Safety</w:t>
              </w:r>
            </w:hyperlink>
          </w:p>
        </w:tc>
      </w:tr>
      <w:tr w:rsidR="000360BC" w:rsidRPr="004B12A5">
        <w:trPr>
          <w:trHeight w:val="279"/>
        </w:trPr>
        <w:tc>
          <w:tcPr>
            <w:tcW w:w="5160" w:type="dxa"/>
          </w:tcPr>
          <w:p w:rsidR="000360BC" w:rsidRPr="004B12A5" w:rsidRDefault="004328E2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4B12A5">
              <w:rPr>
                <w:rFonts w:ascii="Arial" w:hAnsi="Arial" w:cs="Arial"/>
                <w:sz w:val="20"/>
                <w:szCs w:val="20"/>
              </w:rPr>
              <w:t>Manuscript</w:t>
            </w:r>
            <w:r w:rsidRPr="004B12A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0" w:type="dxa"/>
          </w:tcPr>
          <w:p w:rsidR="000360BC" w:rsidRPr="004B12A5" w:rsidRDefault="004328E2">
            <w:pPr>
              <w:pStyle w:val="TableParagraph"/>
              <w:spacing w:before="27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4B12A5">
              <w:rPr>
                <w:rFonts w:ascii="Arial" w:hAnsi="Arial" w:cs="Arial"/>
                <w:b/>
                <w:spacing w:val="-2"/>
                <w:sz w:val="20"/>
                <w:szCs w:val="20"/>
              </w:rPr>
              <w:t>Ms_EJNFS_150505</w:t>
            </w:r>
          </w:p>
        </w:tc>
      </w:tr>
      <w:tr w:rsidR="000360BC" w:rsidRPr="004B12A5">
        <w:trPr>
          <w:trHeight w:val="640"/>
        </w:trPr>
        <w:tc>
          <w:tcPr>
            <w:tcW w:w="5160" w:type="dxa"/>
          </w:tcPr>
          <w:p w:rsidR="000360BC" w:rsidRPr="004B12A5" w:rsidRDefault="004328E2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4B12A5">
              <w:rPr>
                <w:rFonts w:ascii="Arial" w:hAnsi="Arial" w:cs="Arial"/>
                <w:sz w:val="20"/>
                <w:szCs w:val="20"/>
              </w:rPr>
              <w:t>Title</w:t>
            </w:r>
            <w:r w:rsidRPr="004B12A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of</w:t>
            </w:r>
            <w:r w:rsidRPr="004B12A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the</w:t>
            </w:r>
            <w:r w:rsidRPr="004B12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0" w:type="dxa"/>
          </w:tcPr>
          <w:p w:rsidR="000360BC" w:rsidRPr="004B12A5" w:rsidRDefault="004328E2">
            <w:pPr>
              <w:pStyle w:val="TableParagraph"/>
              <w:spacing w:before="207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4B12A5">
              <w:rPr>
                <w:rFonts w:ascii="Arial" w:hAnsi="Arial" w:cs="Arial"/>
                <w:b/>
                <w:sz w:val="20"/>
                <w:szCs w:val="20"/>
              </w:rPr>
              <w:t>Microbiological</w:t>
            </w:r>
            <w:r w:rsidRPr="004B12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Stability</w:t>
            </w:r>
            <w:r w:rsidRPr="004B12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B12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Safety</w:t>
            </w:r>
            <w:r w:rsidRPr="004B12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B12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Ice</w:t>
            </w:r>
            <w:r w:rsidRPr="004B12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Cream</w:t>
            </w:r>
            <w:r w:rsidRPr="004B12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Incorporated</w:t>
            </w:r>
            <w:r w:rsidRPr="004B12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4B12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Banana</w:t>
            </w:r>
            <w:r w:rsidRPr="004B12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Purée</w:t>
            </w:r>
            <w:r w:rsidRPr="004B12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B12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Coconut</w:t>
            </w:r>
            <w:r w:rsidRPr="004B12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Ingredient</w:t>
            </w:r>
            <w:r w:rsidRPr="004B12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during</w:t>
            </w:r>
            <w:r w:rsidRPr="004B12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Frozen</w:t>
            </w:r>
            <w:r w:rsidRPr="004B12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pacing w:val="-2"/>
                <w:sz w:val="20"/>
                <w:szCs w:val="20"/>
              </w:rPr>
              <w:t>Storage</w:t>
            </w:r>
          </w:p>
        </w:tc>
      </w:tr>
      <w:tr w:rsidR="000360BC" w:rsidRPr="004B12A5">
        <w:trPr>
          <w:trHeight w:val="320"/>
        </w:trPr>
        <w:tc>
          <w:tcPr>
            <w:tcW w:w="5160" w:type="dxa"/>
          </w:tcPr>
          <w:p w:rsidR="000360BC" w:rsidRPr="004B12A5" w:rsidRDefault="004328E2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4B12A5">
              <w:rPr>
                <w:rFonts w:ascii="Arial" w:hAnsi="Arial" w:cs="Arial"/>
                <w:sz w:val="20"/>
                <w:szCs w:val="20"/>
              </w:rPr>
              <w:t>Type</w:t>
            </w:r>
            <w:r w:rsidRPr="004B12A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of</w:t>
            </w:r>
            <w:r w:rsidRPr="004B12A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the</w:t>
            </w:r>
            <w:r w:rsidRPr="004B12A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0" w:type="dxa"/>
          </w:tcPr>
          <w:p w:rsidR="000360BC" w:rsidRPr="004B12A5" w:rsidRDefault="004328E2">
            <w:pPr>
              <w:pStyle w:val="TableParagraph"/>
              <w:spacing w:before="50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4B12A5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4B12A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4B12A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0360BC" w:rsidRPr="004B12A5" w:rsidRDefault="000360B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9360"/>
        <w:gridCol w:w="6440"/>
      </w:tblGrid>
      <w:tr w:rsidR="000360BC" w:rsidRPr="004B12A5">
        <w:trPr>
          <w:trHeight w:val="439"/>
        </w:trPr>
        <w:tc>
          <w:tcPr>
            <w:tcW w:w="21160" w:type="dxa"/>
            <w:gridSpan w:val="3"/>
            <w:tcBorders>
              <w:top w:val="nil"/>
              <w:left w:val="nil"/>
              <w:right w:val="nil"/>
            </w:tcBorders>
          </w:tcPr>
          <w:p w:rsidR="000360BC" w:rsidRPr="004B12A5" w:rsidRDefault="004328E2">
            <w:pPr>
              <w:pStyle w:val="TableParagraph"/>
              <w:spacing w:line="221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PART__1:_Comments_"/>
            <w:bookmarkEnd w:id="1"/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4B12A5">
              <w:rPr>
                <w:rFonts w:ascii="Arial" w:hAnsi="Arial" w:cs="Arial"/>
                <w:b/>
                <w:color w:val="000000"/>
                <w:spacing w:val="32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4B12A5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0360BC" w:rsidRPr="004B12A5">
        <w:trPr>
          <w:trHeight w:val="959"/>
        </w:trPr>
        <w:tc>
          <w:tcPr>
            <w:tcW w:w="5360" w:type="dxa"/>
          </w:tcPr>
          <w:p w:rsidR="000360BC" w:rsidRPr="004B12A5" w:rsidRDefault="000360B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0" w:type="dxa"/>
          </w:tcPr>
          <w:p w:rsidR="000360BC" w:rsidRPr="004B12A5" w:rsidRDefault="004328E2">
            <w:pPr>
              <w:pStyle w:val="TableParagraph"/>
              <w:spacing w:before="7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4B12A5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4B12A5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0360BC" w:rsidRPr="004B12A5" w:rsidRDefault="004328E2">
            <w:pPr>
              <w:pStyle w:val="TableParagraph"/>
              <w:ind w:left="105" w:right="136"/>
              <w:rPr>
                <w:rFonts w:ascii="Arial" w:hAnsi="Arial" w:cs="Arial"/>
                <w:b/>
                <w:sz w:val="20"/>
                <w:szCs w:val="20"/>
              </w:rPr>
            </w:pP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4B12A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4B12A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4B12A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4B12A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4B12A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4B12A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4B12A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4B12A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4B12A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4B12A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4B12A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4B12A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0" w:type="dxa"/>
          </w:tcPr>
          <w:p w:rsidR="000360BC" w:rsidRPr="004B12A5" w:rsidRDefault="004328E2">
            <w:pPr>
              <w:pStyle w:val="TableParagraph"/>
              <w:spacing w:before="7" w:line="254" w:lineRule="auto"/>
              <w:ind w:left="105" w:right="725"/>
              <w:rPr>
                <w:rFonts w:ascii="Arial" w:hAnsi="Arial" w:cs="Arial"/>
                <w:sz w:val="20"/>
                <w:szCs w:val="20"/>
              </w:rPr>
            </w:pPr>
            <w:r w:rsidRPr="004B12A5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B12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B12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(It</w:t>
            </w:r>
            <w:r w:rsidRPr="004B12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is</w:t>
            </w:r>
            <w:r w:rsidRPr="004B12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mandatory</w:t>
            </w:r>
            <w:r w:rsidRPr="004B12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that</w:t>
            </w:r>
            <w:r w:rsidRPr="004B12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authors</w:t>
            </w:r>
            <w:r w:rsidRPr="004B12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should</w:t>
            </w:r>
            <w:r w:rsidRPr="004B12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write</w:t>
            </w:r>
            <w:r w:rsidRPr="004B12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0360BC" w:rsidRPr="004B12A5">
        <w:trPr>
          <w:trHeight w:val="2480"/>
        </w:trPr>
        <w:tc>
          <w:tcPr>
            <w:tcW w:w="5360" w:type="dxa"/>
          </w:tcPr>
          <w:p w:rsidR="000360BC" w:rsidRPr="004B12A5" w:rsidRDefault="004328E2">
            <w:pPr>
              <w:pStyle w:val="TableParagraph"/>
              <w:spacing w:before="8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4B12A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B12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4B12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B12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4B12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4B12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4B12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12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4B12A5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0" w:type="dxa"/>
          </w:tcPr>
          <w:p w:rsidR="000360BC" w:rsidRPr="004B12A5" w:rsidRDefault="004328E2">
            <w:pPr>
              <w:pStyle w:val="TableParagraph"/>
              <w:spacing w:before="8"/>
              <w:ind w:left="105" w:right="8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12A5">
              <w:rPr>
                <w:rFonts w:ascii="Arial" w:hAnsi="Arial" w:cs="Arial"/>
                <w:sz w:val="20"/>
                <w:szCs w:val="20"/>
              </w:rPr>
              <w:t>The</w:t>
            </w:r>
            <w:r w:rsidRPr="004B12A5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article</w:t>
            </w:r>
            <w:r w:rsidRPr="004B12A5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is</w:t>
            </w:r>
            <w:r w:rsidRPr="004B12A5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relevant</w:t>
            </w:r>
            <w:r w:rsidRPr="004B12A5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as</w:t>
            </w:r>
            <w:r w:rsidRPr="004B12A5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it</w:t>
            </w:r>
            <w:r w:rsidRPr="004B12A5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addresses</w:t>
            </w:r>
            <w:r w:rsidRPr="004B12A5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the</w:t>
            </w:r>
            <w:r w:rsidRPr="004B12A5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microbiological</w:t>
            </w:r>
            <w:r w:rsidRPr="004B12A5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safety</w:t>
            </w:r>
            <w:r w:rsidRPr="004B12A5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and</w:t>
            </w:r>
            <w:r w:rsidRPr="004B12A5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stability</w:t>
            </w:r>
            <w:r w:rsidRPr="004B12A5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of dairy–plant-based ice creams, a timely and strategic topic for innovation in food products incorporating ingredients</w:t>
            </w:r>
            <w:r w:rsidRPr="004B12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of</w:t>
            </w:r>
            <w:r w:rsidRPr="004B12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plant</w:t>
            </w:r>
            <w:r w:rsidRPr="004B12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origin.</w:t>
            </w:r>
            <w:r w:rsidRPr="004B12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The</w:t>
            </w:r>
            <w:r w:rsidRPr="004B12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methodology</w:t>
            </w:r>
            <w:r w:rsidRPr="004B12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employed</w:t>
            </w:r>
            <w:r w:rsidRPr="004B12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is</w:t>
            </w:r>
            <w:r w:rsidRPr="004B12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robust,</w:t>
            </w:r>
            <w:r w:rsidRPr="004B12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well</w:t>
            </w:r>
            <w:r w:rsidRPr="004B12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described, and appropriate, using comparative formulations, controlled storage conditions, and standardized microbiological analyses, which ensure the reliability and reproducibility of the results. The data obtained contribute consistently to advancing knowledge</w:t>
            </w:r>
            <w:r w:rsidRPr="004B12A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in</w:t>
            </w:r>
            <w:r w:rsidRPr="004B12A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the</w:t>
            </w:r>
            <w:r w:rsidRPr="004B12A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field</w:t>
            </w:r>
            <w:r w:rsidRPr="004B12A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of</w:t>
            </w:r>
            <w:r w:rsidRPr="004B12A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Food Processing and Technology, particularly in the development of value-added frozen desserts. However, the article requires minor, point-specific revisions.</w:t>
            </w:r>
          </w:p>
        </w:tc>
        <w:tc>
          <w:tcPr>
            <w:tcW w:w="6440" w:type="dxa"/>
          </w:tcPr>
          <w:p w:rsidR="000360BC" w:rsidRPr="004B12A5" w:rsidRDefault="00246858" w:rsidP="00354A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12A5">
              <w:rPr>
                <w:rFonts w:ascii="Arial" w:hAnsi="Arial" w:cs="Arial"/>
                <w:sz w:val="20"/>
                <w:szCs w:val="20"/>
              </w:rPr>
              <w:t>Thank you very much for your positive feedback.</w:t>
            </w:r>
          </w:p>
        </w:tc>
      </w:tr>
      <w:tr w:rsidR="000360BC" w:rsidRPr="004B12A5">
        <w:trPr>
          <w:trHeight w:val="1259"/>
        </w:trPr>
        <w:tc>
          <w:tcPr>
            <w:tcW w:w="5360" w:type="dxa"/>
          </w:tcPr>
          <w:p w:rsidR="000360BC" w:rsidRPr="004B12A5" w:rsidRDefault="004328E2">
            <w:pPr>
              <w:pStyle w:val="TableParagraph"/>
              <w:spacing w:before="6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4B12A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B12A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12A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B12A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B12A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12A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B12A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0360BC" w:rsidRPr="004B12A5" w:rsidRDefault="004328E2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4B12A5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4B12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4B12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B12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B12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4B12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4B12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0" w:type="dxa"/>
          </w:tcPr>
          <w:p w:rsidR="000360BC" w:rsidRPr="004B12A5" w:rsidRDefault="004328E2">
            <w:pPr>
              <w:pStyle w:val="TableParagraph"/>
              <w:spacing w:before="6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4B12A5">
              <w:rPr>
                <w:rFonts w:ascii="Arial" w:hAnsi="Arial" w:cs="Arial"/>
                <w:sz w:val="20"/>
                <w:szCs w:val="20"/>
              </w:rPr>
              <w:t>Yes,</w:t>
            </w:r>
            <w:r w:rsidRPr="004B12A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the</w:t>
            </w:r>
            <w:r w:rsidRPr="004B12A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title</w:t>
            </w:r>
            <w:r w:rsidRPr="004B12A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is</w:t>
            </w:r>
            <w:r w:rsidRPr="004B12A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pacing w:val="-2"/>
                <w:sz w:val="20"/>
                <w:szCs w:val="20"/>
              </w:rPr>
              <w:t>suitable.</w:t>
            </w:r>
          </w:p>
        </w:tc>
        <w:tc>
          <w:tcPr>
            <w:tcW w:w="6440" w:type="dxa"/>
          </w:tcPr>
          <w:p w:rsidR="000360BC" w:rsidRPr="004B12A5" w:rsidRDefault="00246858" w:rsidP="00354A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12A5">
              <w:rPr>
                <w:rFonts w:ascii="Arial" w:hAnsi="Arial" w:cs="Arial"/>
                <w:sz w:val="20"/>
                <w:szCs w:val="20"/>
              </w:rPr>
              <w:t>Thank you very much for your positive feedback.</w:t>
            </w:r>
          </w:p>
        </w:tc>
      </w:tr>
      <w:tr w:rsidR="000360BC" w:rsidRPr="004B12A5">
        <w:trPr>
          <w:trHeight w:val="1320"/>
        </w:trPr>
        <w:tc>
          <w:tcPr>
            <w:tcW w:w="5360" w:type="dxa"/>
          </w:tcPr>
          <w:p w:rsidR="000360BC" w:rsidRPr="004B12A5" w:rsidRDefault="004328E2">
            <w:pPr>
              <w:pStyle w:val="TableParagraph"/>
              <w:spacing w:before="1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Is_the_abstract_of_the_article_comprehen"/>
            <w:bookmarkEnd w:id="2"/>
            <w:r w:rsidRPr="004B12A5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4B12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12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4B12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4B12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4B12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B12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4B12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4B12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B12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0" w:type="dxa"/>
          </w:tcPr>
          <w:p w:rsidR="000360BC" w:rsidRPr="004B12A5" w:rsidRDefault="004328E2">
            <w:pPr>
              <w:pStyle w:val="TableParagraph"/>
              <w:spacing w:before="1"/>
              <w:ind w:left="105" w:right="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12A5">
              <w:rPr>
                <w:rFonts w:ascii="Arial" w:hAnsi="Arial" w:cs="Arial"/>
                <w:sz w:val="20"/>
                <w:szCs w:val="20"/>
              </w:rPr>
              <w:t>The abstract is generally clear and well-organized, presenting the objective, experimental approach, and overall conclusions of the study. However, it would benefit from the explicit inclusion of numerical results, particularly the main microbiological</w:t>
            </w:r>
            <w:r w:rsidRPr="004B12A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findings,</w:t>
            </w:r>
            <w:r w:rsidRPr="004B12A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to</w:t>
            </w:r>
            <w:r w:rsidRPr="004B12A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strengthen</w:t>
            </w:r>
            <w:r w:rsidRPr="004B12A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its scientific rigor. Suggestions are at the end of the correction sheet.</w:t>
            </w:r>
          </w:p>
        </w:tc>
        <w:tc>
          <w:tcPr>
            <w:tcW w:w="6440" w:type="dxa"/>
          </w:tcPr>
          <w:p w:rsidR="000360BC" w:rsidRPr="004B12A5" w:rsidRDefault="00246858" w:rsidP="00354A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12A5">
              <w:rPr>
                <w:rFonts w:ascii="Arial" w:hAnsi="Arial" w:cs="Arial"/>
                <w:sz w:val="20"/>
                <w:szCs w:val="20"/>
              </w:rPr>
              <w:t>Thank you very much for your positive feedback.</w:t>
            </w:r>
          </w:p>
        </w:tc>
      </w:tr>
      <w:tr w:rsidR="000360BC" w:rsidRPr="004B12A5">
        <w:trPr>
          <w:trHeight w:val="1099"/>
        </w:trPr>
        <w:tc>
          <w:tcPr>
            <w:tcW w:w="5360" w:type="dxa"/>
          </w:tcPr>
          <w:p w:rsidR="000360BC" w:rsidRPr="004B12A5" w:rsidRDefault="004328E2">
            <w:pPr>
              <w:pStyle w:val="TableParagraph"/>
              <w:spacing w:before="10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Is_the_manuscript_scientifically,_correc"/>
            <w:bookmarkEnd w:id="3"/>
            <w:r w:rsidRPr="004B12A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B12A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12A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B12A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4B12A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4B12A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B12A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4B12A5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0" w:type="dxa"/>
          </w:tcPr>
          <w:p w:rsidR="000360BC" w:rsidRPr="004B12A5" w:rsidRDefault="004328E2">
            <w:pPr>
              <w:pStyle w:val="TableParagraph"/>
              <w:spacing w:before="10"/>
              <w:ind w:left="105" w:right="47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12A5">
              <w:rPr>
                <w:rFonts w:ascii="Arial" w:hAnsi="Arial" w:cs="Arial"/>
                <w:sz w:val="20"/>
                <w:szCs w:val="20"/>
              </w:rPr>
              <w:t>Yes, the manuscript is scientifically correct, with a sound experimental design, appropriate methodology,</w:t>
            </w:r>
            <w:r w:rsidRPr="004B12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and</w:t>
            </w:r>
            <w:r w:rsidRPr="004B12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results</w:t>
            </w:r>
            <w:r w:rsidRPr="004B12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that</w:t>
            </w:r>
            <w:r w:rsidRPr="004B12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are</w:t>
            </w:r>
            <w:r w:rsidRPr="004B12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consistent</w:t>
            </w:r>
            <w:r w:rsidRPr="004B12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with</w:t>
            </w:r>
            <w:r w:rsidRPr="004B12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the</w:t>
            </w:r>
            <w:r w:rsidRPr="004B12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stated</w:t>
            </w:r>
            <w:r w:rsidRPr="004B12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objectives</w:t>
            </w:r>
            <w:r w:rsidRPr="004B12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and</w:t>
            </w:r>
            <w:r w:rsidRPr="004B12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supported</w:t>
            </w:r>
            <w:r w:rsidRPr="004B12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by</w:t>
            </w:r>
            <w:r w:rsidRPr="004B12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the data presented.</w:t>
            </w:r>
          </w:p>
        </w:tc>
        <w:tc>
          <w:tcPr>
            <w:tcW w:w="6440" w:type="dxa"/>
          </w:tcPr>
          <w:p w:rsidR="000360BC" w:rsidRPr="004B12A5" w:rsidRDefault="00246858" w:rsidP="00354A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12A5">
              <w:rPr>
                <w:rFonts w:ascii="Arial" w:hAnsi="Arial" w:cs="Arial"/>
                <w:sz w:val="20"/>
                <w:szCs w:val="20"/>
              </w:rPr>
              <w:t>Thank you very much for your positive feedback.</w:t>
            </w:r>
          </w:p>
        </w:tc>
      </w:tr>
      <w:tr w:rsidR="000360BC" w:rsidRPr="004B12A5">
        <w:trPr>
          <w:trHeight w:val="700"/>
        </w:trPr>
        <w:tc>
          <w:tcPr>
            <w:tcW w:w="5360" w:type="dxa"/>
          </w:tcPr>
          <w:p w:rsidR="000360BC" w:rsidRPr="004B12A5" w:rsidRDefault="004328E2">
            <w:pPr>
              <w:pStyle w:val="TableParagraph"/>
              <w:spacing w:line="230" w:lineRule="atLeast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4B12A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B12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12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B12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4B12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B12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4B12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4B12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B12A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:rsidR="000360BC" w:rsidRPr="004B12A5" w:rsidRDefault="004328E2">
            <w:pPr>
              <w:pStyle w:val="TableParagraph"/>
              <w:spacing w:before="9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4B12A5">
              <w:rPr>
                <w:rFonts w:ascii="Arial" w:hAnsi="Arial" w:cs="Arial"/>
                <w:sz w:val="20"/>
                <w:szCs w:val="20"/>
              </w:rPr>
              <w:t>Yes,</w:t>
            </w:r>
            <w:r w:rsidRPr="004B12A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the</w:t>
            </w:r>
            <w:r w:rsidRPr="004B12A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references</w:t>
            </w:r>
            <w:r w:rsidRPr="004B12A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are</w:t>
            </w:r>
            <w:r w:rsidRPr="004B12A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sufficient,</w:t>
            </w:r>
            <w:r w:rsidRPr="004B12A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4B12A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B12A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4B12A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B12A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date</w:t>
            </w:r>
            <w:r w:rsidRPr="004B12A5">
              <w:rPr>
                <w:rFonts w:ascii="Arial" w:hAnsi="Arial" w:cs="Arial"/>
                <w:sz w:val="20"/>
                <w:szCs w:val="20"/>
              </w:rPr>
              <w:t>,</w:t>
            </w:r>
            <w:r w:rsidRPr="004B12A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adequately</w:t>
            </w:r>
            <w:r w:rsidRPr="004B12A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supporting</w:t>
            </w:r>
            <w:r w:rsidRPr="004B12A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pacing w:val="-5"/>
                <w:sz w:val="20"/>
                <w:szCs w:val="20"/>
              </w:rPr>
              <w:t>the</w:t>
            </w:r>
          </w:p>
          <w:p w:rsidR="000360BC" w:rsidRPr="004B12A5" w:rsidRDefault="004328E2">
            <w:pPr>
              <w:pStyle w:val="TableParagraph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4B12A5">
              <w:rPr>
                <w:rFonts w:ascii="Arial" w:hAnsi="Arial" w:cs="Arial"/>
                <w:sz w:val="20"/>
                <w:szCs w:val="20"/>
              </w:rPr>
              <w:t xml:space="preserve">scientific background and discussion of the manuscript. No additional references are </w:t>
            </w:r>
            <w:r w:rsidRPr="004B12A5">
              <w:rPr>
                <w:rFonts w:ascii="Arial" w:hAnsi="Arial" w:cs="Arial"/>
                <w:spacing w:val="-2"/>
                <w:sz w:val="20"/>
                <w:szCs w:val="20"/>
              </w:rPr>
              <w:t>required.</w:t>
            </w:r>
          </w:p>
        </w:tc>
        <w:tc>
          <w:tcPr>
            <w:tcW w:w="6440" w:type="dxa"/>
          </w:tcPr>
          <w:p w:rsidR="000360BC" w:rsidRPr="004B12A5" w:rsidRDefault="00246858" w:rsidP="00354A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12A5">
              <w:rPr>
                <w:rFonts w:ascii="Arial" w:hAnsi="Arial" w:cs="Arial"/>
                <w:sz w:val="20"/>
                <w:szCs w:val="20"/>
              </w:rPr>
              <w:t>Thank you very much for your positive feedback.</w:t>
            </w:r>
          </w:p>
        </w:tc>
      </w:tr>
      <w:tr w:rsidR="000360BC" w:rsidRPr="004B12A5">
        <w:trPr>
          <w:trHeight w:val="1060"/>
        </w:trPr>
        <w:tc>
          <w:tcPr>
            <w:tcW w:w="5360" w:type="dxa"/>
          </w:tcPr>
          <w:p w:rsidR="000360BC" w:rsidRPr="004B12A5" w:rsidRDefault="004328E2">
            <w:pPr>
              <w:pStyle w:val="TableParagraph"/>
              <w:spacing w:before="9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Is_the_language/English_quality_of_the_a"/>
            <w:bookmarkEnd w:id="4"/>
            <w:r w:rsidRPr="004B12A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B12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12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4B12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4B12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B12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12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B12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0" w:type="dxa"/>
          </w:tcPr>
          <w:p w:rsidR="000360BC" w:rsidRPr="004B12A5" w:rsidRDefault="004328E2">
            <w:pPr>
              <w:pStyle w:val="TableParagraph"/>
              <w:spacing w:before="9"/>
              <w:ind w:left="105" w:right="136"/>
              <w:rPr>
                <w:rFonts w:ascii="Arial" w:hAnsi="Arial" w:cs="Arial"/>
                <w:sz w:val="20"/>
                <w:szCs w:val="20"/>
              </w:rPr>
            </w:pPr>
            <w:r w:rsidRPr="004B12A5">
              <w:rPr>
                <w:rFonts w:ascii="Arial" w:hAnsi="Arial" w:cs="Arial"/>
                <w:sz w:val="20"/>
                <w:szCs w:val="20"/>
              </w:rPr>
              <w:t>Yes, the language and English quality of the article are appropriate for scholarly communication,</w:t>
            </w:r>
            <w:r w:rsidRPr="004B12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with</w:t>
            </w:r>
            <w:r w:rsidRPr="004B12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clear</w:t>
            </w:r>
            <w:r w:rsidRPr="004B12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and</w:t>
            </w:r>
            <w:r w:rsidRPr="004B12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coherent</w:t>
            </w:r>
            <w:r w:rsidRPr="004B12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writing;</w:t>
            </w:r>
            <w:r w:rsidRPr="004B12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only</w:t>
            </w:r>
            <w:r w:rsidRPr="004B12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minor</w:t>
            </w:r>
            <w:r w:rsidRPr="004B12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editorial</w:t>
            </w:r>
            <w:r w:rsidRPr="004B12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revisions</w:t>
            </w:r>
            <w:r w:rsidRPr="004B12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may</w:t>
            </w:r>
            <w:r w:rsidRPr="004B12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be</w:t>
            </w:r>
            <w:r w:rsidRPr="004B12A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needed to improve fluency.</w:t>
            </w:r>
          </w:p>
        </w:tc>
        <w:tc>
          <w:tcPr>
            <w:tcW w:w="6440" w:type="dxa"/>
          </w:tcPr>
          <w:p w:rsidR="000360BC" w:rsidRPr="004B12A5" w:rsidRDefault="00246858" w:rsidP="00354A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12A5">
              <w:rPr>
                <w:rFonts w:ascii="Arial" w:hAnsi="Arial" w:cs="Arial"/>
                <w:sz w:val="20"/>
                <w:szCs w:val="20"/>
              </w:rPr>
              <w:t>Thank you very much for your positive feedback.</w:t>
            </w:r>
          </w:p>
        </w:tc>
      </w:tr>
      <w:tr w:rsidR="000360BC" w:rsidRPr="004B12A5">
        <w:trPr>
          <w:trHeight w:val="1180"/>
        </w:trPr>
        <w:tc>
          <w:tcPr>
            <w:tcW w:w="5360" w:type="dxa"/>
          </w:tcPr>
          <w:p w:rsidR="000360BC" w:rsidRPr="004B12A5" w:rsidRDefault="004328E2">
            <w:pPr>
              <w:pStyle w:val="TableParagraph"/>
              <w:spacing w:before="2"/>
              <w:ind w:left="110"/>
              <w:rPr>
                <w:rFonts w:ascii="Arial" w:hAnsi="Arial" w:cs="Arial"/>
                <w:sz w:val="20"/>
                <w:szCs w:val="20"/>
              </w:rPr>
            </w:pPr>
            <w:bookmarkStart w:id="5" w:name="Optional/General_comments_"/>
            <w:bookmarkEnd w:id="5"/>
            <w:r w:rsidRPr="004B12A5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4B12A5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0" w:type="dxa"/>
          </w:tcPr>
          <w:p w:rsidR="000360BC" w:rsidRPr="004B12A5" w:rsidRDefault="004328E2">
            <w:pPr>
              <w:spacing w:line="276" w:lineRule="auto"/>
              <w:ind w:left="165" w:right="155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The</w:t>
            </w:r>
            <w:r w:rsidRPr="004B12A5">
              <w:rPr>
                <w:rFonts w:ascii="Arial" w:hAnsi="Arial" w:cs="Arial"/>
                <w:b/>
                <w:color w:val="000000"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present</w:t>
            </w:r>
            <w:r w:rsidRPr="004B12A5">
              <w:rPr>
                <w:rFonts w:ascii="Arial" w:hAnsi="Arial" w:cs="Arial"/>
                <w:b/>
                <w:color w:val="000000"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study</w:t>
            </w:r>
            <w:r w:rsidRPr="004B12A5">
              <w:rPr>
                <w:rFonts w:ascii="Arial" w:hAnsi="Arial" w:cs="Arial"/>
                <w:b/>
                <w:color w:val="000000"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aimed</w:t>
            </w:r>
            <w:r w:rsidRPr="004B12A5">
              <w:rPr>
                <w:rFonts w:ascii="Arial" w:hAnsi="Arial" w:cs="Arial"/>
                <w:b/>
                <w:color w:val="000000"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to</w:t>
            </w:r>
            <w:r w:rsidRPr="004B12A5">
              <w:rPr>
                <w:rFonts w:ascii="Arial" w:hAnsi="Arial" w:cs="Arial"/>
                <w:b/>
                <w:color w:val="000000"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evaluate</w:t>
            </w:r>
            <w:r w:rsidRPr="004B12A5">
              <w:rPr>
                <w:rFonts w:ascii="Arial" w:hAnsi="Arial" w:cs="Arial"/>
                <w:b/>
                <w:color w:val="000000"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he</w:t>
            </w:r>
            <w:r w:rsidRPr="004B12A5">
              <w:rPr>
                <w:rFonts w:ascii="Arial" w:hAnsi="Arial" w:cs="Arial"/>
                <w:color w:val="000000"/>
                <w:spacing w:val="4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microbiological</w:t>
            </w:r>
            <w:r w:rsidRPr="004B12A5">
              <w:rPr>
                <w:rFonts w:ascii="Arial" w:hAnsi="Arial" w:cs="Arial"/>
                <w:color w:val="000000"/>
                <w:spacing w:val="4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quality</w:t>
            </w:r>
            <w:r w:rsidRPr="004B12A5">
              <w:rPr>
                <w:rFonts w:ascii="Arial" w:hAnsi="Arial" w:cs="Arial"/>
                <w:color w:val="000000"/>
                <w:spacing w:val="4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r w:rsidRPr="004B12A5">
              <w:rPr>
                <w:rFonts w:ascii="Arial" w:hAnsi="Arial" w:cs="Arial"/>
                <w:color w:val="000000"/>
                <w:spacing w:val="4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storage</w:t>
            </w:r>
            <w:r w:rsidRPr="004B12A5">
              <w:rPr>
                <w:rFonts w:ascii="Arial" w:hAnsi="Arial" w:cs="Arial"/>
                <w:color w:val="000000"/>
                <w:spacing w:val="4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stability</w:t>
            </w:r>
            <w:r w:rsidRPr="004B12A5">
              <w:rPr>
                <w:rFonts w:ascii="Arial" w:hAnsi="Arial" w:cs="Arial"/>
                <w:color w:val="000000"/>
                <w:spacing w:val="4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of</w:t>
            </w:r>
            <w:r w:rsidRPr="004B12A5">
              <w:rPr>
                <w:rFonts w:ascii="Arial" w:hAnsi="Arial" w:cs="Arial"/>
                <w:color w:val="000000"/>
                <w:spacing w:val="4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ice</w:t>
            </w:r>
            <w:r w:rsidRPr="004B12A5">
              <w:rPr>
                <w:rFonts w:ascii="Arial" w:hAnsi="Arial" w:cs="Arial"/>
                <w:color w:val="000000"/>
                <w:spacing w:val="4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 xml:space="preserve">cream formulated with banana purée and coconut extracts during frozen storage.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 comparative experimental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approach was adopted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,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in which a full-fat control ice cream (FFC) and a medium-fat experimental ice cream (MFE) incorporating banana purée (10%) and coconut extracts were prepared under controlled processing conditions and</w:t>
            </w:r>
            <w:r w:rsidRPr="004B12A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stored</w:t>
            </w:r>
            <w:r w:rsidRPr="004B12A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at</w:t>
            </w:r>
            <w:r w:rsidRPr="004B12A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−18</w:t>
            </w:r>
            <w:r w:rsidRPr="004B12A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±</w:t>
            </w:r>
            <w:r w:rsidRPr="004B12A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B12A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°C</w:t>
            </w:r>
            <w:r w:rsidRPr="004B12A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for</w:t>
            </w:r>
            <w:r w:rsidRPr="004B12A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  <w:r w:rsidRPr="004B12A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days.</w:t>
            </w:r>
            <w:r w:rsidRPr="004B12A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Microbiological</w:t>
            </w:r>
            <w:r w:rsidRPr="004B12A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analyses</w:t>
            </w:r>
            <w:r w:rsidRPr="004B12A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were</w:t>
            </w:r>
            <w:r w:rsidRPr="004B12A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performed</w:t>
            </w:r>
            <w:r w:rsidRPr="004B12A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at</w:t>
            </w:r>
            <w:r w:rsidRPr="004B12A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15-day</w:t>
            </w:r>
            <w:r w:rsidRPr="004B12A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intervals</w:t>
            </w:r>
            <w:r w:rsidRPr="004B12A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 w:rsidRPr="004B12A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assess</w:t>
            </w:r>
            <w:r w:rsidRPr="004B12A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aerobic</w:t>
            </w:r>
            <w:r w:rsidRPr="004B12A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plate</w:t>
            </w:r>
            <w:r w:rsidRPr="004B12A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count</w:t>
            </w:r>
            <w:r w:rsidRPr="004B12A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(APC),</w:t>
            </w:r>
            <w:r w:rsidRPr="004B12A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yeast</w:t>
            </w:r>
            <w:r w:rsidRPr="004B12A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r w:rsidRPr="004B12A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mold</w:t>
            </w:r>
            <w:r w:rsidRPr="004B12A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count</w:t>
            </w:r>
            <w:r w:rsidRPr="004B12A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(YMC),</w:t>
            </w:r>
            <w:r w:rsidRPr="004B12A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r w:rsidRPr="004B12A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coliform</w:t>
            </w:r>
            <w:r w:rsidRPr="004B12A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presence using standard methods prescribed by the Food Safety and Standards Authority of India.</w:t>
            </w:r>
          </w:p>
          <w:p w:rsidR="000360BC" w:rsidRPr="004B12A5" w:rsidRDefault="004328E2">
            <w:pPr>
              <w:spacing w:before="240" w:line="276" w:lineRule="auto"/>
              <w:ind w:left="165" w:right="158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lastRenderedPageBreak/>
              <w:t>The</w:t>
            </w:r>
            <w:r w:rsidRPr="004B12A5">
              <w:rPr>
                <w:rFonts w:ascii="Arial" w:hAnsi="Arial" w:cs="Arial"/>
                <w:b/>
                <w:color w:val="000000"/>
                <w:spacing w:val="28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results</w:t>
            </w:r>
            <w:r w:rsidRPr="004B12A5">
              <w:rPr>
                <w:rFonts w:ascii="Arial" w:hAnsi="Arial" w:cs="Arial"/>
                <w:b/>
                <w:color w:val="000000"/>
                <w:spacing w:val="28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showed</w:t>
            </w:r>
            <w:r w:rsidRPr="004B12A5">
              <w:rPr>
                <w:rFonts w:ascii="Arial" w:hAnsi="Arial" w:cs="Arial"/>
                <w:b/>
                <w:color w:val="000000"/>
                <w:spacing w:val="28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that</w:t>
            </w:r>
            <w:r w:rsidRPr="004B12A5">
              <w:rPr>
                <w:rFonts w:ascii="Arial" w:hAnsi="Arial" w:cs="Arial"/>
                <w:b/>
                <w:color w:val="000000"/>
                <w:spacing w:val="28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APC</w:t>
            </w:r>
            <w:r w:rsidRPr="004B12A5">
              <w:rPr>
                <w:rFonts w:ascii="Arial" w:hAnsi="Arial" w:cs="Arial"/>
                <w:color w:val="000000"/>
                <w:spacing w:val="28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values</w:t>
            </w:r>
            <w:r w:rsidRPr="004B12A5">
              <w:rPr>
                <w:rFonts w:ascii="Arial" w:hAnsi="Arial" w:cs="Arial"/>
                <w:color w:val="000000"/>
                <w:spacing w:val="28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of</w:t>
            </w:r>
            <w:r w:rsidRPr="004B12A5">
              <w:rPr>
                <w:rFonts w:ascii="Arial" w:hAnsi="Arial" w:cs="Arial"/>
                <w:color w:val="000000"/>
                <w:spacing w:val="28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both</w:t>
            </w:r>
            <w:r w:rsidRPr="004B12A5">
              <w:rPr>
                <w:rFonts w:ascii="Arial" w:hAnsi="Arial" w:cs="Arial"/>
                <w:color w:val="000000"/>
                <w:spacing w:val="28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ice</w:t>
            </w:r>
            <w:r w:rsidRPr="004B12A5">
              <w:rPr>
                <w:rFonts w:ascii="Arial" w:hAnsi="Arial" w:cs="Arial"/>
                <w:color w:val="000000"/>
                <w:spacing w:val="28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cream</w:t>
            </w:r>
            <w:r w:rsidRPr="004B12A5">
              <w:rPr>
                <w:rFonts w:ascii="Arial" w:hAnsi="Arial" w:cs="Arial"/>
                <w:color w:val="000000"/>
                <w:spacing w:val="28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formulations</w:t>
            </w:r>
            <w:r w:rsidRPr="004B12A5">
              <w:rPr>
                <w:rFonts w:ascii="Arial" w:hAnsi="Arial" w:cs="Arial"/>
                <w:color w:val="000000"/>
                <w:spacing w:val="28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increased</w:t>
            </w:r>
            <w:r w:rsidRPr="004B12A5">
              <w:rPr>
                <w:rFonts w:ascii="Arial" w:hAnsi="Arial" w:cs="Arial"/>
                <w:color w:val="000000"/>
                <w:spacing w:val="28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marginally</w:t>
            </w:r>
            <w:r w:rsidRPr="004B12A5">
              <w:rPr>
                <w:rFonts w:ascii="Arial" w:hAnsi="Arial" w:cs="Arial"/>
                <w:color w:val="000000"/>
                <w:spacing w:val="28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r w:rsidRPr="004B12A5">
              <w:rPr>
                <w:rFonts w:ascii="Arial" w:hAnsi="Arial" w:cs="Arial"/>
                <w:color w:val="000000"/>
                <w:spacing w:val="28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non-significantly</w:t>
            </w:r>
            <w:r w:rsidRPr="004B12A5">
              <w:rPr>
                <w:rFonts w:ascii="Arial" w:hAnsi="Arial" w:cs="Arial"/>
                <w:color w:val="000000"/>
                <w:spacing w:val="28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during</w:t>
            </w:r>
            <w:r w:rsidRPr="004B12A5">
              <w:rPr>
                <w:rFonts w:ascii="Arial" w:hAnsi="Arial" w:cs="Arial"/>
                <w:color w:val="000000"/>
                <w:spacing w:val="28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storage,</w:t>
            </w:r>
            <w:r w:rsidRPr="004B12A5">
              <w:rPr>
                <w:rFonts w:ascii="Arial" w:hAnsi="Arial" w:cs="Arial"/>
                <w:color w:val="000000"/>
                <w:spacing w:val="28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 xml:space="preserve">with no significant effect of treatment, storage period, or their interaction, and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all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values</w:t>
            </w:r>
            <w:r w:rsidRPr="004B12A5">
              <w:rPr>
                <w:rFonts w:ascii="Arial" w:hAnsi="Arial" w:cs="Arial"/>
                <w:b/>
                <w:color w:val="000000"/>
                <w:spacing w:val="12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remained</w:t>
            </w:r>
            <w:r w:rsidRPr="004B12A5">
              <w:rPr>
                <w:rFonts w:ascii="Arial" w:hAnsi="Arial" w:cs="Arial"/>
                <w:b/>
                <w:color w:val="000000"/>
                <w:spacing w:val="12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within</w:t>
            </w:r>
            <w:r w:rsidRPr="004B12A5">
              <w:rPr>
                <w:rFonts w:ascii="Arial" w:hAnsi="Arial" w:cs="Arial"/>
                <w:b/>
                <w:color w:val="000000"/>
                <w:spacing w:val="12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the</w:t>
            </w:r>
            <w:r w:rsidRPr="004B12A5">
              <w:rPr>
                <w:rFonts w:ascii="Arial" w:hAnsi="Arial" w:cs="Arial"/>
                <w:b/>
                <w:color w:val="000000"/>
                <w:spacing w:val="12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permissible</w:t>
            </w:r>
            <w:r w:rsidRPr="004B12A5">
              <w:rPr>
                <w:rFonts w:ascii="Arial" w:hAnsi="Arial" w:cs="Arial"/>
                <w:b/>
                <w:color w:val="000000"/>
                <w:spacing w:val="12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regulatory</w:t>
            </w:r>
            <w:r w:rsidRPr="004B12A5">
              <w:rPr>
                <w:rFonts w:ascii="Arial" w:hAnsi="Arial" w:cs="Arial"/>
                <w:b/>
                <w:color w:val="000000"/>
                <w:spacing w:val="12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limits</w:t>
            </w:r>
            <w:r w:rsidRPr="004B12A5">
              <w:rPr>
                <w:rFonts w:ascii="Arial" w:hAnsi="Arial" w:cs="Arial"/>
                <w:b/>
                <w:color w:val="000000"/>
                <w:spacing w:val="12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throughout</w:t>
            </w:r>
            <w:r w:rsidRPr="004B12A5">
              <w:rPr>
                <w:rFonts w:ascii="Arial" w:hAnsi="Arial" w:cs="Arial"/>
                <w:b/>
                <w:color w:val="000000"/>
                <w:spacing w:val="12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the</w:t>
            </w:r>
            <w:r w:rsidRPr="004B12A5">
              <w:rPr>
                <w:rFonts w:ascii="Arial" w:hAnsi="Arial" w:cs="Arial"/>
                <w:b/>
                <w:color w:val="000000"/>
                <w:spacing w:val="12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storage</w:t>
            </w:r>
            <w:r w:rsidRPr="004B12A5">
              <w:rPr>
                <w:rFonts w:ascii="Arial" w:hAnsi="Arial" w:cs="Arial"/>
                <w:b/>
                <w:color w:val="000000"/>
                <w:spacing w:val="12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period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.</w:t>
            </w:r>
            <w:r w:rsidRPr="004B12A5">
              <w:rPr>
                <w:rFonts w:ascii="Arial" w:hAnsi="Arial" w:cs="Arial"/>
                <w:color w:val="000000"/>
                <w:spacing w:val="12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Yeasts</w:t>
            </w:r>
            <w:r w:rsidRPr="004B12A5"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r w:rsidRPr="004B12A5"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molds</w:t>
            </w:r>
            <w:r w:rsidRPr="004B12A5"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were</w:t>
            </w:r>
            <w:r w:rsidRPr="004B12A5"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absent</w:t>
            </w:r>
            <w:r w:rsidRPr="004B12A5"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per</w:t>
            </w:r>
            <w:r w:rsidRPr="004B12A5"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gram</w:t>
            </w:r>
            <w:r w:rsidRPr="004B12A5">
              <w:rPr>
                <w:rFonts w:ascii="Arial" w:hAnsi="Arial" w:cs="Arial"/>
                <w:color w:val="000000"/>
                <w:spacing w:val="1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of</w:t>
            </w:r>
            <w:r w:rsidRPr="004B12A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product</w:t>
            </w:r>
            <w:r w:rsidRPr="004B12A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up</w:t>
            </w:r>
            <w:r w:rsidRPr="004B12A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 w:rsidRPr="004B12A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  <w:r w:rsidRPr="004B12A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days</w:t>
            </w:r>
            <w:r w:rsidRPr="004B12A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of</w:t>
            </w:r>
            <w:r w:rsidRPr="004B12A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storage</w:t>
            </w:r>
            <w:r w:rsidRPr="004B12A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r w:rsidRPr="004B12A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were</w:t>
            </w:r>
            <w:r w:rsidRPr="004B12A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detected</w:t>
            </w:r>
            <w:r w:rsidRPr="004B12A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only</w:t>
            </w:r>
            <w:r w:rsidRPr="004B12A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at</w:t>
            </w:r>
            <w:r w:rsidRPr="004B12A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very</w:t>
            </w:r>
            <w:r w:rsidRPr="004B12A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low</w:t>
            </w:r>
            <w:r w:rsidRPr="004B12A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levels on the 75th day, indicating minimal post-processing contamination and effective inhibition under frozen conditions. Coliforms were absent in both freshly prepared and stored samples throughout the entire</w:t>
            </w:r>
            <w:r w:rsidRPr="004B12A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 xml:space="preserve">storage period,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confirming adequate hygienic practices and effective pasteurization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.</w:t>
            </w:r>
          </w:p>
          <w:p w:rsidR="000360BC" w:rsidRPr="004B12A5" w:rsidRDefault="004328E2">
            <w:pPr>
              <w:spacing w:before="240" w:line="276" w:lineRule="auto"/>
              <w:ind w:left="165" w:right="16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It can be concluded that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the incorporation of banana purée and coconut extracts does not compromise the microbiological safety of ice cream when appropriate processing and frozen storage conditions are maintained.</w:t>
            </w:r>
            <w:r w:rsidRPr="004B12A5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These</w:t>
            </w:r>
            <w:r w:rsidRPr="004B12A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findings</w:t>
            </w:r>
            <w:r w:rsidRPr="004B12A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support</w:t>
            </w:r>
            <w:r w:rsidRPr="004B12A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the</w:t>
            </w:r>
            <w:r w:rsidRPr="004B12A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feasibility</w:t>
            </w:r>
            <w:r w:rsidRPr="004B12A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of</w:t>
            </w:r>
            <w:r w:rsidRPr="004B12A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developing</w:t>
            </w:r>
            <w:r w:rsidRPr="004B12A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safe,</w:t>
            </w:r>
            <w:r w:rsidRPr="004B12A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value-added</w:t>
            </w:r>
            <w:r w:rsidRPr="004B12A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dairy–plant</w:t>
            </w:r>
            <w:r w:rsidRPr="004B12A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composite</w:t>
            </w:r>
            <w:r w:rsidRPr="004B12A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frozen</w:t>
            </w:r>
            <w:r w:rsidRPr="004B12A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desserts</w:t>
            </w:r>
            <w:r w:rsidRPr="004B12A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with</w:t>
            </w:r>
            <w:r w:rsidRPr="004B12A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extended</w:t>
            </w:r>
            <w:r w:rsidRPr="004B12A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shelf</w:t>
            </w:r>
            <w:r w:rsidRPr="004B12A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stability</w:t>
            </w:r>
            <w:r w:rsidRPr="004B12A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under</w:t>
            </w:r>
            <w:r w:rsidRPr="004B12A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frozen</w:t>
            </w:r>
            <w:r w:rsidRPr="004B12A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storage</w:t>
            </w:r>
            <w:r w:rsidRPr="004B12A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conditions.</w:t>
            </w:r>
          </w:p>
          <w:p w:rsidR="000360BC" w:rsidRPr="004B12A5" w:rsidRDefault="000360BC">
            <w:pPr>
              <w:spacing w:before="240" w:line="276" w:lineRule="auto"/>
              <w:ind w:left="165" w:right="15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360BC" w:rsidRPr="004B12A5" w:rsidRDefault="004328E2">
            <w:pPr>
              <w:spacing w:before="226" w:line="259" w:lineRule="auto"/>
              <w:ind w:left="165" w:right="1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The results showed</w:t>
            </w:r>
            <w:r w:rsidRPr="004B12A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that</w:t>
            </w:r>
            <w:r w:rsidRPr="004B12A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APC</w:t>
            </w:r>
            <w:r w:rsidRPr="004B12A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values</w:t>
            </w:r>
            <w:r w:rsidRPr="004B12A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of</w:t>
            </w:r>
            <w:r w:rsidRPr="004B12A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both</w:t>
            </w:r>
            <w:r w:rsidRPr="004B12A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ice</w:t>
            </w:r>
            <w:r w:rsidRPr="004B12A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cream</w:t>
            </w:r>
            <w:r w:rsidRPr="004B12A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formulations</w:t>
            </w:r>
            <w:r w:rsidRPr="004B12A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ranged</w:t>
            </w:r>
            <w:r w:rsidRPr="004B12A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from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4.58</w:t>
            </w:r>
            <w:r w:rsidRPr="004B12A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to</w:t>
            </w:r>
            <w:r w:rsidRPr="004B12A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4.91</w:t>
            </w:r>
            <w:r w:rsidRPr="004B12A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log</w:t>
            </w:r>
            <w:r w:rsidRPr="004B12A5">
              <w:rPr>
                <w:rFonts w:ascii="Cambria Math" w:hAnsi="Cambria Math" w:cs="Cambria Math"/>
                <w:color w:val="000000"/>
                <w:sz w:val="20"/>
                <w:szCs w:val="20"/>
                <w:highlight w:val="yellow"/>
              </w:rPr>
              <w:t>₁₀</w:t>
            </w:r>
            <w:r w:rsidRPr="004B12A5">
              <w:rPr>
                <w:rFonts w:ascii="Arial" w:hAnsi="Arial" w:cs="Arial"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CFU</w:t>
            </w:r>
            <w:r w:rsidRPr="004B12A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</w:t>
            </w:r>
            <w:r w:rsidRPr="004B12A5">
              <w:rPr>
                <w:rFonts w:ascii="Cambria Math" w:hAnsi="Cambria Math" w:cs="Cambria Math"/>
                <w:color w:val="000000"/>
                <w:sz w:val="20"/>
                <w:szCs w:val="20"/>
                <w:highlight w:val="yellow"/>
              </w:rPr>
              <w:t>⁻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</w:rPr>
              <w:t>¹</w:t>
            </w:r>
            <w:r w:rsidRPr="004B12A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during</w:t>
            </w:r>
            <w:r w:rsidRPr="004B12A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r w:rsidRPr="004B12A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75-day</w:t>
            </w:r>
            <w:r w:rsidRPr="004B12A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frozen</w:t>
            </w:r>
            <w:r w:rsidRPr="004B12A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storage</w:t>
            </w:r>
            <w:r w:rsidRPr="004B12A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period,</w:t>
            </w:r>
            <w:r w:rsidRPr="004B12A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showing</w:t>
            </w:r>
            <w:r w:rsidRPr="004B12A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only</w:t>
            </w:r>
            <w:r w:rsidRPr="004B12A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marginal</w:t>
            </w:r>
            <w:r w:rsidRPr="004B12A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r w:rsidRPr="004B12A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statistically</w:t>
            </w:r>
            <w:r w:rsidRPr="004B12A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non-significant</w:t>
            </w:r>
            <w:r w:rsidRPr="004B12A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 xml:space="preserve">increases, with no significant effect of treatment, storage period, or their interaction, and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all values remained within the permissible regulatory limits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.</w:t>
            </w:r>
          </w:p>
          <w:p w:rsidR="000360BC" w:rsidRPr="004B12A5" w:rsidRDefault="004328E2">
            <w:pPr>
              <w:spacing w:line="268" w:lineRule="exact"/>
              <w:ind w:left="165"/>
              <w:rPr>
                <w:rFonts w:ascii="Arial" w:hAnsi="Arial" w:cs="Arial"/>
                <w:b/>
                <w:sz w:val="20"/>
                <w:szCs w:val="20"/>
              </w:rPr>
            </w:pPr>
            <w:r w:rsidRPr="004B12A5">
              <w:rPr>
                <w:rFonts w:ascii="Arial" w:hAnsi="Arial" w:cs="Arial"/>
                <w:sz w:val="20"/>
                <w:szCs w:val="20"/>
              </w:rPr>
              <w:t>Yeasts</w:t>
            </w:r>
            <w:r w:rsidRPr="004B12A5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and</w:t>
            </w:r>
            <w:r w:rsidRPr="004B12A5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molds</w:t>
            </w:r>
            <w:r w:rsidRPr="004B12A5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were</w:t>
            </w:r>
            <w:r w:rsidRPr="004B12A5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absent</w:t>
            </w:r>
            <w:r w:rsidRPr="004B12A5">
              <w:rPr>
                <w:rFonts w:ascii="Arial" w:hAnsi="Arial" w:cs="Arial"/>
                <w:b/>
                <w:color w:val="000000"/>
                <w:spacing w:val="10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(&lt;1</w:t>
            </w:r>
            <w:r w:rsidRPr="004B12A5">
              <w:rPr>
                <w:rFonts w:ascii="Arial" w:hAnsi="Arial" w:cs="Arial"/>
                <w:b/>
                <w:color w:val="000000"/>
                <w:spacing w:val="11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CFU</w:t>
            </w:r>
            <w:r w:rsidRPr="004B12A5">
              <w:rPr>
                <w:rFonts w:ascii="Arial" w:hAnsi="Arial" w:cs="Arial"/>
                <w:b/>
                <w:color w:val="000000"/>
                <w:spacing w:val="10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</w:t>
            </w:r>
            <w:r w:rsidRPr="004B12A5">
              <w:rPr>
                <w:rFonts w:ascii="Cambria Math" w:hAnsi="Cambria Math" w:cs="Cambria Math"/>
                <w:color w:val="000000"/>
                <w:sz w:val="20"/>
                <w:szCs w:val="20"/>
                <w:highlight w:val="yellow"/>
              </w:rPr>
              <w:t>⁻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¹)</w:t>
            </w:r>
            <w:r w:rsidRPr="004B12A5">
              <w:rPr>
                <w:rFonts w:ascii="Arial" w:hAnsi="Arial" w:cs="Arial"/>
                <w:b/>
                <w:color w:val="000000"/>
                <w:spacing w:val="10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up</w:t>
            </w:r>
            <w:r w:rsidRPr="004B12A5">
              <w:rPr>
                <w:rFonts w:ascii="Arial" w:hAnsi="Arial" w:cs="Arial"/>
                <w:color w:val="000000"/>
                <w:spacing w:val="11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 w:rsidRPr="004B12A5">
              <w:rPr>
                <w:rFonts w:ascii="Arial" w:hAnsi="Arial" w:cs="Arial"/>
                <w:color w:val="000000"/>
                <w:spacing w:val="1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  <w:r w:rsidRPr="004B12A5">
              <w:rPr>
                <w:rFonts w:ascii="Arial" w:hAnsi="Arial" w:cs="Arial"/>
                <w:color w:val="000000"/>
                <w:spacing w:val="1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days</w:t>
            </w:r>
            <w:r w:rsidRPr="004B12A5">
              <w:rPr>
                <w:rFonts w:ascii="Arial" w:hAnsi="Arial" w:cs="Arial"/>
                <w:color w:val="000000"/>
                <w:spacing w:val="11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of</w:t>
            </w:r>
            <w:r w:rsidRPr="004B12A5">
              <w:rPr>
                <w:rFonts w:ascii="Arial" w:hAnsi="Arial" w:cs="Arial"/>
                <w:color w:val="000000"/>
                <w:spacing w:val="1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storage</w:t>
            </w:r>
            <w:r w:rsidRPr="004B12A5">
              <w:rPr>
                <w:rFonts w:ascii="Arial" w:hAnsi="Arial" w:cs="Arial"/>
                <w:color w:val="000000"/>
                <w:spacing w:val="1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r w:rsidRPr="004B12A5">
              <w:rPr>
                <w:rFonts w:ascii="Arial" w:hAnsi="Arial" w:cs="Arial"/>
                <w:color w:val="000000"/>
                <w:spacing w:val="11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were</w:t>
            </w:r>
            <w:r w:rsidRPr="004B12A5">
              <w:rPr>
                <w:rFonts w:ascii="Arial" w:hAnsi="Arial" w:cs="Arial"/>
                <w:color w:val="000000"/>
                <w:spacing w:val="1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detected</w:t>
            </w:r>
            <w:r w:rsidRPr="004B12A5">
              <w:rPr>
                <w:rFonts w:ascii="Arial" w:hAnsi="Arial" w:cs="Arial"/>
                <w:color w:val="000000"/>
                <w:spacing w:val="1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only</w:t>
            </w:r>
            <w:r w:rsidRPr="004B12A5">
              <w:rPr>
                <w:rFonts w:ascii="Arial" w:hAnsi="Arial" w:cs="Arial"/>
                <w:color w:val="000000"/>
                <w:spacing w:val="11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at</w:t>
            </w:r>
            <w:r w:rsidRPr="004B12A5">
              <w:rPr>
                <w:rFonts w:ascii="Arial" w:hAnsi="Arial" w:cs="Arial"/>
                <w:color w:val="000000"/>
                <w:spacing w:val="1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very</w:t>
            </w:r>
            <w:r w:rsidRPr="004B12A5">
              <w:rPr>
                <w:rFonts w:ascii="Arial" w:hAnsi="Arial" w:cs="Arial"/>
                <w:color w:val="000000"/>
                <w:spacing w:val="1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low</w:t>
            </w:r>
            <w:r w:rsidRPr="004B12A5">
              <w:rPr>
                <w:rFonts w:ascii="Arial" w:hAnsi="Arial" w:cs="Arial"/>
                <w:color w:val="000000"/>
                <w:spacing w:val="11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levels</w:t>
            </w:r>
            <w:r w:rsidRPr="004B12A5">
              <w:rPr>
                <w:rFonts w:ascii="Arial" w:hAnsi="Arial" w:cs="Arial"/>
                <w:color w:val="000000"/>
                <w:spacing w:val="1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on</w:t>
            </w:r>
            <w:r w:rsidRPr="004B12A5">
              <w:rPr>
                <w:rFonts w:ascii="Arial" w:hAnsi="Arial" w:cs="Arial"/>
                <w:color w:val="000000"/>
                <w:spacing w:val="1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r w:rsidRPr="004B12A5">
              <w:rPr>
                <w:rFonts w:ascii="Arial" w:hAnsi="Arial" w:cs="Arial"/>
                <w:color w:val="000000"/>
                <w:spacing w:val="11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75th</w:t>
            </w:r>
            <w:r w:rsidRPr="004B12A5">
              <w:rPr>
                <w:rFonts w:ascii="Arial" w:hAnsi="Arial" w:cs="Arial"/>
                <w:color w:val="000000"/>
                <w:spacing w:val="1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day,</w:t>
            </w:r>
            <w:r w:rsidRPr="004B12A5">
              <w:rPr>
                <w:rFonts w:ascii="Arial" w:hAnsi="Arial" w:cs="Arial"/>
                <w:color w:val="000000"/>
                <w:spacing w:val="1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reaching</w:t>
            </w:r>
            <w:r w:rsidRPr="004B12A5">
              <w:rPr>
                <w:rFonts w:ascii="Arial" w:hAnsi="Arial" w:cs="Arial"/>
                <w:color w:val="000000"/>
                <w:spacing w:val="11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1.08</w:t>
            </w:r>
            <w:r w:rsidRPr="004B12A5">
              <w:rPr>
                <w:rFonts w:ascii="Arial" w:hAnsi="Arial" w:cs="Arial"/>
                <w:b/>
                <w:color w:val="000000"/>
                <w:spacing w:val="10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log</w:t>
            </w:r>
            <w:r w:rsidRPr="004B12A5">
              <w:rPr>
                <w:rFonts w:ascii="Cambria Math" w:hAnsi="Cambria Math" w:cs="Cambria Math"/>
                <w:color w:val="000000"/>
                <w:sz w:val="20"/>
                <w:szCs w:val="20"/>
                <w:highlight w:val="yellow"/>
              </w:rPr>
              <w:t>₁₀</w:t>
            </w:r>
            <w:r w:rsidRPr="004B12A5">
              <w:rPr>
                <w:rFonts w:ascii="Arial" w:hAnsi="Arial" w:cs="Arial"/>
                <w:color w:val="000000"/>
                <w:spacing w:val="6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CFU</w:t>
            </w:r>
            <w:r w:rsidRPr="004B12A5">
              <w:rPr>
                <w:rFonts w:ascii="Arial" w:hAnsi="Arial" w:cs="Arial"/>
                <w:b/>
                <w:color w:val="000000"/>
                <w:spacing w:val="11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</w:t>
            </w:r>
            <w:r w:rsidRPr="004B12A5">
              <w:rPr>
                <w:rFonts w:ascii="Cambria Math" w:hAnsi="Cambria Math" w:cs="Cambria Math"/>
                <w:color w:val="000000"/>
                <w:sz w:val="20"/>
                <w:szCs w:val="20"/>
                <w:highlight w:val="yellow"/>
              </w:rPr>
              <w:t>⁻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¹</w:t>
            </w:r>
            <w:r w:rsidRPr="004B12A5">
              <w:rPr>
                <w:rFonts w:ascii="Arial" w:hAnsi="Arial" w:cs="Arial"/>
                <w:b/>
                <w:color w:val="000000"/>
                <w:spacing w:val="10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</w:t>
            </w:r>
            <w:r w:rsidRPr="004B12A5">
              <w:rPr>
                <w:rFonts w:ascii="Arial" w:hAnsi="Arial" w:cs="Arial"/>
                <w:b/>
                <w:color w:val="000000"/>
                <w:spacing w:val="10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the</w:t>
            </w:r>
            <w:r w:rsidRPr="004B12A5">
              <w:rPr>
                <w:rFonts w:ascii="Arial" w:hAnsi="Arial" w:cs="Arial"/>
                <w:b/>
                <w:color w:val="000000"/>
                <w:spacing w:val="11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full-fat</w:t>
            </w:r>
            <w:r w:rsidRPr="004B12A5">
              <w:rPr>
                <w:rFonts w:ascii="Arial" w:hAnsi="Arial" w:cs="Arial"/>
                <w:b/>
                <w:color w:val="000000"/>
                <w:spacing w:val="10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control</w:t>
            </w:r>
            <w:r w:rsidRPr="004B12A5">
              <w:rPr>
                <w:rFonts w:ascii="Arial" w:hAnsi="Arial" w:cs="Arial"/>
                <w:b/>
                <w:color w:val="000000"/>
                <w:spacing w:val="10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and</w:t>
            </w:r>
            <w:r w:rsidRPr="004B12A5">
              <w:rPr>
                <w:rFonts w:ascii="Arial" w:hAnsi="Arial" w:cs="Arial"/>
                <w:b/>
                <w:color w:val="000000"/>
                <w:spacing w:val="11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1.13</w:t>
            </w:r>
            <w:r w:rsidRPr="004B12A5">
              <w:rPr>
                <w:rFonts w:ascii="Arial" w:hAnsi="Arial" w:cs="Arial"/>
                <w:b/>
                <w:color w:val="000000"/>
                <w:spacing w:val="10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log</w:t>
            </w:r>
            <w:r w:rsidRPr="004B12A5">
              <w:rPr>
                <w:rFonts w:ascii="Cambria Math" w:hAnsi="Cambria Math" w:cs="Cambria Math"/>
                <w:color w:val="000000"/>
                <w:sz w:val="20"/>
                <w:szCs w:val="20"/>
                <w:highlight w:val="yellow"/>
              </w:rPr>
              <w:t>₁₀</w:t>
            </w:r>
            <w:r w:rsidRPr="004B12A5">
              <w:rPr>
                <w:rFonts w:ascii="Arial" w:hAnsi="Arial" w:cs="Arial"/>
                <w:color w:val="000000"/>
                <w:spacing w:val="6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CFU</w:t>
            </w:r>
            <w:r w:rsidRPr="004B12A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</w:t>
            </w:r>
            <w:r w:rsidRPr="004B12A5">
              <w:rPr>
                <w:rFonts w:ascii="Cambria Math" w:hAnsi="Cambria Math" w:cs="Cambria Math"/>
                <w:color w:val="000000"/>
                <w:sz w:val="20"/>
                <w:szCs w:val="20"/>
                <w:highlight w:val="yellow"/>
              </w:rPr>
              <w:t>⁻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¹</w:t>
            </w:r>
            <w:r w:rsidRPr="004B12A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</w:t>
            </w:r>
            <w:r w:rsidRPr="004B12A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>the</w:t>
            </w:r>
          </w:p>
          <w:p w:rsidR="000360BC" w:rsidRPr="004B12A5" w:rsidRDefault="004328E2">
            <w:pPr>
              <w:spacing w:before="22"/>
              <w:ind w:left="165"/>
              <w:rPr>
                <w:rFonts w:ascii="Arial" w:hAnsi="Arial" w:cs="Arial"/>
                <w:sz w:val="20"/>
                <w:szCs w:val="20"/>
              </w:rPr>
            </w:pP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experimental</w:t>
            </w:r>
            <w:r w:rsidRPr="004B12A5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formulation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,</w:t>
            </w:r>
            <w:r w:rsidRPr="004B12A5">
              <w:rPr>
                <w:rFonts w:ascii="Arial" w:hAnsi="Arial" w:cs="Arial"/>
                <w:color w:val="000000"/>
                <w:spacing w:val="-1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indicating</w:t>
            </w:r>
            <w:r w:rsidRPr="004B12A5">
              <w:rPr>
                <w:rFonts w:ascii="Arial" w:hAnsi="Arial" w:cs="Arial"/>
                <w:color w:val="000000"/>
                <w:spacing w:val="-9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minimal</w:t>
            </w:r>
            <w:r w:rsidRPr="004B12A5">
              <w:rPr>
                <w:rFonts w:ascii="Arial" w:hAnsi="Arial" w:cs="Arial"/>
                <w:color w:val="000000"/>
                <w:spacing w:val="-1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post-processing</w:t>
            </w:r>
            <w:r w:rsidRPr="004B12A5">
              <w:rPr>
                <w:rFonts w:ascii="Arial" w:hAnsi="Arial" w:cs="Arial"/>
                <w:color w:val="000000"/>
                <w:spacing w:val="-1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contamination</w:t>
            </w:r>
            <w:r w:rsidRPr="004B12A5">
              <w:rPr>
                <w:rFonts w:ascii="Arial" w:hAnsi="Arial" w:cs="Arial"/>
                <w:color w:val="000000"/>
                <w:spacing w:val="-9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r w:rsidRPr="004B12A5">
              <w:rPr>
                <w:rFonts w:ascii="Arial" w:hAnsi="Arial" w:cs="Arial"/>
                <w:color w:val="000000"/>
                <w:spacing w:val="-1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effective</w:t>
            </w:r>
            <w:r w:rsidRPr="004B12A5">
              <w:rPr>
                <w:rFonts w:ascii="Arial" w:hAnsi="Arial" w:cs="Arial"/>
                <w:color w:val="000000"/>
                <w:spacing w:val="-1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inhibition</w:t>
            </w:r>
            <w:r w:rsidRPr="004B12A5">
              <w:rPr>
                <w:rFonts w:ascii="Arial" w:hAnsi="Arial" w:cs="Arial"/>
                <w:color w:val="000000"/>
                <w:spacing w:val="-9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under</w:t>
            </w:r>
            <w:r w:rsidRPr="004B12A5">
              <w:rPr>
                <w:rFonts w:ascii="Arial" w:hAnsi="Arial" w:cs="Arial"/>
                <w:color w:val="000000"/>
                <w:spacing w:val="-10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frozen</w:t>
            </w:r>
            <w:r w:rsidRPr="004B12A5">
              <w:rPr>
                <w:rFonts w:ascii="Arial" w:hAnsi="Arial" w:cs="Arial"/>
                <w:color w:val="000000"/>
                <w:spacing w:val="-9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conditions.</w:t>
            </w:r>
          </w:p>
          <w:p w:rsidR="000360BC" w:rsidRPr="004B12A5" w:rsidRDefault="004328E2">
            <w:pPr>
              <w:spacing w:before="38"/>
              <w:ind w:left="165"/>
              <w:rPr>
                <w:rFonts w:ascii="Arial" w:hAnsi="Arial" w:cs="Arial"/>
                <w:sz w:val="20"/>
                <w:szCs w:val="20"/>
              </w:rPr>
            </w:pPr>
            <w:r w:rsidRPr="004B12A5">
              <w:rPr>
                <w:rFonts w:ascii="Arial" w:hAnsi="Arial" w:cs="Arial"/>
                <w:sz w:val="20"/>
                <w:szCs w:val="20"/>
              </w:rPr>
              <w:t>Coliforms</w:t>
            </w:r>
            <w:r w:rsidRPr="004B12A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were</w:t>
            </w:r>
            <w:r w:rsidRPr="004B12A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absent</w:t>
            </w:r>
            <w:r w:rsidRPr="004B12A5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</w:t>
            </w:r>
            <w:r w:rsidRPr="004B12A5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</w:t>
            </w:r>
            <w:r w:rsidRPr="004B12A5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</w:t>
            </w:r>
            <w:r w:rsidRPr="004B12A5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of</w:t>
            </w:r>
            <w:r w:rsidRPr="004B12A5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product</w:t>
            </w:r>
            <w:r w:rsidRPr="004B12A5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throughout</w:t>
            </w:r>
            <w:r w:rsidRPr="004B12A5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the</w:t>
            </w:r>
            <w:r w:rsidRPr="004B12A5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entire</w:t>
            </w:r>
            <w:r w:rsidRPr="004B12A5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storage</w:t>
            </w:r>
            <w:r w:rsidRPr="004B12A5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period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,</w:t>
            </w:r>
            <w:r w:rsidRPr="004B12A5">
              <w:rPr>
                <w:rFonts w:ascii="Arial" w:hAnsi="Arial" w:cs="Arial"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confirming</w:t>
            </w:r>
            <w:r w:rsidRPr="004B12A5"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adequate</w:t>
            </w:r>
            <w:r w:rsidRPr="004B12A5"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hygienic</w:t>
            </w:r>
            <w:r w:rsidRPr="004B12A5"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practices</w:t>
            </w:r>
            <w:r w:rsidRPr="004B12A5"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r w:rsidRPr="004B12A5"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z w:val="20"/>
                <w:szCs w:val="20"/>
              </w:rPr>
              <w:t>effective</w:t>
            </w:r>
            <w:r w:rsidRPr="004B12A5"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pasteurization.</w:t>
            </w:r>
          </w:p>
          <w:p w:rsidR="000360BC" w:rsidRPr="004B12A5" w:rsidRDefault="000360BC">
            <w:pPr>
              <w:spacing w:line="276" w:lineRule="auto"/>
              <w:ind w:left="165" w:right="15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360BC" w:rsidRPr="004B12A5" w:rsidRDefault="000360BC">
            <w:pPr>
              <w:spacing w:line="276" w:lineRule="auto"/>
              <w:ind w:left="165" w:right="15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360BC" w:rsidRPr="004B12A5" w:rsidRDefault="000360BC">
            <w:pPr>
              <w:pStyle w:val="TableParagraph"/>
              <w:ind w:left="10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0" w:type="dxa"/>
          </w:tcPr>
          <w:p w:rsidR="000360BC" w:rsidRPr="004B12A5" w:rsidRDefault="00246858" w:rsidP="00354A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12A5">
              <w:rPr>
                <w:rFonts w:ascii="Arial" w:hAnsi="Arial" w:cs="Arial"/>
                <w:sz w:val="20"/>
                <w:szCs w:val="20"/>
              </w:rPr>
              <w:lastRenderedPageBreak/>
              <w:t>Thank you very much for your positive feedback.</w:t>
            </w:r>
          </w:p>
        </w:tc>
      </w:tr>
    </w:tbl>
    <w:p w:rsidR="000360BC" w:rsidRPr="004B12A5" w:rsidRDefault="000360BC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80"/>
        <w:gridCol w:w="8700"/>
        <w:gridCol w:w="5660"/>
      </w:tblGrid>
      <w:tr w:rsidR="000360BC" w:rsidRPr="004B12A5">
        <w:trPr>
          <w:trHeight w:val="439"/>
        </w:trPr>
        <w:tc>
          <w:tcPr>
            <w:tcW w:w="21140" w:type="dxa"/>
            <w:gridSpan w:val="3"/>
            <w:tcBorders>
              <w:top w:val="nil"/>
              <w:left w:val="nil"/>
              <w:right w:val="nil"/>
            </w:tcBorders>
          </w:tcPr>
          <w:p w:rsidR="000360BC" w:rsidRPr="004B12A5" w:rsidRDefault="004328E2">
            <w:pPr>
              <w:pStyle w:val="TableParagraph"/>
              <w:spacing w:line="221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4B12A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4B12A5">
              <w:rPr>
                <w:rFonts w:ascii="Arial" w:hAnsi="Arial" w:cs="Arial"/>
                <w:b/>
                <w:color w:val="000000"/>
                <w:spacing w:val="25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4B12A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0360BC" w:rsidRPr="004B12A5">
        <w:trPr>
          <w:trHeight w:val="919"/>
        </w:trPr>
        <w:tc>
          <w:tcPr>
            <w:tcW w:w="6780" w:type="dxa"/>
          </w:tcPr>
          <w:p w:rsidR="000360BC" w:rsidRPr="004B12A5" w:rsidRDefault="000360B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0" w:type="dxa"/>
          </w:tcPr>
          <w:p w:rsidR="000360BC" w:rsidRPr="004B12A5" w:rsidRDefault="004328E2">
            <w:pPr>
              <w:pStyle w:val="TableParagraph"/>
              <w:spacing w:before="7"/>
              <w:ind w:left="95"/>
              <w:rPr>
                <w:rFonts w:ascii="Arial" w:hAnsi="Arial" w:cs="Arial"/>
                <w:b/>
                <w:sz w:val="20"/>
                <w:szCs w:val="20"/>
              </w:rPr>
            </w:pPr>
            <w:bookmarkStart w:id="6" w:name="Reviewer’s_comment_"/>
            <w:bookmarkEnd w:id="6"/>
            <w:r w:rsidRPr="004B12A5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4B12A5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60" w:type="dxa"/>
          </w:tcPr>
          <w:p w:rsidR="000360BC" w:rsidRPr="004B12A5" w:rsidRDefault="004328E2">
            <w:pPr>
              <w:pStyle w:val="TableParagraph"/>
              <w:spacing w:before="7" w:line="254" w:lineRule="auto"/>
              <w:ind w:left="5" w:right="45"/>
              <w:rPr>
                <w:rFonts w:ascii="Arial" w:hAnsi="Arial" w:cs="Arial"/>
                <w:sz w:val="20"/>
                <w:szCs w:val="20"/>
              </w:rPr>
            </w:pPr>
            <w:r w:rsidRPr="004B12A5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B12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B12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(It</w:t>
            </w:r>
            <w:r w:rsidRPr="004B12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is</w:t>
            </w:r>
            <w:r w:rsidRPr="004B12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mandatory</w:t>
            </w:r>
            <w:r w:rsidRPr="004B12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that</w:t>
            </w:r>
            <w:r w:rsidRPr="004B12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authors</w:t>
            </w:r>
            <w:r w:rsidRPr="004B12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should</w:t>
            </w:r>
            <w:r w:rsidRPr="004B12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write</w:t>
            </w:r>
            <w:r w:rsidRPr="004B12A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0360BC" w:rsidRPr="004B12A5">
        <w:trPr>
          <w:trHeight w:val="920"/>
        </w:trPr>
        <w:tc>
          <w:tcPr>
            <w:tcW w:w="6780" w:type="dxa"/>
          </w:tcPr>
          <w:p w:rsidR="000360BC" w:rsidRPr="004B12A5" w:rsidRDefault="000360BC">
            <w:pPr>
              <w:pStyle w:val="TableParagraph"/>
              <w:spacing w:before="11"/>
              <w:rPr>
                <w:rFonts w:ascii="Arial" w:hAnsi="Arial" w:cs="Arial"/>
                <w:sz w:val="20"/>
                <w:szCs w:val="20"/>
              </w:rPr>
            </w:pPr>
          </w:p>
          <w:p w:rsidR="000360BC" w:rsidRPr="004B12A5" w:rsidRDefault="004328E2">
            <w:pPr>
              <w:pStyle w:val="TableParagraph"/>
              <w:spacing w:before="1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4B12A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B12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4B12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4B12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4B12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B12A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4B12A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12A5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700" w:type="dxa"/>
          </w:tcPr>
          <w:p w:rsidR="000360BC" w:rsidRPr="004B12A5" w:rsidRDefault="004328E2">
            <w:pPr>
              <w:pStyle w:val="TableParagraph"/>
              <w:spacing w:before="127"/>
              <w:ind w:left="95"/>
              <w:rPr>
                <w:rFonts w:ascii="Arial" w:hAnsi="Arial" w:cs="Arial"/>
                <w:i/>
                <w:sz w:val="20"/>
                <w:szCs w:val="20"/>
              </w:rPr>
            </w:pPr>
            <w:r w:rsidRPr="004B12A5">
              <w:rPr>
                <w:rFonts w:ascii="Arial" w:hAnsi="Arial" w:cs="Arial"/>
                <w:i/>
                <w:sz w:val="20"/>
                <w:szCs w:val="20"/>
                <w:u w:val="thick"/>
              </w:rPr>
              <w:t>(If</w:t>
            </w:r>
            <w:r w:rsidRPr="004B12A5">
              <w:rPr>
                <w:rFonts w:ascii="Arial" w:hAnsi="Arial" w:cs="Arial"/>
                <w:i/>
                <w:spacing w:val="-8"/>
                <w:sz w:val="20"/>
                <w:szCs w:val="20"/>
                <w:u w:val="thick"/>
              </w:rPr>
              <w:t xml:space="preserve"> </w:t>
            </w:r>
            <w:r w:rsidRPr="004B12A5">
              <w:rPr>
                <w:rFonts w:ascii="Arial" w:hAnsi="Arial" w:cs="Arial"/>
                <w:i/>
                <w:sz w:val="20"/>
                <w:szCs w:val="20"/>
                <w:u w:val="thick"/>
              </w:rPr>
              <w:t>yes,</w:t>
            </w:r>
            <w:r w:rsidRPr="004B12A5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4B12A5">
              <w:rPr>
                <w:rFonts w:ascii="Arial" w:hAnsi="Arial" w:cs="Arial"/>
                <w:i/>
                <w:sz w:val="20"/>
                <w:szCs w:val="20"/>
                <w:u w:val="thick"/>
              </w:rPr>
              <w:t>Kindly</w:t>
            </w:r>
            <w:r w:rsidRPr="004B12A5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4B12A5">
              <w:rPr>
                <w:rFonts w:ascii="Arial" w:hAnsi="Arial" w:cs="Arial"/>
                <w:i/>
                <w:sz w:val="20"/>
                <w:szCs w:val="20"/>
                <w:u w:val="thick"/>
              </w:rPr>
              <w:t>please</w:t>
            </w:r>
            <w:r w:rsidRPr="004B12A5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4B12A5">
              <w:rPr>
                <w:rFonts w:ascii="Arial" w:hAnsi="Arial" w:cs="Arial"/>
                <w:i/>
                <w:sz w:val="20"/>
                <w:szCs w:val="20"/>
                <w:u w:val="thick"/>
              </w:rPr>
              <w:t>write</w:t>
            </w:r>
            <w:r w:rsidRPr="004B12A5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4B12A5">
              <w:rPr>
                <w:rFonts w:ascii="Arial" w:hAnsi="Arial" w:cs="Arial"/>
                <w:i/>
                <w:sz w:val="20"/>
                <w:szCs w:val="20"/>
                <w:u w:val="thick"/>
              </w:rPr>
              <w:t>down</w:t>
            </w:r>
            <w:r w:rsidRPr="004B12A5">
              <w:rPr>
                <w:rFonts w:ascii="Arial" w:hAnsi="Arial" w:cs="Arial"/>
                <w:i/>
                <w:spacing w:val="-6"/>
                <w:sz w:val="20"/>
                <w:szCs w:val="20"/>
                <w:u w:val="thick"/>
              </w:rPr>
              <w:t xml:space="preserve"> </w:t>
            </w:r>
            <w:r w:rsidRPr="004B12A5">
              <w:rPr>
                <w:rFonts w:ascii="Arial" w:hAnsi="Arial" w:cs="Arial"/>
                <w:i/>
                <w:sz w:val="20"/>
                <w:szCs w:val="20"/>
                <w:u w:val="thick"/>
              </w:rPr>
              <w:t>the</w:t>
            </w:r>
            <w:r w:rsidRPr="004B12A5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4B12A5">
              <w:rPr>
                <w:rFonts w:ascii="Arial" w:hAnsi="Arial" w:cs="Arial"/>
                <w:i/>
                <w:sz w:val="20"/>
                <w:szCs w:val="20"/>
                <w:u w:val="thick"/>
              </w:rPr>
              <w:t>ethical</w:t>
            </w:r>
            <w:r w:rsidRPr="004B12A5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4B12A5">
              <w:rPr>
                <w:rFonts w:ascii="Arial" w:hAnsi="Arial" w:cs="Arial"/>
                <w:i/>
                <w:sz w:val="20"/>
                <w:szCs w:val="20"/>
                <w:u w:val="thick"/>
              </w:rPr>
              <w:t>issues</w:t>
            </w:r>
            <w:r w:rsidRPr="004B12A5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4B12A5">
              <w:rPr>
                <w:rFonts w:ascii="Arial" w:hAnsi="Arial" w:cs="Arial"/>
                <w:i/>
                <w:sz w:val="20"/>
                <w:szCs w:val="20"/>
                <w:u w:val="thick"/>
              </w:rPr>
              <w:t>here</w:t>
            </w:r>
            <w:r w:rsidRPr="004B12A5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4B12A5">
              <w:rPr>
                <w:rFonts w:ascii="Arial" w:hAnsi="Arial" w:cs="Arial"/>
                <w:i/>
                <w:sz w:val="20"/>
                <w:szCs w:val="20"/>
                <w:u w:val="thick"/>
              </w:rPr>
              <w:t>in</w:t>
            </w:r>
            <w:r w:rsidRPr="004B12A5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4B12A5">
              <w:rPr>
                <w:rFonts w:ascii="Arial" w:hAnsi="Arial" w:cs="Arial"/>
                <w:i/>
                <w:spacing w:val="-2"/>
                <w:sz w:val="20"/>
                <w:szCs w:val="20"/>
                <w:u w:val="thick"/>
              </w:rPr>
              <w:t>detail)</w:t>
            </w:r>
          </w:p>
          <w:p w:rsidR="000360BC" w:rsidRPr="004B12A5" w:rsidRDefault="004328E2">
            <w:pPr>
              <w:pStyle w:val="TableParagraph"/>
              <w:spacing w:before="230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B12A5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58240" behindDoc="1" locked="0" layoutInCell="1" allowOverlap="1">
                      <wp:simplePos x="0" y="0"/>
                      <wp:positionH relativeFrom="column">
                        <wp:posOffset>187275</wp:posOffset>
                      </wp:positionH>
                      <wp:positionV relativeFrom="paragraph">
                        <wp:posOffset>231342</wp:posOffset>
                      </wp:positionV>
                      <wp:extent cx="4988560" cy="9525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988560" cy="9525"/>
                                <a:chOff x="0" y="0"/>
                                <a:chExt cx="4988560" cy="952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0" y="4699"/>
                                  <a:ext cx="498856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988560">
                                      <a:moveTo>
                                        <a:pt x="0" y="0"/>
                                      </a:moveTo>
                                      <a:lnTo>
                                        <a:pt x="4988513" y="0"/>
                                      </a:lnTo>
                                    </a:path>
                                  </a:pathLst>
                                </a:custGeom>
                                <a:ln w="9398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A89160" id="Group 8" o:spid="_x0000_s1026" style="position:absolute;margin-left:14.75pt;margin-top:18.2pt;width:392.8pt;height:.75pt;z-index:-251658240;mso-wrap-distance-left:0;mso-wrap-distance-right:0" coordsize="49885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">
                      <v:shape id="Graphic 9" o:spid="_x0000_s1027" style="position:absolute;top:46;width:49885;height:13;visibility:visible;mso-wrap-style:square;v-text-anchor:top" coordsize="49885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" path="m,l4988513,e" filled="f" strokeweight=".74pt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 w:rsidRPr="004B12A5">
              <w:rPr>
                <w:rFonts w:ascii="Arial" w:hAnsi="Arial" w:cs="Arial"/>
                <w:spacing w:val="-10"/>
                <w:sz w:val="20"/>
                <w:szCs w:val="20"/>
              </w:rPr>
              <w:t>—</w:t>
            </w:r>
          </w:p>
        </w:tc>
        <w:tc>
          <w:tcPr>
            <w:tcW w:w="5660" w:type="dxa"/>
          </w:tcPr>
          <w:p w:rsidR="000360BC" w:rsidRPr="004B12A5" w:rsidRDefault="000360B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:rsidR="000360BC" w:rsidRPr="004B12A5" w:rsidRDefault="000360BC">
      <w:pPr>
        <w:spacing w:before="197"/>
        <w:rPr>
          <w:rFonts w:ascii="Arial" w:hAnsi="Arial" w:cs="Arial"/>
          <w:b/>
          <w:sz w:val="20"/>
          <w:szCs w:val="20"/>
        </w:rPr>
      </w:pPr>
    </w:p>
    <w:sectPr w:rsidR="000360BC" w:rsidRPr="004B12A5">
      <w:headerReference w:type="default" r:id="rId7"/>
      <w:footerReference w:type="default" r:id="rId8"/>
      <w:pgSz w:w="23800" w:h="16840" w:orient="landscape"/>
      <w:pgMar w:top="1540" w:right="1275" w:bottom="880" w:left="1275" w:header="1284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0C25" w:rsidRDefault="00300C25">
      <w:r>
        <w:separator/>
      </w:r>
    </w:p>
  </w:endnote>
  <w:endnote w:type="continuationSeparator" w:id="0">
    <w:p w:rsidR="00300C25" w:rsidRDefault="00300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0BC" w:rsidRDefault="004328E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10114160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360BC" w:rsidRDefault="004328E2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4pt;width:52.2pt;height:10.9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" filled="f" stroked="f">
              <v:textbox inset="0,0,0,0">
                <w:txbxContent>
                  <w:p w:rsidR="000360BC" w:rsidRDefault="004328E2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2171352</wp:posOffset>
              </wp:positionH>
              <wp:positionV relativeFrom="page">
                <wp:posOffset>10114160</wp:posOffset>
              </wp:positionV>
              <wp:extent cx="708025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360BC" w:rsidRDefault="004328E2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170.95pt;margin-top:796.4pt;width:55.75pt;height:10.9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" filled="f" stroked="f">
              <v:textbox inset="0,0,0,0">
                <w:txbxContent>
                  <w:p w:rsidR="000360BC" w:rsidRDefault="004328E2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>
              <wp:simplePos x="0" y="0"/>
              <wp:positionH relativeFrom="page">
                <wp:posOffset>3944741</wp:posOffset>
              </wp:positionH>
              <wp:positionV relativeFrom="page">
                <wp:posOffset>10114160</wp:posOffset>
              </wp:positionV>
              <wp:extent cx="86042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04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360BC" w:rsidRDefault="004328E2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10.6pt;margin-top:796.4pt;width:67.75pt;height:10.9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" filled="f" stroked="f">
              <v:textbox inset="0,0,0,0">
                <w:txbxContent>
                  <w:p w:rsidR="000360BC" w:rsidRDefault="004328E2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>
              <wp:simplePos x="0" y="0"/>
              <wp:positionH relativeFrom="page">
                <wp:posOffset>5473700</wp:posOffset>
              </wp:positionH>
              <wp:positionV relativeFrom="page">
                <wp:posOffset>10114160</wp:posOffset>
              </wp:positionV>
              <wp:extent cx="100647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64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360BC" w:rsidRDefault="004328E2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(07-07-2024)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431pt;margin-top:796.4pt;width:79.25pt;height:10.9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" filled="f" stroked="f">
              <v:textbox inset="0,0,0,0">
                <w:txbxContent>
                  <w:p w:rsidR="000360BC" w:rsidRDefault="004328E2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Version: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</w:t>
                    </w:r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(07-07-2024)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0C25" w:rsidRDefault="00300C25">
      <w:r>
        <w:separator/>
      </w:r>
    </w:p>
  </w:footnote>
  <w:footnote w:type="continuationSeparator" w:id="0">
    <w:p w:rsidR="00300C25" w:rsidRDefault="00300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0BC" w:rsidRDefault="004328E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802530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360BC" w:rsidRDefault="004328E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" filled="f" stroked="f">
              <v:textbox inset="0,0,0,0">
                <w:txbxContent>
                  <w:p w:rsidR="000360BC" w:rsidRDefault="004328E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360BC"/>
    <w:rsid w:val="000360BC"/>
    <w:rsid w:val="001432C9"/>
    <w:rsid w:val="00246858"/>
    <w:rsid w:val="00300C25"/>
    <w:rsid w:val="00354A10"/>
    <w:rsid w:val="004328E2"/>
    <w:rsid w:val="004B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AF191C-C2B4-436C-8D1F-C03C4346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ejnfs.com/index.php/EJNF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Rev_EJNFS_150505 (2)</vt:lpstr>
    </vt:vector>
  </TitlesOfParts>
  <Company/>
  <LinksUpToDate>false</LinksUpToDate>
  <CharactersWithSpaces>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Rev_EJNFS_150505 (2)</dc:title>
  <cp:lastModifiedBy>SDI 1022</cp:lastModifiedBy>
  <cp:revision>9</cp:revision>
  <dcterms:created xsi:type="dcterms:W3CDTF">2025-12-26T05:45:00Z</dcterms:created>
  <dcterms:modified xsi:type="dcterms:W3CDTF">2025-12-27T06:30:00Z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2025-12-26T00:00:00Z</vt:filetime>
  </property>
  <property fmtid="{D5CDD505-2E9C-101B-9397-08002B2CF9AE}" pid="3" name="Producer">
    <vt:lpwstr>Skia/PDF m145 Google Docs Renderer</vt:lpwstr>
  </property>
  <property fmtid="{D5CDD505-2E9C-101B-9397-08002B2CF9AE}" pid="4" name="LastSaved">
    <vt:filetime>2025-12-26T00:00:00Z</vt:filetime>
  </property>
</Properties>
</file>