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28C3" w:rsidRDefault="00DC28C3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8"/>
        <w:gridCol w:w="15770"/>
      </w:tblGrid>
      <w:tr w:rsidR="00DC28C3">
        <w:trPr>
          <w:trHeight w:val="290"/>
        </w:trPr>
        <w:tc>
          <w:tcPr>
            <w:tcW w:w="5168" w:type="dxa"/>
          </w:tcPr>
          <w:p w:rsidR="00DC28C3" w:rsidRDefault="00074C2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DC28C3" w:rsidRDefault="00074C20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hyperlink r:id="rId7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Physical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Chemical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Sciences</w:t>
              </w:r>
            </w:hyperlink>
          </w:p>
        </w:tc>
      </w:tr>
      <w:tr w:rsidR="00DC28C3">
        <w:trPr>
          <w:trHeight w:val="290"/>
        </w:trPr>
        <w:tc>
          <w:tcPr>
            <w:tcW w:w="5168" w:type="dxa"/>
          </w:tcPr>
          <w:p w:rsidR="00DC28C3" w:rsidRDefault="00074C2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DC28C3" w:rsidRDefault="00074C20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Ms_AJOPACS_150389</w:t>
            </w:r>
          </w:p>
        </w:tc>
      </w:tr>
      <w:tr w:rsidR="00DC28C3">
        <w:trPr>
          <w:trHeight w:val="650"/>
        </w:trPr>
        <w:tc>
          <w:tcPr>
            <w:tcW w:w="5168" w:type="dxa"/>
          </w:tcPr>
          <w:p w:rsidR="00DC28C3" w:rsidRDefault="00074C2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DC28C3" w:rsidRDefault="00074C20">
            <w:pPr>
              <w:pStyle w:val="TableParagraph"/>
              <w:spacing w:before="21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Computation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Zagreb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Vector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Index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Total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Eccentricity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Physical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Properties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Linear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Alkanes</w:t>
            </w:r>
          </w:p>
        </w:tc>
      </w:tr>
      <w:tr w:rsidR="00DC28C3">
        <w:trPr>
          <w:trHeight w:val="333"/>
        </w:trPr>
        <w:tc>
          <w:tcPr>
            <w:tcW w:w="5168" w:type="dxa"/>
          </w:tcPr>
          <w:p w:rsidR="00DC28C3" w:rsidRDefault="00074C20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DC28C3" w:rsidRDefault="00074C20">
            <w:pPr>
              <w:pStyle w:val="TableParagraph"/>
              <w:ind w:left="0"/>
              <w:rPr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Original Research Article</w:t>
            </w:r>
          </w:p>
        </w:tc>
      </w:tr>
    </w:tbl>
    <w:p w:rsidR="00DC28C3" w:rsidRDefault="00DC28C3">
      <w:pPr>
        <w:rPr>
          <w:sz w:val="20"/>
        </w:rPr>
      </w:pPr>
    </w:p>
    <w:p w:rsidR="00DC28C3" w:rsidRDefault="00DC28C3">
      <w:pPr>
        <w:spacing w:before="15"/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3"/>
        <w:gridCol w:w="9356"/>
        <w:gridCol w:w="6444"/>
      </w:tblGrid>
      <w:tr w:rsidR="00DC28C3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DC28C3" w:rsidRDefault="00074C20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DC28C3">
        <w:trPr>
          <w:trHeight w:val="964"/>
        </w:trPr>
        <w:tc>
          <w:tcPr>
            <w:tcW w:w="5353" w:type="dxa"/>
          </w:tcPr>
          <w:p w:rsidR="00DC28C3" w:rsidRDefault="00DC28C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356" w:type="dxa"/>
          </w:tcPr>
          <w:p w:rsidR="00DC28C3" w:rsidRDefault="00074C2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DC28C3" w:rsidRDefault="00074C20">
            <w:pPr>
              <w:pStyle w:val="TableParagraph"/>
              <w:ind w:right="13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DC28C3" w:rsidRDefault="00074C20">
            <w:pPr>
              <w:pStyle w:val="TableParagraph"/>
              <w:spacing w:line="252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his/her </w:t>
            </w:r>
            <w:r>
              <w:rPr>
                <w:sz w:val="20"/>
              </w:rPr>
              <w:t>feedback here)</w:t>
            </w:r>
          </w:p>
        </w:tc>
      </w:tr>
      <w:tr w:rsidR="00DC28C3">
        <w:trPr>
          <w:trHeight w:val="1266"/>
        </w:trPr>
        <w:tc>
          <w:tcPr>
            <w:tcW w:w="5353" w:type="dxa"/>
          </w:tcPr>
          <w:p w:rsidR="00DC28C3" w:rsidRDefault="00074C20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DC28C3" w:rsidRDefault="00074C20">
            <w:pPr>
              <w:pStyle w:val="TableParagraph"/>
              <w:spacing w:before="1" w:line="252" w:lineRule="exact"/>
            </w:pPr>
            <w:r>
              <w:t>The</w:t>
            </w:r>
            <w:r>
              <w:rPr>
                <w:spacing w:val="-7"/>
              </w:rPr>
              <w:t xml:space="preserve"> </w:t>
            </w:r>
            <w:r>
              <w:t>manuscript</w:t>
            </w:r>
            <w:r>
              <w:rPr>
                <w:spacing w:val="-6"/>
              </w:rPr>
              <w:t xml:space="preserve"> </w:t>
            </w:r>
            <w:r>
              <w:t>is</w:t>
            </w:r>
            <w:r>
              <w:rPr>
                <w:spacing w:val="-6"/>
              </w:rPr>
              <w:t xml:space="preserve"> </w:t>
            </w:r>
            <w:r>
              <w:t>important</w:t>
            </w:r>
            <w:r>
              <w:rPr>
                <w:spacing w:val="-4"/>
              </w:rPr>
              <w:t xml:space="preserve"> </w:t>
            </w:r>
            <w:r>
              <w:t>because</w:t>
            </w:r>
            <w:r>
              <w:rPr>
                <w:spacing w:val="-4"/>
              </w:rPr>
              <w:t xml:space="preserve"> </w:t>
            </w:r>
            <w:r>
              <w:t>it</w:t>
            </w:r>
            <w:r>
              <w:rPr>
                <w:spacing w:val="-3"/>
              </w:rPr>
              <w:t xml:space="preserve"> </w:t>
            </w:r>
            <w:r>
              <w:t>advances</w:t>
            </w:r>
            <w:r>
              <w:rPr>
                <w:spacing w:val="-5"/>
              </w:rPr>
              <w:t xml:space="preserve"> </w:t>
            </w:r>
            <w:r>
              <w:t>chemical</w:t>
            </w:r>
            <w:r>
              <w:rPr>
                <w:spacing w:val="-3"/>
              </w:rPr>
              <w:t xml:space="preserve"> </w:t>
            </w:r>
            <w:r>
              <w:t>graph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theory.</w:t>
            </w:r>
          </w:p>
          <w:p w:rsidR="00DC28C3" w:rsidRDefault="00074C20">
            <w:pPr>
              <w:pStyle w:val="TableParagraph"/>
            </w:pPr>
            <w:r>
              <w:t>It</w:t>
            </w:r>
            <w:r>
              <w:rPr>
                <w:spacing w:val="-3"/>
              </w:rPr>
              <w:t xml:space="preserve"> </w:t>
            </w:r>
            <w:r>
              <w:t>strengthens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connection</w:t>
            </w:r>
            <w:r>
              <w:rPr>
                <w:spacing w:val="-4"/>
              </w:rPr>
              <w:t xml:space="preserve"> </w:t>
            </w:r>
            <w:r>
              <w:t>between</w:t>
            </w:r>
            <w:r>
              <w:rPr>
                <w:spacing w:val="-5"/>
              </w:rPr>
              <w:t xml:space="preserve"> </w:t>
            </w:r>
            <w:r>
              <w:t>molecular</w:t>
            </w:r>
            <w:r>
              <w:rPr>
                <w:spacing w:val="-5"/>
              </w:rPr>
              <w:t xml:space="preserve"> </w:t>
            </w:r>
            <w:r>
              <w:t>structure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physical</w:t>
            </w:r>
            <w:r>
              <w:rPr>
                <w:spacing w:val="-3"/>
              </w:rPr>
              <w:t xml:space="preserve"> </w:t>
            </w:r>
            <w:r>
              <w:t>properties</w:t>
            </w:r>
            <w:r>
              <w:rPr>
                <w:spacing w:val="-5"/>
              </w:rPr>
              <w:t xml:space="preserve"> </w:t>
            </w:r>
            <w:r>
              <w:t>through</w:t>
            </w:r>
            <w:r>
              <w:rPr>
                <w:spacing w:val="-4"/>
              </w:rPr>
              <w:t xml:space="preserve"> </w:t>
            </w:r>
            <w:r>
              <w:t>topological descriptors. These results support QSPR/QSAR modeling and reduce dependence on experimental measurements. The study provides benchmark data useful for extend</w:t>
            </w:r>
            <w:r>
              <w:t>ing analysis to more complex</w:t>
            </w:r>
          </w:p>
          <w:p w:rsidR="00DC28C3" w:rsidRDefault="00074C20">
            <w:pPr>
              <w:pStyle w:val="TableParagraph"/>
              <w:spacing w:line="235" w:lineRule="exact"/>
            </w:pPr>
            <w:r>
              <w:t>molecular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systems.</w:t>
            </w:r>
          </w:p>
        </w:tc>
        <w:tc>
          <w:tcPr>
            <w:tcW w:w="6444" w:type="dxa"/>
          </w:tcPr>
          <w:p w:rsidR="00DC28C3" w:rsidRDefault="00074C20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This manuscript advances chemical graph theory by developing effective topological descriptors that strengthen the link between molecular structure and physicochemical properties. The results enhance QSPR/QSA</w:t>
            </w:r>
            <w:r>
              <w:rPr>
                <w:sz w:val="20"/>
              </w:rPr>
              <w:t>R modeling by reducing reliance on costly experimental measurements and provide benchmark data for extending analyses to more complex molecular systems and graph classes.</w:t>
            </w:r>
          </w:p>
        </w:tc>
      </w:tr>
      <w:tr w:rsidR="00DC28C3">
        <w:trPr>
          <w:trHeight w:val="1262"/>
        </w:trPr>
        <w:tc>
          <w:tcPr>
            <w:tcW w:w="5353" w:type="dxa"/>
          </w:tcPr>
          <w:p w:rsidR="00DC28C3" w:rsidRDefault="00074C20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DC28C3" w:rsidRDefault="00074C20">
            <w:pPr>
              <w:pStyle w:val="TableParagraph"/>
              <w:spacing w:line="229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DC28C3" w:rsidRDefault="00074C20">
            <w:pPr>
              <w:pStyle w:val="TableParagraph"/>
              <w:ind w:left="0" w:right="8565"/>
              <w:jc w:val="righ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4" w:type="dxa"/>
          </w:tcPr>
          <w:p w:rsidR="00DC28C3" w:rsidRDefault="00DC28C3">
            <w:pPr>
              <w:pStyle w:val="TableParagraph"/>
              <w:ind w:left="0"/>
              <w:jc w:val="center"/>
              <w:rPr>
                <w:b/>
                <w:spacing w:val="-5"/>
                <w:sz w:val="20"/>
              </w:rPr>
            </w:pPr>
          </w:p>
          <w:p w:rsidR="00DC28C3" w:rsidRDefault="00DC28C3">
            <w:pPr>
              <w:pStyle w:val="TableParagraph"/>
              <w:ind w:left="0"/>
              <w:jc w:val="center"/>
              <w:rPr>
                <w:b/>
                <w:spacing w:val="-5"/>
                <w:sz w:val="20"/>
              </w:rPr>
            </w:pPr>
          </w:p>
          <w:p w:rsidR="00DC28C3" w:rsidRDefault="00074C20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</w:tr>
      <w:tr w:rsidR="00DC28C3">
        <w:trPr>
          <w:trHeight w:val="1262"/>
        </w:trPr>
        <w:tc>
          <w:tcPr>
            <w:tcW w:w="5353" w:type="dxa"/>
          </w:tcPr>
          <w:p w:rsidR="00DC28C3" w:rsidRDefault="00074C20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DC28C3" w:rsidRDefault="00074C20">
            <w:pPr>
              <w:pStyle w:val="TableParagraph"/>
              <w:ind w:left="0" w:right="8565"/>
              <w:jc w:val="right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6444" w:type="dxa"/>
          </w:tcPr>
          <w:p w:rsidR="00DC28C3" w:rsidRDefault="00DC28C3">
            <w:pPr>
              <w:pStyle w:val="TableParagraph"/>
              <w:ind w:left="0"/>
              <w:jc w:val="center"/>
              <w:rPr>
                <w:b/>
                <w:spacing w:val="-5"/>
                <w:sz w:val="20"/>
              </w:rPr>
            </w:pPr>
          </w:p>
          <w:p w:rsidR="00DC28C3" w:rsidRDefault="00DC28C3">
            <w:pPr>
              <w:pStyle w:val="TableParagraph"/>
              <w:ind w:left="0"/>
              <w:jc w:val="center"/>
              <w:rPr>
                <w:b/>
                <w:spacing w:val="-5"/>
                <w:sz w:val="20"/>
              </w:rPr>
            </w:pPr>
          </w:p>
          <w:p w:rsidR="00DC28C3" w:rsidRDefault="00074C20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</w:tr>
      <w:tr w:rsidR="00DC28C3">
        <w:trPr>
          <w:trHeight w:val="702"/>
        </w:trPr>
        <w:tc>
          <w:tcPr>
            <w:tcW w:w="5353" w:type="dxa"/>
          </w:tcPr>
          <w:p w:rsidR="00DC28C3" w:rsidRDefault="00074C20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DC28C3" w:rsidRDefault="00074C20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i</w:t>
            </w:r>
            <w:proofErr w:type="spellEnd"/>
            <w:r>
              <w:rPr>
                <w:sz w:val="20"/>
              </w:rPr>
              <w:t>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page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6,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both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formulae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BP(°</w:t>
            </w:r>
            <w:proofErr w:type="gramStart"/>
            <w:r>
              <w:rPr>
                <w:sz w:val="20"/>
              </w:rPr>
              <w:t>C)≈</w:t>
            </w:r>
            <w:proofErr w:type="gramEnd"/>
            <w:r>
              <w:rPr>
                <w:sz w:val="20"/>
              </w:rPr>
              <w:t>0.80743×MV1−33.568 and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MP(°C)≈0.37274×MV1−142.975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are duplicated. Also, in MV1, 1 should be subscript.</w:t>
            </w:r>
          </w:p>
        </w:tc>
        <w:tc>
          <w:tcPr>
            <w:tcW w:w="6444" w:type="dxa"/>
          </w:tcPr>
          <w:p w:rsidR="00DC28C3" w:rsidRDefault="00074C20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The results presented below are not duplicates; therefore, the method used to obtain these results is explained as follows.</w:t>
            </w:r>
          </w:p>
          <w:p w:rsidR="00DC28C3" w:rsidRDefault="00074C20">
            <w:pPr>
              <w:pStyle w:val="TableParagraph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Regression analysis of linear alkanes was performed using the R programming language, considering residuals and regression coefficients. </w:t>
            </w:r>
          </w:p>
          <w:p w:rsidR="00DC28C3" w:rsidRDefault="00074C20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The boiling point (BP) was predicted by the model</w:t>
            </w:r>
            <w:r>
              <w:rPr>
                <w:sz w:val="20"/>
              </w:rPr>
              <w:br/>
            </w:r>
            <w:r>
              <w:rPr>
                <w:sz w:val="20"/>
                <w:lang w:val="en-GB"/>
              </w:rPr>
              <w:t xml:space="preserve">                                               </w:t>
            </w:r>
            <w:r>
              <w:rPr>
                <w:sz w:val="20"/>
              </w:rPr>
              <w:t>BP (°C) ≈ 0.80743 × M</w:t>
            </w:r>
            <w:r>
              <w:rPr>
                <w:sz w:val="20"/>
              </w:rPr>
              <w:t>V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 xml:space="preserve"> − 33.568,</w:t>
            </w:r>
            <w:r>
              <w:rPr>
                <w:sz w:val="20"/>
              </w:rPr>
              <w:br/>
              <w:t>with a coefficient of determination R² ≈ 0.9513, indicating excellent explanatory power for vaporization energetics.</w:t>
            </w:r>
          </w:p>
          <w:p w:rsidR="00DC28C3" w:rsidRDefault="00074C20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Similarly, the melting point (MP) was estimated using the relation</w:t>
            </w:r>
            <w:r>
              <w:rPr>
                <w:sz w:val="20"/>
              </w:rPr>
              <w:br/>
            </w:r>
            <w:r>
              <w:rPr>
                <w:sz w:val="20"/>
                <w:lang w:val="en-GB"/>
              </w:rPr>
              <w:tab/>
            </w:r>
            <w:r>
              <w:rPr>
                <w:sz w:val="20"/>
                <w:lang w:val="en-GB"/>
              </w:rPr>
              <w:tab/>
            </w:r>
            <w:r>
              <w:rPr>
                <w:sz w:val="20"/>
                <w:lang w:val="en-GB"/>
              </w:rPr>
              <w:tab/>
            </w:r>
            <w:r>
              <w:rPr>
                <w:sz w:val="20"/>
              </w:rPr>
              <w:t>MP(°</w:t>
            </w:r>
            <w:proofErr w:type="gramStart"/>
            <w:r>
              <w:rPr>
                <w:sz w:val="20"/>
              </w:rPr>
              <w:t>C)≈</w:t>
            </w:r>
            <w:proofErr w:type="gramEnd"/>
            <w:r>
              <w:rPr>
                <w:sz w:val="20"/>
              </w:rPr>
              <w:t>0.37274×MV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>−142.975,</w:t>
            </w:r>
            <w:r>
              <w:rPr>
                <w:sz w:val="20"/>
                <w:lang w:val="en-GB"/>
              </w:rPr>
              <w:t xml:space="preserve">                             </w:t>
            </w:r>
            <w:r>
              <w:rPr>
                <w:sz w:val="20"/>
                <w:lang w:val="en-GB"/>
              </w:rPr>
              <w:t xml:space="preserve">                                               </w:t>
            </w:r>
            <w:r>
              <w:rPr>
                <w:sz w:val="20"/>
              </w:rPr>
              <w:t>where</w:t>
            </w:r>
            <w:r>
              <w:rPr>
                <w:sz w:val="20"/>
                <w:lang w:val="en-GB"/>
              </w:rPr>
              <w:t xml:space="preserve">, </w:t>
            </w:r>
            <w:r>
              <w:rPr>
                <w:sz w:val="20"/>
              </w:rPr>
              <w:t xml:space="preserve"> R² ≈ 0.8566 reflects a strong correlation with solid-state lattice stability.</w:t>
            </w:r>
          </w:p>
          <w:p w:rsidR="00DC28C3" w:rsidRDefault="00DC28C3">
            <w:pPr>
              <w:pStyle w:val="TableParagraph"/>
              <w:ind w:left="0"/>
              <w:rPr>
                <w:sz w:val="20"/>
              </w:rPr>
            </w:pPr>
          </w:p>
        </w:tc>
      </w:tr>
      <w:tr w:rsidR="00DC28C3">
        <w:trPr>
          <w:trHeight w:val="703"/>
        </w:trPr>
        <w:tc>
          <w:tcPr>
            <w:tcW w:w="5353" w:type="dxa"/>
          </w:tcPr>
          <w:p w:rsidR="00DC28C3" w:rsidRDefault="00074C20">
            <w:pPr>
              <w:pStyle w:val="TableParagraph"/>
              <w:spacing w:line="230" w:lineRule="atLeast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</w:t>
            </w:r>
            <w:r>
              <w:rPr>
                <w:b/>
                <w:sz w:val="20"/>
              </w:rPr>
              <w:t>view form.</w:t>
            </w:r>
          </w:p>
        </w:tc>
        <w:tc>
          <w:tcPr>
            <w:tcW w:w="9356" w:type="dxa"/>
          </w:tcPr>
          <w:p w:rsidR="00DC28C3" w:rsidRDefault="00074C20">
            <w:pPr>
              <w:pStyle w:val="TableParagraph"/>
              <w:ind w:right="132"/>
              <w:rPr>
                <w:sz w:val="20"/>
              </w:rPr>
            </w:pPr>
            <w:r>
              <w:rPr>
                <w:sz w:val="20"/>
              </w:rPr>
              <w:t>Yes.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However,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only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upto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2023</w:t>
            </w:r>
            <w:r>
              <w:rPr>
                <w:sz w:val="20"/>
              </w:rPr>
              <w:t>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literature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examined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reflect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current trends and findings in the field.</w:t>
            </w:r>
          </w:p>
        </w:tc>
        <w:tc>
          <w:tcPr>
            <w:tcW w:w="6444" w:type="dxa"/>
          </w:tcPr>
          <w:p w:rsidR="00DC28C3" w:rsidRDefault="00074C20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The references in our manuscript are sufficient as presented. However, as noted in your report, some </w:t>
            </w:r>
            <w:r>
              <w:rPr>
                <w:sz w:val="20"/>
              </w:rPr>
              <w:t>references were mismatched or invalid; these have now been corrected or revised accordingly.</w:t>
            </w:r>
          </w:p>
        </w:tc>
      </w:tr>
      <w:tr w:rsidR="00DC28C3">
        <w:trPr>
          <w:trHeight w:val="690"/>
        </w:trPr>
        <w:tc>
          <w:tcPr>
            <w:tcW w:w="5353" w:type="dxa"/>
          </w:tcPr>
          <w:p w:rsidR="00DC28C3" w:rsidRDefault="00074C20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DC28C3" w:rsidRDefault="00074C20">
            <w:pPr>
              <w:pStyle w:val="TableParagraph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6444" w:type="dxa"/>
          </w:tcPr>
          <w:p w:rsidR="00DC28C3" w:rsidRDefault="00DC28C3">
            <w:pPr>
              <w:pStyle w:val="TableParagraph"/>
              <w:ind w:left="0"/>
              <w:jc w:val="center"/>
              <w:rPr>
                <w:sz w:val="20"/>
              </w:rPr>
            </w:pPr>
          </w:p>
          <w:p w:rsidR="00DC28C3" w:rsidRDefault="00074C20">
            <w:pPr>
              <w:pStyle w:val="TableParagraph"/>
              <w:ind w:left="0"/>
              <w:jc w:val="center"/>
              <w:rPr>
                <w:sz w:val="20"/>
              </w:rPr>
            </w:pPr>
            <w:r>
              <w:rPr>
                <w:b/>
                <w:bCs/>
                <w:sz w:val="20"/>
              </w:rPr>
              <w:t>Yes</w:t>
            </w:r>
          </w:p>
        </w:tc>
      </w:tr>
      <w:tr w:rsidR="00DC28C3">
        <w:trPr>
          <w:trHeight w:val="1178"/>
        </w:trPr>
        <w:tc>
          <w:tcPr>
            <w:tcW w:w="5353" w:type="dxa"/>
          </w:tcPr>
          <w:p w:rsidR="00DC28C3" w:rsidRDefault="00074C20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DC28C3" w:rsidRDefault="00074C2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-</w:t>
            </w:r>
            <w:r>
              <w:rPr>
                <w:b/>
                <w:spacing w:val="-12"/>
                <w:sz w:val="20"/>
              </w:rPr>
              <w:t>-</w:t>
            </w:r>
          </w:p>
        </w:tc>
        <w:tc>
          <w:tcPr>
            <w:tcW w:w="6444" w:type="dxa"/>
          </w:tcPr>
          <w:p w:rsidR="00DC28C3" w:rsidRDefault="00DC28C3">
            <w:pPr>
              <w:pStyle w:val="TableParagraph"/>
              <w:ind w:left="0"/>
              <w:jc w:val="center"/>
              <w:rPr>
                <w:sz w:val="20"/>
                <w:lang w:val="en-GB"/>
              </w:rPr>
            </w:pPr>
          </w:p>
          <w:p w:rsidR="00DC28C3" w:rsidRDefault="00074C20">
            <w:pPr>
              <w:pStyle w:val="TableParagraph"/>
              <w:ind w:left="0"/>
              <w:jc w:val="center"/>
              <w:rPr>
                <w:sz w:val="20"/>
                <w:lang w:val="en-GB"/>
              </w:rPr>
            </w:pPr>
            <w:r>
              <w:rPr>
                <w:b/>
                <w:bCs/>
                <w:sz w:val="20"/>
                <w:lang w:val="en-GB"/>
              </w:rPr>
              <w:t>Nil</w:t>
            </w:r>
          </w:p>
        </w:tc>
      </w:tr>
    </w:tbl>
    <w:p w:rsidR="00DC28C3" w:rsidRDefault="00DC28C3">
      <w:pPr>
        <w:rPr>
          <w:sz w:val="20"/>
        </w:rPr>
      </w:pPr>
    </w:p>
    <w:p w:rsidR="00DC28C3" w:rsidRDefault="00DC28C3">
      <w:pPr>
        <w:rPr>
          <w:sz w:val="20"/>
        </w:rPr>
      </w:pPr>
    </w:p>
    <w:p w:rsidR="00DC28C3" w:rsidRDefault="00DC28C3">
      <w:pPr>
        <w:spacing w:before="15"/>
        <w:rPr>
          <w:sz w:val="20"/>
        </w:rPr>
      </w:pPr>
    </w:p>
    <w:tbl>
      <w:tblPr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"/>
        <w:gridCol w:w="6824"/>
        <w:gridCol w:w="7"/>
        <w:gridCol w:w="8617"/>
        <w:gridCol w:w="26"/>
        <w:gridCol w:w="5671"/>
        <w:gridCol w:w="7"/>
      </w:tblGrid>
      <w:tr w:rsidR="00DC28C3" w:rsidTr="00111C8C">
        <w:trPr>
          <w:gridBefore w:val="1"/>
          <w:wBefore w:w="7" w:type="dxa"/>
          <w:trHeight w:val="448"/>
        </w:trPr>
        <w:tc>
          <w:tcPr>
            <w:tcW w:w="21152" w:type="dxa"/>
            <w:gridSpan w:val="6"/>
            <w:tcBorders>
              <w:top w:val="nil"/>
              <w:left w:val="nil"/>
              <w:right w:val="nil"/>
            </w:tcBorders>
          </w:tcPr>
          <w:p w:rsidR="00DC28C3" w:rsidRDefault="00074C20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lastRenderedPageBreak/>
              <w:t>PART</w:t>
            </w:r>
            <w:r>
              <w:rPr>
                <w:b/>
                <w:color w:val="000000"/>
                <w:spacing w:val="44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DC28C3" w:rsidTr="00111C8C">
        <w:trPr>
          <w:gridBefore w:val="1"/>
          <w:wBefore w:w="7" w:type="dxa"/>
          <w:trHeight w:val="935"/>
        </w:trPr>
        <w:tc>
          <w:tcPr>
            <w:tcW w:w="6831" w:type="dxa"/>
            <w:gridSpan w:val="2"/>
          </w:tcPr>
          <w:p w:rsidR="00DC28C3" w:rsidRDefault="00DC28C3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43" w:type="dxa"/>
            <w:gridSpan w:val="2"/>
          </w:tcPr>
          <w:p w:rsidR="00DC28C3" w:rsidRDefault="00074C20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78" w:type="dxa"/>
            <w:gridSpan w:val="2"/>
          </w:tcPr>
          <w:p w:rsidR="00DC28C3" w:rsidRDefault="00074C20">
            <w:pPr>
              <w:pStyle w:val="TableParagraph"/>
              <w:spacing w:before="2" w:line="252" w:lineRule="auto"/>
              <w:ind w:left="5" w:right="7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DC28C3" w:rsidTr="00111C8C">
        <w:trPr>
          <w:gridAfter w:val="1"/>
          <w:wAfter w:w="7" w:type="dxa"/>
          <w:trHeight w:val="921"/>
        </w:trPr>
        <w:tc>
          <w:tcPr>
            <w:tcW w:w="6831" w:type="dxa"/>
            <w:gridSpan w:val="2"/>
          </w:tcPr>
          <w:p w:rsidR="00DC28C3" w:rsidRDefault="00DC28C3">
            <w:pPr>
              <w:pStyle w:val="TableParagraph"/>
              <w:ind w:left="0"/>
              <w:rPr>
                <w:sz w:val="20"/>
              </w:rPr>
            </w:pPr>
            <w:bookmarkStart w:id="0" w:name="_GoBack"/>
            <w:bookmarkEnd w:id="0"/>
          </w:p>
          <w:p w:rsidR="00DC28C3" w:rsidRDefault="00074C2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624" w:type="dxa"/>
            <w:gridSpan w:val="2"/>
          </w:tcPr>
          <w:p w:rsidR="00DC28C3" w:rsidRDefault="00074C20">
            <w:pPr>
              <w:pStyle w:val="TableParagraph"/>
              <w:spacing w:before="115"/>
              <w:ind w:left="108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4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in</w:t>
            </w:r>
            <w:r>
              <w:rPr>
                <w:i/>
                <w:spacing w:val="2"/>
                <w:sz w:val="20"/>
                <w:u w:val="single"/>
              </w:rPr>
              <w:t xml:space="preserve">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  <w:p w:rsidR="00DC28C3" w:rsidRDefault="00DC28C3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:rsidR="00DC28C3" w:rsidRDefault="00074C20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5697" w:type="dxa"/>
            <w:gridSpan w:val="2"/>
          </w:tcPr>
          <w:p w:rsidR="00DC28C3" w:rsidRDefault="00DC28C3">
            <w:pPr>
              <w:pStyle w:val="TableParagraph"/>
              <w:ind w:left="0"/>
              <w:jc w:val="center"/>
              <w:rPr>
                <w:sz w:val="18"/>
              </w:rPr>
            </w:pPr>
          </w:p>
          <w:p w:rsidR="00DC28C3" w:rsidRDefault="00DC28C3">
            <w:pPr>
              <w:pStyle w:val="TableParagraph"/>
              <w:ind w:left="0"/>
              <w:jc w:val="center"/>
              <w:rPr>
                <w:sz w:val="18"/>
              </w:rPr>
            </w:pPr>
          </w:p>
          <w:p w:rsidR="00DC28C3" w:rsidRDefault="00074C20">
            <w:pPr>
              <w:pStyle w:val="TableParagraph"/>
              <w:ind w:left="0"/>
              <w:jc w:val="center"/>
              <w:rPr>
                <w:sz w:val="18"/>
              </w:rPr>
            </w:pPr>
            <w:r>
              <w:rPr>
                <w:b/>
                <w:bCs/>
                <w:sz w:val="18"/>
              </w:rPr>
              <w:t>No</w:t>
            </w:r>
          </w:p>
        </w:tc>
      </w:tr>
    </w:tbl>
    <w:p w:rsidR="00DC28C3" w:rsidRDefault="00DC28C3"/>
    <w:sectPr w:rsidR="00DC28C3">
      <w:headerReference w:type="default" r:id="rId8"/>
      <w:footerReference w:type="default" r:id="rId9"/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4C20" w:rsidRDefault="00074C20">
      <w:r>
        <w:separator/>
      </w:r>
    </w:p>
  </w:endnote>
  <w:endnote w:type="continuationSeparator" w:id="0">
    <w:p w:rsidR="00074C20" w:rsidRDefault="00074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28C3" w:rsidRDefault="00074C2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10111105</wp:posOffset>
              </wp:positionV>
              <wp:extent cx="662940" cy="13906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C28C3" w:rsidRDefault="00074C2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" filled="f" stroked="f">
              <v:textbox inset="0,0,0,0">
                <w:txbxContent>
                  <w:p w:rsidR="00DC28C3" w:rsidRDefault="00074C2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2640330</wp:posOffset>
              </wp:positionH>
              <wp:positionV relativeFrom="page">
                <wp:posOffset>10111105</wp:posOffset>
              </wp:positionV>
              <wp:extent cx="707390" cy="139065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C28C3" w:rsidRDefault="00074C2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pt;margin-top:796.1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" filled="f" stroked="f">
              <v:textbox inset="0,0,0,0">
                <w:txbxContent>
                  <w:p w:rsidR="00DC28C3" w:rsidRDefault="00074C2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4416425</wp:posOffset>
              </wp:positionH>
              <wp:positionV relativeFrom="page">
                <wp:posOffset>10111105</wp:posOffset>
              </wp:positionV>
              <wp:extent cx="861060" cy="139065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C28C3" w:rsidRDefault="00074C2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1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" filled="f" stroked="f">
              <v:textbox inset="0,0,0,0">
                <w:txbxContent>
                  <w:p w:rsidR="00DC28C3" w:rsidRDefault="00074C2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6845300</wp:posOffset>
              </wp:positionH>
              <wp:positionV relativeFrom="page">
                <wp:posOffset>10111105</wp:posOffset>
              </wp:positionV>
              <wp:extent cx="1021715" cy="139065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C28C3" w:rsidRDefault="00074C20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pt;margin-top:796.15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" filled="f" stroked="f">
              <v:textbox inset="0,0,0,0">
                <w:txbxContent>
                  <w:p w:rsidR="00DC28C3" w:rsidRDefault="00074C20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4C20" w:rsidRDefault="00074C20">
      <w:r>
        <w:separator/>
      </w:r>
    </w:p>
  </w:footnote>
  <w:footnote w:type="continuationSeparator" w:id="0">
    <w:p w:rsidR="00074C20" w:rsidRDefault="00074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28C3" w:rsidRDefault="00074C20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803275</wp:posOffset>
              </wp:positionV>
              <wp:extent cx="1102995" cy="19621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C28C3" w:rsidRDefault="00074C20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" filled="f" stroked="f">
              <v:textbox inset="0,0,0,0">
                <w:txbxContent>
                  <w:p w:rsidR="00DC28C3" w:rsidRDefault="00074C20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B3115"/>
    <w:rsid w:val="00074C20"/>
    <w:rsid w:val="00111C8C"/>
    <w:rsid w:val="002B3115"/>
    <w:rsid w:val="003A4C46"/>
    <w:rsid w:val="003E64E8"/>
    <w:rsid w:val="004A2F29"/>
    <w:rsid w:val="00533EB5"/>
    <w:rsid w:val="006048E7"/>
    <w:rsid w:val="00626658"/>
    <w:rsid w:val="00841ADE"/>
    <w:rsid w:val="00B41245"/>
    <w:rsid w:val="00DC28C3"/>
    <w:rsid w:val="00F375D7"/>
    <w:rsid w:val="01EB14F4"/>
    <w:rsid w:val="2F173281"/>
    <w:rsid w:val="38666A14"/>
    <w:rsid w:val="3C2E2249"/>
    <w:rsid w:val="4F996052"/>
    <w:rsid w:val="647D4FF1"/>
    <w:rsid w:val="69370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A302"/>
  <w15:docId w15:val="{F211A9E0-2298-40E9-B132-CCD11F8B7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paragraph" w:styleId="NormalWeb">
    <w:name w:val="Normal (Web)"/>
    <w:qFormat/>
    <w:pPr>
      <w:spacing w:beforeAutospacing="1" w:afterAutospacing="1"/>
    </w:pPr>
    <w:rPr>
      <w:sz w:val="24"/>
      <w:szCs w:val="24"/>
      <w:lang w:eastAsia="zh-CN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opacs.com/index.php/AJOPAC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534</Words>
  <Characters>3044</Characters>
  <Application>Microsoft Office Word</Application>
  <DocSecurity>0</DocSecurity>
  <Lines>25</Lines>
  <Paragraphs>7</Paragraphs>
  <ScaleCrop>false</ScaleCrop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22</cp:revision>
  <dcterms:created xsi:type="dcterms:W3CDTF">2025-12-20T10:19:00Z</dcterms:created>
  <dcterms:modified xsi:type="dcterms:W3CDTF">2025-12-22T09:45:00Z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2025-12-20T00:00:00Z</vt:filetime>
  </property>
  <property fmtid="{D5CDD505-2E9C-101B-9397-08002B2CF9AE}" pid="5" name="Producer">
    <vt:lpwstr>Microsoft® Word 2019</vt:lpwstr>
  </property>
  <property fmtid="{D5CDD505-2E9C-101B-9397-08002B2CF9AE}" pid="6" name="KSOProductBuildVer">
    <vt:lpwstr>2057-12.2.0.23155</vt:lpwstr>
  </property>
  <property fmtid="{D5CDD505-2E9C-101B-9397-08002B2CF9AE}" pid="7" name="ICV">
    <vt:lpwstr>43937C75F1F34AED9E0428C659D9A8DA_12</vt:lpwstr>
  </property>
</Properties>
</file>