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2CE168" w14:textId="77777777" w:rsidR="00BF67AC" w:rsidRDefault="00BF67A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F67AC" w14:paraId="4C9AEBFB" w14:textId="77777777">
        <w:trPr>
          <w:trHeight w:val="290"/>
        </w:trPr>
        <w:tc>
          <w:tcPr>
            <w:tcW w:w="20934" w:type="dxa"/>
            <w:gridSpan w:val="2"/>
            <w:tcBorders>
              <w:top w:val="nil"/>
              <w:left w:val="nil"/>
              <w:right w:val="nil"/>
            </w:tcBorders>
          </w:tcPr>
          <w:p w14:paraId="5FD013F8" w14:textId="77777777" w:rsidR="00BF67AC" w:rsidRDefault="00BF67AC">
            <w:pPr>
              <w:pStyle w:val="Heading2"/>
              <w:jc w:val="left"/>
              <w:rPr>
                <w:rFonts w:ascii="Arial" w:eastAsia="Arial" w:hAnsi="Arial" w:cs="Arial"/>
                <w:b w:val="0"/>
                <w:bCs w:val="0"/>
                <w:sz w:val="28"/>
                <w:szCs w:val="28"/>
              </w:rPr>
            </w:pPr>
          </w:p>
        </w:tc>
      </w:tr>
      <w:tr w:rsidR="00BF67AC" w14:paraId="61E7ED2E" w14:textId="77777777">
        <w:trPr>
          <w:trHeight w:val="290"/>
        </w:trPr>
        <w:tc>
          <w:tcPr>
            <w:tcW w:w="5167" w:type="dxa"/>
          </w:tcPr>
          <w:p w14:paraId="6E5BE2AF" w14:textId="77777777" w:rsidR="00BF67AC" w:rsidRDefault="00A8766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6143FFF" w14:textId="77777777" w:rsidR="00BF67AC" w:rsidRDefault="00173C82">
            <w:pPr>
              <w:rPr>
                <w:rFonts w:ascii="Arial" w:eastAsia="Arial" w:hAnsi="Arial" w:cs="Arial"/>
                <w:color w:val="0000FF"/>
                <w:sz w:val="20"/>
                <w:szCs w:val="20"/>
              </w:rPr>
            </w:pPr>
            <w:hyperlink r:id="rId7">
              <w:r w:rsidR="00A87662">
                <w:rPr>
                  <w:rFonts w:ascii="Arial" w:eastAsia="Arial" w:hAnsi="Arial" w:cs="Arial"/>
                  <w:b/>
                  <w:bCs/>
                  <w:color w:val="0000FF"/>
                  <w:sz w:val="20"/>
                  <w:szCs w:val="20"/>
                  <w:u w:val="single"/>
                </w:rPr>
                <w:t>Asian Journal of Education and Social Studies</w:t>
              </w:r>
            </w:hyperlink>
            <w:r w:rsidR="00A87662">
              <w:rPr>
                <w:rFonts w:ascii="Arial" w:eastAsia="Arial" w:hAnsi="Arial" w:cs="Arial"/>
                <w:b/>
                <w:bCs/>
                <w:color w:val="0000FF"/>
                <w:sz w:val="20"/>
                <w:szCs w:val="20"/>
              </w:rPr>
              <w:t xml:space="preserve"> </w:t>
            </w:r>
          </w:p>
        </w:tc>
      </w:tr>
      <w:tr w:rsidR="00BF67AC" w14:paraId="466FFBF3" w14:textId="77777777">
        <w:trPr>
          <w:trHeight w:val="290"/>
        </w:trPr>
        <w:tc>
          <w:tcPr>
            <w:tcW w:w="5167" w:type="dxa"/>
          </w:tcPr>
          <w:p w14:paraId="1982EBDC" w14:textId="77777777" w:rsidR="00BF67AC" w:rsidRDefault="00A8766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E9F0AD9" w14:textId="77777777" w:rsidR="00BF67AC" w:rsidRDefault="00A87662">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Ms_AJESS_151451</w:t>
            </w:r>
          </w:p>
        </w:tc>
      </w:tr>
      <w:tr w:rsidR="00BF67AC" w14:paraId="04DFE230" w14:textId="77777777">
        <w:trPr>
          <w:trHeight w:val="650"/>
        </w:trPr>
        <w:tc>
          <w:tcPr>
            <w:tcW w:w="5167" w:type="dxa"/>
          </w:tcPr>
          <w:p w14:paraId="5121804E" w14:textId="77777777" w:rsidR="00BF67AC" w:rsidRDefault="00A8766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0D4400D0" w14:textId="77777777" w:rsidR="00BF67AC" w:rsidRDefault="00A87662">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Cultural Values and Transition of Girls' Education</w:t>
            </w:r>
          </w:p>
        </w:tc>
      </w:tr>
      <w:tr w:rsidR="00BF67AC" w14:paraId="2C8F8F50" w14:textId="77777777">
        <w:trPr>
          <w:trHeight w:val="332"/>
        </w:trPr>
        <w:tc>
          <w:tcPr>
            <w:tcW w:w="5167" w:type="dxa"/>
          </w:tcPr>
          <w:p w14:paraId="1BF50EE0" w14:textId="77777777" w:rsidR="00BF67AC" w:rsidRDefault="00A8766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3486D23" w14:textId="77777777" w:rsidR="00BF67AC" w:rsidRDefault="00A87662">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1A79C15D" w14:textId="77777777" w:rsidR="00BF67AC" w:rsidRDefault="00BF67AC">
      <w:pPr>
        <w:pBdr>
          <w:top w:val="nil"/>
          <w:left w:val="nil"/>
          <w:bottom w:val="nil"/>
          <w:right w:val="nil"/>
          <w:between w:val="nil"/>
        </w:pBdr>
        <w:jc w:val="both"/>
        <w:rPr>
          <w:rFonts w:ascii="Arial" w:eastAsia="Arial" w:hAnsi="Arial" w:cs="Arial"/>
          <w:color w:val="000000"/>
          <w:sz w:val="20"/>
          <w:szCs w:val="20"/>
          <w:u w:val="single"/>
        </w:rPr>
      </w:pPr>
    </w:p>
    <w:p w14:paraId="415276BA" w14:textId="6D50F468" w:rsidR="00BF67AC" w:rsidRDefault="00BF67AC">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F67AC" w14:paraId="12D9F47D" w14:textId="77777777">
        <w:tc>
          <w:tcPr>
            <w:tcW w:w="21150" w:type="dxa"/>
            <w:gridSpan w:val="3"/>
            <w:tcBorders>
              <w:top w:val="nil"/>
              <w:left w:val="nil"/>
              <w:right w:val="nil"/>
            </w:tcBorders>
          </w:tcPr>
          <w:p w14:paraId="13A1953D" w14:textId="77777777" w:rsidR="00BF67AC" w:rsidRDefault="00A87662">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38E70C91" w14:textId="77777777" w:rsidR="00BF67AC" w:rsidRDefault="00BF67AC">
            <w:pPr>
              <w:rPr>
                <w:sz w:val="20"/>
                <w:szCs w:val="20"/>
              </w:rPr>
            </w:pPr>
          </w:p>
        </w:tc>
      </w:tr>
      <w:tr w:rsidR="00BF67AC" w14:paraId="17487129" w14:textId="77777777">
        <w:tc>
          <w:tcPr>
            <w:tcW w:w="5351" w:type="dxa"/>
          </w:tcPr>
          <w:p w14:paraId="4E8522C5" w14:textId="77777777" w:rsidR="00BF67AC" w:rsidRDefault="00BF67AC">
            <w:pPr>
              <w:pStyle w:val="Heading2"/>
              <w:jc w:val="left"/>
              <w:rPr>
                <w:rFonts w:ascii="Times New Roman" w:eastAsia="Times New Roman" w:hAnsi="Times New Roman" w:cs="Times New Roman"/>
              </w:rPr>
            </w:pPr>
          </w:p>
        </w:tc>
        <w:tc>
          <w:tcPr>
            <w:tcW w:w="9357" w:type="dxa"/>
          </w:tcPr>
          <w:p w14:paraId="6493C4B8" w14:textId="77777777" w:rsidR="00BF67AC" w:rsidRDefault="00A87662">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13EEA8EE" w14:textId="77777777" w:rsidR="00BF67AC" w:rsidRDefault="00A87662">
            <w:pPr>
              <w:rPr>
                <w:sz w:val="20"/>
                <w:szCs w:val="20"/>
              </w:rPr>
            </w:pPr>
            <w:r>
              <w:rPr>
                <w:b/>
                <w:bCs/>
                <w:sz w:val="20"/>
                <w:szCs w:val="20"/>
                <w:highlight w:val="yellow"/>
              </w:rPr>
              <w:t>Artificial Intelligence (AI) generated or assisted review comments are strictly prohibited during peer review.</w:t>
            </w:r>
          </w:p>
          <w:p w14:paraId="45D35D05" w14:textId="77777777" w:rsidR="00BF67AC" w:rsidRDefault="00BF67AC"/>
        </w:tc>
        <w:tc>
          <w:tcPr>
            <w:tcW w:w="6442" w:type="dxa"/>
          </w:tcPr>
          <w:p w14:paraId="58A4693F" w14:textId="77777777" w:rsidR="00BF67AC" w:rsidRDefault="00A87662">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36668D53" w14:textId="2DC89694" w:rsidR="00BF67AC" w:rsidRDefault="003A296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NA</w:t>
            </w:r>
          </w:p>
        </w:tc>
      </w:tr>
      <w:tr w:rsidR="00BF67AC" w14:paraId="65018E4A" w14:textId="77777777">
        <w:trPr>
          <w:trHeight w:val="1264"/>
        </w:trPr>
        <w:tc>
          <w:tcPr>
            <w:tcW w:w="5351" w:type="dxa"/>
          </w:tcPr>
          <w:p w14:paraId="5129FAB9" w14:textId="77777777" w:rsidR="00BF67AC" w:rsidRDefault="00A87662">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52847A53" w14:textId="77777777" w:rsidR="00BF67AC" w:rsidRDefault="00BF67AC">
            <w:pPr>
              <w:ind w:left="360"/>
              <w:rPr>
                <w:sz w:val="20"/>
                <w:szCs w:val="20"/>
              </w:rPr>
            </w:pPr>
          </w:p>
        </w:tc>
        <w:tc>
          <w:tcPr>
            <w:tcW w:w="9357" w:type="dxa"/>
          </w:tcPr>
          <w:p w14:paraId="3F55AA4E" w14:textId="77777777" w:rsidR="00BF67AC" w:rsidRDefault="00A87662">
            <w:pPr>
              <w:spacing w:before="240" w:after="240"/>
              <w:rPr>
                <w:sz w:val="20"/>
                <w:szCs w:val="20"/>
              </w:rPr>
            </w:pPr>
            <w:r>
              <w:rPr>
                <w:sz w:val="20"/>
                <w:szCs w:val="20"/>
              </w:rPr>
              <w:t>This manuscript is important for researchers because it clearly explains how cultural traditions and social rules often stop girls from continuing their education. By looking at studies from 2014 to 2025, the author highlights key issues; like family trust and common stereotypes that are usually ignored in government policies. Instead of just building more schools, this research suggests that we need to work closely with families and communities to create real change. This work is a great resource for anyone trying to understand and fix the basic reasons why girls still lag behind in higher education.</w:t>
            </w:r>
          </w:p>
          <w:p w14:paraId="5473383E" w14:textId="77777777" w:rsidR="00BF67AC" w:rsidRDefault="00BF67AC">
            <w:pPr>
              <w:pBdr>
                <w:top w:val="nil"/>
                <w:left w:val="nil"/>
                <w:bottom w:val="nil"/>
                <w:right w:val="nil"/>
                <w:between w:val="nil"/>
              </w:pBdr>
              <w:rPr>
                <w:sz w:val="20"/>
                <w:szCs w:val="20"/>
              </w:rPr>
            </w:pPr>
          </w:p>
        </w:tc>
        <w:tc>
          <w:tcPr>
            <w:tcW w:w="6442" w:type="dxa"/>
          </w:tcPr>
          <w:p w14:paraId="63418E6B" w14:textId="1EF1225C" w:rsidR="00BF67AC" w:rsidRDefault="003A296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Noted</w:t>
            </w:r>
          </w:p>
        </w:tc>
      </w:tr>
      <w:tr w:rsidR="00BF67AC" w14:paraId="09F1C831" w14:textId="77777777">
        <w:trPr>
          <w:trHeight w:val="1262"/>
        </w:trPr>
        <w:tc>
          <w:tcPr>
            <w:tcW w:w="5351" w:type="dxa"/>
          </w:tcPr>
          <w:p w14:paraId="07BC8A8C" w14:textId="77777777" w:rsidR="00BF67AC" w:rsidRDefault="00A87662">
            <w:pPr>
              <w:ind w:left="360"/>
              <w:rPr>
                <w:sz w:val="20"/>
                <w:szCs w:val="20"/>
              </w:rPr>
            </w:pPr>
            <w:r>
              <w:rPr>
                <w:b/>
                <w:bCs/>
                <w:sz w:val="20"/>
                <w:szCs w:val="20"/>
              </w:rPr>
              <w:t>Is the title of the article suitable?</w:t>
            </w:r>
          </w:p>
          <w:p w14:paraId="671BD248" w14:textId="77777777" w:rsidR="00BF67AC" w:rsidRDefault="00A87662">
            <w:pPr>
              <w:ind w:left="360"/>
              <w:rPr>
                <w:sz w:val="20"/>
                <w:szCs w:val="20"/>
              </w:rPr>
            </w:pPr>
            <w:r>
              <w:rPr>
                <w:b/>
                <w:bCs/>
                <w:sz w:val="20"/>
                <w:szCs w:val="20"/>
              </w:rPr>
              <w:t>(If not please suggest an alternative title)</w:t>
            </w:r>
          </w:p>
          <w:p w14:paraId="315F018E" w14:textId="77777777" w:rsidR="00BF67AC" w:rsidRDefault="00BF67AC">
            <w:pPr>
              <w:pStyle w:val="Heading2"/>
              <w:jc w:val="left"/>
              <w:rPr>
                <w:rFonts w:ascii="Times New Roman" w:eastAsia="Times New Roman" w:hAnsi="Times New Roman" w:cs="Times New Roman"/>
                <w:u w:val="single"/>
              </w:rPr>
            </w:pPr>
          </w:p>
        </w:tc>
        <w:tc>
          <w:tcPr>
            <w:tcW w:w="9357" w:type="dxa"/>
          </w:tcPr>
          <w:p w14:paraId="24CB5F8E" w14:textId="77777777" w:rsidR="00BF67AC" w:rsidRDefault="00A87662">
            <w:pPr>
              <w:spacing w:before="240" w:after="240"/>
              <w:rPr>
                <w:sz w:val="20"/>
                <w:szCs w:val="20"/>
              </w:rPr>
            </w:pPr>
            <w:r>
              <w:rPr>
                <w:sz w:val="20"/>
                <w:szCs w:val="20"/>
              </w:rPr>
              <w:t>Yes, the title "Cultural Values and Transition of Girls' Education" accurately reflects the content and the systematic review methodology of the manuscript.</w:t>
            </w:r>
          </w:p>
          <w:p w14:paraId="291DA28E" w14:textId="77777777" w:rsidR="00BF67AC" w:rsidRDefault="00BF67AC">
            <w:pPr>
              <w:ind w:left="360"/>
              <w:rPr>
                <w:sz w:val="20"/>
                <w:szCs w:val="20"/>
              </w:rPr>
            </w:pPr>
          </w:p>
        </w:tc>
        <w:tc>
          <w:tcPr>
            <w:tcW w:w="6442" w:type="dxa"/>
          </w:tcPr>
          <w:p w14:paraId="70F1DE80" w14:textId="19336BC5" w:rsidR="00BF67AC" w:rsidRDefault="003A296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Revised title to “</w:t>
            </w:r>
            <w:r w:rsidRPr="003A296F">
              <w:rPr>
                <w:rFonts w:ascii="Times New Roman" w:eastAsia="Times New Roman" w:hAnsi="Times New Roman" w:cs="Times New Roman"/>
                <w:b w:val="0"/>
                <w:bCs w:val="0"/>
              </w:rPr>
              <w:t>Cultural Values and Educational Transitions of Girls: A Systematic Literature Review</w:t>
            </w:r>
            <w:r>
              <w:rPr>
                <w:rFonts w:ascii="Times New Roman" w:eastAsia="Times New Roman" w:hAnsi="Times New Roman" w:cs="Times New Roman"/>
                <w:b w:val="0"/>
                <w:bCs w:val="0"/>
              </w:rPr>
              <w:t>”</w:t>
            </w:r>
          </w:p>
        </w:tc>
      </w:tr>
      <w:tr w:rsidR="00BF67AC" w14:paraId="36841DEC" w14:textId="77777777">
        <w:trPr>
          <w:trHeight w:val="1262"/>
        </w:trPr>
        <w:tc>
          <w:tcPr>
            <w:tcW w:w="5351" w:type="dxa"/>
          </w:tcPr>
          <w:p w14:paraId="1B99C4AA" w14:textId="77777777" w:rsidR="00BF67AC" w:rsidRDefault="00A87662">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751A5E75" w14:textId="77777777" w:rsidR="00BF67AC" w:rsidRDefault="00BF67AC">
            <w:pPr>
              <w:pStyle w:val="Heading2"/>
              <w:jc w:val="left"/>
              <w:rPr>
                <w:rFonts w:ascii="Times New Roman" w:eastAsia="Times New Roman" w:hAnsi="Times New Roman" w:cs="Times New Roman"/>
                <w:u w:val="single"/>
              </w:rPr>
            </w:pPr>
          </w:p>
        </w:tc>
        <w:tc>
          <w:tcPr>
            <w:tcW w:w="9357" w:type="dxa"/>
          </w:tcPr>
          <w:p w14:paraId="0FA6B142" w14:textId="77777777" w:rsidR="00BF67AC" w:rsidRDefault="00BF67AC">
            <w:pPr>
              <w:rPr>
                <w:sz w:val="20"/>
                <w:szCs w:val="20"/>
              </w:rPr>
            </w:pPr>
          </w:p>
          <w:p w14:paraId="08EAE31B" w14:textId="77777777" w:rsidR="00BF67AC" w:rsidRDefault="00A87662">
            <w:pPr>
              <w:rPr>
                <w:sz w:val="20"/>
                <w:szCs w:val="20"/>
              </w:rPr>
            </w:pPr>
            <w:r>
              <w:rPr>
                <w:sz w:val="20"/>
                <w:szCs w:val="20"/>
              </w:rPr>
              <w:t>The abstract is comprehensive and well-structured. It clearly outlines the gender gaps in education, the study's objective, the systematic literature review methodology, and the key findings regarding cultural norms.</w:t>
            </w:r>
          </w:p>
        </w:tc>
        <w:tc>
          <w:tcPr>
            <w:tcW w:w="6442" w:type="dxa"/>
          </w:tcPr>
          <w:p w14:paraId="36174A24" w14:textId="4C4C5030" w:rsidR="00BF67AC" w:rsidRDefault="003A296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Noted</w:t>
            </w:r>
          </w:p>
        </w:tc>
      </w:tr>
      <w:tr w:rsidR="00BF67AC" w14:paraId="5D3014CB" w14:textId="77777777">
        <w:trPr>
          <w:trHeight w:val="704"/>
        </w:trPr>
        <w:tc>
          <w:tcPr>
            <w:tcW w:w="5351" w:type="dxa"/>
          </w:tcPr>
          <w:p w14:paraId="057CAE38" w14:textId="77777777" w:rsidR="00BF67AC" w:rsidRDefault="00A87662">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1B3458C3" w14:textId="77777777" w:rsidR="00BF67AC" w:rsidRDefault="00A87662">
            <w:pPr>
              <w:spacing w:before="240" w:after="240"/>
              <w:rPr>
                <w:sz w:val="20"/>
                <w:szCs w:val="20"/>
              </w:rPr>
            </w:pPr>
            <w:r>
              <w:rPr>
                <w:sz w:val="20"/>
                <w:szCs w:val="20"/>
              </w:rPr>
              <w:t>Yes, the manuscript is scientifically sound. The researcher utilized a systematic approach by searching credible databases like Google Scholar and PubMed, focusing on articles between 2014 and 2025. The analysis of 18 selected studies through thematic categorization is a valid scientific method.</w:t>
            </w:r>
          </w:p>
        </w:tc>
        <w:tc>
          <w:tcPr>
            <w:tcW w:w="6442" w:type="dxa"/>
          </w:tcPr>
          <w:p w14:paraId="423DF014" w14:textId="441A4874" w:rsidR="00BF67AC" w:rsidRDefault="003A296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Noted</w:t>
            </w:r>
          </w:p>
        </w:tc>
      </w:tr>
      <w:tr w:rsidR="00BF67AC" w14:paraId="132EFC7C" w14:textId="77777777">
        <w:trPr>
          <w:trHeight w:val="703"/>
        </w:trPr>
        <w:tc>
          <w:tcPr>
            <w:tcW w:w="5351" w:type="dxa"/>
          </w:tcPr>
          <w:p w14:paraId="189A8E4F" w14:textId="77777777" w:rsidR="00BF67AC" w:rsidRDefault="00A87662">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7C522903" w14:textId="77777777" w:rsidR="00BF67AC" w:rsidRDefault="00A87662">
            <w:pPr>
              <w:spacing w:before="240" w:after="240"/>
              <w:rPr>
                <w:sz w:val="20"/>
                <w:szCs w:val="20"/>
              </w:rPr>
            </w:pPr>
            <w:r>
              <w:rPr>
                <w:sz w:val="20"/>
                <w:szCs w:val="20"/>
              </w:rPr>
              <w:t>The references are sufficient and very recent, with many sources from 2024 and 2025. This ensures the research reflects the most current trends in girls' education.</w:t>
            </w:r>
          </w:p>
          <w:p w14:paraId="76FC60C2" w14:textId="77777777" w:rsidR="00BF67AC" w:rsidRDefault="00BF67AC">
            <w:pPr>
              <w:pBdr>
                <w:top w:val="nil"/>
                <w:left w:val="nil"/>
                <w:bottom w:val="nil"/>
                <w:right w:val="nil"/>
                <w:between w:val="nil"/>
              </w:pBdr>
              <w:rPr>
                <w:sz w:val="20"/>
                <w:szCs w:val="20"/>
              </w:rPr>
            </w:pPr>
          </w:p>
        </w:tc>
        <w:tc>
          <w:tcPr>
            <w:tcW w:w="6442" w:type="dxa"/>
          </w:tcPr>
          <w:p w14:paraId="4B18D84E" w14:textId="0B79DD0C" w:rsidR="00BF67AC" w:rsidRDefault="003A296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Noted</w:t>
            </w:r>
          </w:p>
        </w:tc>
      </w:tr>
      <w:tr w:rsidR="00BF67AC" w14:paraId="3066C2E7" w14:textId="77777777">
        <w:trPr>
          <w:trHeight w:val="386"/>
        </w:trPr>
        <w:tc>
          <w:tcPr>
            <w:tcW w:w="5351" w:type="dxa"/>
          </w:tcPr>
          <w:p w14:paraId="0C98D3DA" w14:textId="77777777" w:rsidR="00BF67AC" w:rsidRDefault="00A87662">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5E040B84" w14:textId="77777777" w:rsidR="00BF67AC" w:rsidRDefault="00BF67AC">
            <w:pPr>
              <w:rPr>
                <w:sz w:val="20"/>
                <w:szCs w:val="20"/>
              </w:rPr>
            </w:pPr>
          </w:p>
        </w:tc>
        <w:tc>
          <w:tcPr>
            <w:tcW w:w="9357" w:type="dxa"/>
          </w:tcPr>
          <w:p w14:paraId="5C3A9F11" w14:textId="77777777" w:rsidR="00BF67AC" w:rsidRDefault="00A87662">
            <w:pPr>
              <w:spacing w:before="240" w:after="240"/>
              <w:rPr>
                <w:sz w:val="20"/>
                <w:szCs w:val="20"/>
              </w:rPr>
            </w:pPr>
            <w:r>
              <w:rPr>
                <w:sz w:val="20"/>
                <w:szCs w:val="20"/>
              </w:rPr>
              <w:t>The English language quality is suitable for scholarly communication, and the arguments are presented clearly.</w:t>
            </w:r>
          </w:p>
          <w:p w14:paraId="4FF54064" w14:textId="77777777" w:rsidR="00BF67AC" w:rsidRDefault="00BF67AC">
            <w:pPr>
              <w:rPr>
                <w:sz w:val="20"/>
                <w:szCs w:val="20"/>
              </w:rPr>
            </w:pPr>
          </w:p>
        </w:tc>
        <w:tc>
          <w:tcPr>
            <w:tcW w:w="6442" w:type="dxa"/>
          </w:tcPr>
          <w:p w14:paraId="0EB427C7" w14:textId="4A641DDB" w:rsidR="00BF67AC" w:rsidRDefault="003A296F">
            <w:pPr>
              <w:rPr>
                <w:sz w:val="20"/>
                <w:szCs w:val="20"/>
              </w:rPr>
            </w:pPr>
            <w:r>
              <w:rPr>
                <w:sz w:val="20"/>
                <w:szCs w:val="20"/>
              </w:rPr>
              <w:t>Noted</w:t>
            </w:r>
          </w:p>
        </w:tc>
      </w:tr>
      <w:tr w:rsidR="00BF67AC" w14:paraId="334AA839" w14:textId="77777777">
        <w:trPr>
          <w:trHeight w:val="1178"/>
        </w:trPr>
        <w:tc>
          <w:tcPr>
            <w:tcW w:w="5351" w:type="dxa"/>
          </w:tcPr>
          <w:p w14:paraId="714FE7F0" w14:textId="77777777" w:rsidR="00BF67AC" w:rsidRDefault="00A87662">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2181E218" w14:textId="77777777" w:rsidR="00BF67AC" w:rsidRDefault="00BF67AC">
            <w:pPr>
              <w:pStyle w:val="Heading2"/>
              <w:jc w:val="left"/>
              <w:rPr>
                <w:rFonts w:ascii="Times New Roman" w:eastAsia="Times New Roman" w:hAnsi="Times New Roman" w:cs="Times New Roman"/>
                <w:b w:val="0"/>
                <w:bCs w:val="0"/>
              </w:rPr>
            </w:pPr>
          </w:p>
        </w:tc>
        <w:tc>
          <w:tcPr>
            <w:tcW w:w="9357" w:type="dxa"/>
          </w:tcPr>
          <w:p w14:paraId="0ECB6898" w14:textId="77777777" w:rsidR="00BF67AC" w:rsidRDefault="00A87662">
            <w:pPr>
              <w:spacing w:before="240" w:after="240"/>
              <w:rPr>
                <w:sz w:val="20"/>
                <w:szCs w:val="20"/>
              </w:rPr>
            </w:pPr>
            <w:r>
              <w:rPr>
                <w:sz w:val="20"/>
                <w:szCs w:val="20"/>
              </w:rPr>
              <w:t>The manuscript provides valuable insights into the socio-cultural barriers to girls' education, particularly in tribal and developing regions.</w:t>
            </w:r>
          </w:p>
          <w:p w14:paraId="2C7859B3" w14:textId="77777777" w:rsidR="00174012" w:rsidRDefault="00174012">
            <w:pPr>
              <w:spacing w:before="240" w:after="240"/>
              <w:rPr>
                <w:sz w:val="20"/>
                <w:szCs w:val="20"/>
              </w:rPr>
            </w:pPr>
          </w:p>
          <w:p w14:paraId="2015F0A3" w14:textId="77777777" w:rsidR="00174012" w:rsidRPr="00174012" w:rsidRDefault="00174012" w:rsidP="00174012">
            <w:pPr>
              <w:spacing w:before="240" w:after="240"/>
              <w:rPr>
                <w:sz w:val="20"/>
                <w:szCs w:val="20"/>
              </w:rPr>
            </w:pPr>
            <w:r w:rsidRPr="00174012">
              <w:rPr>
                <w:sz w:val="20"/>
                <w:szCs w:val="20"/>
              </w:rPr>
              <w:t>●</w:t>
            </w:r>
            <w:r w:rsidRPr="00174012">
              <w:rPr>
                <w:sz w:val="20"/>
                <w:szCs w:val="20"/>
              </w:rPr>
              <w:tab/>
              <w:t>Recommendation: Minor Revision</w:t>
            </w:r>
          </w:p>
          <w:p w14:paraId="04BD5112" w14:textId="77777777" w:rsidR="00174012" w:rsidRDefault="00174012" w:rsidP="00174012">
            <w:pPr>
              <w:spacing w:before="240" w:after="240"/>
              <w:rPr>
                <w:sz w:val="20"/>
                <w:szCs w:val="20"/>
              </w:rPr>
            </w:pPr>
            <w:r w:rsidRPr="00174012">
              <w:rPr>
                <w:sz w:val="20"/>
                <w:szCs w:val="20"/>
              </w:rPr>
              <w:t>Justification: The manuscript is highly informative, but the recommendations for future research could be slightly more detailed to guide subsequent studies.</w:t>
            </w:r>
          </w:p>
          <w:p w14:paraId="6DDBC753" w14:textId="77777777" w:rsidR="00BF67AC" w:rsidRDefault="00BF67AC">
            <w:pPr>
              <w:pBdr>
                <w:top w:val="nil"/>
                <w:left w:val="nil"/>
                <w:bottom w:val="nil"/>
                <w:right w:val="nil"/>
                <w:between w:val="nil"/>
              </w:pBdr>
              <w:rPr>
                <w:sz w:val="20"/>
                <w:szCs w:val="20"/>
              </w:rPr>
            </w:pPr>
          </w:p>
        </w:tc>
        <w:tc>
          <w:tcPr>
            <w:tcW w:w="6442" w:type="dxa"/>
          </w:tcPr>
          <w:p w14:paraId="54445821" w14:textId="77777777" w:rsidR="00BF67AC" w:rsidRDefault="003A296F">
            <w:pPr>
              <w:rPr>
                <w:sz w:val="20"/>
                <w:szCs w:val="20"/>
              </w:rPr>
            </w:pPr>
            <w:r>
              <w:rPr>
                <w:sz w:val="20"/>
                <w:szCs w:val="20"/>
              </w:rPr>
              <w:t>Noted</w:t>
            </w:r>
          </w:p>
          <w:p w14:paraId="5DEA50B8" w14:textId="77777777" w:rsidR="003A296F" w:rsidRDefault="003A296F">
            <w:pPr>
              <w:rPr>
                <w:sz w:val="20"/>
                <w:szCs w:val="20"/>
              </w:rPr>
            </w:pPr>
          </w:p>
          <w:p w14:paraId="237AA64D" w14:textId="3B5E3C83" w:rsidR="003A296F" w:rsidRDefault="003A296F">
            <w:pPr>
              <w:rPr>
                <w:sz w:val="20"/>
                <w:szCs w:val="20"/>
              </w:rPr>
            </w:pPr>
            <w:r>
              <w:rPr>
                <w:sz w:val="20"/>
                <w:szCs w:val="20"/>
              </w:rPr>
              <w:t>Corrected typos</w:t>
            </w:r>
          </w:p>
        </w:tc>
      </w:tr>
    </w:tbl>
    <w:p w14:paraId="6304F4D6" w14:textId="77777777" w:rsidR="00BF67AC" w:rsidRDefault="00BF67AC">
      <w:pPr>
        <w:pBdr>
          <w:top w:val="nil"/>
          <w:left w:val="nil"/>
          <w:bottom w:val="nil"/>
          <w:right w:val="nil"/>
          <w:between w:val="nil"/>
        </w:pBdr>
        <w:jc w:val="both"/>
        <w:rPr>
          <w:color w:val="000000"/>
          <w:sz w:val="20"/>
          <w:szCs w:val="20"/>
          <w:u w:val="single"/>
        </w:rPr>
      </w:pPr>
      <w:bookmarkStart w:id="0" w:name="_GoBack"/>
      <w:bookmarkEnd w:id="0"/>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BF67AC" w14:paraId="5337CC2D"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5031937A" w14:textId="77777777" w:rsidR="00BF67AC" w:rsidRDefault="00A87662">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18F39214" w14:textId="77777777" w:rsidR="00BF67AC" w:rsidRDefault="00BF67AC">
            <w:pPr>
              <w:pBdr>
                <w:top w:val="nil"/>
                <w:left w:val="nil"/>
                <w:bottom w:val="nil"/>
                <w:right w:val="nil"/>
                <w:between w:val="nil"/>
              </w:pBdr>
              <w:rPr>
                <w:color w:val="000000"/>
                <w:sz w:val="20"/>
                <w:szCs w:val="20"/>
                <w:u w:val="single"/>
              </w:rPr>
            </w:pPr>
          </w:p>
        </w:tc>
      </w:tr>
      <w:tr w:rsidR="00BF67AC" w14:paraId="1FFF0FA2" w14:textId="77777777">
        <w:trPr>
          <w:trHeight w:val="935"/>
        </w:trPr>
        <w:tc>
          <w:tcPr>
            <w:tcW w:w="6831" w:type="dxa"/>
            <w:tcMar>
              <w:top w:w="0" w:type="dxa"/>
              <w:left w:w="108" w:type="dxa"/>
              <w:bottom w:w="0" w:type="dxa"/>
              <w:right w:w="108" w:type="dxa"/>
            </w:tcMar>
            <w:vAlign w:val="center"/>
          </w:tcPr>
          <w:p w14:paraId="1EA0BC0E" w14:textId="77777777" w:rsidR="00BF67AC" w:rsidRDefault="00BF67AC">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175B3988" w14:textId="77777777" w:rsidR="00BF67AC" w:rsidRDefault="00A87662">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21BAE515" w14:textId="77777777" w:rsidR="00BF67AC" w:rsidRDefault="00A87662">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19F325D5" w14:textId="77777777" w:rsidR="00BF67AC" w:rsidRDefault="00BF67AC">
            <w:pPr>
              <w:pStyle w:val="Heading2"/>
              <w:jc w:val="left"/>
              <w:rPr>
                <w:rFonts w:ascii="Times New Roman" w:eastAsia="Times New Roman" w:hAnsi="Times New Roman" w:cs="Times New Roman"/>
                <w:b w:val="0"/>
                <w:bCs w:val="0"/>
              </w:rPr>
            </w:pPr>
          </w:p>
        </w:tc>
      </w:tr>
      <w:tr w:rsidR="00BF67AC" w14:paraId="4E35120E" w14:textId="77777777">
        <w:trPr>
          <w:trHeight w:val="697"/>
        </w:trPr>
        <w:tc>
          <w:tcPr>
            <w:tcW w:w="6831" w:type="dxa"/>
            <w:tcMar>
              <w:top w:w="0" w:type="dxa"/>
              <w:left w:w="108" w:type="dxa"/>
              <w:bottom w:w="0" w:type="dxa"/>
              <w:right w:w="108" w:type="dxa"/>
            </w:tcMar>
            <w:vAlign w:val="center"/>
          </w:tcPr>
          <w:p w14:paraId="1707769F" w14:textId="77777777" w:rsidR="00BF67AC" w:rsidRDefault="00A87662">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145E7127" w14:textId="77777777" w:rsidR="00BF67AC" w:rsidRDefault="00BF67AC">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0627B246" w14:textId="77777777" w:rsidR="00BF67AC" w:rsidRDefault="00A87662">
            <w:pPr>
              <w:spacing w:before="240" w:after="240"/>
              <w:rPr>
                <w:sz w:val="20"/>
                <w:szCs w:val="20"/>
              </w:rPr>
            </w:pPr>
            <w:r>
              <w:rPr>
                <w:sz w:val="20"/>
                <w:szCs w:val="20"/>
              </w:rPr>
              <w:t>No ethical issues were identified as the study is based on a review of published literature.</w:t>
            </w:r>
          </w:p>
          <w:p w14:paraId="3BEED762" w14:textId="77777777" w:rsidR="00BF67AC" w:rsidRDefault="00BF67AC">
            <w:pPr>
              <w:pBdr>
                <w:top w:val="nil"/>
                <w:left w:val="nil"/>
                <w:bottom w:val="nil"/>
                <w:right w:val="nil"/>
                <w:between w:val="nil"/>
              </w:pBdr>
              <w:rPr>
                <w:sz w:val="20"/>
                <w:szCs w:val="20"/>
              </w:rPr>
            </w:pPr>
          </w:p>
          <w:p w14:paraId="54C9AE08" w14:textId="77777777" w:rsidR="00BF67AC" w:rsidRDefault="00BF67AC">
            <w:pPr>
              <w:pBdr>
                <w:top w:val="nil"/>
                <w:left w:val="nil"/>
                <w:bottom w:val="nil"/>
                <w:right w:val="nil"/>
                <w:between w:val="nil"/>
              </w:pBdr>
              <w:rPr>
                <w:color w:val="000000"/>
                <w:sz w:val="20"/>
                <w:szCs w:val="20"/>
              </w:rPr>
            </w:pPr>
          </w:p>
          <w:p w14:paraId="5826442B" w14:textId="77777777" w:rsidR="00BF67AC" w:rsidRDefault="00BF67AC">
            <w:pPr>
              <w:pBdr>
                <w:top w:val="nil"/>
                <w:left w:val="nil"/>
                <w:bottom w:val="nil"/>
                <w:right w:val="nil"/>
                <w:between w:val="nil"/>
              </w:pBdr>
              <w:rPr>
                <w:color w:val="000000"/>
                <w:sz w:val="20"/>
                <w:szCs w:val="20"/>
              </w:rPr>
            </w:pPr>
          </w:p>
        </w:tc>
        <w:tc>
          <w:tcPr>
            <w:tcW w:w="5677" w:type="dxa"/>
            <w:vAlign w:val="center"/>
          </w:tcPr>
          <w:p w14:paraId="4F12089A" w14:textId="77777777" w:rsidR="00BF67AC" w:rsidRDefault="00BF67AC">
            <w:pPr>
              <w:rPr>
                <w:sz w:val="20"/>
                <w:szCs w:val="20"/>
              </w:rPr>
            </w:pPr>
          </w:p>
          <w:p w14:paraId="01E0D3C4" w14:textId="77777777" w:rsidR="00BF67AC" w:rsidRDefault="00BF67AC">
            <w:pPr>
              <w:rPr>
                <w:sz w:val="20"/>
                <w:szCs w:val="20"/>
              </w:rPr>
            </w:pPr>
          </w:p>
          <w:p w14:paraId="2928B52F" w14:textId="77777777" w:rsidR="00BF67AC" w:rsidRDefault="00BF67AC">
            <w:pPr>
              <w:rPr>
                <w:sz w:val="20"/>
                <w:szCs w:val="20"/>
              </w:rPr>
            </w:pPr>
          </w:p>
          <w:p w14:paraId="19BBA1A6" w14:textId="77777777" w:rsidR="00BF67AC" w:rsidRDefault="00BF67AC">
            <w:pPr>
              <w:pBdr>
                <w:top w:val="nil"/>
                <w:left w:val="nil"/>
                <w:bottom w:val="nil"/>
                <w:right w:val="nil"/>
                <w:between w:val="nil"/>
              </w:pBdr>
              <w:rPr>
                <w:color w:val="000000"/>
                <w:sz w:val="20"/>
                <w:szCs w:val="20"/>
              </w:rPr>
            </w:pPr>
          </w:p>
        </w:tc>
      </w:tr>
    </w:tbl>
    <w:p w14:paraId="6F9BBF62" w14:textId="77777777" w:rsidR="00BF67AC" w:rsidRDefault="00BF67AC">
      <w:pPr>
        <w:pBdr>
          <w:top w:val="nil"/>
          <w:left w:val="nil"/>
          <w:bottom w:val="nil"/>
          <w:right w:val="nil"/>
          <w:between w:val="nil"/>
        </w:pBdr>
        <w:jc w:val="both"/>
        <w:rPr>
          <w:rFonts w:ascii="Arial" w:eastAsia="Arial" w:hAnsi="Arial" w:cs="Arial"/>
          <w:color w:val="000000"/>
          <w:sz w:val="20"/>
          <w:szCs w:val="20"/>
        </w:rPr>
      </w:pPr>
    </w:p>
    <w:sectPr w:rsidR="00BF67AC">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5A18E6" w14:textId="77777777" w:rsidR="00173C82" w:rsidRDefault="00173C82">
      <w:r>
        <w:separator/>
      </w:r>
    </w:p>
  </w:endnote>
  <w:endnote w:type="continuationSeparator" w:id="0">
    <w:p w14:paraId="4134CB78" w14:textId="77777777" w:rsidR="00173C82" w:rsidRDefault="00173C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FA93C751-1070-4F56-A452-1ED0483ED51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C82028F-588D-4D58-9B9F-999215A634C9}"/>
  </w:font>
  <w:font w:name="Cambria">
    <w:panose1 w:val="02040503050406030204"/>
    <w:charset w:val="00"/>
    <w:family w:val="roman"/>
    <w:pitch w:val="variable"/>
    <w:sig w:usb0="E00006FF" w:usb1="420024FF" w:usb2="02000000" w:usb3="00000000" w:csb0="0000019F" w:csb1="00000000"/>
    <w:embedRegular r:id="rId3" w:fontKey="{4F0DFA33-3333-4D3B-8BD2-DC87EC369D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E86828" w14:textId="77777777" w:rsidR="00BF67AC" w:rsidRDefault="00A87662">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E2FC9C" w14:textId="77777777" w:rsidR="00173C82" w:rsidRDefault="00173C82">
      <w:r>
        <w:separator/>
      </w:r>
    </w:p>
  </w:footnote>
  <w:footnote w:type="continuationSeparator" w:id="0">
    <w:p w14:paraId="65A600C3" w14:textId="77777777" w:rsidR="00173C82" w:rsidRDefault="00173C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C5E940" w14:textId="77777777" w:rsidR="00BF67AC" w:rsidRDefault="00BF67AC">
    <w:pPr>
      <w:spacing w:after="280"/>
      <w:jc w:val="center"/>
      <w:rPr>
        <w:rFonts w:ascii="Arial" w:eastAsia="Arial" w:hAnsi="Arial" w:cs="Arial"/>
        <w:color w:val="003399"/>
        <w:u w:val="single"/>
      </w:rPr>
    </w:pPr>
  </w:p>
  <w:p w14:paraId="6291FEA2" w14:textId="77777777" w:rsidR="00BF67AC" w:rsidRDefault="00A87662">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EC80CE1"/>
    <w:multiLevelType w:val="multilevel"/>
    <w:tmpl w:val="A28426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67AC"/>
    <w:rsid w:val="001243C3"/>
    <w:rsid w:val="00173C82"/>
    <w:rsid w:val="00174012"/>
    <w:rsid w:val="003A296F"/>
    <w:rsid w:val="005B3D29"/>
    <w:rsid w:val="00782E8C"/>
    <w:rsid w:val="008C6965"/>
    <w:rsid w:val="009C649F"/>
    <w:rsid w:val="00A87662"/>
    <w:rsid w:val="00B02ACE"/>
    <w:rsid w:val="00B2597B"/>
    <w:rsid w:val="00BF67AC"/>
    <w:rsid w:val="00D3004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9DF025"/>
  <w15:docId w15:val="{EA7D580D-E36E-4647-9013-EC071A518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9C649F"/>
    <w:rPr>
      <w:color w:val="0000FF" w:themeColor="hyperlink"/>
      <w:u w:val="single"/>
    </w:rPr>
  </w:style>
  <w:style w:type="character" w:styleId="UnresolvedMention">
    <w:name w:val="Unresolved Mention"/>
    <w:basedOn w:val="DefaultParagraphFont"/>
    <w:uiPriority w:val="99"/>
    <w:semiHidden/>
    <w:unhideWhenUsed/>
    <w:rsid w:val="009C64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1283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ss.com/index.php/AJESS"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Pages>
  <Words>532</Words>
  <Characters>3036</Characters>
  <Application>Microsoft Office Word</Application>
  <DocSecurity>0</DocSecurity>
  <Lines>25</Lines>
  <Paragraphs>7</Paragraphs>
  <ScaleCrop>false</ScaleCrop>
  <Company/>
  <LinksUpToDate>false</LinksUpToDate>
  <CharactersWithSpaces>3561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Muinde Kimuyu</dc:creator>
  <cp:lastModifiedBy>SDI 1186</cp:lastModifiedBy>
  <cp:revision>3</cp:revision>
  <dcterms:created xsi:type="dcterms:W3CDTF">2026-01-13T06:37:00Z</dcterms:created>
  <dcterms:modified xsi:type="dcterms:W3CDTF">2026-01-14T08:44:00Z</dcterms:modified>
</cp:coreProperties>
</file>