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670062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B5CC6C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3E0693B" w14:textId="77777777" w:rsidTr="002643B3">
        <w:trPr>
          <w:trHeight w:val="290"/>
        </w:trPr>
        <w:tc>
          <w:tcPr>
            <w:tcW w:w="1234" w:type="pct"/>
          </w:tcPr>
          <w:p w14:paraId="12A7F0F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4DAF3" w14:textId="77777777" w:rsidR="0000007A" w:rsidRPr="00E65EB7" w:rsidRDefault="00E84B0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642BB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17411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14B174F" w14:textId="77777777" w:rsidTr="002643B3">
        <w:trPr>
          <w:trHeight w:val="290"/>
        </w:trPr>
        <w:tc>
          <w:tcPr>
            <w:tcW w:w="1234" w:type="pct"/>
          </w:tcPr>
          <w:p w14:paraId="4331C4D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84B3B" w14:textId="77777777" w:rsidR="0000007A" w:rsidRPr="00F245A7" w:rsidRDefault="00096C1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96C1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Ms_AJESS_151196</w:t>
            </w:r>
          </w:p>
        </w:tc>
      </w:tr>
      <w:tr w:rsidR="0000007A" w:rsidRPr="00F245A7" w14:paraId="305BD6C3" w14:textId="77777777" w:rsidTr="002643B3">
        <w:trPr>
          <w:trHeight w:val="650"/>
        </w:trPr>
        <w:tc>
          <w:tcPr>
            <w:tcW w:w="1234" w:type="pct"/>
          </w:tcPr>
          <w:p w14:paraId="78CA1BB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62DE" w14:textId="77777777" w:rsidR="0000007A" w:rsidRPr="00F245A7" w:rsidRDefault="00096C1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96C10">
              <w:rPr>
                <w:rFonts w:ascii="Arial" w:hAnsi="Arial" w:cs="Arial"/>
                <w:b/>
                <w:sz w:val="20"/>
                <w:szCs w:val="28"/>
                <w:lang w:val="en-GB"/>
              </w:rPr>
              <w:t>Children’s Feelings and Self Perceptions: Insights from Middle School Classrooms in the North-East States of India</w:t>
            </w:r>
          </w:p>
        </w:tc>
      </w:tr>
      <w:tr w:rsidR="00CF0BBB" w:rsidRPr="00F245A7" w14:paraId="7DD579D9" w14:textId="77777777" w:rsidTr="002643B3">
        <w:trPr>
          <w:trHeight w:val="332"/>
        </w:trPr>
        <w:tc>
          <w:tcPr>
            <w:tcW w:w="1234" w:type="pct"/>
          </w:tcPr>
          <w:p w14:paraId="4E4AB0E9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1ABB8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67B9FA4C" w14:textId="77777777" w:rsidR="00C745F2" w:rsidRPr="00900E9B" w:rsidRDefault="00C745F2" w:rsidP="00C745F2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10220"/>
        <w:gridCol w:w="5418"/>
      </w:tblGrid>
      <w:tr w:rsidR="00C745F2" w:rsidRPr="00900E9B" w14:paraId="42F50E9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C41DC3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2B69EC0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</w:tr>
      <w:tr w:rsidR="00C745F2" w:rsidRPr="00900E9B" w14:paraId="1E9C4A91" w14:textId="77777777" w:rsidTr="00875536">
        <w:tc>
          <w:tcPr>
            <w:tcW w:w="1265" w:type="pct"/>
            <w:noWrap/>
          </w:tcPr>
          <w:p w14:paraId="4E3D3402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41" w:type="pct"/>
          </w:tcPr>
          <w:p w14:paraId="1D010E51" w14:textId="77777777" w:rsidR="00C745F2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C8EE7E2" w14:textId="77777777" w:rsidR="009E2DD4" w:rsidRDefault="009E2DD4" w:rsidP="009E2DD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1629442" w14:textId="77777777" w:rsidR="009E2DD4" w:rsidRPr="009E2DD4" w:rsidRDefault="009E2DD4" w:rsidP="009E2DD4">
            <w:pPr>
              <w:rPr>
                <w:lang w:val="en-GB"/>
              </w:rPr>
            </w:pPr>
          </w:p>
        </w:tc>
        <w:tc>
          <w:tcPr>
            <w:tcW w:w="1294" w:type="pct"/>
          </w:tcPr>
          <w:p w14:paraId="5DDE6292" w14:textId="77777777" w:rsidR="00BE3E0F" w:rsidRPr="00BE3E0F" w:rsidRDefault="00BE3E0F" w:rsidP="00BE3E0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E3E0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3E0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785687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30C47966" w14:textId="77777777" w:rsidTr="00875536">
        <w:trPr>
          <w:trHeight w:val="1264"/>
        </w:trPr>
        <w:tc>
          <w:tcPr>
            <w:tcW w:w="1265" w:type="pct"/>
            <w:noWrap/>
          </w:tcPr>
          <w:p w14:paraId="6CE56820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7D89075" w14:textId="77777777" w:rsidR="00C745F2" w:rsidRPr="00900E9B" w:rsidRDefault="00C745F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41" w:type="pct"/>
          </w:tcPr>
          <w:p w14:paraId="0A2AA3A9" w14:textId="77777777" w:rsidR="00C745F2" w:rsidRPr="00383B91" w:rsidRDefault="00383B91" w:rsidP="0087553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IN"/>
              </w:rPr>
            </w:pPr>
            <w:r w:rsidRPr="00383B91">
              <w:rPr>
                <w:sz w:val="20"/>
                <w:szCs w:val="20"/>
                <w:lang w:val="en-IN"/>
              </w:rPr>
              <w:t xml:space="preserve">This manuscript contributes empirical, child-reported evidence on emotional and </w:t>
            </w:r>
            <w:proofErr w:type="spellStart"/>
            <w:r w:rsidRPr="00383B91">
              <w:rPr>
                <w:sz w:val="20"/>
                <w:szCs w:val="20"/>
                <w:lang w:val="en-IN"/>
              </w:rPr>
              <w:t>behavioral</w:t>
            </w:r>
            <w:proofErr w:type="spellEnd"/>
            <w:r w:rsidRPr="00383B91">
              <w:rPr>
                <w:sz w:val="20"/>
                <w:szCs w:val="20"/>
                <w:lang w:val="en-IN"/>
              </w:rPr>
              <w:t xml:space="preserve"> experiences in middle-school classrooms situated in aspirational districts, an area where systematic classroom-based mental health data remain comparatively limited. By using a brief, school-feasible screening tool, it offers a pragmatic model for integrating socio-emotional indicators into routine educational monitoring and for informing targeted supports within equity-focused schooling systems. The descriptive profiling of emotions (e.g., loneliness, worry, anger, calmness) and subgroup patterns (notably higher loneliness among scheduled tribe children) is potentially useful for policy-aligned socio-emotional learning (SEL) planning and school mental health programming. </w:t>
            </w:r>
          </w:p>
        </w:tc>
        <w:tc>
          <w:tcPr>
            <w:tcW w:w="1294" w:type="pct"/>
          </w:tcPr>
          <w:p w14:paraId="20D544FE" w14:textId="77777777" w:rsidR="00C745F2" w:rsidRPr="008E7BD3" w:rsidRDefault="008E7BD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8E7BD3">
              <w:rPr>
                <w:rFonts w:ascii="Times New Roman" w:hAnsi="Times New Roman" w:cs="Times New Roman"/>
                <w:b w:val="0"/>
                <w:bCs w:val="0"/>
                <w:lang w:val="en-GB"/>
              </w:rPr>
              <w:t>Reply to comment is not required.</w:t>
            </w:r>
          </w:p>
        </w:tc>
      </w:tr>
      <w:tr w:rsidR="00C745F2" w:rsidRPr="00900E9B" w14:paraId="5E238D98" w14:textId="77777777" w:rsidTr="00875536">
        <w:trPr>
          <w:trHeight w:val="890"/>
        </w:trPr>
        <w:tc>
          <w:tcPr>
            <w:tcW w:w="1265" w:type="pct"/>
            <w:noWrap/>
          </w:tcPr>
          <w:p w14:paraId="7C720F93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CC6C38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36076E3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441" w:type="pct"/>
          </w:tcPr>
          <w:p w14:paraId="66BDB46F" w14:textId="77777777" w:rsidR="00C745F2" w:rsidRPr="00383B91" w:rsidRDefault="00383B91" w:rsidP="00875536">
            <w:pPr>
              <w:rPr>
                <w:sz w:val="20"/>
                <w:szCs w:val="20"/>
                <w:lang w:val="en-GB"/>
              </w:rPr>
            </w:pPr>
            <w:bookmarkStart w:id="3" w:name="_Hlk218630743"/>
            <w:r w:rsidRPr="00383B91">
              <w:rPr>
                <w:sz w:val="20"/>
                <w:szCs w:val="20"/>
                <w:lang w:val="en-IN"/>
              </w:rPr>
              <w:t xml:space="preserve">The title is broadly suitable because it signals the core constructs (feelings, self-perceptions) and the population (middle school children), and it indicates a classroom-based context. However, it can be strengthened by making the design and geographic scope more precise and by avoiding potentially ambiguous phrasing (“North-East States” vs. “North-East region/aspirational districts”). </w:t>
            </w:r>
            <w:bookmarkEnd w:id="3"/>
          </w:p>
        </w:tc>
        <w:tc>
          <w:tcPr>
            <w:tcW w:w="1294" w:type="pct"/>
          </w:tcPr>
          <w:p w14:paraId="16BFFB97" w14:textId="77777777" w:rsidR="00C745F2" w:rsidRPr="00900E9B" w:rsidRDefault="008E7B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As per suggestion, title is revised / modified. </w:t>
            </w:r>
          </w:p>
        </w:tc>
      </w:tr>
      <w:tr w:rsidR="00C745F2" w:rsidRPr="00900E9B" w14:paraId="16740F30" w14:textId="77777777" w:rsidTr="00875536">
        <w:trPr>
          <w:trHeight w:val="1262"/>
        </w:trPr>
        <w:tc>
          <w:tcPr>
            <w:tcW w:w="1265" w:type="pct"/>
            <w:noWrap/>
          </w:tcPr>
          <w:p w14:paraId="14FBF3D6" w14:textId="77777777" w:rsidR="00C745F2" w:rsidRPr="00900E9B" w:rsidRDefault="00C745F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0C616A3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441" w:type="pct"/>
          </w:tcPr>
          <w:p w14:paraId="6A5F2009" w14:textId="77777777" w:rsidR="00383B91" w:rsidRPr="00383B91" w:rsidRDefault="00383B91" w:rsidP="008E7BD3">
            <w:pPr>
              <w:rPr>
                <w:sz w:val="20"/>
                <w:szCs w:val="20"/>
                <w:lang w:val="en-IN"/>
              </w:rPr>
            </w:pPr>
            <w:r w:rsidRPr="00383B91">
              <w:rPr>
                <w:sz w:val="20"/>
                <w:szCs w:val="20"/>
                <w:lang w:val="en-IN"/>
              </w:rPr>
              <w:t xml:space="preserve">The abstract is generally comprehensive: it states policy relevance, objectives, tool used, sample size/grades, and headline findings (predominance of “sometimes,” calmness, low endorsement of harmful </w:t>
            </w:r>
            <w:proofErr w:type="spellStart"/>
            <w:r w:rsidRPr="00383B91">
              <w:rPr>
                <w:sz w:val="20"/>
                <w:szCs w:val="20"/>
                <w:lang w:val="en-IN"/>
              </w:rPr>
              <w:t>behaviors</w:t>
            </w:r>
            <w:proofErr w:type="spellEnd"/>
            <w:r w:rsidRPr="00383B91">
              <w:rPr>
                <w:sz w:val="20"/>
                <w:szCs w:val="20"/>
                <w:lang w:val="en-IN"/>
              </w:rPr>
              <w:t>, ST-related loneliness). It would improve with three refinements:</w:t>
            </w:r>
          </w:p>
          <w:p w14:paraId="5E5CFBA5" w14:textId="77777777" w:rsidR="00383B91" w:rsidRPr="00383B91" w:rsidRDefault="00383B91" w:rsidP="00383B91">
            <w:pPr>
              <w:numPr>
                <w:ilvl w:val="0"/>
                <w:numId w:val="13"/>
              </w:numPr>
              <w:rPr>
                <w:sz w:val="20"/>
                <w:szCs w:val="20"/>
                <w:lang w:val="en-IN"/>
              </w:rPr>
            </w:pPr>
            <w:bookmarkStart w:id="4" w:name="_Hlk218631206"/>
            <w:r w:rsidRPr="00383B91">
              <w:rPr>
                <w:sz w:val="20"/>
                <w:szCs w:val="20"/>
                <w:lang w:val="en-IN"/>
              </w:rPr>
              <w:t>Add one line clarifying the sampling frame (schools selected with state supervision, approximate per-district sampling intention) and the year of data collection to anchor external validity.</w:t>
            </w:r>
          </w:p>
          <w:p w14:paraId="302EC4E1" w14:textId="77777777" w:rsidR="00875536" w:rsidRDefault="00383B91" w:rsidP="00875536">
            <w:pPr>
              <w:numPr>
                <w:ilvl w:val="0"/>
                <w:numId w:val="13"/>
              </w:numPr>
              <w:rPr>
                <w:sz w:val="20"/>
                <w:szCs w:val="20"/>
                <w:lang w:val="en-IN"/>
              </w:rPr>
            </w:pPr>
            <w:r w:rsidRPr="00383B91">
              <w:rPr>
                <w:sz w:val="20"/>
                <w:szCs w:val="20"/>
                <w:lang w:val="en-IN"/>
              </w:rPr>
              <w:t>Clarify that gender differences were not statistically significant (as the manuscript later reports chi-square results) rather than leaving it as only “descriptively observed.”</w:t>
            </w:r>
          </w:p>
          <w:p w14:paraId="0D43C0B6" w14:textId="77777777" w:rsidR="00C745F2" w:rsidRPr="00875536" w:rsidRDefault="00383B91" w:rsidP="00875536">
            <w:pPr>
              <w:numPr>
                <w:ilvl w:val="0"/>
                <w:numId w:val="13"/>
              </w:numPr>
              <w:rPr>
                <w:sz w:val="20"/>
                <w:szCs w:val="20"/>
                <w:lang w:val="en-IN"/>
              </w:rPr>
            </w:pPr>
            <w:r w:rsidRPr="00875536">
              <w:rPr>
                <w:sz w:val="20"/>
                <w:szCs w:val="20"/>
                <w:lang w:val="en-IN"/>
              </w:rPr>
              <w:t>Reduce policy preamble slightly and replace it with a crisp methodological sentence and one explicit implication (e.g., screening/SEL integration) to improve balance between context and evidence.</w:t>
            </w:r>
            <w:bookmarkEnd w:id="4"/>
          </w:p>
        </w:tc>
        <w:tc>
          <w:tcPr>
            <w:tcW w:w="1294" w:type="pct"/>
          </w:tcPr>
          <w:p w14:paraId="7B44B8D7" w14:textId="77777777" w:rsidR="00C745F2" w:rsidRPr="00900E9B" w:rsidRDefault="008E7B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In response to comments, abstract is </w:t>
            </w:r>
            <w:r w:rsidR="000B074C">
              <w:rPr>
                <w:rFonts w:ascii="Times New Roman" w:hAnsi="Times New Roman"/>
                <w:b w:val="0"/>
                <w:lang w:val="en-GB"/>
              </w:rPr>
              <w:t>improved/ refined.</w:t>
            </w:r>
          </w:p>
        </w:tc>
      </w:tr>
      <w:tr w:rsidR="00C745F2" w:rsidRPr="00900E9B" w14:paraId="5D9E8966" w14:textId="77777777" w:rsidTr="00875536">
        <w:trPr>
          <w:trHeight w:val="704"/>
        </w:trPr>
        <w:tc>
          <w:tcPr>
            <w:tcW w:w="1265" w:type="pct"/>
            <w:noWrap/>
          </w:tcPr>
          <w:p w14:paraId="7D775A4F" w14:textId="77777777" w:rsidR="00C745F2" w:rsidRPr="00900E9B" w:rsidRDefault="00C745F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441" w:type="pct"/>
          </w:tcPr>
          <w:p w14:paraId="66D0798A" w14:textId="77777777" w:rsidR="00C745F2" w:rsidRPr="00C115E9" w:rsidRDefault="00383B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83B91">
              <w:rPr>
                <w:bCs/>
                <w:sz w:val="20"/>
                <w:szCs w:val="20"/>
              </w:rPr>
              <w:t xml:space="preserve">Overall, the manuscript is directionally sound in design and reporting for a descriptive, cross-sectional classroom survey. The sampling description, tool structure (16 items; emotional vs behavioral domains; 3-point scale; reverse scoring for the “calm” item), and basic descriptive statistics are coherent. </w:t>
            </w:r>
          </w:p>
        </w:tc>
        <w:tc>
          <w:tcPr>
            <w:tcW w:w="1294" w:type="pct"/>
          </w:tcPr>
          <w:p w14:paraId="66D39240" w14:textId="77777777" w:rsidR="00C745F2" w:rsidRPr="00900E9B" w:rsidRDefault="00620D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E7BD3">
              <w:rPr>
                <w:rFonts w:ascii="Times New Roman" w:hAnsi="Times New Roman" w:cs="Times New Roman"/>
                <w:b w:val="0"/>
                <w:bCs w:val="0"/>
                <w:lang w:val="en-GB"/>
              </w:rPr>
              <w:t>Reply to comment is not required</w:t>
            </w:r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>.</w:t>
            </w:r>
          </w:p>
        </w:tc>
      </w:tr>
      <w:tr w:rsidR="00C745F2" w:rsidRPr="00900E9B" w14:paraId="7066B893" w14:textId="77777777" w:rsidTr="00875536">
        <w:trPr>
          <w:trHeight w:val="703"/>
        </w:trPr>
        <w:tc>
          <w:tcPr>
            <w:tcW w:w="1265" w:type="pct"/>
            <w:noWrap/>
          </w:tcPr>
          <w:p w14:paraId="2609FA54" w14:textId="77777777" w:rsidR="00C745F2" w:rsidRPr="00E10705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441" w:type="pct"/>
          </w:tcPr>
          <w:p w14:paraId="67D52E0C" w14:textId="77777777" w:rsidR="00C745F2" w:rsidRPr="006F5EBE" w:rsidRDefault="00383B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83B91">
              <w:rPr>
                <w:bCs/>
                <w:sz w:val="20"/>
                <w:szCs w:val="20"/>
              </w:rPr>
              <w:t xml:space="preserve">The reference list includes several credible and relevant sources, but it is </w:t>
            </w:r>
            <w:r w:rsidRPr="00383B91">
              <w:rPr>
                <w:b/>
                <w:bCs/>
                <w:sz w:val="20"/>
                <w:szCs w:val="20"/>
              </w:rPr>
              <w:t>not sufficiently current or comprehensive</w:t>
            </w:r>
            <w:r w:rsidRPr="00383B91">
              <w:rPr>
                <w:bCs/>
                <w:sz w:val="20"/>
                <w:szCs w:val="20"/>
              </w:rPr>
              <w:t xml:space="preserve"> for a manuscript positioned at the intersection of child mental health, SEL, and policy-aligned schooling. Some citations are older foundational works, and there is limited engagement with recent school mental health/SEL measurement literature and evidence from </w:t>
            </w:r>
            <w:r>
              <w:rPr>
                <w:bCs/>
                <w:sz w:val="20"/>
                <w:szCs w:val="20"/>
              </w:rPr>
              <w:t xml:space="preserve">a </w:t>
            </w:r>
            <w:r w:rsidRPr="00383B91">
              <w:rPr>
                <w:bCs/>
                <w:sz w:val="20"/>
                <w:szCs w:val="20"/>
              </w:rPr>
              <w:t>comparable context</w:t>
            </w:r>
          </w:p>
        </w:tc>
        <w:tc>
          <w:tcPr>
            <w:tcW w:w="1294" w:type="pct"/>
          </w:tcPr>
          <w:p w14:paraId="785471C6" w14:textId="77777777" w:rsidR="00620DBC" w:rsidRPr="008863FA" w:rsidRDefault="00620DBC" w:rsidP="00620DBC">
            <w:pPr>
              <w:jc w:val="both"/>
              <w:rPr>
                <w:bCs/>
                <w:sz w:val="20"/>
                <w:szCs w:val="20"/>
                <w:lang w:val="en-GB" w:bidi="ar-MA"/>
              </w:rPr>
            </w:pPr>
            <w:r w:rsidRPr="008863FA">
              <w:rPr>
                <w:bCs/>
                <w:sz w:val="20"/>
                <w:szCs w:val="20"/>
                <w:lang w:val="en-GB" w:bidi="ar-MA"/>
              </w:rPr>
              <w:t>Recent references are included in the manuscript.</w:t>
            </w:r>
          </w:p>
          <w:p w14:paraId="5A9DBCF4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0ED72AAA" w14:textId="77777777" w:rsidTr="00875536">
        <w:trPr>
          <w:trHeight w:val="386"/>
        </w:trPr>
        <w:tc>
          <w:tcPr>
            <w:tcW w:w="1265" w:type="pct"/>
            <w:noWrap/>
          </w:tcPr>
          <w:p w14:paraId="2FC3DABC" w14:textId="77777777" w:rsidR="00C745F2" w:rsidRPr="00900E9B" w:rsidRDefault="00C745F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7AB378A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41" w:type="pct"/>
          </w:tcPr>
          <w:p w14:paraId="4E7E696C" w14:textId="77777777" w:rsidR="00C745F2" w:rsidRPr="00900E9B" w:rsidRDefault="00383B91">
            <w:pPr>
              <w:rPr>
                <w:sz w:val="20"/>
                <w:szCs w:val="20"/>
                <w:lang w:val="en-GB"/>
              </w:rPr>
            </w:pPr>
            <w:r w:rsidRPr="00383B91">
              <w:rPr>
                <w:sz w:val="20"/>
                <w:szCs w:val="20"/>
              </w:rPr>
              <w:t xml:space="preserve">The manuscript is readable and generally appropriate for scholarly communication, with clear sectioning and an accessible narrative. However, it requires </w:t>
            </w:r>
            <w:r w:rsidRPr="00383B91">
              <w:rPr>
                <w:b/>
                <w:bCs/>
                <w:sz w:val="20"/>
                <w:szCs w:val="20"/>
              </w:rPr>
              <w:t>moderate language editing</w:t>
            </w:r>
            <w:r w:rsidRPr="00383B91">
              <w:rPr>
                <w:sz w:val="20"/>
                <w:szCs w:val="20"/>
              </w:rPr>
              <w:t xml:space="preserve"> for consistency (terminology such as “</w:t>
            </w:r>
            <w:proofErr w:type="spellStart"/>
            <w:r w:rsidRPr="00383B91">
              <w:rPr>
                <w:sz w:val="20"/>
                <w:szCs w:val="20"/>
              </w:rPr>
              <w:t>NorthEast</w:t>
            </w:r>
            <w:proofErr w:type="spellEnd"/>
            <w:r w:rsidRPr="00383B91">
              <w:rPr>
                <w:sz w:val="20"/>
                <w:szCs w:val="20"/>
              </w:rPr>
              <w:t>/North-East,” “</w:t>
            </w:r>
            <w:proofErr w:type="spellStart"/>
            <w:r w:rsidRPr="00383B91">
              <w:rPr>
                <w:sz w:val="20"/>
                <w:szCs w:val="20"/>
              </w:rPr>
              <w:t>selfreported</w:t>
            </w:r>
            <w:proofErr w:type="spellEnd"/>
            <w:r w:rsidRPr="00383B91">
              <w:rPr>
                <w:sz w:val="20"/>
                <w:szCs w:val="20"/>
              </w:rPr>
              <w:t>/self-reported”), grammatical tightening, and reduction of repetition—especially where policy context is reiterated and where results are re-stated multiple times.</w:t>
            </w:r>
          </w:p>
        </w:tc>
        <w:tc>
          <w:tcPr>
            <w:tcW w:w="1294" w:type="pct"/>
          </w:tcPr>
          <w:p w14:paraId="629F283A" w14:textId="77777777" w:rsidR="00C745F2" w:rsidRPr="00620DBC" w:rsidRDefault="00620DBC">
            <w:pPr>
              <w:rPr>
                <w:bCs/>
                <w:sz w:val="20"/>
                <w:szCs w:val="20"/>
                <w:lang w:val="en-GB"/>
              </w:rPr>
            </w:pPr>
            <w:r w:rsidRPr="00620DBC">
              <w:rPr>
                <w:bCs/>
                <w:sz w:val="20"/>
                <w:szCs w:val="20"/>
                <w:lang w:val="en-GB"/>
              </w:rPr>
              <w:t xml:space="preserve">In response to comments, necessary language editing is made in the manuscript. </w:t>
            </w:r>
          </w:p>
        </w:tc>
      </w:tr>
      <w:tr w:rsidR="00C745F2" w:rsidRPr="00900E9B" w14:paraId="12EA1FB5" w14:textId="77777777" w:rsidTr="00875536">
        <w:trPr>
          <w:trHeight w:val="260"/>
        </w:trPr>
        <w:tc>
          <w:tcPr>
            <w:tcW w:w="1265" w:type="pct"/>
            <w:noWrap/>
          </w:tcPr>
          <w:p w14:paraId="6F8C7D51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BB08A27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441" w:type="pct"/>
          </w:tcPr>
          <w:p w14:paraId="3EB0F294" w14:textId="77777777" w:rsidR="00C745F2" w:rsidRPr="000D0955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94" w:type="pct"/>
          </w:tcPr>
          <w:p w14:paraId="2556EDB6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ACF2C42" w14:textId="77777777" w:rsidR="00C745F2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E1C116" w14:textId="77777777" w:rsidR="00875536" w:rsidRDefault="00875536">
      <w:bookmarkStart w:id="5" w:name="_Hlk156057883"/>
      <w:bookmarkStart w:id="6" w:name="_Hlk156057704"/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E1F23" w:rsidRPr="005E1F23" w14:paraId="7EEE8859" w14:textId="77777777" w:rsidTr="005E1F2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92C0E" w14:textId="77777777" w:rsidR="005E1F23" w:rsidRPr="005E1F23" w:rsidRDefault="005E1F23" w:rsidP="005E1F2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E1F2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5E1F2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DBDE5E" w14:textId="77777777" w:rsidR="005E1F23" w:rsidRPr="005E1F23" w:rsidRDefault="005E1F23" w:rsidP="005E1F2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E1F23" w:rsidRPr="005E1F23" w14:paraId="4CA50B41" w14:textId="77777777" w:rsidTr="005E1F2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1B41F" w14:textId="77777777" w:rsidR="005E1F23" w:rsidRPr="005E1F23" w:rsidRDefault="005E1F23" w:rsidP="005E1F2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7D16C" w14:textId="77777777" w:rsidR="005E1F23" w:rsidRPr="005E1F23" w:rsidRDefault="005E1F23" w:rsidP="005E1F2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1F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CCA3" w14:textId="77777777" w:rsidR="005E1F23" w:rsidRPr="005E1F23" w:rsidRDefault="005E1F23" w:rsidP="005E1F2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1F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1F2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3C7016" w14:textId="77777777" w:rsidR="005E1F23" w:rsidRPr="005E1F23" w:rsidRDefault="005E1F23" w:rsidP="005E1F2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1F23" w:rsidRPr="00875536" w14:paraId="3CB5C895" w14:textId="77777777" w:rsidTr="005E1F2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DA1D7" w14:textId="77777777" w:rsidR="005E1F23" w:rsidRPr="005E1F23" w:rsidRDefault="005E1F23" w:rsidP="005E1F2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E1F2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A269E29" w14:textId="77777777" w:rsidR="005E1F23" w:rsidRPr="005E1F23" w:rsidRDefault="005E1F23" w:rsidP="005E1F2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317D" w14:textId="77777777" w:rsidR="005E1F23" w:rsidRPr="005E1F23" w:rsidRDefault="005E1F23" w:rsidP="005E1F2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E1F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E1F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E1F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80D2A6E" w14:textId="77777777" w:rsidR="005E1F23" w:rsidRPr="005E1F23" w:rsidRDefault="005E1F23" w:rsidP="005E1F2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8345" w14:textId="77777777" w:rsidR="005E1F23" w:rsidRPr="00875536" w:rsidRDefault="00620DBC" w:rsidP="005E1F23">
            <w:pPr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  <w:r w:rsidRPr="00875536">
              <w:rPr>
                <w:rFonts w:eastAsia="Arial Unicode MS"/>
                <w:sz w:val="20"/>
                <w:szCs w:val="20"/>
                <w:lang w:val="en-GB"/>
              </w:rPr>
              <w:t xml:space="preserve">Ethical issues are already taken up, and the same added in the manuscript as – </w:t>
            </w:r>
            <w:bookmarkStart w:id="7" w:name="_Hlk217379925"/>
            <w:r w:rsidRPr="00875536">
              <w:rPr>
                <w:rFonts w:eastAsia="Arial Unicode MS"/>
                <w:sz w:val="20"/>
                <w:szCs w:val="20"/>
              </w:rPr>
              <w:t>The study applies ethical measures—including informed consent, stakeholder protection, and data confidentiality—to ensure integrity and accountability in school data collection.</w:t>
            </w:r>
            <w:bookmarkEnd w:id="7"/>
          </w:p>
        </w:tc>
      </w:tr>
      <w:bookmarkEnd w:id="5"/>
    </w:tbl>
    <w:p w14:paraId="24DCBFCB" w14:textId="77777777" w:rsidR="005E1F23" w:rsidRPr="005E1F23" w:rsidRDefault="005E1F23" w:rsidP="005E1F23"/>
    <w:p w14:paraId="43B6830C" w14:textId="77777777" w:rsidR="005E1F23" w:rsidRPr="005E1F23" w:rsidRDefault="005E1F23" w:rsidP="005E1F23"/>
    <w:p w14:paraId="4BCE34F5" w14:textId="77777777" w:rsidR="005E1F23" w:rsidRPr="005E1F23" w:rsidRDefault="005E1F23" w:rsidP="005E1F23">
      <w:pPr>
        <w:rPr>
          <w:bCs/>
          <w:u w:val="single"/>
          <w:lang w:val="en-GB"/>
        </w:rPr>
      </w:pPr>
    </w:p>
    <w:bookmarkEnd w:id="6"/>
    <w:p w14:paraId="40D26D6D" w14:textId="77777777" w:rsidR="005E1F23" w:rsidRPr="005E1F23" w:rsidRDefault="005E1F23" w:rsidP="005E1F23"/>
    <w:bookmarkEnd w:id="0"/>
    <w:bookmarkEnd w:id="1"/>
    <w:p w14:paraId="63BCC0F1" w14:textId="77777777" w:rsidR="005E1F23" w:rsidRPr="00900E9B" w:rsidRDefault="005E1F23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E1F23" w:rsidRPr="00900E9B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F35D0" w14:textId="77777777" w:rsidR="00E84B09" w:rsidRPr="0000007A" w:rsidRDefault="00E84B09" w:rsidP="0099583E">
      <w:r>
        <w:separator/>
      </w:r>
    </w:p>
  </w:endnote>
  <w:endnote w:type="continuationSeparator" w:id="0">
    <w:p w14:paraId="7A2A71EF" w14:textId="77777777" w:rsidR="00E84B09" w:rsidRPr="0000007A" w:rsidRDefault="00E84B0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F718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C6A6F" w14:textId="77777777" w:rsidR="00E84B09" w:rsidRPr="0000007A" w:rsidRDefault="00E84B09" w:rsidP="0099583E">
      <w:r>
        <w:separator/>
      </w:r>
    </w:p>
  </w:footnote>
  <w:footnote w:type="continuationSeparator" w:id="0">
    <w:p w14:paraId="4C0F97DD" w14:textId="77777777" w:rsidR="00E84B09" w:rsidRPr="0000007A" w:rsidRDefault="00E84B0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B4F1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8517F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C3B70"/>
    <w:multiLevelType w:val="multilevel"/>
    <w:tmpl w:val="0BFC3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96C10"/>
    <w:rsid w:val="000A2134"/>
    <w:rsid w:val="000A6F41"/>
    <w:rsid w:val="000B074C"/>
    <w:rsid w:val="000B4EE5"/>
    <w:rsid w:val="000B74A1"/>
    <w:rsid w:val="000B757E"/>
    <w:rsid w:val="000C0837"/>
    <w:rsid w:val="000C3B7E"/>
    <w:rsid w:val="00100577"/>
    <w:rsid w:val="00101322"/>
    <w:rsid w:val="00136984"/>
    <w:rsid w:val="00140B85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A3B9C"/>
    <w:rsid w:val="001A5438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83B91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E1F23"/>
    <w:rsid w:val="00602F7D"/>
    <w:rsid w:val="00605952"/>
    <w:rsid w:val="00620677"/>
    <w:rsid w:val="00620DBC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4CD9"/>
    <w:rsid w:val="006E7D6E"/>
    <w:rsid w:val="006F6F2F"/>
    <w:rsid w:val="006F7675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2261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5536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E7BD3"/>
    <w:rsid w:val="008F36E4"/>
    <w:rsid w:val="0092723C"/>
    <w:rsid w:val="00930E5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08CF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1C6F"/>
    <w:rsid w:val="00BF39A4"/>
    <w:rsid w:val="00C02797"/>
    <w:rsid w:val="00C03B64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A09E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4A10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5493"/>
    <w:rsid w:val="00E83FDE"/>
    <w:rsid w:val="00E84B09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97DD5"/>
  <w15:chartTrackingRefBased/>
  <w15:docId w15:val="{4CFF4437-A935-4F05-A810-621A8E4F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A73C1-FAA8-43DA-8E2D-2B371E24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2026-01-06T17:51:00Z</dcterms:created>
  <dcterms:modified xsi:type="dcterms:W3CDTF">2026-01-07T07:17:00Z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b976d908-8100-4921-89b0-ac885558e88e</vt:lpwstr>
  </property>
</Properties>
</file>