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6">
              <w:r w:rsidDel="00000000" w:rsidR="00000000" w:rsidRPr="00000000">
                <w:rPr>
                  <w:rFonts w:ascii="Arial" w:cs="Arial" w:eastAsia="Arial" w:hAnsi="Arial"/>
                  <w:b w:val="1"/>
                  <w:bCs w:val="1"/>
                  <w:color w:val="0000ff"/>
                  <w:sz w:val="20"/>
                  <w:szCs w:val="20"/>
                  <w:u w:val="single"/>
                  <w:vertAlign w:val="baseline"/>
                  <w:rtl w:val="0"/>
                </w:rPr>
                <w:t xml:space="preserve">Asian Journal of Economics, Business and Accounting</w:t>
              </w:r>
            </w:hyperlink>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Ms_AJEBA_151527</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THE IMPACT OF NATURAL DISASTERS ON ECONOMIC GROWTH IN INDONESIA: ANALYSIS OF TIME-SERIES DATA FROM 1960 TO 2024</w:t>
              <w:tab/>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Original Research Article</w:t>
            </w:r>
            <w:r w:rsidDel="00000000" w:rsidR="00000000" w:rsidRPr="00000000">
              <w:rPr>
                <w:rtl w:val="0"/>
              </w:rPr>
            </w:r>
          </w:p>
        </w:tc>
      </w:tr>
    </w:tbl>
    <w:p w:rsidR="00000000" w:rsidDel="00000000" w:rsidP="00000000" w:rsidRDefault="00000000" w:rsidRPr="00000000" w14:paraId="0000000C">
      <w:pPr>
        <w:rPr>
          <w:sz w:val="20"/>
          <w:szCs w:val="20"/>
          <w:vertAlign w:val="baseline"/>
        </w:rPr>
      </w:pPr>
      <w:bookmarkStart w:colFirst="0" w:colLast="0" w:name="_15nx3yygz0c1" w:id="0"/>
      <w:bookmarkEnd w:id="0"/>
      <w:r w:rsidDel="00000000" w:rsidR="00000000" w:rsidRPr="00000000">
        <w:rPr>
          <w:rtl w:val="0"/>
        </w:rPr>
      </w:r>
    </w:p>
    <w:p w:rsidR="00000000" w:rsidDel="00000000" w:rsidP="00000000" w:rsidRDefault="00000000" w:rsidRPr="00000000" w14:paraId="0000000D">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8367"/>
        <w:gridCol w:w="7432"/>
        <w:tblGridChange w:id="0">
          <w:tblGrid>
            <w:gridCol w:w="5351"/>
            <w:gridCol w:w="8367"/>
            <w:gridCol w:w="743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E">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4">
            <w:pPr>
              <w:rPr>
                <w:b w:val="0"/>
                <w:bCs w:val="0"/>
                <w:sz w:val="20"/>
                <w:szCs w:val="20"/>
                <w:vertAlign w:val="baseline"/>
              </w:rPr>
            </w:pPr>
            <w:r w:rsidDel="00000000" w:rsidR="00000000" w:rsidRPr="00000000">
              <w:rPr>
                <w:b w:val="1"/>
                <w:bCs w:val="1"/>
                <w:sz w:val="20"/>
                <w:szCs w:val="20"/>
                <w:highlight w:val="yellow"/>
                <w:vertAlign w:val="baseline"/>
                <w:rtl w:val="0"/>
              </w:rPr>
              <w:t xml:space="preserve">Artificial Intelligence (AI) generated or assisted review comments are strictly prohibited during peer review.</w:t>
            </w:r>
            <w:r w:rsidDel="00000000" w:rsidR="00000000" w:rsidRPr="00000000">
              <w:rPr>
                <w:rtl w:val="0"/>
              </w:rPr>
            </w:r>
          </w:p>
          <w:p w:rsidR="00000000" w:rsidDel="00000000" w:rsidP="00000000" w:rsidRDefault="00000000" w:rsidRPr="00000000" w14:paraId="00000015">
            <w:pPr>
              <w:rPr>
                <w:vertAlign w:val="baseline"/>
              </w:rPr>
            </w:pPr>
            <w:r w:rsidDel="00000000" w:rsidR="00000000" w:rsidRPr="00000000">
              <w:rPr>
                <w:rtl w:val="0"/>
              </w:rPr>
            </w:r>
          </w:p>
        </w:tc>
        <w:tc>
          <w:tcPr>
            <w:vAlign w:val="top"/>
          </w:tcPr>
          <w:p w:rsidR="00000000" w:rsidDel="00000000" w:rsidP="00000000" w:rsidRDefault="00000000" w:rsidRPr="00000000" w14:paraId="00000016">
            <w:pPr>
              <w:spacing w:after="160" w:line="256"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7">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study presents evidences of impacts of natural disasters on the national economic growth of Indonesia in short and long runs. However, only one variable was tested (people affected by disaster) to proxy the natural disasters. It is more pronounced if the natural disasters are using more proxies such as the loss or damage to the property/infrastructure/businesses (in rupiah value) and the government specific aid/spending to disaster recovery/risk reduction or mitigation actions. </w:t>
            </w:r>
          </w:p>
        </w:tc>
        <w:tc>
          <w:tcPr>
            <w:vAlign w:val="center"/>
          </w:tcPr>
          <w:p w:rsidR="00000000" w:rsidDel="00000000" w:rsidP="00000000" w:rsidRDefault="00000000" w:rsidRPr="00000000" w14:paraId="0000001B">
            <w:pPr>
              <w:pStyle w:val="Heading2"/>
              <w:jc w:val="left"/>
              <w:rPr>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a)This study provides long-term macroeconomic evidence on the impact of natural disasters on economic growth in Indonesia using annual data from 1960–2024. The findings contribute to the literature on disaster economics and offer policy-relevant insights for strengthening economic resilience in disaster-prone emerging economies</w:t>
            </w:r>
            <w:r w:rsidDel="00000000" w:rsidR="00000000" w:rsidRPr="00000000">
              <w:rPr>
                <w:b w:val="0"/>
                <w:bCs w:val="0"/>
                <w:vertAlign w:val="baseline"/>
                <w:rtl w:val="0"/>
              </w:rPr>
              <w:t xml:space="preserve">.</w:t>
            </w:r>
          </w:p>
          <w:p w:rsidR="00000000" w:rsidDel="00000000" w:rsidP="00000000" w:rsidRDefault="00000000" w:rsidRPr="00000000" w14:paraId="0000001C">
            <w:pPr>
              <w:rPr>
                <w:vertAlign w:val="baseline"/>
              </w:rPr>
            </w:pPr>
            <w:r w:rsidDel="00000000" w:rsidR="00000000" w:rsidRPr="00000000">
              <w:rPr>
                <w:rtl w:val="0"/>
              </w:rPr>
            </w:r>
          </w:p>
          <w:p w:rsidR="00000000" w:rsidDel="00000000" w:rsidP="00000000" w:rsidRDefault="00000000" w:rsidRPr="00000000" w14:paraId="0000001D">
            <w:pPr>
              <w:rPr>
                <w:vertAlign w:val="baseline"/>
              </w:rPr>
            </w:pPr>
            <w:r w:rsidDel="00000000" w:rsidR="00000000" w:rsidRPr="00000000">
              <w:rPr>
                <w:vertAlign w:val="baseline"/>
                <w:rtl w:val="0"/>
              </w:rPr>
              <w:t xml:space="preserve">b</w:t>
            </w:r>
            <w:r w:rsidDel="00000000" w:rsidR="00000000" w:rsidRPr="00000000">
              <w:rPr>
                <w:sz w:val="20"/>
                <w:szCs w:val="20"/>
                <w:vertAlign w:val="baseline"/>
                <w:rtl w:val="0"/>
              </w:rPr>
              <w:t xml:space="preserve">) The number of people affected was used due to its consistent availability over the entire sample period, which is essential for long-run time-series analysis. Other proxies such as monetary damage or disaster-specific aid are not consistently available for 1960–2024. </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E">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F">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20">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1">
            <w:pPr>
              <w:rPr>
                <w:sz w:val="20"/>
                <w:szCs w:val="20"/>
                <w:vertAlign w:val="baseline"/>
              </w:rPr>
            </w:pPr>
            <w:r w:rsidDel="00000000" w:rsidR="00000000" w:rsidRPr="00000000">
              <w:rPr>
                <w:sz w:val="20"/>
                <w:szCs w:val="20"/>
                <w:vertAlign w:val="baseline"/>
                <w:rtl w:val="0"/>
              </w:rPr>
              <w:t xml:space="preserve">On the title, it is suggested to add the ‘macroeconomic determinants’ as they also act as the main variables in the model of study</w:t>
            </w:r>
          </w:p>
        </w:tc>
        <w:tc>
          <w:tcPr>
            <w:vAlign w:val="top"/>
          </w:tcPr>
          <w:p w:rsidR="00000000" w:rsidDel="00000000" w:rsidP="00000000" w:rsidRDefault="00000000" w:rsidRPr="00000000" w14:paraId="00000022">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The title has been revised to reflect the inclusion of key macroeconomic determinants alongside natural disasters in the growth model.</w:t>
            </w:r>
          </w:p>
        </w:tc>
      </w:tr>
      <w:tr>
        <w:trPr>
          <w:cantSplit w:val="0"/>
          <w:trHeight w:val="1262" w:hRule="atLeast"/>
          <w:tblHeader w:val="0"/>
        </w:trPr>
        <w:tc>
          <w:tcPr>
            <w:vAlign w:val="top"/>
          </w:tcPr>
          <w:p w:rsidR="00000000" w:rsidDel="00000000" w:rsidP="00000000" w:rsidRDefault="00000000" w:rsidRPr="00000000" w14:paraId="00000023">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4">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5">
            <w:pPr>
              <w:rPr>
                <w:sz w:val="20"/>
                <w:szCs w:val="20"/>
                <w:vertAlign w:val="baseline"/>
              </w:rPr>
            </w:pPr>
            <w:r w:rsidDel="00000000" w:rsidR="00000000" w:rsidRPr="00000000">
              <w:rPr>
                <w:sz w:val="20"/>
                <w:szCs w:val="20"/>
                <w:vertAlign w:val="baseline"/>
                <w:rtl w:val="0"/>
              </w:rPr>
              <w:t xml:space="preserve">“..short-run effects are insignificant, suggesting/implying….?”</w:t>
            </w:r>
          </w:p>
        </w:tc>
        <w:tc>
          <w:tcPr>
            <w:vAlign w:val="top"/>
          </w:tcPr>
          <w:p w:rsidR="00000000" w:rsidDel="00000000" w:rsidP="00000000" w:rsidRDefault="00000000" w:rsidRPr="00000000" w14:paraId="00000026">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The abstract has been revised to clarify that insignificant short-run effects imply that disaster impacts materialize through delayed and cumulative channels rather than immediate output contractions</w:t>
            </w:r>
          </w:p>
        </w:tc>
      </w:tr>
      <w:tr>
        <w:trPr>
          <w:cantSplit w:val="0"/>
          <w:trHeight w:val="704" w:hRule="atLeast"/>
          <w:tblHeader w:val="0"/>
        </w:trPr>
        <w:tc>
          <w:tcPr>
            <w:vAlign w:val="top"/>
          </w:tcPr>
          <w:p w:rsidR="00000000" w:rsidDel="00000000" w:rsidP="00000000" w:rsidRDefault="00000000" w:rsidRPr="00000000" w14:paraId="00000027">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The manuscript follows the flow of a scientific study starting with introduction, and ending with conclusion and recommendation.</w:t>
            </w:r>
          </w:p>
        </w:tc>
        <w:tc>
          <w:tcPr>
            <w:vAlign w:val="center"/>
          </w:tcPr>
          <w:p w:rsidR="00000000" w:rsidDel="00000000" w:rsidP="00000000" w:rsidRDefault="00000000" w:rsidRPr="00000000" w14:paraId="00000029">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Yes. The manuscript follows a standard scientific structure.</w:t>
            </w:r>
          </w:p>
        </w:tc>
      </w:tr>
      <w:tr>
        <w:trPr>
          <w:cantSplit w:val="0"/>
          <w:trHeight w:val="703" w:hRule="atLeast"/>
          <w:tblHeader w:val="0"/>
        </w:trPr>
        <w:tc>
          <w:tcPr>
            <w:vAlign w:val="top"/>
          </w:tcPr>
          <w:p w:rsidR="00000000" w:rsidDel="00000000" w:rsidP="00000000" w:rsidRDefault="00000000" w:rsidRPr="00000000" w14:paraId="0000002A">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 add literature on capital formation, labor force, trade openness, and population in relation to economic growth. If possible, to highlight more empirical evidences of the studies from other countries.</w:t>
            </w:r>
          </w:p>
        </w:tc>
        <w:tc>
          <w:tcPr>
            <w:vAlign w:val="center"/>
          </w:tcPr>
          <w:p w:rsidR="00000000" w:rsidDel="00000000" w:rsidP="00000000" w:rsidRDefault="00000000" w:rsidRPr="00000000" w14:paraId="0000002C">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Additional literature on capital formation, labor, trade openness, population, and international evidence has been incorporated. The suggested recent IMF reference has also been added.</w:t>
            </w:r>
          </w:p>
        </w:tc>
      </w:tr>
      <w:tr>
        <w:trPr>
          <w:cantSplit w:val="0"/>
          <w:trHeight w:val="386" w:hRule="atLeast"/>
          <w:tblHeader w:val="0"/>
        </w:trPr>
        <w:tc>
          <w:tcPr>
            <w:vAlign w:val="top"/>
          </w:tcPr>
          <w:p w:rsidR="00000000" w:rsidDel="00000000" w:rsidP="00000000" w:rsidRDefault="00000000" w:rsidRPr="00000000" w14:paraId="0000002D">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E">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F">
            <w:pPr>
              <w:rPr>
                <w:sz w:val="20"/>
                <w:szCs w:val="20"/>
                <w:vertAlign w:val="baseline"/>
              </w:rPr>
            </w:pPr>
            <w:r w:rsidDel="00000000" w:rsidR="00000000" w:rsidRPr="00000000">
              <w:rPr>
                <w:sz w:val="20"/>
                <w:szCs w:val="20"/>
                <w:vertAlign w:val="baseline"/>
                <w:rtl w:val="0"/>
              </w:rPr>
              <w:t xml:space="preserve">Yes</w:t>
            </w:r>
          </w:p>
        </w:tc>
        <w:tc>
          <w:tcPr>
            <w:vAlign w:val="center"/>
          </w:tcPr>
          <w:p w:rsidR="00000000" w:rsidDel="00000000" w:rsidP="00000000" w:rsidRDefault="00000000" w:rsidRPr="00000000" w14:paraId="00000030">
            <w:pPr>
              <w:rPr>
                <w:sz w:val="20"/>
                <w:szCs w:val="20"/>
                <w:vertAlign w:val="baseline"/>
              </w:rPr>
            </w:pPr>
            <w:r w:rsidDel="00000000" w:rsidR="00000000" w:rsidRPr="00000000">
              <w:rPr>
                <w:sz w:val="20"/>
                <w:szCs w:val="20"/>
                <w:vertAlign w:val="baseline"/>
                <w:rtl w:val="0"/>
              </w:rPr>
              <w:t xml:space="preserve">Yes. </w:t>
            </w:r>
          </w:p>
        </w:tc>
      </w:tr>
      <w:tr>
        <w:trPr>
          <w:cantSplit w:val="0"/>
          <w:trHeight w:val="1178" w:hRule="atLeast"/>
          <w:tblHeader w:val="0"/>
        </w:trPr>
        <w:tc>
          <w:tcPr>
            <w:vAlign w:val="top"/>
          </w:tcPr>
          <w:p w:rsidR="00000000" w:rsidDel="00000000" w:rsidP="00000000" w:rsidRDefault="00000000" w:rsidRPr="00000000" w14:paraId="00000031">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2">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In introduction section, it is suggested to include:</w:t>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79" w:right="0" w:hanging="319"/>
              <w:jc w:val="left"/>
              <w:rPr>
                <w:rFonts w:ascii="Times New Roman" w:cs="Times New Roman" w:eastAsia="Times New Roman" w:hAnsi="Times New Roman"/>
                <w:b w:val="0"/>
                <w:bCs w:val="0"/>
                <w:i w:val="0"/>
                <w:iCs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data from the main actual events that happened and its implications in terms of lives loss (numbers) and property damage/business loss (approximate in value) such as Palu earthquake and tsunami (2018), Yogyakarta earthquake (2006), and Aceh tsunami (2004) to support the evidence.</w:t>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79" w:right="0" w:hanging="319"/>
              <w:jc w:val="left"/>
              <w:rPr>
                <w:rFonts w:ascii="Times New Roman" w:cs="Times New Roman" w:eastAsia="Times New Roman" w:hAnsi="Times New Roman"/>
                <w:b w:val="0"/>
                <w:bCs w:val="0"/>
                <w:i w:val="0"/>
                <w:iCs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data in % on the impacts of such events on the national economy; this can be done by comparing the % before, during and after the events.</w:t>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79" w:right="0" w:hanging="319"/>
              <w:jc w:val="left"/>
              <w:rPr>
                <w:rFonts w:ascii="Times New Roman" w:cs="Times New Roman" w:eastAsia="Times New Roman" w:hAnsi="Times New Roman"/>
                <w:b w:val="0"/>
                <w:bCs w:val="0"/>
                <w:i w:val="0"/>
                <w:iCs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author mentioned that “…assess the role of foreign direct investment, government expenditure, trade openness, capital, labor, and population in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mediating</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the economic effects of natural disasters”. But, there was no such test/result/discussion on the mediating roles of the variables.</w:t>
            </w:r>
          </w:p>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79" w:right="0" w:hanging="319"/>
              <w:jc w:val="left"/>
              <w:rPr>
                <w:rFonts w:ascii="Times New Roman" w:cs="Times New Roman" w:eastAsia="Times New Roman" w:hAnsi="Times New Roman"/>
                <w:b w:val="0"/>
                <w:bCs w:val="0"/>
                <w:i w:val="0"/>
                <w:iCs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results of descriptive statistics and other diagnostic tests are suggested to be included in the results section.</w:t>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79" w:right="0" w:hanging="319"/>
              <w:jc w:val="left"/>
              <w:rPr>
                <w:rFonts w:ascii="Times New Roman" w:cs="Times New Roman" w:eastAsia="Times New Roman" w:hAnsi="Times New Roman"/>
                <w:b w:val="0"/>
                <w:bCs w:val="0"/>
                <w:i w:val="0"/>
                <w:iCs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It is suggested to perform Granger causality test as robustness check.</w:t>
            </w:r>
          </w:p>
        </w:tc>
        <w:tc>
          <w:tcPr>
            <w:vAlign w:val="top"/>
          </w:tcPr>
          <w:p w:rsidR="00000000" w:rsidDel="00000000" w:rsidP="00000000" w:rsidRDefault="00000000" w:rsidRPr="00000000" w14:paraId="00000039">
            <w:pPr>
              <w:rPr>
                <w:sz w:val="20"/>
                <w:szCs w:val="20"/>
                <w:vertAlign w:val="baseline"/>
              </w:rPr>
            </w:pPr>
            <w:r w:rsidDel="00000000" w:rsidR="00000000" w:rsidRPr="00000000">
              <w:rPr>
                <w:sz w:val="20"/>
                <w:szCs w:val="20"/>
                <w:vertAlign w:val="baseline"/>
                <w:rtl w:val="0"/>
              </w:rPr>
              <w:t xml:space="preserve">The introduction was revised to include references to major disasters such as the 2004 Aceh tsunami,2006 Yogyakarta earthquake, and 2018 Palu disaster to strengthen the arguments</w:t>
            </w:r>
          </w:p>
          <w:p w:rsidR="00000000" w:rsidDel="00000000" w:rsidP="00000000" w:rsidRDefault="00000000" w:rsidRPr="00000000" w14:paraId="0000003A">
            <w:pPr>
              <w:rPr>
                <w:sz w:val="20"/>
                <w:szCs w:val="20"/>
                <w:vertAlign w:val="baseline"/>
              </w:rPr>
            </w:pPr>
            <w:r w:rsidDel="00000000" w:rsidR="00000000" w:rsidRPr="00000000">
              <w:rPr>
                <w:sz w:val="20"/>
                <w:szCs w:val="20"/>
                <w:vertAlign w:val="baseline"/>
                <w:rtl w:val="0"/>
              </w:rPr>
              <w:t xml:space="preserve">Due to data limitations over a long period, precise percentage comparisons could not be consistently included; macroeconomic impacts are discussed using existing empirical evidence and reports.</w:t>
            </w:r>
          </w:p>
          <w:p w:rsidR="00000000" w:rsidDel="00000000" w:rsidP="00000000" w:rsidRDefault="00000000" w:rsidRPr="00000000" w14:paraId="0000003B">
            <w:pPr>
              <w:rPr>
                <w:sz w:val="20"/>
                <w:szCs w:val="20"/>
                <w:vertAlign w:val="baseline"/>
              </w:rPr>
            </w:pPr>
            <w:r w:rsidDel="00000000" w:rsidR="00000000" w:rsidRPr="00000000">
              <w:rPr>
                <w:sz w:val="20"/>
                <w:szCs w:val="20"/>
                <w:vertAlign w:val="baseline"/>
                <w:rtl w:val="0"/>
              </w:rPr>
              <w:t xml:space="preserve">Granger causality tests within the VECM framework were conducted to examine transmission channels. Results show that disasters affect growth indirectly through capital formation, FDI, and government expenditure</w:t>
            </w:r>
          </w:p>
          <w:p w:rsidR="00000000" w:rsidDel="00000000" w:rsidP="00000000" w:rsidRDefault="00000000" w:rsidRPr="00000000" w14:paraId="0000003C">
            <w:pPr>
              <w:rPr>
                <w:sz w:val="20"/>
                <w:szCs w:val="20"/>
                <w:vertAlign w:val="baseline"/>
              </w:rPr>
            </w:pPr>
            <w:r w:rsidDel="00000000" w:rsidR="00000000" w:rsidRPr="00000000">
              <w:rPr>
                <w:sz w:val="20"/>
                <w:szCs w:val="20"/>
                <w:vertAlign w:val="baseline"/>
                <w:rtl w:val="0"/>
              </w:rPr>
              <w:t xml:space="preserve">Descriptive statistics and diagnostic test results are added and discussed in the Results section.</w:t>
            </w:r>
          </w:p>
          <w:p w:rsidR="00000000" w:rsidDel="00000000" w:rsidP="00000000" w:rsidRDefault="00000000" w:rsidRPr="00000000" w14:paraId="0000003D">
            <w:pPr>
              <w:rPr>
                <w:sz w:val="20"/>
                <w:szCs w:val="20"/>
                <w:vertAlign w:val="baseline"/>
              </w:rPr>
            </w:pPr>
            <w:r w:rsidDel="00000000" w:rsidR="00000000" w:rsidRPr="00000000">
              <w:rPr>
                <w:sz w:val="20"/>
                <w:szCs w:val="20"/>
                <w:vertAlign w:val="baseline"/>
                <w:rtl w:val="0"/>
              </w:rPr>
              <w:t xml:space="preserve">Granger causality tests were performed and included in the literature review and discussion sections. </w:t>
            </w:r>
          </w:p>
          <w:p w:rsidR="00000000" w:rsidDel="00000000" w:rsidP="00000000" w:rsidRDefault="00000000" w:rsidRPr="00000000" w14:paraId="0000003E">
            <w:pPr>
              <w:rPr>
                <w:sz w:val="20"/>
                <w:szCs w:val="20"/>
                <w:vertAlign w:val="baseline"/>
              </w:rPr>
            </w:pPr>
            <w:r w:rsidDel="00000000" w:rsidR="00000000" w:rsidRPr="00000000">
              <w:rPr>
                <w:sz w:val="20"/>
                <w:szCs w:val="20"/>
                <w:vertAlign w:val="baseline"/>
                <w:rtl w:val="0"/>
              </w:rPr>
              <w:t xml:space="preserve">.</w:t>
            </w:r>
          </w:p>
        </w:tc>
      </w:tr>
    </w:tb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yb7w6r99fuz" w:id="1"/>
      <w:bookmarkEnd w:id="1"/>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369"/>
        <w:gridCol w:w="8781"/>
        <w:tblGridChange w:id="0">
          <w:tblGrid>
            <w:gridCol w:w="12369"/>
            <w:gridCol w:w="8781"/>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43">
            <w:pPr>
              <w:rPr>
                <w:b w:val="0"/>
                <w:bCs w:val="0"/>
                <w:sz w:val="20"/>
                <w:szCs w:val="20"/>
                <w:u w:val="single"/>
                <w:vertAlign w:val="baseline"/>
              </w:rPr>
            </w:pPr>
            <w:r w:rsidDel="00000000" w:rsidR="00000000" w:rsidRPr="00000000">
              <w:rPr>
                <w:b w:val="1"/>
                <w:bCs w:val="1"/>
                <w:sz w:val="20"/>
                <w:szCs w:val="20"/>
                <w:u w:val="single"/>
                <w:vertAlign w:val="baseline"/>
                <w:rtl w:val="0"/>
              </w:rPr>
              <w:t xml:space="preserve">Editorial Comments (This section is reserved for the comments from journal editorial office and editors):</w:t>
            </w:r>
            <w:r w:rsidDel="00000000" w:rsidR="00000000" w:rsidRPr="00000000">
              <w:rPr>
                <w:rtl w:val="0"/>
              </w:rPr>
            </w:r>
          </w:p>
          <w:p w:rsidR="00000000" w:rsidDel="00000000" w:rsidP="00000000" w:rsidRDefault="00000000" w:rsidRPr="00000000" w14:paraId="00000044">
            <w:pPr>
              <w:rPr>
                <w:b w:val="0"/>
                <w:bCs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6">
            <w:pPr>
              <w:rPr>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7">
            <w:pPr>
              <w:rPr>
                <w:b w:val="0"/>
                <w:bCs w:val="0"/>
                <w:sz w:val="20"/>
                <w:szCs w:val="20"/>
                <w:vertAlign w:val="baseline"/>
              </w:rPr>
            </w:pPr>
            <w:r w:rsidDel="00000000" w:rsidR="00000000" w:rsidRPr="00000000">
              <w:rPr>
                <w:sz w:val="20"/>
                <w:szCs w:val="20"/>
                <w:vertAlign w:val="baseline"/>
                <w:rtl w:val="0"/>
              </w:rPr>
              <w:t xml:space="preserve">Author’s Feedback</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8">
            <w:pPr>
              <w:rPr>
                <w:sz w:val="20"/>
                <w:szCs w:val="20"/>
                <w:vertAlign w:val="baseline"/>
              </w:rPr>
            </w:pPr>
            <w:r w:rsidDel="00000000" w:rsidR="00000000" w:rsidRPr="00000000">
              <w:rPr>
                <w:rtl w:val="0"/>
              </w:rPr>
            </w:r>
          </w:p>
          <w:p w:rsidR="00000000" w:rsidDel="00000000" w:rsidP="00000000" w:rsidRDefault="00000000" w:rsidRPr="00000000" w14:paraId="00000049">
            <w:pPr>
              <w:rPr>
                <w:sz w:val="20"/>
                <w:szCs w:val="20"/>
                <w:vertAlign w:val="baseline"/>
              </w:rPr>
            </w:pPr>
            <w:r w:rsidDel="00000000" w:rsidR="00000000" w:rsidRPr="00000000">
              <w:rPr>
                <w:sz w:val="20"/>
                <w:szCs w:val="20"/>
                <w:vertAlign w:val="baseline"/>
                <w:rtl w:val="0"/>
              </w:rPr>
              <w:t xml:space="preserve">You are hereby suggested to include following recent references to improve the quality of the manuscript.</w:t>
            </w:r>
          </w:p>
          <w:p w:rsidR="00000000" w:rsidDel="00000000" w:rsidP="00000000" w:rsidRDefault="00000000" w:rsidRPr="00000000" w14:paraId="0000004A">
            <w:pPr>
              <w:rPr>
                <w:sz w:val="20"/>
                <w:szCs w:val="20"/>
                <w:vertAlign w:val="baseline"/>
              </w:rPr>
            </w:pPr>
            <w:r w:rsidDel="00000000" w:rsidR="00000000" w:rsidRPr="00000000">
              <w:rPr>
                <w:rtl w:val="0"/>
              </w:rPr>
            </w:r>
          </w:p>
          <w:p w:rsidR="00000000" w:rsidDel="00000000" w:rsidP="00000000" w:rsidRDefault="00000000" w:rsidRPr="00000000" w14:paraId="0000004B">
            <w:pPr>
              <w:rPr>
                <w:sz w:val="20"/>
                <w:szCs w:val="20"/>
                <w:vertAlign w:val="baseline"/>
              </w:rPr>
            </w:pPr>
            <w:r w:rsidDel="00000000" w:rsidR="00000000" w:rsidRPr="00000000">
              <w:rPr>
                <w:rtl w:val="0"/>
              </w:rPr>
            </w:r>
          </w:p>
          <w:p w:rsidR="00000000" w:rsidDel="00000000" w:rsidP="00000000" w:rsidRDefault="00000000" w:rsidRPr="00000000" w14:paraId="0000004C">
            <w:pPr>
              <w:rPr>
                <w:sz w:val="20"/>
                <w:szCs w:val="20"/>
                <w:vertAlign w:val="baseline"/>
              </w:rPr>
            </w:pPr>
            <w:r w:rsidDel="00000000" w:rsidR="00000000" w:rsidRPr="00000000">
              <w:rPr>
                <w:rtl w:val="0"/>
              </w:rPr>
            </w:r>
          </w:p>
          <w:p w:rsidR="00000000" w:rsidDel="00000000" w:rsidP="00000000" w:rsidRDefault="00000000" w:rsidRPr="00000000" w14:paraId="0000004D">
            <w:pPr>
              <w:rPr>
                <w:sz w:val="20"/>
                <w:szCs w:val="20"/>
                <w:vertAlign w:val="baseline"/>
              </w:rPr>
            </w:pPr>
            <w:r w:rsidDel="00000000" w:rsidR="00000000" w:rsidRPr="00000000">
              <w:rPr>
                <w:sz w:val="20"/>
                <w:szCs w:val="20"/>
                <w:vertAlign w:val="baseline"/>
                <w:rtl w:val="0"/>
              </w:rPr>
              <w:t xml:space="preserve">Nguyen, H. M., Feng, A., &amp; Garcia-Escribano, M. (2025). Understanding the macroeconomic effects of natural disasters. IMF Economic Review, 1-38.</w:t>
            </w:r>
          </w:p>
          <w:p w:rsidR="00000000" w:rsidDel="00000000" w:rsidP="00000000" w:rsidRDefault="00000000" w:rsidRPr="00000000" w14:paraId="0000004E">
            <w:pPr>
              <w:rPr>
                <w:sz w:val="20"/>
                <w:szCs w:val="20"/>
                <w:vertAlign w:val="baseline"/>
              </w:rPr>
            </w:pPr>
            <w:r w:rsidDel="00000000" w:rsidR="00000000" w:rsidRPr="00000000">
              <w:rPr>
                <w:rtl w:val="0"/>
              </w:rPr>
            </w:r>
          </w:p>
          <w:p w:rsidR="00000000" w:rsidDel="00000000" w:rsidP="00000000" w:rsidRDefault="00000000" w:rsidRPr="00000000" w14:paraId="0000004F">
            <w:pPr>
              <w:rPr>
                <w:sz w:val="20"/>
                <w:szCs w:val="20"/>
                <w:vertAlign w:val="baseline"/>
              </w:rPr>
            </w:pPr>
            <w:r w:rsidDel="00000000" w:rsidR="00000000" w:rsidRPr="00000000">
              <w:rPr>
                <w:rtl w:val="0"/>
              </w:rPr>
            </w:r>
          </w:p>
          <w:p w:rsidR="00000000" w:rsidDel="00000000" w:rsidP="00000000" w:rsidRDefault="00000000" w:rsidRPr="00000000" w14:paraId="00000050">
            <w:pPr>
              <w:rPr>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1">
            <w:pPr>
              <w:rPr>
                <w:b w:val="0"/>
                <w:bCs w:val="0"/>
                <w:sz w:val="20"/>
                <w:szCs w:val="20"/>
                <w:vertAlign w:val="baseline"/>
              </w:rPr>
            </w:pPr>
            <w:r w:rsidDel="00000000" w:rsidR="00000000" w:rsidRPr="00000000">
              <w:rPr>
                <w:sz w:val="20"/>
                <w:szCs w:val="20"/>
                <w:vertAlign w:val="baseline"/>
                <w:rtl w:val="0"/>
              </w:rPr>
              <w:t xml:space="preserve">The suggested reference has been included and integrated into the literature review and discussion sections.</w:t>
            </w:r>
            <w:r w:rsidDel="00000000" w:rsidR="00000000" w:rsidRPr="00000000">
              <w:rPr>
                <w:rtl w:val="0"/>
              </w:rPr>
            </w:r>
          </w:p>
        </w:tc>
      </w:tr>
    </w:tbl>
    <w:p w:rsidR="00000000" w:rsidDel="00000000" w:rsidP="00000000" w:rsidRDefault="00000000" w:rsidRPr="00000000" w14:paraId="00000052">
      <w:pPr>
        <w:spacing w:after="160" w:line="256"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53">
      <w:pPr>
        <w:spacing w:after="160" w:line="256" w:lineRule="auto"/>
        <w:rPr>
          <w:rFonts w:ascii="Calibri" w:cs="Calibri" w:eastAsia="Calibri" w:hAnsi="Calibri"/>
          <w:sz w:val="22"/>
          <w:szCs w:val="22"/>
          <w:vertAlign w:val="baseline"/>
        </w:rPr>
      </w:pPr>
      <w:bookmarkStart w:colFirst="0" w:colLast="0" w:name="_j98q7zhj82x0" w:id="2"/>
      <w:bookmarkEnd w:id="2"/>
      <w:r w:rsidDel="00000000" w:rsidR="00000000" w:rsidRPr="00000000">
        <w:rPr>
          <w:rtl w:val="0"/>
        </w:rPr>
      </w:r>
    </w:p>
    <w:tbl>
      <w:tblPr>
        <w:tblStyle w:val="Table4"/>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54">
            <w:pPr>
              <w:spacing w:line="276" w:lineRule="auto"/>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55">
            <w:pPr>
              <w:spacing w:line="276" w:lineRule="auto"/>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8">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59">
            <w:pPr>
              <w:keepNext w:val="1"/>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A">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5B">
            <w:pPr>
              <w:keepNext w:val="1"/>
              <w:spacing w:line="276" w:lineRule="auto"/>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5D">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spacing w:line="276" w:lineRule="auto"/>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5F">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spacing w:line="276" w:lineRule="auto"/>
              <w:rPr>
                <w:rFonts w:ascii="Arial" w:cs="Arial" w:eastAsia="Arial" w:hAnsi="Arial"/>
                <w:sz w:val="20"/>
                <w:szCs w:val="20"/>
                <w:vertAlign w:val="baseline"/>
              </w:rPr>
            </w:pPr>
            <w:r w:rsidDel="00000000" w:rsidR="00000000" w:rsidRPr="00000000">
              <w:rPr>
                <w:sz w:val="20"/>
                <w:szCs w:val="20"/>
                <w:vertAlign w:val="baseline"/>
                <w:rtl w:val="0"/>
              </w:rPr>
              <w:t xml:space="preserve">No ethical issues are involved. The study uses secondary data from publicly available sources (the World Bank) and does not involve human subjects or confidential data.</w:t>
            </w:r>
            <w:r w:rsidDel="00000000" w:rsidR="00000000" w:rsidRPr="00000000">
              <w:rPr>
                <w:rtl w:val="0"/>
              </w:rPr>
            </w:r>
          </w:p>
        </w:tc>
      </w:tr>
    </w:tbl>
    <w:p w:rsidR="00000000" w:rsidDel="00000000" w:rsidP="00000000" w:rsidRDefault="00000000" w:rsidRPr="00000000" w14:paraId="00000061">
      <w:pPr>
        <w:rPr>
          <w:vertAlign w:val="baseline"/>
        </w:rPr>
      </w:pPr>
      <w:r w:rsidDel="00000000" w:rsidR="00000000" w:rsidRPr="00000000">
        <w:rPr>
          <w:rtl w:val="0"/>
        </w:rPr>
      </w:r>
    </w:p>
    <w:p w:rsidR="00000000" w:rsidDel="00000000" w:rsidP="00000000" w:rsidRDefault="00000000" w:rsidRPr="00000000" w14:paraId="00000062">
      <w:pPr>
        <w:rPr>
          <w:vertAlign w:val="baseline"/>
        </w:rPr>
      </w:pPr>
      <w:r w:rsidDel="00000000" w:rsidR="00000000" w:rsidRPr="00000000">
        <w:rPr>
          <w:rtl w:val="0"/>
        </w:rPr>
      </w:r>
    </w:p>
    <w:p w:rsidR="00000000" w:rsidDel="00000000" w:rsidP="00000000" w:rsidRDefault="00000000" w:rsidRPr="00000000" w14:paraId="00000063">
      <w:pPr>
        <w:rPr>
          <w:u w:val="single"/>
          <w:vertAlign w:val="baseline"/>
        </w:rPr>
      </w:pPr>
      <w:r w:rsidDel="00000000" w:rsidR="00000000" w:rsidRPr="00000000">
        <w:rPr>
          <w:rtl w:val="0"/>
        </w:rPr>
      </w:r>
    </w:p>
    <w:p w:rsidR="00000000" w:rsidDel="00000000" w:rsidP="00000000" w:rsidRDefault="00000000" w:rsidRPr="00000000" w14:paraId="00000064">
      <w:pPr>
        <w:rPr>
          <w:vertAlign w:val="baseline"/>
        </w:rPr>
      </w:pPr>
      <w:r w:rsidDel="00000000" w:rsidR="00000000" w:rsidRPr="00000000">
        <w:rPr>
          <w:rtl w:val="0"/>
        </w:rPr>
      </w:r>
    </w:p>
    <w:sectPr>
      <w:headerReference r:id="rId7" w:type="default"/>
      <w:footerReference r:id="rId8"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66">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journalajeba.com/index.php/AJEBA"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ae557b1c-a838-45c7-9aea-65f564aefba9</vt:lpwstr>
  </property>
</Properties>
</file>