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70CAD4" w14:textId="77777777" w:rsidR="008A3468" w:rsidRPr="002305E2" w:rsidRDefault="008A346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A3468" w:rsidRPr="002305E2" w14:paraId="2D44ACA8" w14:textId="77777777">
        <w:trPr>
          <w:trHeight w:val="290"/>
        </w:trPr>
        <w:tc>
          <w:tcPr>
            <w:tcW w:w="20934" w:type="dxa"/>
            <w:gridSpan w:val="2"/>
            <w:tcBorders>
              <w:top w:val="nil"/>
              <w:left w:val="nil"/>
              <w:right w:val="nil"/>
            </w:tcBorders>
          </w:tcPr>
          <w:p w14:paraId="79222079" w14:textId="77777777" w:rsidR="008A3468" w:rsidRPr="002305E2" w:rsidRDefault="008A3468">
            <w:pPr>
              <w:pStyle w:val="Heading2"/>
              <w:jc w:val="left"/>
              <w:rPr>
                <w:rFonts w:ascii="Arial" w:eastAsia="Arial" w:hAnsi="Arial" w:cs="Arial"/>
                <w:b w:val="0"/>
                <w:bCs w:val="0"/>
              </w:rPr>
            </w:pPr>
          </w:p>
        </w:tc>
      </w:tr>
      <w:tr w:rsidR="008A3468" w:rsidRPr="002305E2" w14:paraId="31722435" w14:textId="77777777">
        <w:trPr>
          <w:trHeight w:val="290"/>
        </w:trPr>
        <w:tc>
          <w:tcPr>
            <w:tcW w:w="5167" w:type="dxa"/>
          </w:tcPr>
          <w:p w14:paraId="3EA075AF" w14:textId="77777777" w:rsidR="008A3468" w:rsidRPr="002305E2" w:rsidRDefault="00A50E7B">
            <w:pPr>
              <w:pBdr>
                <w:top w:val="nil"/>
                <w:left w:val="nil"/>
                <w:bottom w:val="nil"/>
                <w:right w:val="nil"/>
                <w:between w:val="nil"/>
              </w:pBdr>
              <w:ind w:left="90"/>
              <w:rPr>
                <w:rFonts w:ascii="Arial" w:eastAsia="Arial" w:hAnsi="Arial" w:cs="Arial"/>
                <w:color w:val="000000"/>
                <w:sz w:val="20"/>
                <w:szCs w:val="20"/>
              </w:rPr>
            </w:pPr>
            <w:r w:rsidRPr="002305E2">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CCF8D72" w14:textId="77777777" w:rsidR="008A3468" w:rsidRPr="002305E2" w:rsidRDefault="00A50E7B">
            <w:pPr>
              <w:rPr>
                <w:rFonts w:ascii="Arial" w:eastAsia="Arial" w:hAnsi="Arial" w:cs="Arial"/>
                <w:color w:val="0000FF"/>
                <w:sz w:val="20"/>
                <w:szCs w:val="20"/>
              </w:rPr>
            </w:pPr>
            <w:hyperlink r:id="rId7">
              <w:r w:rsidRPr="002305E2">
                <w:rPr>
                  <w:rFonts w:ascii="Arial" w:eastAsia="Arial" w:hAnsi="Arial" w:cs="Arial"/>
                  <w:b/>
                  <w:bCs/>
                  <w:color w:val="0000FF"/>
                  <w:sz w:val="20"/>
                  <w:szCs w:val="20"/>
                  <w:u w:val="single"/>
                </w:rPr>
                <w:t>Asian Journal of Agricultural and Horticultural Research</w:t>
              </w:r>
            </w:hyperlink>
            <w:r w:rsidRPr="002305E2">
              <w:rPr>
                <w:rFonts w:ascii="Arial" w:eastAsia="Arial" w:hAnsi="Arial" w:cs="Arial"/>
                <w:b/>
                <w:bCs/>
                <w:color w:val="0000FF"/>
                <w:sz w:val="20"/>
                <w:szCs w:val="20"/>
              </w:rPr>
              <w:t xml:space="preserve"> </w:t>
            </w:r>
          </w:p>
        </w:tc>
      </w:tr>
      <w:tr w:rsidR="008A3468" w:rsidRPr="002305E2" w14:paraId="0454E1ED" w14:textId="77777777">
        <w:trPr>
          <w:trHeight w:val="290"/>
        </w:trPr>
        <w:tc>
          <w:tcPr>
            <w:tcW w:w="5167" w:type="dxa"/>
          </w:tcPr>
          <w:p w14:paraId="02E3DE46" w14:textId="77777777" w:rsidR="008A3468" w:rsidRPr="002305E2" w:rsidRDefault="00A50E7B">
            <w:pPr>
              <w:pBdr>
                <w:top w:val="nil"/>
                <w:left w:val="nil"/>
                <w:bottom w:val="nil"/>
                <w:right w:val="nil"/>
                <w:between w:val="nil"/>
              </w:pBdr>
              <w:ind w:left="90"/>
              <w:rPr>
                <w:rFonts w:ascii="Arial" w:eastAsia="Arial" w:hAnsi="Arial" w:cs="Arial"/>
                <w:color w:val="000000"/>
                <w:sz w:val="20"/>
                <w:szCs w:val="20"/>
              </w:rPr>
            </w:pPr>
            <w:r w:rsidRPr="002305E2">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AD2CECF" w14:textId="77777777" w:rsidR="008A3468" w:rsidRPr="002305E2" w:rsidRDefault="00A50E7B">
            <w:pPr>
              <w:pBdr>
                <w:top w:val="nil"/>
                <w:left w:val="nil"/>
                <w:bottom w:val="nil"/>
                <w:right w:val="nil"/>
                <w:between w:val="nil"/>
              </w:pBdr>
              <w:rPr>
                <w:rFonts w:ascii="Arial" w:eastAsia="Arial" w:hAnsi="Arial" w:cs="Arial"/>
                <w:color w:val="000000"/>
                <w:sz w:val="20"/>
                <w:szCs w:val="20"/>
              </w:rPr>
            </w:pPr>
            <w:r w:rsidRPr="002305E2">
              <w:rPr>
                <w:rFonts w:ascii="Arial" w:eastAsia="Arial" w:hAnsi="Arial" w:cs="Arial"/>
                <w:b/>
                <w:bCs/>
                <w:color w:val="000000"/>
                <w:sz w:val="20"/>
                <w:szCs w:val="20"/>
              </w:rPr>
              <w:t>Ms_AJAHR_151329</w:t>
            </w:r>
          </w:p>
        </w:tc>
      </w:tr>
      <w:tr w:rsidR="008A3468" w:rsidRPr="002305E2" w14:paraId="2CC9A494" w14:textId="77777777">
        <w:trPr>
          <w:trHeight w:val="650"/>
        </w:trPr>
        <w:tc>
          <w:tcPr>
            <w:tcW w:w="5167" w:type="dxa"/>
          </w:tcPr>
          <w:p w14:paraId="476BFBEB" w14:textId="77777777" w:rsidR="008A3468" w:rsidRPr="002305E2" w:rsidRDefault="00A50E7B">
            <w:pPr>
              <w:pBdr>
                <w:top w:val="nil"/>
                <w:left w:val="nil"/>
                <w:bottom w:val="nil"/>
                <w:right w:val="nil"/>
                <w:between w:val="nil"/>
              </w:pBdr>
              <w:ind w:left="90"/>
              <w:rPr>
                <w:rFonts w:ascii="Arial" w:eastAsia="Arial" w:hAnsi="Arial" w:cs="Arial"/>
                <w:color w:val="000000"/>
                <w:sz w:val="20"/>
                <w:szCs w:val="20"/>
              </w:rPr>
            </w:pPr>
            <w:r w:rsidRPr="002305E2">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4AC3067" w14:textId="4A8B0A7C" w:rsidR="008A3468" w:rsidRPr="002305E2" w:rsidRDefault="00D05EC9">
            <w:pPr>
              <w:pBdr>
                <w:top w:val="nil"/>
                <w:left w:val="nil"/>
                <w:bottom w:val="nil"/>
                <w:right w:val="nil"/>
                <w:between w:val="nil"/>
              </w:pBdr>
              <w:rPr>
                <w:rFonts w:ascii="Arial" w:eastAsia="Arial" w:hAnsi="Arial" w:cs="Arial"/>
                <w:b/>
                <w:bCs/>
                <w:color w:val="000000"/>
                <w:sz w:val="20"/>
                <w:szCs w:val="20"/>
              </w:rPr>
            </w:pPr>
            <w:r w:rsidRPr="002305E2">
              <w:rPr>
                <w:rFonts w:ascii="Arial" w:eastAsia="Arial" w:hAnsi="Arial" w:cs="Arial"/>
                <w:b/>
                <w:bCs/>
                <w:sz w:val="20"/>
                <w:szCs w:val="20"/>
              </w:rPr>
              <w:t>Circular Economy Approaches in Sustainable Horticultural Systems: Significance of Nutrient Standardisation and Soil-Less Cultivation</w:t>
            </w:r>
          </w:p>
        </w:tc>
      </w:tr>
      <w:tr w:rsidR="008A3468" w:rsidRPr="002305E2" w14:paraId="09F8F1EE" w14:textId="77777777">
        <w:trPr>
          <w:trHeight w:val="332"/>
        </w:trPr>
        <w:tc>
          <w:tcPr>
            <w:tcW w:w="5167" w:type="dxa"/>
          </w:tcPr>
          <w:p w14:paraId="4EBB8E57" w14:textId="77777777" w:rsidR="008A3468" w:rsidRPr="002305E2" w:rsidRDefault="00A50E7B">
            <w:pPr>
              <w:pBdr>
                <w:top w:val="nil"/>
                <w:left w:val="nil"/>
                <w:bottom w:val="nil"/>
                <w:right w:val="nil"/>
                <w:between w:val="nil"/>
              </w:pBdr>
              <w:ind w:left="90"/>
              <w:rPr>
                <w:rFonts w:ascii="Arial" w:eastAsia="Arial" w:hAnsi="Arial" w:cs="Arial"/>
                <w:color w:val="000000"/>
                <w:sz w:val="20"/>
                <w:szCs w:val="20"/>
              </w:rPr>
            </w:pPr>
            <w:r w:rsidRPr="002305E2">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C5091E0" w14:textId="77777777" w:rsidR="008A3468" w:rsidRPr="002305E2" w:rsidRDefault="00A50E7B">
            <w:pPr>
              <w:pBdr>
                <w:top w:val="nil"/>
                <w:left w:val="nil"/>
                <w:bottom w:val="nil"/>
                <w:right w:val="nil"/>
                <w:between w:val="nil"/>
              </w:pBdr>
              <w:rPr>
                <w:rFonts w:ascii="Arial" w:eastAsia="Arial" w:hAnsi="Arial" w:cs="Arial"/>
                <w:color w:val="000000"/>
                <w:sz w:val="20"/>
                <w:szCs w:val="20"/>
              </w:rPr>
            </w:pPr>
            <w:r w:rsidRPr="002305E2">
              <w:rPr>
                <w:rFonts w:ascii="Arial" w:eastAsia="Arial" w:hAnsi="Arial" w:cs="Arial"/>
                <w:sz w:val="20"/>
                <w:szCs w:val="20"/>
              </w:rPr>
              <w:t>Review Article</w:t>
            </w:r>
          </w:p>
        </w:tc>
      </w:tr>
    </w:tbl>
    <w:p w14:paraId="52D77410" w14:textId="4C8C996B" w:rsidR="008A3468" w:rsidRPr="002305E2" w:rsidRDefault="008A3468">
      <w:pPr>
        <w:rPr>
          <w:rFonts w:ascii="Arial" w:eastAsia="Arial" w:hAnsi="Arial" w:cs="Arial"/>
          <w:sz w:val="20"/>
          <w:szCs w:val="20"/>
        </w:rPr>
      </w:pPr>
      <w:bookmarkStart w:id="0" w:name="_heading=h.him2qre1ayht" w:colFirst="0" w:colLast="0"/>
      <w:bookmarkStart w:id="1" w:name="_heading=h.d5r86i3wy0wu"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A3468" w:rsidRPr="002305E2" w14:paraId="4AFE95EA" w14:textId="77777777">
        <w:tc>
          <w:tcPr>
            <w:tcW w:w="21150" w:type="dxa"/>
            <w:gridSpan w:val="3"/>
            <w:tcBorders>
              <w:top w:val="nil"/>
              <w:left w:val="nil"/>
              <w:right w:val="nil"/>
            </w:tcBorders>
          </w:tcPr>
          <w:p w14:paraId="2E8C7C61" w14:textId="77777777" w:rsidR="008A3468" w:rsidRPr="002305E2" w:rsidRDefault="00A50E7B">
            <w:pPr>
              <w:pStyle w:val="Heading2"/>
              <w:jc w:val="left"/>
              <w:rPr>
                <w:rFonts w:ascii="Arial" w:eastAsia="Arial" w:hAnsi="Arial" w:cs="Arial"/>
              </w:rPr>
            </w:pPr>
            <w:r w:rsidRPr="002305E2">
              <w:rPr>
                <w:rFonts w:ascii="Arial" w:eastAsia="Arial" w:hAnsi="Arial" w:cs="Arial"/>
                <w:highlight w:val="yellow"/>
              </w:rPr>
              <w:t>PART  1:</w:t>
            </w:r>
            <w:r w:rsidRPr="002305E2">
              <w:rPr>
                <w:rFonts w:ascii="Arial" w:eastAsia="Arial" w:hAnsi="Arial" w:cs="Arial"/>
              </w:rPr>
              <w:t xml:space="preserve"> Comments</w:t>
            </w:r>
          </w:p>
          <w:p w14:paraId="5E8C64A9" w14:textId="77777777" w:rsidR="008A3468" w:rsidRPr="002305E2" w:rsidRDefault="008A3468">
            <w:pPr>
              <w:rPr>
                <w:rFonts w:ascii="Arial" w:eastAsia="Arial" w:hAnsi="Arial" w:cs="Arial"/>
                <w:sz w:val="20"/>
                <w:szCs w:val="20"/>
              </w:rPr>
            </w:pPr>
          </w:p>
        </w:tc>
      </w:tr>
      <w:tr w:rsidR="008A3468" w:rsidRPr="002305E2" w14:paraId="3198BA1B" w14:textId="77777777">
        <w:tc>
          <w:tcPr>
            <w:tcW w:w="5351" w:type="dxa"/>
          </w:tcPr>
          <w:p w14:paraId="23CA08C7" w14:textId="77777777" w:rsidR="008A3468" w:rsidRPr="002305E2" w:rsidRDefault="008A3468">
            <w:pPr>
              <w:pStyle w:val="Heading2"/>
              <w:jc w:val="left"/>
              <w:rPr>
                <w:rFonts w:ascii="Arial" w:eastAsia="Arial" w:hAnsi="Arial" w:cs="Arial"/>
              </w:rPr>
            </w:pPr>
          </w:p>
        </w:tc>
        <w:tc>
          <w:tcPr>
            <w:tcW w:w="9357" w:type="dxa"/>
          </w:tcPr>
          <w:p w14:paraId="18BF7ACF" w14:textId="77777777" w:rsidR="008A3468" w:rsidRPr="002305E2" w:rsidRDefault="00A50E7B">
            <w:pPr>
              <w:pStyle w:val="Heading2"/>
              <w:jc w:val="left"/>
              <w:rPr>
                <w:rFonts w:ascii="Arial" w:eastAsia="Arial" w:hAnsi="Arial" w:cs="Arial"/>
              </w:rPr>
            </w:pPr>
            <w:r w:rsidRPr="002305E2">
              <w:rPr>
                <w:rFonts w:ascii="Arial" w:eastAsia="Arial" w:hAnsi="Arial" w:cs="Arial"/>
              </w:rPr>
              <w:t>Reviewer’s comment</w:t>
            </w:r>
          </w:p>
          <w:p w14:paraId="04D719BD" w14:textId="77777777" w:rsidR="008A3468" w:rsidRPr="002305E2" w:rsidRDefault="00A50E7B">
            <w:pPr>
              <w:rPr>
                <w:rFonts w:ascii="Arial" w:eastAsia="Arial" w:hAnsi="Arial" w:cs="Arial"/>
                <w:sz w:val="20"/>
                <w:szCs w:val="20"/>
              </w:rPr>
            </w:pPr>
            <w:r w:rsidRPr="002305E2">
              <w:rPr>
                <w:rFonts w:ascii="Arial" w:eastAsia="Arial" w:hAnsi="Arial" w:cs="Arial"/>
                <w:b/>
                <w:bCs/>
                <w:sz w:val="20"/>
                <w:szCs w:val="20"/>
                <w:highlight w:val="yellow"/>
              </w:rPr>
              <w:t xml:space="preserve">Artificial Intelligence (AI) generated or assisted review comments are strictly prohibited </w:t>
            </w:r>
            <w:r w:rsidRPr="002305E2">
              <w:rPr>
                <w:rFonts w:ascii="Arial" w:eastAsia="Arial" w:hAnsi="Arial" w:cs="Arial"/>
                <w:b/>
                <w:bCs/>
                <w:sz w:val="20"/>
                <w:szCs w:val="20"/>
                <w:highlight w:val="yellow"/>
              </w:rPr>
              <w:t>during peer review.</w:t>
            </w:r>
          </w:p>
          <w:p w14:paraId="4B032686" w14:textId="77777777" w:rsidR="008A3468" w:rsidRPr="002305E2" w:rsidRDefault="008A3468">
            <w:pPr>
              <w:rPr>
                <w:rFonts w:ascii="Arial" w:eastAsia="Arial" w:hAnsi="Arial" w:cs="Arial"/>
                <w:sz w:val="20"/>
                <w:szCs w:val="20"/>
              </w:rPr>
            </w:pPr>
          </w:p>
        </w:tc>
        <w:tc>
          <w:tcPr>
            <w:tcW w:w="6442" w:type="dxa"/>
          </w:tcPr>
          <w:p w14:paraId="52E9CBBA" w14:textId="77777777" w:rsidR="008A3468" w:rsidRPr="002305E2" w:rsidRDefault="00A50E7B">
            <w:pPr>
              <w:spacing w:after="160" w:line="256" w:lineRule="auto"/>
              <w:rPr>
                <w:rFonts w:ascii="Arial" w:eastAsia="Arial" w:hAnsi="Arial" w:cs="Arial"/>
                <w:sz w:val="20"/>
                <w:szCs w:val="20"/>
              </w:rPr>
            </w:pPr>
            <w:r w:rsidRPr="002305E2">
              <w:rPr>
                <w:rFonts w:ascii="Arial" w:eastAsia="Arial" w:hAnsi="Arial" w:cs="Arial"/>
                <w:b/>
                <w:bCs/>
                <w:sz w:val="20"/>
                <w:szCs w:val="20"/>
              </w:rPr>
              <w:t>Author’s Feedback</w:t>
            </w:r>
            <w:r w:rsidRPr="002305E2">
              <w:rPr>
                <w:rFonts w:ascii="Arial" w:eastAsia="Arial" w:hAnsi="Arial" w:cs="Arial"/>
                <w:sz w:val="20"/>
                <w:szCs w:val="20"/>
              </w:rPr>
              <w:t xml:space="preserve"> (It is mandatory that authors should write his/her feedback here)</w:t>
            </w:r>
          </w:p>
          <w:p w14:paraId="6E3991BC" w14:textId="77777777" w:rsidR="008A3468" w:rsidRPr="002305E2" w:rsidRDefault="008A3468">
            <w:pPr>
              <w:pStyle w:val="Heading2"/>
              <w:jc w:val="left"/>
              <w:rPr>
                <w:rFonts w:ascii="Arial" w:eastAsia="Arial" w:hAnsi="Arial" w:cs="Arial"/>
                <w:b w:val="0"/>
                <w:bCs w:val="0"/>
              </w:rPr>
            </w:pPr>
          </w:p>
        </w:tc>
      </w:tr>
      <w:tr w:rsidR="008A3468" w:rsidRPr="002305E2" w14:paraId="5D37CEB4" w14:textId="77777777">
        <w:trPr>
          <w:trHeight w:val="1264"/>
        </w:trPr>
        <w:tc>
          <w:tcPr>
            <w:tcW w:w="5351" w:type="dxa"/>
          </w:tcPr>
          <w:p w14:paraId="4B286B5C"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Please write a few sentences regarding the importance of this manuscript for the scientific community. A minimum of 3-4 sentences may be required for</w:t>
            </w:r>
            <w:r w:rsidRPr="002305E2">
              <w:rPr>
                <w:rFonts w:ascii="Arial" w:eastAsia="Arial" w:hAnsi="Arial" w:cs="Arial"/>
                <w:b/>
                <w:bCs/>
                <w:sz w:val="20"/>
                <w:szCs w:val="20"/>
              </w:rPr>
              <w:t xml:space="preserve"> this part.</w:t>
            </w:r>
          </w:p>
          <w:p w14:paraId="68AB822F" w14:textId="77777777" w:rsidR="008A3468" w:rsidRPr="002305E2" w:rsidRDefault="008A3468">
            <w:pPr>
              <w:ind w:left="360"/>
              <w:rPr>
                <w:rFonts w:ascii="Arial" w:eastAsia="Arial" w:hAnsi="Arial" w:cs="Arial"/>
                <w:sz w:val="20"/>
                <w:szCs w:val="20"/>
              </w:rPr>
            </w:pPr>
          </w:p>
        </w:tc>
        <w:tc>
          <w:tcPr>
            <w:tcW w:w="9357" w:type="dxa"/>
          </w:tcPr>
          <w:p w14:paraId="16AE3625" w14:textId="77777777" w:rsidR="008A3468" w:rsidRPr="002305E2" w:rsidRDefault="00A50E7B">
            <w:pPr>
              <w:pBdr>
                <w:top w:val="nil"/>
                <w:left w:val="nil"/>
                <w:bottom w:val="nil"/>
                <w:right w:val="nil"/>
                <w:between w:val="nil"/>
              </w:pBdr>
              <w:rPr>
                <w:rFonts w:ascii="Arial" w:eastAsia="Arial" w:hAnsi="Arial" w:cs="Arial"/>
                <w:color w:val="000000"/>
                <w:sz w:val="20"/>
                <w:szCs w:val="20"/>
              </w:rPr>
            </w:pPr>
            <w:r w:rsidRPr="002305E2">
              <w:rPr>
                <w:rFonts w:ascii="Arial" w:eastAsia="Arial" w:hAnsi="Arial" w:cs="Arial"/>
                <w:b/>
                <w:bCs/>
                <w:color w:val="000000"/>
                <w:sz w:val="20"/>
                <w:szCs w:val="20"/>
              </w:rPr>
              <w:t xml:space="preserve">From the perspective of global challenges this manuscript addresses the importance of circular economy by considering the domain horticulture. Sustainability and science is evolving, an attempt made to study the research gaps such as nutrient </w:t>
            </w:r>
            <w:r w:rsidRPr="002305E2">
              <w:rPr>
                <w:rFonts w:ascii="Arial" w:eastAsia="Arial" w:hAnsi="Arial" w:cs="Arial"/>
                <w:b/>
                <w:bCs/>
                <w:color w:val="000000"/>
                <w:sz w:val="20"/>
                <w:szCs w:val="20"/>
              </w:rPr>
              <w:t>standardization, monitoring framework, and feasible economic assessments. The manuscript has concentrated on soil less cultivation, which will help farmers in adopting this system in horticulture and leading to sustainability. In dept study of various fram</w:t>
            </w:r>
            <w:r w:rsidRPr="002305E2">
              <w:rPr>
                <w:rFonts w:ascii="Arial" w:eastAsia="Arial" w:hAnsi="Arial" w:cs="Arial"/>
                <w:b/>
                <w:bCs/>
                <w:color w:val="000000"/>
                <w:sz w:val="20"/>
                <w:szCs w:val="20"/>
              </w:rPr>
              <w:t>eworks and systems enhanced the value to the literature in the domain.</w:t>
            </w:r>
          </w:p>
        </w:tc>
        <w:tc>
          <w:tcPr>
            <w:tcW w:w="6442" w:type="dxa"/>
          </w:tcPr>
          <w:p w14:paraId="345FE097"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b w:val="0"/>
                <w:bCs w:val="0"/>
                <w:color w:val="3B3A3B"/>
              </w:rPr>
              <w:t xml:space="preserve">This manuscript offers several contributions to the scientific community by integrating existing knowledge on the concepts underlying the circular economy in the field of horticulture, </w:t>
            </w:r>
            <w:r w:rsidRPr="002305E2">
              <w:rPr>
                <w:rFonts w:ascii="Arial" w:eastAsia="Arial" w:hAnsi="Arial" w:cs="Arial"/>
                <w:b w:val="0"/>
                <w:bCs w:val="0"/>
                <w:color w:val="3B3A3B"/>
              </w:rPr>
              <w:t>with specific attention focused on soilless cultivation practices an</w:t>
            </w:r>
            <w:r w:rsidRPr="002305E2">
              <w:rPr>
                <w:rFonts w:ascii="Arial" w:eastAsia="Arial" w:hAnsi="Arial" w:cs="Arial"/>
                <w:b w:val="0"/>
                <w:bCs w:val="0"/>
                <w:color w:val="3B3A3B"/>
                <w:u w:val="single"/>
              </w:rPr>
              <w:t>d st</w:t>
            </w:r>
            <w:r w:rsidRPr="002305E2">
              <w:rPr>
                <w:rFonts w:ascii="Arial" w:eastAsia="Arial" w:hAnsi="Arial" w:cs="Arial"/>
                <w:b w:val="0"/>
                <w:bCs w:val="0"/>
                <w:color w:val="3B3A3B"/>
              </w:rPr>
              <w:t xml:space="preserve">andardisation of nutrients. Through the identification of existing loopholes with regard to monitoring aspects, economic viability, and regional plans of implementation, this review </w:t>
            </w:r>
            <w:r w:rsidRPr="002305E2">
              <w:rPr>
                <w:rFonts w:ascii="Arial" w:eastAsia="Arial" w:hAnsi="Arial" w:cs="Arial"/>
                <w:b w:val="0"/>
                <w:bCs w:val="0"/>
                <w:color w:val="3B3A3B"/>
                <w:u w:val="single"/>
              </w:rPr>
              <w:t>ac</w:t>
            </w:r>
            <w:r w:rsidRPr="002305E2">
              <w:rPr>
                <w:rFonts w:ascii="Arial" w:eastAsia="Arial" w:hAnsi="Arial" w:cs="Arial"/>
                <w:b w:val="0"/>
                <w:bCs w:val="0"/>
                <w:color w:val="3B3A3B"/>
                <w:u w:val="single"/>
              </w:rPr>
              <w:t xml:space="preserve">t </w:t>
            </w:r>
            <w:r w:rsidRPr="002305E2">
              <w:rPr>
                <w:rFonts w:ascii="Arial" w:eastAsia="Arial" w:hAnsi="Arial" w:cs="Arial"/>
                <w:b w:val="0"/>
                <w:bCs w:val="0"/>
                <w:color w:val="3B3A3B"/>
              </w:rPr>
              <w:t>as a systematic approach for carrying out research in the field. This discussion bridges the concepts of sustainability, resource maximisation, and technological development to offer research scholars and practitioners an integrated approach toward impro</w:t>
            </w:r>
            <w:r w:rsidRPr="002305E2">
              <w:rPr>
                <w:rFonts w:ascii="Arial" w:eastAsia="Arial" w:hAnsi="Arial" w:cs="Arial"/>
                <w:b w:val="0"/>
                <w:bCs w:val="0"/>
                <w:color w:val="3B3A3B"/>
              </w:rPr>
              <w:t>ving the efficiency of the circular economy in horticultural practices.</w:t>
            </w:r>
          </w:p>
        </w:tc>
      </w:tr>
      <w:tr w:rsidR="008A3468" w:rsidRPr="002305E2" w14:paraId="3179EB11" w14:textId="77777777">
        <w:trPr>
          <w:trHeight w:val="1262"/>
        </w:trPr>
        <w:tc>
          <w:tcPr>
            <w:tcW w:w="5351" w:type="dxa"/>
          </w:tcPr>
          <w:p w14:paraId="4101C507"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Is the title of the article suitable?</w:t>
            </w:r>
          </w:p>
          <w:p w14:paraId="7BF07E1F"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(If not please suggest an alternative title)</w:t>
            </w:r>
          </w:p>
          <w:p w14:paraId="542370A2" w14:textId="77777777" w:rsidR="008A3468" w:rsidRPr="002305E2" w:rsidRDefault="008A3468">
            <w:pPr>
              <w:pStyle w:val="Heading2"/>
              <w:jc w:val="left"/>
              <w:rPr>
                <w:rFonts w:ascii="Arial" w:eastAsia="Arial" w:hAnsi="Arial" w:cs="Arial"/>
                <w:u w:val="single"/>
              </w:rPr>
            </w:pPr>
          </w:p>
        </w:tc>
        <w:tc>
          <w:tcPr>
            <w:tcW w:w="9357" w:type="dxa"/>
          </w:tcPr>
          <w:p w14:paraId="6EA4DCFA"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 xml:space="preserve">Revise the title suitable which focuses on sustainability, agricultural systems, and applied </w:t>
            </w:r>
            <w:r w:rsidRPr="002305E2">
              <w:rPr>
                <w:rFonts w:ascii="Arial" w:eastAsia="Arial" w:hAnsi="Arial" w:cs="Arial"/>
                <w:b/>
                <w:bCs/>
                <w:sz w:val="20"/>
                <w:szCs w:val="20"/>
              </w:rPr>
              <w:t>environmental science as discussed in the manuscript.</w:t>
            </w:r>
          </w:p>
        </w:tc>
        <w:tc>
          <w:tcPr>
            <w:tcW w:w="6442" w:type="dxa"/>
          </w:tcPr>
          <w:p w14:paraId="45BE52C3"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b w:val="0"/>
                <w:bCs w:val="0"/>
              </w:rPr>
              <w:t>Circular Economy Approaches in Sustainable Horticultural Systems: Significance of Nutrient Standardisation and Soil-Less Cultivation</w:t>
            </w:r>
          </w:p>
        </w:tc>
      </w:tr>
      <w:tr w:rsidR="008A3468" w:rsidRPr="002305E2" w14:paraId="22333821" w14:textId="77777777">
        <w:trPr>
          <w:trHeight w:val="1262"/>
        </w:trPr>
        <w:tc>
          <w:tcPr>
            <w:tcW w:w="5351" w:type="dxa"/>
          </w:tcPr>
          <w:p w14:paraId="2D3BB80E" w14:textId="77777777" w:rsidR="008A3468" w:rsidRPr="002305E2" w:rsidRDefault="00A50E7B">
            <w:pPr>
              <w:pStyle w:val="Heading2"/>
              <w:ind w:left="360"/>
              <w:jc w:val="left"/>
              <w:rPr>
                <w:rFonts w:ascii="Arial" w:eastAsia="Arial" w:hAnsi="Arial" w:cs="Arial"/>
              </w:rPr>
            </w:pPr>
            <w:r w:rsidRPr="002305E2">
              <w:rPr>
                <w:rFonts w:ascii="Arial" w:eastAsia="Arial" w:hAnsi="Arial" w:cs="Arial"/>
              </w:rPr>
              <w:lastRenderedPageBreak/>
              <w:t xml:space="preserve">Is the abstract of the article comprehensive? Do you suggest the </w:t>
            </w:r>
            <w:r w:rsidRPr="002305E2">
              <w:rPr>
                <w:rFonts w:ascii="Arial" w:eastAsia="Arial" w:hAnsi="Arial" w:cs="Arial"/>
              </w:rPr>
              <w:t>addition (or deletion) of some points in this section? Please write your suggestions here.</w:t>
            </w:r>
          </w:p>
          <w:p w14:paraId="6710B27F" w14:textId="77777777" w:rsidR="008A3468" w:rsidRPr="002305E2" w:rsidRDefault="008A3468">
            <w:pPr>
              <w:pStyle w:val="Heading2"/>
              <w:jc w:val="left"/>
              <w:rPr>
                <w:rFonts w:ascii="Arial" w:eastAsia="Arial" w:hAnsi="Arial" w:cs="Arial"/>
                <w:u w:val="single"/>
              </w:rPr>
            </w:pPr>
          </w:p>
        </w:tc>
        <w:tc>
          <w:tcPr>
            <w:tcW w:w="9357" w:type="dxa"/>
          </w:tcPr>
          <w:p w14:paraId="069CA1EF"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 xml:space="preserve">Suggested to mention in the abstract how the review of literature has been studied. Mention in the abstract what was found. Implications missing in the abstract. </w:t>
            </w:r>
          </w:p>
        </w:tc>
        <w:tc>
          <w:tcPr>
            <w:tcW w:w="6442" w:type="dxa"/>
          </w:tcPr>
          <w:p w14:paraId="41FD019A"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b w:val="0"/>
                <w:bCs w:val="0"/>
                <w:color w:val="3B3A3B"/>
              </w:rPr>
              <w:t>T</w:t>
            </w:r>
            <w:r w:rsidRPr="002305E2">
              <w:rPr>
                <w:rFonts w:ascii="Arial" w:eastAsia="Arial" w:hAnsi="Arial" w:cs="Arial"/>
                <w:b w:val="0"/>
                <w:bCs w:val="0"/>
                <w:color w:val="3B3A3B"/>
              </w:rPr>
              <w:t xml:space="preserve">he agricultural community is witnessing a shift from traditional linear take, make, dispose patterns to the application of circular economy principles, which are more resource-efficient, minimise </w:t>
            </w:r>
            <w:r w:rsidRPr="002305E2">
              <w:rPr>
                <w:rFonts w:ascii="Arial" w:eastAsia="Arial" w:hAnsi="Arial" w:cs="Arial"/>
                <w:b w:val="0"/>
                <w:bCs w:val="0"/>
                <w:color w:val="3B3A3B"/>
                <w:u w:val="single"/>
              </w:rPr>
              <w:t xml:space="preserve">wastes, </w:t>
            </w:r>
            <w:r w:rsidRPr="002305E2">
              <w:rPr>
                <w:rFonts w:ascii="Arial" w:eastAsia="Arial" w:hAnsi="Arial" w:cs="Arial"/>
                <w:b w:val="0"/>
                <w:bCs w:val="0"/>
                <w:color w:val="3B3A3B"/>
              </w:rPr>
              <w:t>and environmentally sustainable. This paper conducts</w:t>
            </w:r>
            <w:r w:rsidRPr="002305E2">
              <w:rPr>
                <w:rFonts w:ascii="Arial" w:eastAsia="Arial" w:hAnsi="Arial" w:cs="Arial"/>
                <w:b w:val="0"/>
                <w:bCs w:val="0"/>
                <w:color w:val="3B3A3B"/>
              </w:rPr>
              <w:t xml:space="preserve"> a critical evaluation of the global application of circular economy principles to horticultural practices, specifically on soil-less culture systems, nutrient standardisation, and precision management systems. The analysis was conducted on peer-reviewed p</w:t>
            </w:r>
            <w:r w:rsidRPr="002305E2">
              <w:rPr>
                <w:rFonts w:ascii="Arial" w:eastAsia="Arial" w:hAnsi="Arial" w:cs="Arial"/>
                <w:b w:val="0"/>
                <w:bCs w:val="0"/>
                <w:color w:val="3B3A3B"/>
              </w:rPr>
              <w:t>ublications, policies, and technology developments from Indo-Dutch partnership ventures, Indian sustainable agricultural practices, and Dutch-European greenhouse vegetable production systems. The paper reveals the essential knowledge gaps that exist in reg</w:t>
            </w:r>
            <w:r w:rsidRPr="002305E2">
              <w:rPr>
                <w:rFonts w:ascii="Arial" w:eastAsia="Arial" w:hAnsi="Arial" w:cs="Arial"/>
                <w:b w:val="0"/>
                <w:bCs w:val="0"/>
                <w:color w:val="3B3A3B"/>
              </w:rPr>
              <w:t>ional implementation techniques, economic viability, and monitoring systems, and the important role that nutrient standardisation plays within circular horticultural systems to promote environmentally sustainable horticultural practices. The implications f</w:t>
            </w:r>
            <w:r w:rsidRPr="002305E2">
              <w:rPr>
                <w:rFonts w:ascii="Arial" w:eastAsia="Arial" w:hAnsi="Arial" w:cs="Arial"/>
                <w:b w:val="0"/>
                <w:bCs w:val="0"/>
                <w:color w:val="3B3A3B"/>
              </w:rPr>
              <w:t>rom the paper suggest that, despite the enormous potential of circular horticulture for sustainable intensification, further advancements are required in the application of innovative technologies, policies, and regional adaptability of nutrient management</w:t>
            </w:r>
            <w:r w:rsidRPr="002305E2">
              <w:rPr>
                <w:rFonts w:ascii="Arial" w:eastAsia="Arial" w:hAnsi="Arial" w:cs="Arial"/>
                <w:b w:val="0"/>
                <w:bCs w:val="0"/>
                <w:color w:val="3B3A3B"/>
              </w:rPr>
              <w:t xml:space="preserve"> systems.</w:t>
            </w:r>
          </w:p>
        </w:tc>
      </w:tr>
      <w:tr w:rsidR="008A3468" w:rsidRPr="002305E2" w14:paraId="5279C0EA" w14:textId="77777777">
        <w:trPr>
          <w:trHeight w:val="704"/>
        </w:trPr>
        <w:tc>
          <w:tcPr>
            <w:tcW w:w="5351" w:type="dxa"/>
          </w:tcPr>
          <w:p w14:paraId="21FD12E5" w14:textId="77777777" w:rsidR="008A3468" w:rsidRPr="002305E2" w:rsidRDefault="00A50E7B">
            <w:pPr>
              <w:pStyle w:val="Heading2"/>
              <w:ind w:left="360"/>
              <w:jc w:val="left"/>
              <w:rPr>
                <w:rFonts w:ascii="Arial" w:eastAsia="Arial" w:hAnsi="Arial" w:cs="Arial"/>
                <w:b w:val="0"/>
                <w:bCs w:val="0"/>
                <w:u w:val="single"/>
              </w:rPr>
            </w:pPr>
            <w:r w:rsidRPr="002305E2">
              <w:rPr>
                <w:rFonts w:ascii="Arial" w:eastAsia="Arial" w:hAnsi="Arial" w:cs="Arial"/>
              </w:rPr>
              <w:t>Is the manuscript scientifically, correct? Please write here.</w:t>
            </w:r>
          </w:p>
        </w:tc>
        <w:tc>
          <w:tcPr>
            <w:tcW w:w="9357" w:type="dxa"/>
          </w:tcPr>
          <w:p w14:paraId="04CAAAEB" w14:textId="77777777" w:rsidR="008A3468" w:rsidRPr="002305E2" w:rsidRDefault="00A50E7B">
            <w:pPr>
              <w:pBdr>
                <w:top w:val="nil"/>
                <w:left w:val="nil"/>
                <w:bottom w:val="nil"/>
                <w:right w:val="nil"/>
                <w:between w:val="nil"/>
              </w:pBdr>
              <w:rPr>
                <w:rFonts w:ascii="Arial" w:eastAsia="Arial" w:hAnsi="Arial" w:cs="Arial"/>
                <w:color w:val="000000"/>
                <w:sz w:val="20"/>
                <w:szCs w:val="20"/>
              </w:rPr>
            </w:pPr>
            <w:r w:rsidRPr="002305E2">
              <w:rPr>
                <w:rFonts w:ascii="Arial" w:eastAsia="Arial" w:hAnsi="Arial" w:cs="Arial"/>
                <w:color w:val="000000"/>
                <w:sz w:val="20"/>
                <w:szCs w:val="20"/>
              </w:rPr>
              <w:t>Scientifically correct but suggested some refinements, for example in the page 7 “shortened by 30-50%.” Justification of this quantification is missing, categorize the standardization</w:t>
            </w:r>
            <w:r w:rsidRPr="002305E2">
              <w:rPr>
                <w:rFonts w:ascii="Arial" w:eastAsia="Arial" w:hAnsi="Arial" w:cs="Arial"/>
                <w:color w:val="000000"/>
                <w:sz w:val="20"/>
                <w:szCs w:val="20"/>
              </w:rPr>
              <w:t>s. The entire manuscript is developed based on the literature, suggested to include searching strategy, selection of the literature and importance in selection. Suggested to focus on precise writing as the c</w:t>
            </w:r>
            <w:bookmarkStart w:id="2" w:name="_GoBack"/>
            <w:bookmarkEnd w:id="2"/>
            <w:r w:rsidRPr="002305E2">
              <w:rPr>
                <w:rFonts w:ascii="Arial" w:eastAsia="Arial" w:hAnsi="Arial" w:cs="Arial"/>
                <w:color w:val="000000"/>
                <w:sz w:val="20"/>
                <w:szCs w:val="20"/>
              </w:rPr>
              <w:t>oncepts are repetitive in the manuscript. For man</w:t>
            </w:r>
            <w:r w:rsidRPr="002305E2">
              <w:rPr>
                <w:rFonts w:ascii="Arial" w:eastAsia="Arial" w:hAnsi="Arial" w:cs="Arial"/>
                <w:color w:val="000000"/>
                <w:sz w:val="20"/>
                <w:szCs w:val="20"/>
              </w:rPr>
              <w:t>y references date is not mention suggested at least to mention the year.</w:t>
            </w:r>
          </w:p>
        </w:tc>
        <w:tc>
          <w:tcPr>
            <w:tcW w:w="6442" w:type="dxa"/>
          </w:tcPr>
          <w:p w14:paraId="6E0BB709"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b w:val="0"/>
                <w:bCs w:val="0"/>
                <w:color w:val="3B3A3B"/>
              </w:rPr>
              <w:t>Manuscript revised in response to reviewer comments. The quantitative statement on page 7 has been revised to discard numerical ranges that are not supported and to clarify the discus</w:t>
            </w:r>
            <w:r w:rsidRPr="002305E2">
              <w:rPr>
                <w:rFonts w:ascii="Arial" w:eastAsia="Arial" w:hAnsi="Arial" w:cs="Arial"/>
                <w:b w:val="0"/>
                <w:bCs w:val="0"/>
                <w:color w:val="3B3A3B"/>
              </w:rPr>
              <w:t xml:space="preserve">sion. Nutrient </w:t>
            </w:r>
            <w:r w:rsidRPr="002305E2">
              <w:rPr>
                <w:rFonts w:ascii="Arial" w:eastAsia="Arial" w:hAnsi="Arial" w:cs="Arial"/>
                <w:b w:val="0"/>
                <w:bCs w:val="0"/>
                <w:color w:val="3B3A3B"/>
                <w:u w:val="single"/>
              </w:rPr>
              <w:t xml:space="preserve">standardisation </w:t>
            </w:r>
            <w:r w:rsidRPr="002305E2">
              <w:rPr>
                <w:rFonts w:ascii="Arial" w:eastAsia="Arial" w:hAnsi="Arial" w:cs="Arial"/>
                <w:b w:val="0"/>
                <w:bCs w:val="0"/>
                <w:color w:val="3B3A3B"/>
              </w:rPr>
              <w:t>is rearranged into categories to enhance the structure and readability of the section. Given that this study fully relies on existing literature, a short description of the literature search strategy and the selection criteri</w:t>
            </w:r>
            <w:r w:rsidRPr="002305E2">
              <w:rPr>
                <w:rFonts w:ascii="Arial" w:eastAsia="Arial" w:hAnsi="Arial" w:cs="Arial"/>
                <w:b w:val="0"/>
                <w:bCs w:val="0"/>
                <w:color w:val="3B3A3B"/>
              </w:rPr>
              <w:t>a used has been included to increase transparency. Repetitive discussions of concepts in circular economy and soilless cultivation systems have been clarified for precision in presentation. All references have been checked for consistency and include the p</w:t>
            </w:r>
            <w:r w:rsidRPr="002305E2">
              <w:rPr>
                <w:rFonts w:ascii="Arial" w:eastAsia="Arial" w:hAnsi="Arial" w:cs="Arial"/>
                <w:b w:val="0"/>
                <w:bCs w:val="0"/>
                <w:color w:val="3B3A3B"/>
              </w:rPr>
              <w:t xml:space="preserve">ublication year, where possible. In a few cases, no year information could be provided since certain explanatory sources were taken from open online resources, </w:t>
            </w:r>
            <w:r w:rsidRPr="002305E2">
              <w:rPr>
                <w:rFonts w:ascii="Arial" w:eastAsia="Arial" w:hAnsi="Arial" w:cs="Arial"/>
                <w:b w:val="0"/>
                <w:bCs w:val="0"/>
                <w:color w:val="3B3A3B"/>
                <w:u w:val="single"/>
              </w:rPr>
              <w:t xml:space="preserve">e.g. </w:t>
            </w:r>
            <w:r w:rsidRPr="002305E2">
              <w:rPr>
                <w:rFonts w:ascii="Arial" w:eastAsia="Arial" w:hAnsi="Arial" w:cs="Arial"/>
                <w:b w:val="0"/>
                <w:bCs w:val="0"/>
                <w:color w:val="3B3A3B"/>
              </w:rPr>
              <w:t>YouTube, and used solely for background purposes and not as scientific evidence.</w:t>
            </w:r>
          </w:p>
        </w:tc>
      </w:tr>
      <w:tr w:rsidR="008A3468" w:rsidRPr="002305E2" w14:paraId="628481A7" w14:textId="77777777">
        <w:trPr>
          <w:trHeight w:val="53"/>
        </w:trPr>
        <w:tc>
          <w:tcPr>
            <w:tcW w:w="5351" w:type="dxa"/>
          </w:tcPr>
          <w:p w14:paraId="23EAB989" w14:textId="77777777" w:rsidR="008A3468" w:rsidRPr="002305E2" w:rsidRDefault="00A50E7B">
            <w:pPr>
              <w:ind w:left="360"/>
              <w:rPr>
                <w:rFonts w:ascii="Arial" w:eastAsia="Arial" w:hAnsi="Arial" w:cs="Arial"/>
                <w:sz w:val="20"/>
                <w:szCs w:val="20"/>
              </w:rPr>
            </w:pPr>
            <w:r w:rsidRPr="002305E2">
              <w:rPr>
                <w:rFonts w:ascii="Arial" w:eastAsia="Arial" w:hAnsi="Arial" w:cs="Arial"/>
                <w:b/>
                <w:bCs/>
                <w:sz w:val="20"/>
                <w:szCs w:val="20"/>
              </w:rPr>
              <w:t xml:space="preserve">Are the </w:t>
            </w:r>
            <w:r w:rsidRPr="002305E2">
              <w:rPr>
                <w:rFonts w:ascii="Arial" w:eastAsia="Arial" w:hAnsi="Arial" w:cs="Arial"/>
                <w:b/>
                <w:bCs/>
                <w:sz w:val="20"/>
                <w:szCs w:val="20"/>
              </w:rPr>
              <w:t>references sufficient and recent? If you have suggestions of additional references, please mention them in the review form.</w:t>
            </w:r>
          </w:p>
        </w:tc>
        <w:tc>
          <w:tcPr>
            <w:tcW w:w="9357" w:type="dxa"/>
          </w:tcPr>
          <w:p w14:paraId="7EDC7F27" w14:textId="77777777" w:rsidR="008A3468" w:rsidRPr="002305E2" w:rsidRDefault="00A50E7B">
            <w:pPr>
              <w:pBdr>
                <w:top w:val="nil"/>
                <w:left w:val="nil"/>
                <w:bottom w:val="nil"/>
                <w:right w:val="nil"/>
                <w:between w:val="nil"/>
              </w:pBdr>
              <w:rPr>
                <w:rFonts w:ascii="Arial" w:eastAsia="Arial" w:hAnsi="Arial" w:cs="Arial"/>
                <w:color w:val="000000"/>
                <w:sz w:val="20"/>
                <w:szCs w:val="20"/>
              </w:rPr>
            </w:pPr>
            <w:r w:rsidRPr="002305E2">
              <w:rPr>
                <w:rFonts w:ascii="Arial" w:eastAsia="Arial" w:hAnsi="Arial" w:cs="Arial"/>
                <w:color w:val="000000"/>
                <w:sz w:val="20"/>
                <w:szCs w:val="20"/>
              </w:rPr>
              <w:t>References are sufficient suggested to add current year framework related, standardization studies if any.</w:t>
            </w:r>
          </w:p>
        </w:tc>
        <w:tc>
          <w:tcPr>
            <w:tcW w:w="6442" w:type="dxa"/>
          </w:tcPr>
          <w:p w14:paraId="6C06F8D2"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b w:val="0"/>
                <w:bCs w:val="0"/>
              </w:rPr>
              <w:t xml:space="preserve">This manuscript contains </w:t>
            </w:r>
            <w:r w:rsidRPr="002305E2">
              <w:rPr>
                <w:rFonts w:ascii="Arial" w:eastAsia="Arial" w:hAnsi="Arial" w:cs="Arial"/>
                <w:b w:val="0"/>
                <w:bCs w:val="0"/>
              </w:rPr>
              <w:t xml:space="preserve">several articles published within the past year or </w:t>
            </w:r>
            <w:r w:rsidRPr="002305E2">
              <w:rPr>
                <w:rFonts w:ascii="Arial" w:eastAsia="Arial" w:hAnsi="Arial" w:cs="Arial"/>
                <w:b w:val="0"/>
                <w:bCs w:val="0"/>
                <w:u w:val="single"/>
              </w:rPr>
              <w:t xml:space="preserve">two, </w:t>
            </w:r>
            <w:r w:rsidRPr="002305E2">
              <w:rPr>
                <w:rFonts w:ascii="Arial" w:eastAsia="Arial" w:hAnsi="Arial" w:cs="Arial"/>
                <w:b w:val="0"/>
                <w:bCs w:val="0"/>
              </w:rPr>
              <w:t xml:space="preserve">including those </w:t>
            </w:r>
            <w:r w:rsidRPr="002305E2">
              <w:rPr>
                <w:rFonts w:ascii="Arial" w:eastAsia="Arial" w:hAnsi="Arial" w:cs="Arial"/>
                <w:b w:val="0"/>
                <w:bCs w:val="0"/>
                <w:u w:val="single"/>
              </w:rPr>
              <w:t xml:space="preserve">that </w:t>
            </w:r>
            <w:r w:rsidRPr="002305E2">
              <w:rPr>
                <w:rFonts w:ascii="Arial" w:eastAsia="Arial" w:hAnsi="Arial" w:cs="Arial"/>
                <w:b w:val="0"/>
                <w:bCs w:val="0"/>
              </w:rPr>
              <w:t xml:space="preserve">detail information about circular economy models and nutrient criteria and sustainable agriculture systems. As </w:t>
            </w:r>
            <w:r w:rsidRPr="002305E2">
              <w:rPr>
                <w:rFonts w:ascii="Arial" w:eastAsia="Arial" w:hAnsi="Arial" w:cs="Arial"/>
                <w:b w:val="0"/>
                <w:bCs w:val="0"/>
                <w:u w:val="single"/>
              </w:rPr>
              <w:t xml:space="preserve">such, </w:t>
            </w:r>
            <w:r w:rsidRPr="002305E2">
              <w:rPr>
                <w:rFonts w:ascii="Arial" w:eastAsia="Arial" w:hAnsi="Arial" w:cs="Arial"/>
                <w:b w:val="0"/>
                <w:bCs w:val="0"/>
              </w:rPr>
              <w:t>the reference list offers a fair representation of both recent</w:t>
            </w:r>
            <w:r w:rsidRPr="002305E2">
              <w:rPr>
                <w:rFonts w:ascii="Arial" w:eastAsia="Arial" w:hAnsi="Arial" w:cs="Arial"/>
                <w:b w:val="0"/>
                <w:bCs w:val="0"/>
              </w:rPr>
              <w:t xml:space="preserve"> and older sources about the larger context of this literature review.</w:t>
            </w:r>
          </w:p>
        </w:tc>
      </w:tr>
      <w:tr w:rsidR="008A3468" w:rsidRPr="002305E2" w14:paraId="0FFB28E1" w14:textId="77777777">
        <w:trPr>
          <w:trHeight w:val="386"/>
        </w:trPr>
        <w:tc>
          <w:tcPr>
            <w:tcW w:w="5351" w:type="dxa"/>
          </w:tcPr>
          <w:p w14:paraId="106EDD21" w14:textId="77777777" w:rsidR="008A3468" w:rsidRPr="002305E2" w:rsidRDefault="00A50E7B">
            <w:pPr>
              <w:pStyle w:val="Heading2"/>
              <w:ind w:left="360"/>
              <w:jc w:val="left"/>
              <w:rPr>
                <w:rFonts w:ascii="Arial" w:eastAsia="Arial" w:hAnsi="Arial" w:cs="Arial"/>
              </w:rPr>
            </w:pPr>
            <w:r w:rsidRPr="002305E2">
              <w:rPr>
                <w:rFonts w:ascii="Arial" w:eastAsia="Arial" w:hAnsi="Arial" w:cs="Arial"/>
              </w:rPr>
              <w:t>Is the language/English quality of the article suitable for scholarly communications?</w:t>
            </w:r>
          </w:p>
          <w:p w14:paraId="0825FF54" w14:textId="77777777" w:rsidR="008A3468" w:rsidRPr="002305E2" w:rsidRDefault="008A3468">
            <w:pPr>
              <w:rPr>
                <w:rFonts w:ascii="Arial" w:eastAsia="Arial" w:hAnsi="Arial" w:cs="Arial"/>
                <w:sz w:val="20"/>
                <w:szCs w:val="20"/>
              </w:rPr>
            </w:pPr>
          </w:p>
        </w:tc>
        <w:tc>
          <w:tcPr>
            <w:tcW w:w="9357" w:type="dxa"/>
          </w:tcPr>
          <w:p w14:paraId="34C0DFCE" w14:textId="77777777" w:rsidR="008A3468" w:rsidRPr="002305E2" w:rsidRDefault="00A50E7B">
            <w:pPr>
              <w:rPr>
                <w:rFonts w:ascii="Arial" w:eastAsia="Arial" w:hAnsi="Arial" w:cs="Arial"/>
                <w:sz w:val="20"/>
                <w:szCs w:val="20"/>
              </w:rPr>
            </w:pPr>
            <w:r w:rsidRPr="002305E2">
              <w:rPr>
                <w:rFonts w:ascii="Arial" w:eastAsia="Arial" w:hAnsi="Arial" w:cs="Arial"/>
                <w:sz w:val="20"/>
                <w:szCs w:val="20"/>
              </w:rPr>
              <w:t xml:space="preserve">Not reader friendly. Need language editing not rewriting. Informal narrative language like usage </w:t>
            </w:r>
            <w:r w:rsidRPr="002305E2">
              <w:rPr>
                <w:rFonts w:ascii="Arial" w:eastAsia="Arial" w:hAnsi="Arial" w:cs="Arial"/>
                <w:sz w:val="20"/>
                <w:szCs w:val="20"/>
              </w:rPr>
              <w:t>of “very”, “a lot”, “huge potential” and usage of the articles missing in the manuscript.</w:t>
            </w:r>
          </w:p>
        </w:tc>
        <w:tc>
          <w:tcPr>
            <w:tcW w:w="6442" w:type="dxa"/>
          </w:tcPr>
          <w:p w14:paraId="6656B4B4" w14:textId="77777777" w:rsidR="008A3468" w:rsidRPr="002305E2" w:rsidRDefault="00A50E7B">
            <w:pPr>
              <w:spacing w:before="240" w:after="240"/>
              <w:rPr>
                <w:rFonts w:ascii="Arial" w:eastAsia="Arial" w:hAnsi="Arial" w:cs="Arial"/>
                <w:sz w:val="20"/>
                <w:szCs w:val="20"/>
              </w:rPr>
            </w:pPr>
            <w:r w:rsidRPr="002305E2">
              <w:rPr>
                <w:rFonts w:ascii="Arial" w:eastAsia="Arial" w:hAnsi="Arial" w:cs="Arial"/>
                <w:sz w:val="20"/>
                <w:szCs w:val="20"/>
              </w:rPr>
              <w:t>The manuscript includes articles that were published recently and mostly in 2024 and 2025, especially articles that deal with the circular economy framework, nutrient</w:t>
            </w:r>
            <w:r w:rsidRPr="002305E2">
              <w:rPr>
                <w:rFonts w:ascii="Arial" w:eastAsia="Arial" w:hAnsi="Arial" w:cs="Arial"/>
                <w:sz w:val="20"/>
                <w:szCs w:val="20"/>
              </w:rPr>
              <w:t xml:space="preserve"> standardisation, and sustainable horticultural systems. As a result, the reference list is composed of a balanced combination of both new studies as well as older, foundational studies that relate to the subjects covered in this literature review.</w:t>
            </w:r>
          </w:p>
          <w:p w14:paraId="275F598C" w14:textId="77777777" w:rsidR="008A3468" w:rsidRPr="002305E2" w:rsidRDefault="008A3468">
            <w:pPr>
              <w:rPr>
                <w:rFonts w:ascii="Arial" w:eastAsia="Arial" w:hAnsi="Arial" w:cs="Arial"/>
                <w:sz w:val="20"/>
                <w:szCs w:val="20"/>
              </w:rPr>
            </w:pPr>
          </w:p>
        </w:tc>
      </w:tr>
      <w:tr w:rsidR="008A3468" w:rsidRPr="002305E2" w14:paraId="49C623C0" w14:textId="77777777">
        <w:trPr>
          <w:trHeight w:val="1178"/>
        </w:trPr>
        <w:tc>
          <w:tcPr>
            <w:tcW w:w="5351" w:type="dxa"/>
          </w:tcPr>
          <w:p w14:paraId="315BEB1F" w14:textId="77777777" w:rsidR="008A3468" w:rsidRPr="002305E2" w:rsidRDefault="00A50E7B">
            <w:pPr>
              <w:pStyle w:val="Heading2"/>
              <w:jc w:val="left"/>
              <w:rPr>
                <w:rFonts w:ascii="Arial" w:eastAsia="Arial" w:hAnsi="Arial" w:cs="Arial"/>
                <w:b w:val="0"/>
                <w:bCs w:val="0"/>
              </w:rPr>
            </w:pPr>
            <w:r w:rsidRPr="002305E2">
              <w:rPr>
                <w:rFonts w:ascii="Arial" w:eastAsia="Arial" w:hAnsi="Arial" w:cs="Arial"/>
                <w:u w:val="single"/>
              </w:rPr>
              <w:t>Optional/General</w:t>
            </w:r>
            <w:r w:rsidRPr="002305E2">
              <w:rPr>
                <w:rFonts w:ascii="Arial" w:eastAsia="Arial" w:hAnsi="Arial" w:cs="Arial"/>
              </w:rPr>
              <w:t xml:space="preserve"> </w:t>
            </w:r>
            <w:r w:rsidRPr="002305E2">
              <w:rPr>
                <w:rFonts w:ascii="Arial" w:eastAsia="Arial" w:hAnsi="Arial" w:cs="Arial"/>
                <w:b w:val="0"/>
                <w:bCs w:val="0"/>
              </w:rPr>
              <w:t>comments</w:t>
            </w:r>
          </w:p>
          <w:p w14:paraId="2E57E49F" w14:textId="77777777" w:rsidR="008A3468" w:rsidRPr="002305E2" w:rsidRDefault="008A3468">
            <w:pPr>
              <w:pStyle w:val="Heading2"/>
              <w:jc w:val="left"/>
              <w:rPr>
                <w:rFonts w:ascii="Arial" w:eastAsia="Arial" w:hAnsi="Arial" w:cs="Arial"/>
                <w:b w:val="0"/>
                <w:bCs w:val="0"/>
              </w:rPr>
            </w:pPr>
          </w:p>
        </w:tc>
        <w:tc>
          <w:tcPr>
            <w:tcW w:w="9357" w:type="dxa"/>
          </w:tcPr>
          <w:p w14:paraId="7CEA71DD" w14:textId="77777777" w:rsidR="008A3468" w:rsidRPr="002305E2" w:rsidRDefault="008A3468">
            <w:pPr>
              <w:pBdr>
                <w:top w:val="nil"/>
                <w:left w:val="nil"/>
                <w:bottom w:val="nil"/>
                <w:right w:val="nil"/>
                <w:between w:val="nil"/>
              </w:pBdr>
              <w:rPr>
                <w:rFonts w:ascii="Arial" w:eastAsia="Arial" w:hAnsi="Arial" w:cs="Arial"/>
                <w:color w:val="000000"/>
                <w:sz w:val="20"/>
                <w:szCs w:val="20"/>
              </w:rPr>
            </w:pPr>
          </w:p>
        </w:tc>
        <w:tc>
          <w:tcPr>
            <w:tcW w:w="6442" w:type="dxa"/>
          </w:tcPr>
          <w:p w14:paraId="491F1DC6" w14:textId="77777777" w:rsidR="008A3468" w:rsidRPr="002305E2" w:rsidRDefault="008A3468">
            <w:pPr>
              <w:rPr>
                <w:rFonts w:ascii="Arial" w:eastAsia="Arial" w:hAnsi="Arial" w:cs="Arial"/>
                <w:sz w:val="20"/>
                <w:szCs w:val="20"/>
              </w:rPr>
            </w:pPr>
          </w:p>
        </w:tc>
      </w:tr>
    </w:tbl>
    <w:p w14:paraId="51564907"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763C67EF"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066C263A"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7E032FD8"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5B4F7B30"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1335B4E2"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0E6910C8"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6FB5717D"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1ECFC864"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24476119"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bookmarkStart w:id="3" w:name="_heading=h.4gpg6gpkl4ke"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A3468" w:rsidRPr="002305E2" w14:paraId="67EBBBC4" w14:textId="77777777">
        <w:tc>
          <w:tcPr>
            <w:tcW w:w="21150" w:type="dxa"/>
            <w:gridSpan w:val="3"/>
            <w:tcBorders>
              <w:top w:val="nil"/>
              <w:left w:val="nil"/>
              <w:right w:val="nil"/>
            </w:tcBorders>
            <w:tcMar>
              <w:top w:w="0" w:type="dxa"/>
              <w:left w:w="108" w:type="dxa"/>
              <w:bottom w:w="0" w:type="dxa"/>
              <w:right w:w="108" w:type="dxa"/>
            </w:tcMar>
            <w:vAlign w:val="center"/>
          </w:tcPr>
          <w:p w14:paraId="6164BB78" w14:textId="77777777" w:rsidR="008A3468" w:rsidRPr="002305E2" w:rsidRDefault="00A50E7B">
            <w:pPr>
              <w:rPr>
                <w:rFonts w:ascii="Arial" w:eastAsia="Arial" w:hAnsi="Arial" w:cs="Arial"/>
                <w:sz w:val="20"/>
                <w:szCs w:val="20"/>
                <w:u w:val="single"/>
              </w:rPr>
            </w:pPr>
            <w:r w:rsidRPr="002305E2">
              <w:rPr>
                <w:rFonts w:ascii="Arial" w:eastAsia="Arial" w:hAnsi="Arial" w:cs="Arial"/>
                <w:b/>
                <w:bCs/>
                <w:sz w:val="20"/>
                <w:szCs w:val="20"/>
                <w:highlight w:val="yellow"/>
                <w:u w:val="single"/>
              </w:rPr>
              <w:t>PART  2:</w:t>
            </w:r>
            <w:r w:rsidRPr="002305E2">
              <w:rPr>
                <w:rFonts w:ascii="Arial" w:eastAsia="Arial" w:hAnsi="Arial" w:cs="Arial"/>
                <w:b/>
                <w:bCs/>
                <w:sz w:val="20"/>
                <w:szCs w:val="20"/>
                <w:u w:val="single"/>
              </w:rPr>
              <w:t xml:space="preserve"> </w:t>
            </w:r>
          </w:p>
          <w:p w14:paraId="7078DE0E" w14:textId="77777777" w:rsidR="008A3468" w:rsidRPr="002305E2" w:rsidRDefault="008A3468">
            <w:pPr>
              <w:rPr>
                <w:rFonts w:ascii="Arial" w:eastAsia="Arial" w:hAnsi="Arial" w:cs="Arial"/>
                <w:sz w:val="20"/>
                <w:szCs w:val="20"/>
                <w:u w:val="single"/>
              </w:rPr>
            </w:pPr>
          </w:p>
        </w:tc>
      </w:tr>
      <w:tr w:rsidR="008A3468" w:rsidRPr="002305E2" w14:paraId="369C1BE9" w14:textId="77777777">
        <w:tc>
          <w:tcPr>
            <w:tcW w:w="6831" w:type="dxa"/>
            <w:tcMar>
              <w:top w:w="0" w:type="dxa"/>
              <w:left w:w="108" w:type="dxa"/>
              <w:bottom w:w="0" w:type="dxa"/>
              <w:right w:w="108" w:type="dxa"/>
            </w:tcMar>
            <w:vAlign w:val="center"/>
          </w:tcPr>
          <w:p w14:paraId="598F31A2" w14:textId="77777777" w:rsidR="008A3468" w:rsidRPr="002305E2" w:rsidRDefault="008A3468">
            <w:pPr>
              <w:rPr>
                <w:rFonts w:ascii="Arial" w:eastAsia="Arial" w:hAnsi="Arial" w:cs="Arial"/>
                <w:sz w:val="20"/>
                <w:szCs w:val="20"/>
              </w:rPr>
            </w:pPr>
          </w:p>
        </w:tc>
        <w:tc>
          <w:tcPr>
            <w:tcW w:w="7166" w:type="dxa"/>
            <w:tcMar>
              <w:top w:w="0" w:type="dxa"/>
              <w:left w:w="108" w:type="dxa"/>
              <w:bottom w:w="0" w:type="dxa"/>
              <w:right w:w="108" w:type="dxa"/>
            </w:tcMar>
          </w:tcPr>
          <w:p w14:paraId="656FEF1D" w14:textId="77777777" w:rsidR="008A3468" w:rsidRPr="002305E2" w:rsidRDefault="00A50E7B">
            <w:pPr>
              <w:keepNext/>
              <w:rPr>
                <w:rFonts w:ascii="Arial" w:eastAsia="Arial" w:hAnsi="Arial" w:cs="Arial"/>
                <w:sz w:val="20"/>
                <w:szCs w:val="20"/>
              </w:rPr>
            </w:pPr>
            <w:r w:rsidRPr="002305E2">
              <w:rPr>
                <w:rFonts w:ascii="Arial" w:eastAsia="Arial" w:hAnsi="Arial" w:cs="Arial"/>
                <w:b/>
                <w:bCs/>
                <w:sz w:val="20"/>
                <w:szCs w:val="20"/>
              </w:rPr>
              <w:t>Reviewer’s comment</w:t>
            </w:r>
          </w:p>
        </w:tc>
        <w:tc>
          <w:tcPr>
            <w:tcW w:w="7153" w:type="dxa"/>
          </w:tcPr>
          <w:p w14:paraId="12350E85" w14:textId="77777777" w:rsidR="008A3468" w:rsidRPr="002305E2" w:rsidRDefault="00A50E7B">
            <w:pPr>
              <w:spacing w:after="160" w:line="252" w:lineRule="auto"/>
              <w:rPr>
                <w:rFonts w:ascii="Arial" w:eastAsia="Arial" w:hAnsi="Arial" w:cs="Arial"/>
                <w:sz w:val="20"/>
                <w:szCs w:val="20"/>
              </w:rPr>
            </w:pPr>
            <w:r w:rsidRPr="002305E2">
              <w:rPr>
                <w:rFonts w:ascii="Arial" w:eastAsia="Arial" w:hAnsi="Arial" w:cs="Arial"/>
                <w:b/>
                <w:bCs/>
                <w:sz w:val="20"/>
                <w:szCs w:val="20"/>
              </w:rPr>
              <w:t>Author’s Feedback</w:t>
            </w:r>
            <w:r w:rsidRPr="002305E2">
              <w:rPr>
                <w:rFonts w:ascii="Arial" w:eastAsia="Arial" w:hAnsi="Arial" w:cs="Arial"/>
                <w:sz w:val="20"/>
                <w:szCs w:val="20"/>
              </w:rPr>
              <w:t xml:space="preserve"> (It is mandatory that authors should write his/her feedback here)</w:t>
            </w:r>
          </w:p>
          <w:p w14:paraId="187AB5C6" w14:textId="77777777" w:rsidR="008A3468" w:rsidRPr="002305E2" w:rsidRDefault="008A3468">
            <w:pPr>
              <w:keepNext/>
              <w:rPr>
                <w:rFonts w:ascii="Arial" w:eastAsia="Arial" w:hAnsi="Arial" w:cs="Arial"/>
                <w:sz w:val="20"/>
                <w:szCs w:val="20"/>
              </w:rPr>
            </w:pPr>
          </w:p>
        </w:tc>
      </w:tr>
      <w:tr w:rsidR="008A3468" w:rsidRPr="002305E2" w14:paraId="05249B58" w14:textId="77777777">
        <w:trPr>
          <w:trHeight w:val="890"/>
        </w:trPr>
        <w:tc>
          <w:tcPr>
            <w:tcW w:w="6831" w:type="dxa"/>
            <w:tcMar>
              <w:top w:w="0" w:type="dxa"/>
              <w:left w:w="108" w:type="dxa"/>
              <w:bottom w:w="0" w:type="dxa"/>
              <w:right w:w="108" w:type="dxa"/>
            </w:tcMar>
            <w:vAlign w:val="center"/>
          </w:tcPr>
          <w:p w14:paraId="1DE78F37" w14:textId="77777777" w:rsidR="008A3468" w:rsidRPr="002305E2" w:rsidRDefault="00A50E7B">
            <w:pPr>
              <w:rPr>
                <w:rFonts w:ascii="Arial" w:eastAsia="Arial" w:hAnsi="Arial" w:cs="Arial"/>
                <w:sz w:val="20"/>
                <w:szCs w:val="20"/>
              </w:rPr>
            </w:pPr>
            <w:r w:rsidRPr="002305E2">
              <w:rPr>
                <w:rFonts w:ascii="Arial" w:eastAsia="Arial" w:hAnsi="Arial" w:cs="Arial"/>
                <w:b/>
                <w:bCs/>
                <w:sz w:val="20"/>
                <w:szCs w:val="20"/>
              </w:rPr>
              <w:t xml:space="preserve">Are there ethical issues in this manuscript? </w:t>
            </w:r>
          </w:p>
          <w:p w14:paraId="576DF517" w14:textId="77777777" w:rsidR="008A3468" w:rsidRPr="002305E2" w:rsidRDefault="008A3468">
            <w:pPr>
              <w:rPr>
                <w:rFonts w:ascii="Arial" w:eastAsia="Arial" w:hAnsi="Arial" w:cs="Arial"/>
                <w:sz w:val="20"/>
                <w:szCs w:val="20"/>
              </w:rPr>
            </w:pPr>
          </w:p>
        </w:tc>
        <w:tc>
          <w:tcPr>
            <w:tcW w:w="7166" w:type="dxa"/>
            <w:tcMar>
              <w:top w:w="0" w:type="dxa"/>
              <w:left w:w="108" w:type="dxa"/>
              <w:bottom w:w="0" w:type="dxa"/>
              <w:right w:w="108" w:type="dxa"/>
            </w:tcMar>
            <w:vAlign w:val="center"/>
          </w:tcPr>
          <w:p w14:paraId="30605177" w14:textId="77777777" w:rsidR="008A3468" w:rsidRPr="002305E2" w:rsidRDefault="00A50E7B">
            <w:pPr>
              <w:rPr>
                <w:rFonts w:ascii="Arial" w:eastAsia="Arial" w:hAnsi="Arial" w:cs="Arial"/>
                <w:sz w:val="20"/>
                <w:szCs w:val="20"/>
                <w:u w:val="single"/>
              </w:rPr>
            </w:pPr>
            <w:r w:rsidRPr="002305E2">
              <w:rPr>
                <w:rFonts w:ascii="Arial" w:eastAsia="Arial" w:hAnsi="Arial" w:cs="Arial"/>
                <w:i/>
                <w:iCs/>
                <w:sz w:val="20"/>
                <w:szCs w:val="20"/>
                <w:u w:val="single"/>
              </w:rPr>
              <w:t>(If yes, Kindly</w:t>
            </w:r>
            <w:r w:rsidRPr="002305E2">
              <w:rPr>
                <w:rFonts w:ascii="Arial" w:eastAsia="Arial" w:hAnsi="Arial" w:cs="Arial"/>
                <w:i/>
                <w:iCs/>
                <w:sz w:val="20"/>
                <w:szCs w:val="20"/>
                <w:u w:val="single"/>
              </w:rPr>
              <w:t xml:space="preserve"> please write down the ethical issues here in details)</w:t>
            </w:r>
          </w:p>
          <w:p w14:paraId="7A222176" w14:textId="77777777" w:rsidR="008A3468" w:rsidRPr="002305E2" w:rsidRDefault="008A3468">
            <w:pPr>
              <w:rPr>
                <w:rFonts w:ascii="Arial" w:eastAsia="Arial" w:hAnsi="Arial" w:cs="Arial"/>
                <w:sz w:val="20"/>
                <w:szCs w:val="20"/>
              </w:rPr>
            </w:pPr>
          </w:p>
          <w:p w14:paraId="0A6AA6E7" w14:textId="77777777" w:rsidR="008A3468" w:rsidRPr="002305E2" w:rsidRDefault="008A3468">
            <w:pPr>
              <w:rPr>
                <w:rFonts w:ascii="Arial" w:eastAsia="Arial" w:hAnsi="Arial" w:cs="Arial"/>
                <w:sz w:val="20"/>
                <w:szCs w:val="20"/>
              </w:rPr>
            </w:pPr>
          </w:p>
        </w:tc>
        <w:tc>
          <w:tcPr>
            <w:tcW w:w="7153" w:type="dxa"/>
            <w:vAlign w:val="center"/>
          </w:tcPr>
          <w:p w14:paraId="3891A949" w14:textId="77777777" w:rsidR="008A3468" w:rsidRPr="002305E2" w:rsidRDefault="00A50E7B">
            <w:pPr>
              <w:rPr>
                <w:rFonts w:ascii="Arial" w:eastAsia="Arial" w:hAnsi="Arial" w:cs="Arial"/>
                <w:sz w:val="20"/>
                <w:szCs w:val="20"/>
              </w:rPr>
            </w:pPr>
            <w:r w:rsidRPr="002305E2">
              <w:rPr>
                <w:rFonts w:ascii="Arial" w:eastAsia="Arial" w:hAnsi="Arial" w:cs="Arial"/>
                <w:sz w:val="20"/>
                <w:szCs w:val="20"/>
              </w:rPr>
              <w:t>No</w:t>
            </w:r>
          </w:p>
          <w:p w14:paraId="4718264B" w14:textId="77777777" w:rsidR="008A3468" w:rsidRPr="002305E2" w:rsidRDefault="008A3468">
            <w:pPr>
              <w:rPr>
                <w:rFonts w:ascii="Arial" w:eastAsia="Arial" w:hAnsi="Arial" w:cs="Arial"/>
                <w:sz w:val="20"/>
                <w:szCs w:val="20"/>
              </w:rPr>
            </w:pPr>
          </w:p>
          <w:p w14:paraId="0481DDBF" w14:textId="77777777" w:rsidR="008A3468" w:rsidRPr="002305E2" w:rsidRDefault="008A3468">
            <w:pPr>
              <w:rPr>
                <w:rFonts w:ascii="Arial" w:eastAsia="Arial" w:hAnsi="Arial" w:cs="Arial"/>
                <w:sz w:val="20"/>
                <w:szCs w:val="20"/>
              </w:rPr>
            </w:pPr>
          </w:p>
        </w:tc>
      </w:tr>
    </w:tbl>
    <w:p w14:paraId="68681FDC" w14:textId="77777777" w:rsidR="008A3468" w:rsidRPr="002305E2" w:rsidRDefault="008A3468">
      <w:pPr>
        <w:rPr>
          <w:rFonts w:ascii="Arial" w:hAnsi="Arial" w:cs="Arial"/>
          <w:sz w:val="20"/>
          <w:szCs w:val="20"/>
        </w:rPr>
      </w:pPr>
    </w:p>
    <w:p w14:paraId="7D9B3128" w14:textId="77777777" w:rsidR="008A3468" w:rsidRPr="002305E2" w:rsidRDefault="008A3468">
      <w:pPr>
        <w:rPr>
          <w:rFonts w:ascii="Arial" w:hAnsi="Arial" w:cs="Arial"/>
          <w:sz w:val="20"/>
          <w:szCs w:val="20"/>
        </w:rPr>
      </w:pPr>
    </w:p>
    <w:p w14:paraId="45B9BD7F" w14:textId="77777777" w:rsidR="008A3468" w:rsidRPr="002305E2" w:rsidRDefault="008A3468">
      <w:pPr>
        <w:rPr>
          <w:rFonts w:ascii="Arial" w:hAnsi="Arial" w:cs="Arial"/>
          <w:sz w:val="20"/>
          <w:szCs w:val="20"/>
          <w:u w:val="single"/>
        </w:rPr>
      </w:pPr>
    </w:p>
    <w:p w14:paraId="01A7959F" w14:textId="77777777" w:rsidR="008A3468" w:rsidRPr="002305E2" w:rsidRDefault="008A3468">
      <w:pPr>
        <w:rPr>
          <w:rFonts w:ascii="Arial" w:hAnsi="Arial" w:cs="Arial"/>
          <w:sz w:val="20"/>
          <w:szCs w:val="20"/>
        </w:rPr>
      </w:pPr>
    </w:p>
    <w:p w14:paraId="15239821" w14:textId="77777777" w:rsidR="008A3468" w:rsidRPr="002305E2" w:rsidRDefault="008A3468">
      <w:pPr>
        <w:pBdr>
          <w:top w:val="nil"/>
          <w:left w:val="nil"/>
          <w:bottom w:val="nil"/>
          <w:right w:val="nil"/>
          <w:between w:val="nil"/>
        </w:pBdr>
        <w:jc w:val="both"/>
        <w:rPr>
          <w:rFonts w:ascii="Arial" w:eastAsia="Arial" w:hAnsi="Arial" w:cs="Arial"/>
          <w:color w:val="000000"/>
          <w:sz w:val="20"/>
          <w:szCs w:val="20"/>
          <w:u w:val="single"/>
        </w:rPr>
      </w:pPr>
    </w:p>
    <w:p w14:paraId="25AAFF9B" w14:textId="77777777" w:rsidR="002305E2" w:rsidRPr="002305E2" w:rsidRDefault="002305E2">
      <w:pPr>
        <w:pBdr>
          <w:top w:val="nil"/>
          <w:left w:val="nil"/>
          <w:bottom w:val="nil"/>
          <w:right w:val="nil"/>
          <w:between w:val="nil"/>
        </w:pBdr>
        <w:jc w:val="both"/>
        <w:rPr>
          <w:rFonts w:ascii="Arial" w:eastAsia="Arial" w:hAnsi="Arial" w:cs="Arial"/>
          <w:color w:val="000000"/>
          <w:sz w:val="20"/>
          <w:szCs w:val="20"/>
          <w:u w:val="single"/>
        </w:rPr>
      </w:pPr>
    </w:p>
    <w:sectPr w:rsidR="002305E2" w:rsidRPr="002305E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9DE782" w14:textId="77777777" w:rsidR="00A50E7B" w:rsidRDefault="00A50E7B">
      <w:r>
        <w:separator/>
      </w:r>
    </w:p>
  </w:endnote>
  <w:endnote w:type="continuationSeparator" w:id="0">
    <w:p w14:paraId="5D39FD25" w14:textId="77777777" w:rsidR="00A50E7B" w:rsidRDefault="00A50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55108525-06AD-4C3F-A54C-9B2D13912B79}"/>
  </w:font>
  <w:font w:name="Arimo">
    <w:charset w:val="00"/>
    <w:family w:val="auto"/>
    <w:pitch w:val="default"/>
    <w:embedBold r:id="rId2" w:fontKey="{B541AED0-CE1D-4E47-B362-A5010912AD4D}"/>
  </w:font>
  <w:font w:name="Helvetica">
    <w:panose1 w:val="020B0604020202020204"/>
    <w:charset w:val="00"/>
    <w:family w:val="swiss"/>
    <w:pitch w:val="variable"/>
    <w:sig w:usb0="E0002EFF" w:usb1="C000785B" w:usb2="00000009" w:usb3="00000000" w:csb0="000001FF" w:csb1="00000000"/>
    <w:embedRegular r:id="rId3" w:fontKey="{36E27BBC-FF94-4FAD-BE7C-C90ED2E3FF3F}"/>
    <w:embedBold r:id="rId4" w:fontKey="{DD066101-A773-41D6-A983-6484ED91C2DC}"/>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77A1E438-CCA2-4DBE-96E4-DE2665ADE1CB}"/>
  </w:font>
  <w:font w:name="Georgia">
    <w:panose1 w:val="02040502050405020303"/>
    <w:charset w:val="00"/>
    <w:family w:val="roman"/>
    <w:pitch w:val="variable"/>
    <w:sig w:usb0="00000287" w:usb1="00000000" w:usb2="00000000" w:usb3="00000000" w:csb0="0000009F" w:csb1="00000000"/>
    <w:embedItalic r:id="rId6" w:fontKey="{4A3607A3-86F4-436E-890F-AA13C1FF7C7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F10210EC-F5A0-4E4C-AB4B-07245702C4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8E1C75" w14:textId="77777777" w:rsidR="008A3468" w:rsidRDefault="00A50E7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3FE015" w14:textId="77777777" w:rsidR="00A50E7B" w:rsidRDefault="00A50E7B">
      <w:r>
        <w:separator/>
      </w:r>
    </w:p>
  </w:footnote>
  <w:footnote w:type="continuationSeparator" w:id="0">
    <w:p w14:paraId="56581B63" w14:textId="77777777" w:rsidR="00A50E7B" w:rsidRDefault="00A50E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4B9C94" w14:textId="77777777" w:rsidR="008A3468" w:rsidRDefault="008A3468">
    <w:pPr>
      <w:spacing w:after="280"/>
      <w:jc w:val="center"/>
      <w:rPr>
        <w:rFonts w:ascii="Arial" w:eastAsia="Arial" w:hAnsi="Arial" w:cs="Arial"/>
        <w:color w:val="003399"/>
        <w:u w:val="single"/>
      </w:rPr>
    </w:pPr>
  </w:p>
  <w:p w14:paraId="68C2C164" w14:textId="77777777" w:rsidR="008A3468" w:rsidRDefault="00A50E7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468"/>
    <w:rsid w:val="002305E2"/>
    <w:rsid w:val="005C4072"/>
    <w:rsid w:val="007F4BD8"/>
    <w:rsid w:val="008A3468"/>
    <w:rsid w:val="00935E71"/>
    <w:rsid w:val="00A50E7B"/>
    <w:rsid w:val="00D05EC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359ECD"/>
  <w15:docId w15:val="{1C87D901-7CBC-4FF0-8FB6-0E8212583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hr.com/index.php/AJAH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tGTyvZIN1GPisgVnS38Rv1BnXw==">CgMxLjAyDmguaGltMnFyZTFheWh0Mg5oLmQ1cjg2aTN3eTB3dTIOaC40Z3BnNmdwa2w0a2U4AHIhMTdwdG9iWkptUUlPcEU2MFRrQ3I5cWFzUFhzZm45blRu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1070</Words>
  <Characters>6104</Characters>
  <Application>Microsoft Office Word</Application>
  <DocSecurity>0</DocSecurity>
  <Lines>50</Lines>
  <Paragraphs>14</Paragraphs>
  <ScaleCrop>false</ScaleCrop>
  <Company/>
  <LinksUpToDate>false</LinksUpToDate>
  <CharactersWithSpaces>7160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2011-08-01T09:21:00Z</dcterms:created>
  <dcterms:modified xsi:type="dcterms:W3CDTF">2026-01-10T11:44:00Z</dcterms:modified>
</cp:coreProperties>
</file>