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5163" w:rsidRDefault="002D516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D5163">
        <w:trPr>
          <w:trHeight w:val="290"/>
        </w:trPr>
        <w:tc>
          <w:tcPr>
            <w:tcW w:w="20934" w:type="dxa"/>
            <w:gridSpan w:val="2"/>
            <w:tcBorders>
              <w:top w:val="nil"/>
              <w:left w:val="nil"/>
              <w:right w:val="nil"/>
            </w:tcBorders>
          </w:tcPr>
          <w:p w:rsidR="002D5163" w:rsidRDefault="002D5163">
            <w:pPr>
              <w:pStyle w:val="Heading2"/>
              <w:jc w:val="left"/>
              <w:rPr>
                <w:rFonts w:ascii="Arial" w:eastAsia="Arial" w:hAnsi="Arial" w:cs="Arial"/>
                <w:b w:val="0"/>
                <w:bCs w:val="0"/>
                <w:sz w:val="28"/>
                <w:szCs w:val="28"/>
              </w:rPr>
            </w:pPr>
          </w:p>
        </w:tc>
      </w:tr>
      <w:tr w:rsidR="002D5163">
        <w:trPr>
          <w:trHeight w:val="290"/>
        </w:trPr>
        <w:tc>
          <w:tcPr>
            <w:tcW w:w="5167" w:type="dxa"/>
          </w:tcPr>
          <w:p w:rsidR="002D5163" w:rsidRDefault="00C464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2D5163" w:rsidRDefault="00C46409">
            <w:pPr>
              <w:rPr>
                <w:rFonts w:ascii="Arial" w:eastAsia="Arial" w:hAnsi="Arial" w:cs="Arial"/>
                <w:color w:val="0000FF"/>
                <w:sz w:val="20"/>
                <w:szCs w:val="20"/>
              </w:rPr>
            </w:pPr>
            <w:hyperlink r:id="rId7">
              <w:r>
                <w:rPr>
                  <w:rFonts w:ascii="Arial" w:eastAsia="Arial" w:hAnsi="Arial" w:cs="Arial"/>
                  <w:b/>
                  <w:bCs/>
                  <w:color w:val="0000FF"/>
                  <w:sz w:val="20"/>
                  <w:szCs w:val="20"/>
                  <w:u w:val="single"/>
                </w:rPr>
                <w:t>Asian Journal of Agricultural Extension, Economics &amp; Sociology</w:t>
              </w:r>
            </w:hyperlink>
            <w:r>
              <w:rPr>
                <w:rFonts w:ascii="Arial" w:eastAsia="Arial" w:hAnsi="Arial" w:cs="Arial"/>
                <w:b/>
                <w:bCs/>
                <w:color w:val="0000FF"/>
                <w:sz w:val="20"/>
                <w:szCs w:val="20"/>
              </w:rPr>
              <w:t xml:space="preserve"> </w:t>
            </w:r>
          </w:p>
        </w:tc>
      </w:tr>
      <w:tr w:rsidR="002D5163">
        <w:trPr>
          <w:trHeight w:val="290"/>
        </w:trPr>
        <w:tc>
          <w:tcPr>
            <w:tcW w:w="5167" w:type="dxa"/>
          </w:tcPr>
          <w:p w:rsidR="002D5163" w:rsidRDefault="00C464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2D5163" w:rsidRDefault="00C4640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Ms_AJAEES_150357</w:t>
            </w:r>
          </w:p>
        </w:tc>
      </w:tr>
      <w:tr w:rsidR="002D5163">
        <w:trPr>
          <w:trHeight w:val="650"/>
        </w:trPr>
        <w:tc>
          <w:tcPr>
            <w:tcW w:w="5167" w:type="dxa"/>
          </w:tcPr>
          <w:p w:rsidR="002D5163" w:rsidRDefault="00C464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2D5163" w:rsidRDefault="00C4640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Knowledge level of Rural Youth towards ARYA Scheme: A comparative Study of Beneficiaries and Non-beneficiaries in </w:t>
            </w:r>
            <w:proofErr w:type="spellStart"/>
            <w:r>
              <w:rPr>
                <w:rFonts w:ascii="Arial" w:eastAsia="Arial" w:hAnsi="Arial" w:cs="Arial"/>
                <w:b/>
                <w:bCs/>
                <w:color w:val="000000"/>
                <w:sz w:val="20"/>
                <w:szCs w:val="20"/>
              </w:rPr>
              <w:t>Kaushambi</w:t>
            </w:r>
            <w:proofErr w:type="spellEnd"/>
            <w:r>
              <w:rPr>
                <w:rFonts w:ascii="Arial" w:eastAsia="Arial" w:hAnsi="Arial" w:cs="Arial"/>
                <w:b/>
                <w:bCs/>
                <w:color w:val="000000"/>
                <w:sz w:val="20"/>
                <w:szCs w:val="20"/>
              </w:rPr>
              <w:t xml:space="preserve"> District of Uttar Pradesh</w:t>
            </w:r>
          </w:p>
        </w:tc>
      </w:tr>
      <w:tr w:rsidR="002D5163">
        <w:trPr>
          <w:trHeight w:val="332"/>
        </w:trPr>
        <w:tc>
          <w:tcPr>
            <w:tcW w:w="5167" w:type="dxa"/>
          </w:tcPr>
          <w:p w:rsidR="002D5163" w:rsidRDefault="00C4640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2D5163" w:rsidRDefault="002D5163">
            <w:pPr>
              <w:pBdr>
                <w:top w:val="nil"/>
                <w:left w:val="nil"/>
                <w:bottom w:val="nil"/>
                <w:right w:val="nil"/>
                <w:between w:val="nil"/>
              </w:pBdr>
              <w:rPr>
                <w:rFonts w:ascii="Arial" w:eastAsia="Arial" w:hAnsi="Arial" w:cs="Arial"/>
                <w:color w:val="000000"/>
                <w:sz w:val="20"/>
                <w:szCs w:val="20"/>
              </w:rPr>
            </w:pPr>
          </w:p>
        </w:tc>
      </w:tr>
    </w:tbl>
    <w:p w:rsidR="002D5163" w:rsidRDefault="002D5163">
      <w:pPr>
        <w:rPr>
          <w:sz w:val="20"/>
          <w:szCs w:val="20"/>
        </w:rPr>
      </w:pPr>
      <w:bookmarkStart w:id="0" w:name="_heading=h.pz5bbsvlived"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D5163">
        <w:tc>
          <w:tcPr>
            <w:tcW w:w="21150" w:type="dxa"/>
            <w:gridSpan w:val="3"/>
            <w:tcBorders>
              <w:top w:val="nil"/>
              <w:left w:val="nil"/>
              <w:right w:val="nil"/>
            </w:tcBorders>
          </w:tcPr>
          <w:p w:rsidR="002D5163" w:rsidRDefault="00C4640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2D5163" w:rsidRDefault="002D5163">
            <w:pPr>
              <w:rPr>
                <w:sz w:val="20"/>
                <w:szCs w:val="20"/>
              </w:rPr>
            </w:pPr>
          </w:p>
        </w:tc>
      </w:tr>
      <w:tr w:rsidR="002D5163">
        <w:tc>
          <w:tcPr>
            <w:tcW w:w="5351" w:type="dxa"/>
          </w:tcPr>
          <w:p w:rsidR="002D5163" w:rsidRDefault="002D5163">
            <w:pPr>
              <w:pStyle w:val="Heading2"/>
              <w:jc w:val="left"/>
              <w:rPr>
                <w:rFonts w:ascii="Times New Roman" w:eastAsia="Times New Roman" w:hAnsi="Times New Roman" w:cs="Times New Roman"/>
              </w:rPr>
            </w:pPr>
          </w:p>
        </w:tc>
        <w:tc>
          <w:tcPr>
            <w:tcW w:w="9357" w:type="dxa"/>
          </w:tcPr>
          <w:p w:rsidR="002D5163" w:rsidRDefault="00C4640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2D5163" w:rsidRDefault="00C46409">
            <w:pPr>
              <w:rPr>
                <w:sz w:val="20"/>
                <w:szCs w:val="20"/>
              </w:rPr>
            </w:pPr>
            <w:r>
              <w:rPr>
                <w:b/>
                <w:bCs/>
                <w:sz w:val="20"/>
                <w:szCs w:val="20"/>
                <w:highlight w:val="yellow"/>
              </w:rPr>
              <w:t>Artificial Intelligence (AI) generated or assisted review comments are strictly prohibited during peer review.</w:t>
            </w:r>
          </w:p>
          <w:p w:rsidR="002D5163" w:rsidRDefault="002D5163"/>
        </w:tc>
        <w:tc>
          <w:tcPr>
            <w:tcW w:w="6442" w:type="dxa"/>
          </w:tcPr>
          <w:p w:rsidR="002D5163" w:rsidRDefault="00C4640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2D5163" w:rsidRDefault="00C46409">
            <w:pPr>
              <w:pStyle w:val="Heading2"/>
              <w:jc w:val="left"/>
              <w:rPr>
                <w:rFonts w:ascii="Times New Roman" w:eastAsia="Times New Roman" w:hAnsi="Times New Roman" w:cs="Times New Roman"/>
                <w:b w:val="0"/>
                <w:bCs w:val="0"/>
              </w:rPr>
            </w:pPr>
            <w:bookmarkStart w:id="1" w:name="_heading=h.gjugs12zpo0t" w:colFirst="0" w:colLast="0"/>
            <w:bookmarkEnd w:id="1"/>
            <w:r>
              <w:rPr>
                <w:rFonts w:ascii="Times New Roman" w:eastAsia="Times New Roman" w:hAnsi="Times New Roman" w:cs="Times New Roman"/>
                <w:b w:val="0"/>
                <w:bCs w:val="0"/>
              </w:rPr>
              <w:t>There was no use of Generative AI during the writing of this manuscript</w:t>
            </w:r>
          </w:p>
        </w:tc>
      </w:tr>
      <w:tr w:rsidR="002D5163">
        <w:trPr>
          <w:trHeight w:val="1264"/>
        </w:trPr>
        <w:tc>
          <w:tcPr>
            <w:tcW w:w="5351" w:type="dxa"/>
          </w:tcPr>
          <w:p w:rsidR="002D5163" w:rsidRDefault="00C46409">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2D5163" w:rsidRDefault="002D5163">
            <w:pPr>
              <w:ind w:left="360"/>
              <w:rPr>
                <w:sz w:val="20"/>
                <w:szCs w:val="20"/>
              </w:rPr>
            </w:pPr>
          </w:p>
        </w:tc>
        <w:tc>
          <w:tcPr>
            <w:tcW w:w="9357" w:type="dxa"/>
          </w:tcPr>
          <w:p w:rsidR="002D5163" w:rsidRDefault="00C46409">
            <w:pPr>
              <w:pBdr>
                <w:top w:val="nil"/>
                <w:left w:val="nil"/>
                <w:bottom w:val="nil"/>
                <w:right w:val="nil"/>
                <w:between w:val="nil"/>
              </w:pBdr>
              <w:rPr>
                <w:color w:val="000000"/>
                <w:sz w:val="20"/>
                <w:szCs w:val="20"/>
              </w:rPr>
            </w:pPr>
            <w:r>
              <w:rPr>
                <w:b/>
                <w:bCs/>
                <w:color w:val="000000"/>
                <w:sz w:val="20"/>
                <w:szCs w:val="20"/>
              </w:rPr>
              <w:t>Useful for understand</w:t>
            </w:r>
            <w:r>
              <w:rPr>
                <w:b/>
                <w:bCs/>
                <w:color w:val="000000"/>
                <w:sz w:val="20"/>
                <w:szCs w:val="20"/>
              </w:rPr>
              <w:t>ing the difference in access to knowledge regarding the ARYA scheme. The manuscript proves that, while the scheme increases skills and access to income generating opportunities for rural youth in India, the general knowledge about the scheme is low among t</w:t>
            </w:r>
            <w:r>
              <w:rPr>
                <w:b/>
                <w:bCs/>
                <w:color w:val="000000"/>
                <w:sz w:val="20"/>
                <w:szCs w:val="20"/>
              </w:rPr>
              <w:t>he people/youth who are not beneficiaries of the program. This means that the central government could emphasize increasing out reach about the scheme to non-beneficiaries who might then apply for the program.</w:t>
            </w:r>
          </w:p>
        </w:tc>
        <w:tc>
          <w:tcPr>
            <w:tcW w:w="6442" w:type="dxa"/>
          </w:tcPr>
          <w:p w:rsidR="002D5163" w:rsidRDefault="00C46409">
            <w:pPr>
              <w:pStyle w:val="Heading2"/>
              <w:jc w:val="left"/>
              <w:rPr>
                <w:rFonts w:ascii="Times New Roman" w:eastAsia="Times New Roman" w:hAnsi="Times New Roman" w:cs="Times New Roman"/>
                <w:b w:val="0"/>
                <w:bCs w:val="0"/>
              </w:rPr>
            </w:pPr>
            <w:bookmarkStart w:id="2" w:name="_heading=h.9r7navrfvgag" w:colFirst="0" w:colLast="0"/>
            <w:bookmarkEnd w:id="2"/>
            <w:r>
              <w:rPr>
                <w:rFonts w:ascii="Times New Roman" w:eastAsia="Times New Roman" w:hAnsi="Times New Roman" w:cs="Times New Roman"/>
                <w:b w:val="0"/>
                <w:bCs w:val="0"/>
              </w:rPr>
              <w:t>This manuscript has significance for policyhol</w:t>
            </w:r>
            <w:r>
              <w:rPr>
                <w:rFonts w:ascii="Times New Roman" w:eastAsia="Times New Roman" w:hAnsi="Times New Roman" w:cs="Times New Roman"/>
                <w:b w:val="0"/>
                <w:bCs w:val="0"/>
              </w:rPr>
              <w:t>ders, implementing agencies, and the scientific community as it assesses the detailed study of beneficiaries and non-beneficiaries of the ARYA scheme. The results of the study serve as a reference for improving programme design and promoting more youths</w:t>
            </w:r>
          </w:p>
        </w:tc>
      </w:tr>
      <w:tr w:rsidR="002D5163">
        <w:trPr>
          <w:trHeight w:val="1262"/>
        </w:trPr>
        <w:tc>
          <w:tcPr>
            <w:tcW w:w="5351" w:type="dxa"/>
          </w:tcPr>
          <w:p w:rsidR="002D5163" w:rsidRDefault="00C46409">
            <w:pPr>
              <w:ind w:left="360"/>
              <w:rPr>
                <w:sz w:val="20"/>
                <w:szCs w:val="20"/>
              </w:rPr>
            </w:pPr>
            <w:r>
              <w:rPr>
                <w:b/>
                <w:bCs/>
                <w:sz w:val="20"/>
                <w:szCs w:val="20"/>
              </w:rPr>
              <w:t>Is the title of the article suitable?</w:t>
            </w:r>
          </w:p>
          <w:p w:rsidR="002D5163" w:rsidRDefault="00C46409">
            <w:pPr>
              <w:ind w:left="360"/>
              <w:rPr>
                <w:sz w:val="20"/>
                <w:szCs w:val="20"/>
              </w:rPr>
            </w:pPr>
            <w:r>
              <w:rPr>
                <w:b/>
                <w:bCs/>
                <w:sz w:val="20"/>
                <w:szCs w:val="20"/>
              </w:rPr>
              <w:t>(If not please suggest an alternative title)</w:t>
            </w:r>
          </w:p>
          <w:p w:rsidR="002D5163" w:rsidRDefault="002D5163">
            <w:pPr>
              <w:pStyle w:val="Heading2"/>
              <w:jc w:val="left"/>
              <w:rPr>
                <w:rFonts w:ascii="Times New Roman" w:eastAsia="Times New Roman" w:hAnsi="Times New Roman" w:cs="Times New Roman"/>
                <w:u w:val="single"/>
              </w:rPr>
            </w:pPr>
          </w:p>
        </w:tc>
        <w:tc>
          <w:tcPr>
            <w:tcW w:w="9357" w:type="dxa"/>
          </w:tcPr>
          <w:p w:rsidR="002D5163" w:rsidRDefault="00C46409">
            <w:pPr>
              <w:ind w:left="360"/>
              <w:rPr>
                <w:sz w:val="20"/>
                <w:szCs w:val="20"/>
              </w:rPr>
            </w:pPr>
            <w:r>
              <w:rPr>
                <w:b/>
                <w:bCs/>
                <w:sz w:val="20"/>
                <w:szCs w:val="20"/>
              </w:rPr>
              <w:t>Yes, the title is suitable.</w:t>
            </w:r>
          </w:p>
        </w:tc>
        <w:tc>
          <w:tcPr>
            <w:tcW w:w="6442" w:type="dxa"/>
          </w:tcPr>
          <w:p w:rsidR="002D5163" w:rsidRDefault="00C46409">
            <w:pPr>
              <w:pStyle w:val="Heading2"/>
              <w:jc w:val="left"/>
              <w:rPr>
                <w:rFonts w:ascii="Times New Roman" w:eastAsia="Times New Roman" w:hAnsi="Times New Roman" w:cs="Times New Roman"/>
                <w:b w:val="0"/>
                <w:bCs w:val="0"/>
              </w:rPr>
            </w:pPr>
            <w:bookmarkStart w:id="3" w:name="_heading=h.9wccpsqgw2vl" w:colFirst="0" w:colLast="0"/>
            <w:bookmarkEnd w:id="3"/>
            <w:proofErr w:type="gramStart"/>
            <w:r>
              <w:rPr>
                <w:rFonts w:ascii="Times New Roman" w:eastAsia="Times New Roman" w:hAnsi="Times New Roman" w:cs="Times New Roman"/>
                <w:b w:val="0"/>
                <w:bCs w:val="0"/>
              </w:rPr>
              <w:t>Yes ,</w:t>
            </w:r>
            <w:proofErr w:type="gramEnd"/>
            <w:r>
              <w:rPr>
                <w:rFonts w:ascii="Times New Roman" w:eastAsia="Times New Roman" w:hAnsi="Times New Roman" w:cs="Times New Roman"/>
                <w:b w:val="0"/>
                <w:bCs w:val="0"/>
              </w:rPr>
              <w:t xml:space="preserve"> the title of the article was chosen appropriately.</w:t>
            </w:r>
          </w:p>
        </w:tc>
      </w:tr>
      <w:tr w:rsidR="002D5163">
        <w:trPr>
          <w:trHeight w:val="1262"/>
        </w:trPr>
        <w:tc>
          <w:tcPr>
            <w:tcW w:w="5351" w:type="dxa"/>
          </w:tcPr>
          <w:p w:rsidR="002D5163" w:rsidRDefault="00C4640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w:t>
            </w:r>
            <w:r>
              <w:rPr>
                <w:rFonts w:ascii="Times New Roman" w:eastAsia="Times New Roman" w:hAnsi="Times New Roman" w:cs="Times New Roman"/>
              </w:rPr>
              <w:t>) of some points in this section? Please write your suggestions here.</w:t>
            </w:r>
          </w:p>
          <w:p w:rsidR="002D5163" w:rsidRDefault="002D5163">
            <w:pPr>
              <w:pStyle w:val="Heading2"/>
              <w:jc w:val="left"/>
              <w:rPr>
                <w:rFonts w:ascii="Times New Roman" w:eastAsia="Times New Roman" w:hAnsi="Times New Roman" w:cs="Times New Roman"/>
                <w:u w:val="single"/>
              </w:rPr>
            </w:pPr>
          </w:p>
        </w:tc>
        <w:tc>
          <w:tcPr>
            <w:tcW w:w="9357" w:type="dxa"/>
          </w:tcPr>
          <w:p w:rsidR="002D5163" w:rsidRDefault="00C46409">
            <w:pPr>
              <w:ind w:left="360"/>
              <w:rPr>
                <w:sz w:val="20"/>
                <w:szCs w:val="20"/>
              </w:rPr>
            </w:pPr>
            <w:r>
              <w:rPr>
                <w:b/>
                <w:bCs/>
                <w:sz w:val="20"/>
                <w:szCs w:val="20"/>
              </w:rPr>
              <w:t>The abstract is comprehensive but there could be more info about the conclusion at the end of the abstract.</w:t>
            </w:r>
          </w:p>
        </w:tc>
        <w:tc>
          <w:tcPr>
            <w:tcW w:w="6442" w:type="dxa"/>
          </w:tcPr>
          <w:p w:rsidR="002D5163" w:rsidRDefault="00C46409">
            <w:pPr>
              <w:pStyle w:val="Heading2"/>
              <w:jc w:val="left"/>
              <w:rPr>
                <w:rFonts w:ascii="Times New Roman" w:eastAsia="Times New Roman" w:hAnsi="Times New Roman" w:cs="Times New Roman"/>
                <w:b w:val="0"/>
                <w:bCs w:val="0"/>
              </w:rPr>
            </w:pPr>
            <w:bookmarkStart w:id="4" w:name="_heading=h.9pgu6gfzupj5" w:colFirst="0" w:colLast="0"/>
            <w:bookmarkEnd w:id="4"/>
            <w:r>
              <w:rPr>
                <w:rFonts w:ascii="Times New Roman" w:eastAsia="Times New Roman" w:hAnsi="Times New Roman" w:cs="Times New Roman"/>
                <w:b w:val="0"/>
                <w:bCs w:val="0"/>
              </w:rPr>
              <w:t>Implication of the study was added in the abstract</w:t>
            </w:r>
          </w:p>
        </w:tc>
      </w:tr>
      <w:tr w:rsidR="002D5163">
        <w:trPr>
          <w:trHeight w:val="704"/>
        </w:trPr>
        <w:tc>
          <w:tcPr>
            <w:tcW w:w="5351" w:type="dxa"/>
          </w:tcPr>
          <w:p w:rsidR="002D5163" w:rsidRDefault="00C4640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2D5163" w:rsidRDefault="00C46409">
            <w:pPr>
              <w:pBdr>
                <w:top w:val="nil"/>
                <w:left w:val="nil"/>
                <w:bottom w:val="nil"/>
                <w:right w:val="nil"/>
                <w:between w:val="nil"/>
              </w:pBdr>
              <w:rPr>
                <w:color w:val="000000"/>
                <w:sz w:val="20"/>
                <w:szCs w:val="20"/>
              </w:rPr>
            </w:pPr>
            <w:r>
              <w:rPr>
                <w:color w:val="000000"/>
                <w:sz w:val="20"/>
                <w:szCs w:val="20"/>
              </w:rPr>
              <w:t>It appears scientifically correct, however the final metric for calculating low, medium or high knowledge levels about the ARYA scheme is not clearly presented. It might be good to include a for</w:t>
            </w:r>
            <w:r>
              <w:rPr>
                <w:color w:val="000000"/>
                <w:sz w:val="20"/>
                <w:szCs w:val="20"/>
              </w:rPr>
              <w:t>mula of how the author goes from the questionnaire replies toward calculating the aggregate knowledge level.</w:t>
            </w:r>
          </w:p>
        </w:tc>
        <w:tc>
          <w:tcPr>
            <w:tcW w:w="6442" w:type="dxa"/>
          </w:tcPr>
          <w:p w:rsidR="002D5163" w:rsidRDefault="00C46409">
            <w:pPr>
              <w:pStyle w:val="Heading2"/>
              <w:jc w:val="left"/>
              <w:rPr>
                <w:rFonts w:ascii="Times New Roman" w:eastAsia="Times New Roman" w:hAnsi="Times New Roman" w:cs="Times New Roman"/>
                <w:b w:val="0"/>
                <w:bCs w:val="0"/>
              </w:rPr>
            </w:pPr>
            <w:bookmarkStart w:id="5" w:name="_heading=h.idyyr4tl6tvc" w:colFirst="0" w:colLast="0"/>
            <w:bookmarkEnd w:id="5"/>
            <w:r>
              <w:rPr>
                <w:rFonts w:ascii="Times New Roman" w:eastAsia="Times New Roman" w:hAnsi="Times New Roman" w:cs="Times New Roman"/>
                <w:b w:val="0"/>
                <w:bCs w:val="0"/>
              </w:rPr>
              <w:t>Yes, the manuscript is scientifically correct, primary data was collected during the research and then analysed.</w:t>
            </w:r>
          </w:p>
        </w:tc>
      </w:tr>
      <w:tr w:rsidR="002D5163">
        <w:trPr>
          <w:trHeight w:val="703"/>
        </w:trPr>
        <w:tc>
          <w:tcPr>
            <w:tcW w:w="5351" w:type="dxa"/>
          </w:tcPr>
          <w:p w:rsidR="002D5163" w:rsidRDefault="00C4640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2D5163" w:rsidRDefault="00C46409">
            <w:pPr>
              <w:pBdr>
                <w:top w:val="nil"/>
                <w:left w:val="nil"/>
                <w:bottom w:val="nil"/>
                <w:right w:val="nil"/>
                <w:between w:val="nil"/>
              </w:pBdr>
              <w:rPr>
                <w:color w:val="000000"/>
                <w:sz w:val="20"/>
                <w:szCs w:val="20"/>
              </w:rPr>
            </w:pPr>
            <w:r>
              <w:rPr>
                <w:color w:val="000000"/>
                <w:sz w:val="20"/>
                <w:szCs w:val="20"/>
              </w:rPr>
              <w:t>Yes, references appear sufficient and recent.</w:t>
            </w:r>
          </w:p>
        </w:tc>
        <w:tc>
          <w:tcPr>
            <w:tcW w:w="6442" w:type="dxa"/>
          </w:tcPr>
          <w:p w:rsidR="002D5163" w:rsidRDefault="00C46409">
            <w:pPr>
              <w:pStyle w:val="Heading2"/>
              <w:jc w:val="left"/>
              <w:rPr>
                <w:rFonts w:ascii="Times New Roman" w:eastAsia="Times New Roman" w:hAnsi="Times New Roman" w:cs="Times New Roman"/>
                <w:b w:val="0"/>
                <w:bCs w:val="0"/>
              </w:rPr>
            </w:pPr>
            <w:bookmarkStart w:id="6" w:name="_heading=h.filthsdnhkv7" w:colFirst="0" w:colLast="0"/>
            <w:bookmarkEnd w:id="6"/>
            <w:r>
              <w:rPr>
                <w:rFonts w:ascii="Times New Roman" w:eastAsia="Times New Roman" w:hAnsi="Times New Roman" w:cs="Times New Roman"/>
                <w:b w:val="0"/>
                <w:bCs w:val="0"/>
              </w:rPr>
              <w:t>The References was updated according to the review, and a DOI was added</w:t>
            </w:r>
          </w:p>
        </w:tc>
      </w:tr>
      <w:tr w:rsidR="002D5163">
        <w:trPr>
          <w:trHeight w:val="386"/>
        </w:trPr>
        <w:tc>
          <w:tcPr>
            <w:tcW w:w="5351" w:type="dxa"/>
          </w:tcPr>
          <w:p w:rsidR="002D5163" w:rsidRDefault="00C4640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2D5163" w:rsidRDefault="002D5163">
            <w:pPr>
              <w:rPr>
                <w:sz w:val="20"/>
                <w:szCs w:val="20"/>
              </w:rPr>
            </w:pPr>
          </w:p>
        </w:tc>
        <w:tc>
          <w:tcPr>
            <w:tcW w:w="9357" w:type="dxa"/>
          </w:tcPr>
          <w:p w:rsidR="002D5163" w:rsidRDefault="00C46409">
            <w:pPr>
              <w:rPr>
                <w:sz w:val="20"/>
                <w:szCs w:val="20"/>
              </w:rPr>
            </w:pPr>
            <w:r>
              <w:rPr>
                <w:sz w:val="20"/>
                <w:szCs w:val="20"/>
              </w:rPr>
              <w:t>There are certain grammatical errors, doubling of words or sentences missing. The manuscript should be thoroughly inspected again to eliminate the errors. But the overal</w:t>
            </w:r>
            <w:r>
              <w:rPr>
                <w:sz w:val="20"/>
                <w:szCs w:val="20"/>
              </w:rPr>
              <w:t>l English knowledge of the author appears suitable for scholarly communications.</w:t>
            </w:r>
          </w:p>
        </w:tc>
        <w:tc>
          <w:tcPr>
            <w:tcW w:w="6442" w:type="dxa"/>
          </w:tcPr>
          <w:p w:rsidR="002D5163" w:rsidRDefault="00C46409">
            <w:pPr>
              <w:rPr>
                <w:sz w:val="20"/>
                <w:szCs w:val="20"/>
              </w:rPr>
            </w:pPr>
            <w:r>
              <w:rPr>
                <w:sz w:val="20"/>
                <w:szCs w:val="20"/>
              </w:rPr>
              <w:t xml:space="preserve">Language was cross checked. Grammatical errors were eliminated </w:t>
            </w:r>
            <w:proofErr w:type="spellStart"/>
            <w:r>
              <w:rPr>
                <w:sz w:val="20"/>
                <w:szCs w:val="20"/>
              </w:rPr>
              <w:t>upto</w:t>
            </w:r>
            <w:proofErr w:type="spellEnd"/>
            <w:r>
              <w:rPr>
                <w:sz w:val="20"/>
                <w:szCs w:val="20"/>
              </w:rPr>
              <w:t xml:space="preserve"> some extent. Overall language of the manuscript is easily understandable.</w:t>
            </w:r>
          </w:p>
        </w:tc>
      </w:tr>
      <w:tr w:rsidR="002D5163">
        <w:trPr>
          <w:trHeight w:val="1178"/>
        </w:trPr>
        <w:tc>
          <w:tcPr>
            <w:tcW w:w="5351" w:type="dxa"/>
          </w:tcPr>
          <w:p w:rsidR="002D5163" w:rsidRDefault="00C4640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2D5163" w:rsidRDefault="002D5163">
            <w:pPr>
              <w:pStyle w:val="Heading2"/>
              <w:jc w:val="left"/>
              <w:rPr>
                <w:rFonts w:ascii="Times New Roman" w:eastAsia="Times New Roman" w:hAnsi="Times New Roman" w:cs="Times New Roman"/>
                <w:b w:val="0"/>
                <w:bCs w:val="0"/>
              </w:rPr>
            </w:pPr>
          </w:p>
        </w:tc>
        <w:tc>
          <w:tcPr>
            <w:tcW w:w="9357" w:type="dxa"/>
          </w:tcPr>
          <w:p w:rsidR="002D5163" w:rsidRDefault="00C46409">
            <w:pPr>
              <w:pBdr>
                <w:top w:val="nil"/>
                <w:left w:val="nil"/>
                <w:bottom w:val="nil"/>
                <w:right w:val="nil"/>
                <w:between w:val="nil"/>
              </w:pBdr>
              <w:rPr>
                <w:color w:val="000000"/>
                <w:sz w:val="20"/>
                <w:szCs w:val="20"/>
              </w:rPr>
            </w:pPr>
            <w:r>
              <w:rPr>
                <w:b/>
                <w:bCs/>
                <w:color w:val="000000"/>
                <w:sz w:val="20"/>
                <w:szCs w:val="20"/>
              </w:rPr>
              <w:t>Overa</w:t>
            </w:r>
            <w:r>
              <w:rPr>
                <w:b/>
                <w:bCs/>
                <w:color w:val="000000"/>
                <w:sz w:val="20"/>
                <w:szCs w:val="20"/>
              </w:rPr>
              <w:t>ll, the most significant issue of the article is the language errors, but they can be corrected and the article would then appear suitable for future publication.</w:t>
            </w:r>
          </w:p>
        </w:tc>
        <w:tc>
          <w:tcPr>
            <w:tcW w:w="6442" w:type="dxa"/>
          </w:tcPr>
          <w:p w:rsidR="002D5163" w:rsidRDefault="00C46409">
            <w:pPr>
              <w:rPr>
                <w:sz w:val="20"/>
                <w:szCs w:val="20"/>
              </w:rPr>
            </w:pPr>
            <w:r>
              <w:rPr>
                <w:sz w:val="20"/>
                <w:szCs w:val="20"/>
              </w:rPr>
              <w:t>Language has been cross-checked.</w:t>
            </w:r>
          </w:p>
        </w:tc>
      </w:tr>
    </w:tbl>
    <w:p w:rsidR="002D5163" w:rsidRDefault="002D5163" w:rsidP="00F02D8A">
      <w:pPr>
        <w:rPr>
          <w:color w:val="000000"/>
          <w:sz w:val="20"/>
          <w:szCs w:val="20"/>
          <w:u w:val="single"/>
        </w:rPr>
      </w:pPr>
      <w:bookmarkStart w:id="7" w:name="_heading=h.wukbv6vn0i3s" w:colFirst="0" w:colLast="0"/>
      <w:bookmarkStart w:id="8" w:name="_GoBack"/>
      <w:bookmarkEnd w:id="7"/>
      <w:bookmarkEnd w:id="8"/>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2D5163">
        <w:trPr>
          <w:trHeight w:val="237"/>
        </w:trPr>
        <w:tc>
          <w:tcPr>
            <w:tcW w:w="21150" w:type="dxa"/>
            <w:gridSpan w:val="3"/>
            <w:tcBorders>
              <w:top w:val="nil"/>
              <w:left w:val="nil"/>
              <w:right w:val="nil"/>
            </w:tcBorders>
            <w:tcMar>
              <w:top w:w="0" w:type="dxa"/>
              <w:left w:w="108" w:type="dxa"/>
              <w:bottom w:w="0" w:type="dxa"/>
              <w:right w:w="108" w:type="dxa"/>
            </w:tcMar>
            <w:vAlign w:val="center"/>
          </w:tcPr>
          <w:p w:rsidR="002D5163" w:rsidRDefault="00C46409">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2D5163" w:rsidRDefault="002D5163">
            <w:pPr>
              <w:pBdr>
                <w:top w:val="nil"/>
                <w:left w:val="nil"/>
                <w:bottom w:val="nil"/>
                <w:right w:val="nil"/>
                <w:between w:val="nil"/>
              </w:pBdr>
              <w:rPr>
                <w:color w:val="000000"/>
                <w:sz w:val="20"/>
                <w:szCs w:val="20"/>
                <w:u w:val="single"/>
              </w:rPr>
            </w:pPr>
          </w:p>
        </w:tc>
      </w:tr>
      <w:tr w:rsidR="002D5163">
        <w:trPr>
          <w:trHeight w:val="935"/>
        </w:trPr>
        <w:tc>
          <w:tcPr>
            <w:tcW w:w="6831" w:type="dxa"/>
            <w:tcMar>
              <w:top w:w="0" w:type="dxa"/>
              <w:left w:w="108" w:type="dxa"/>
              <w:bottom w:w="0" w:type="dxa"/>
              <w:right w:w="108" w:type="dxa"/>
            </w:tcMar>
            <w:vAlign w:val="center"/>
          </w:tcPr>
          <w:p w:rsidR="002D5163" w:rsidRDefault="002D5163">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2D5163" w:rsidRDefault="00C4640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2D5163" w:rsidRDefault="00C4640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2D5163" w:rsidRDefault="002D5163">
            <w:pPr>
              <w:pStyle w:val="Heading2"/>
              <w:jc w:val="left"/>
              <w:rPr>
                <w:rFonts w:ascii="Times New Roman" w:eastAsia="Times New Roman" w:hAnsi="Times New Roman" w:cs="Times New Roman"/>
                <w:b w:val="0"/>
                <w:bCs w:val="0"/>
              </w:rPr>
            </w:pPr>
          </w:p>
        </w:tc>
      </w:tr>
      <w:tr w:rsidR="002D5163">
        <w:trPr>
          <w:trHeight w:val="697"/>
        </w:trPr>
        <w:tc>
          <w:tcPr>
            <w:tcW w:w="6831" w:type="dxa"/>
            <w:tcMar>
              <w:top w:w="0" w:type="dxa"/>
              <w:left w:w="108" w:type="dxa"/>
              <w:bottom w:w="0" w:type="dxa"/>
              <w:right w:w="108" w:type="dxa"/>
            </w:tcMar>
            <w:vAlign w:val="center"/>
          </w:tcPr>
          <w:p w:rsidR="002D5163" w:rsidRDefault="00C46409">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2D5163" w:rsidRDefault="002D5163">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2D5163" w:rsidRDefault="00C46409">
            <w:pPr>
              <w:pBdr>
                <w:top w:val="nil"/>
                <w:left w:val="nil"/>
                <w:bottom w:val="nil"/>
                <w:right w:val="nil"/>
                <w:between w:val="nil"/>
              </w:pBdr>
              <w:rPr>
                <w:color w:val="000000"/>
                <w:sz w:val="20"/>
                <w:szCs w:val="20"/>
              </w:rPr>
            </w:pPr>
            <w:r>
              <w:rPr>
                <w:i/>
                <w:iCs/>
                <w:color w:val="000000"/>
                <w:sz w:val="20"/>
                <w:szCs w:val="20"/>
                <w:u w:val="single"/>
              </w:rPr>
              <w:t>No.</w:t>
            </w:r>
          </w:p>
          <w:p w:rsidR="002D5163" w:rsidRDefault="002D5163">
            <w:pPr>
              <w:pBdr>
                <w:top w:val="nil"/>
                <w:left w:val="nil"/>
                <w:bottom w:val="nil"/>
                <w:right w:val="nil"/>
                <w:between w:val="nil"/>
              </w:pBdr>
              <w:rPr>
                <w:color w:val="000000"/>
                <w:sz w:val="20"/>
                <w:szCs w:val="20"/>
              </w:rPr>
            </w:pPr>
          </w:p>
        </w:tc>
        <w:tc>
          <w:tcPr>
            <w:tcW w:w="5677" w:type="dxa"/>
            <w:vAlign w:val="center"/>
          </w:tcPr>
          <w:p w:rsidR="002D5163" w:rsidRDefault="002D5163">
            <w:pPr>
              <w:rPr>
                <w:sz w:val="20"/>
                <w:szCs w:val="20"/>
              </w:rPr>
            </w:pPr>
          </w:p>
          <w:p w:rsidR="002D5163" w:rsidRDefault="002D5163">
            <w:pPr>
              <w:rPr>
                <w:sz w:val="20"/>
                <w:szCs w:val="20"/>
              </w:rPr>
            </w:pPr>
          </w:p>
          <w:p w:rsidR="002D5163" w:rsidRDefault="00C46409">
            <w:pPr>
              <w:rPr>
                <w:sz w:val="20"/>
                <w:szCs w:val="20"/>
              </w:rPr>
            </w:pPr>
            <w:r>
              <w:rPr>
                <w:sz w:val="20"/>
                <w:szCs w:val="20"/>
              </w:rPr>
              <w:t xml:space="preserve">No </w:t>
            </w:r>
          </w:p>
          <w:p w:rsidR="002D5163" w:rsidRDefault="002D5163">
            <w:pPr>
              <w:pBdr>
                <w:top w:val="nil"/>
                <w:left w:val="nil"/>
                <w:bottom w:val="nil"/>
                <w:right w:val="nil"/>
                <w:between w:val="nil"/>
              </w:pBdr>
              <w:rPr>
                <w:color w:val="000000"/>
                <w:sz w:val="20"/>
                <w:szCs w:val="20"/>
              </w:rPr>
            </w:pPr>
          </w:p>
        </w:tc>
      </w:tr>
    </w:tbl>
    <w:p w:rsidR="002D5163" w:rsidRDefault="002D5163">
      <w:pPr>
        <w:pBdr>
          <w:top w:val="nil"/>
          <w:left w:val="nil"/>
          <w:bottom w:val="nil"/>
          <w:right w:val="nil"/>
          <w:between w:val="nil"/>
        </w:pBdr>
        <w:jc w:val="both"/>
        <w:rPr>
          <w:rFonts w:ascii="Arial" w:eastAsia="Arial" w:hAnsi="Arial" w:cs="Arial"/>
          <w:color w:val="000000"/>
          <w:sz w:val="20"/>
          <w:szCs w:val="20"/>
        </w:rPr>
      </w:pPr>
    </w:p>
    <w:sectPr w:rsidR="002D516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6409" w:rsidRDefault="00C46409">
      <w:r>
        <w:separator/>
      </w:r>
    </w:p>
  </w:endnote>
  <w:endnote w:type="continuationSeparator" w:id="0">
    <w:p w:rsidR="00C46409" w:rsidRDefault="00C464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197EC84F-06D4-4825-BB75-C33FEEAE699F}"/>
    <w:embedBold r:id="rId2" w:fontKey="{8731838B-472F-4C41-AB38-DC2CD11F85C9}"/>
  </w:font>
  <w:font w:name="Arimo">
    <w:charset w:val="00"/>
    <w:family w:val="auto"/>
    <w:pitch w:val="default"/>
    <w:embedBold r:id="rId3" w:fontKey="{3662BCC6-7CA4-45BD-A012-B569BB85C003}"/>
  </w:font>
  <w:font w:name="Helvetica">
    <w:panose1 w:val="020B0604020202020204"/>
    <w:charset w:val="00"/>
    <w:family w:val="swiss"/>
    <w:pitch w:val="variable"/>
    <w:sig w:usb0="00000003" w:usb1="00000000" w:usb2="00000000" w:usb3="00000000" w:csb0="00000001" w:csb1="00000000"/>
    <w:embedRegular r:id="rId4" w:fontKey="{3AC0BC29-9859-4AE5-8D64-D284381A5A7D}"/>
    <w:embedBold r:id="rId5" w:fontKey="{37912135-1B9A-4764-AE3C-DF6A82CA36FC}"/>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embedRegular r:id="rId6" w:fontKey="{EAF2C520-85CE-4708-AA48-2DBD3978FEC4}"/>
    <w:embedBold r:id="rId7" w:fontKey="{E34B7A4E-C911-4302-A5FA-FC91497B3B8D}"/>
  </w:font>
  <w:font w:name="Calibri">
    <w:panose1 w:val="020F0502020204030204"/>
    <w:charset w:val="00"/>
    <w:family w:val="swiss"/>
    <w:pitch w:val="variable"/>
    <w:sig w:usb0="E4002EFF" w:usb1="C000247B" w:usb2="00000009" w:usb3="00000000" w:csb0="000001FF" w:csb1="00000000"/>
    <w:embedRegular r:id="rId8" w:fontKey="{C63CED36-BD53-4665-8A83-57574A433E76}"/>
  </w:font>
  <w:font w:name="Georgia">
    <w:panose1 w:val="02040502050405020303"/>
    <w:charset w:val="00"/>
    <w:family w:val="roman"/>
    <w:pitch w:val="variable"/>
    <w:sig w:usb0="00000287" w:usb1="00000000" w:usb2="00000000" w:usb3="00000000" w:csb0="0000009F" w:csb1="00000000"/>
    <w:embedItalic r:id="rId9" w:fontKey="{80EE8221-C773-407E-BBD0-7C3A63506B2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575F1304-FC92-4992-9E50-B3300CD7E38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5163" w:rsidRDefault="00C4640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6409" w:rsidRDefault="00C46409">
      <w:r>
        <w:separator/>
      </w:r>
    </w:p>
  </w:footnote>
  <w:footnote w:type="continuationSeparator" w:id="0">
    <w:p w:rsidR="00C46409" w:rsidRDefault="00C464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5163" w:rsidRDefault="00C46409">
    <w:pPr>
      <w:pBdr>
        <w:top w:val="nil"/>
        <w:left w:val="nil"/>
        <w:bottom w:val="nil"/>
        <w:right w:val="nil"/>
        <w:between w:val="nil"/>
      </w:pBdr>
      <w:rPr>
        <w:color w:val="0070C0"/>
        <w:sz w:val="36"/>
        <w:szCs w:val="36"/>
      </w:rPr>
    </w:pPr>
    <w:r>
      <w:rPr>
        <w:b/>
        <w:bCs/>
        <w:color w:val="0070C0"/>
        <w:sz w:val="36"/>
        <w:szCs w:val="36"/>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5163"/>
    <w:rsid w:val="002D5163"/>
    <w:rsid w:val="005D363D"/>
    <w:rsid w:val="00C46409"/>
    <w:rsid w:val="00F02D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43F0F"/>
  <w15:docId w15:val="{46E14C4A-E1B4-40C8-8B31-2D3EC49C5F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aees.com/index.php/AJAEE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GLJ2UMDVnbLwBqXULJ+2wgn2GQ==">CgMxLjAyDmgucHo1YmJzdmxpdmVkMg5oLmdqdWdzMTJ6cG8wdDIOaC45cjduYXZyZnZnYWcyDmguOXdjY3BzcWd3MnZsMg5oLjlwZ3U2Z2Z6dXBqNTIOaC5pZHl5cjR0bDZ0dmMyDmguZmlsdGhzZG5oa3Y3Mg5oLnd1a2J2NnZuMGkzczgAciExQ2cwQ1NfNnlfLUpxV2dfeTdBR2ZaaGRlVkhHc1VEUUg=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559</Words>
  <Characters>3187</Characters>
  <Application>Microsoft Office Word</Application>
  <DocSecurity>0</DocSecurity>
  <Lines>26</Lines>
  <Paragraphs>7</Paragraphs>
  <ScaleCrop>false</ScaleCrop>
  <Company/>
  <LinksUpToDate>false</LinksUpToDate>
  <CharactersWithSpaces>3739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3</cp:revision>
  <dcterms:created xsi:type="dcterms:W3CDTF">2011-08-01T09:21:00Z</dcterms:created>
  <dcterms:modified xsi:type="dcterms:W3CDTF">2025-12-24T10:32:00Z</dcterms:modified>
</cp:coreProperties>
</file>