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05A3" w14:textId="77777777" w:rsidR="00341B14" w:rsidRPr="00C015D7" w:rsidRDefault="00341B14" w:rsidP="00341B14">
      <w:pPr>
        <w:jc w:val="center"/>
        <w:rPr>
          <w:rFonts w:ascii="Times New Roman" w:hAnsi="Times New Roman" w:cs="Times New Roman"/>
          <w:b/>
          <w:bCs/>
          <w:color w:val="000000" w:themeColor="text1"/>
        </w:rPr>
      </w:pPr>
      <w:r w:rsidRPr="00C015D7">
        <w:rPr>
          <w:rFonts w:ascii="Times New Roman" w:hAnsi="Times New Roman" w:cs="Times New Roman"/>
          <w:b/>
          <w:bCs/>
          <w:color w:val="000000" w:themeColor="text1"/>
        </w:rPr>
        <w:fldChar w:fldCharType="begin"/>
      </w:r>
      <w:r w:rsidRPr="00C015D7">
        <w:rPr>
          <w:rFonts w:ascii="Times New Roman" w:hAnsi="Times New Roman" w:cs="Times New Roman"/>
          <w:b/>
          <w:bCs/>
          <w:color w:val="000000" w:themeColor="text1"/>
        </w:rPr>
        <w:instrText>HYPERLINK "http://"</w:instrText>
      </w:r>
      <w:r w:rsidRPr="00C015D7">
        <w:rPr>
          <w:rFonts w:ascii="Times New Roman" w:hAnsi="Times New Roman" w:cs="Times New Roman"/>
          <w:b/>
          <w:bCs/>
          <w:color w:val="000000" w:themeColor="text1"/>
        </w:rPr>
        <w:fldChar w:fldCharType="separate"/>
      </w:r>
      <w:r w:rsidRPr="00C015D7">
        <w:rPr>
          <w:rStyle w:val="Hipervnculo"/>
          <w:rFonts w:ascii="Times New Roman" w:hAnsi="Times New Roman" w:cs="Times New Roman"/>
          <w:b/>
          <w:bCs/>
          <w:color w:val="000000" w:themeColor="text1"/>
          <w:u w:val="none"/>
        </w:rPr>
        <w:t>Processing-Induced Variations in Heavy Metal Content of Periwinkle (</w:t>
      </w:r>
      <w:proofErr w:type="spellStart"/>
      <w:r w:rsidRPr="005D057E">
        <w:rPr>
          <w:rStyle w:val="Hipervnculo"/>
          <w:rFonts w:ascii="Times New Roman" w:hAnsi="Times New Roman" w:cs="Times New Roman"/>
          <w:b/>
          <w:bCs/>
          <w:i/>
          <w:color w:val="FF0000"/>
          <w:u w:val="none"/>
        </w:rPr>
        <w:t>Tympanotonus</w:t>
      </w:r>
      <w:proofErr w:type="spellEnd"/>
      <w:r w:rsidRPr="005D057E">
        <w:rPr>
          <w:rStyle w:val="Hipervnculo"/>
          <w:rFonts w:ascii="Times New Roman" w:hAnsi="Times New Roman" w:cs="Times New Roman"/>
          <w:b/>
          <w:bCs/>
          <w:i/>
          <w:color w:val="FF0000"/>
          <w:u w:val="none"/>
        </w:rPr>
        <w:t xml:space="preserve"> </w:t>
      </w:r>
      <w:proofErr w:type="spellStart"/>
      <w:r w:rsidRPr="005D057E">
        <w:rPr>
          <w:rStyle w:val="Hipervnculo"/>
          <w:rFonts w:ascii="Times New Roman" w:hAnsi="Times New Roman" w:cs="Times New Roman"/>
          <w:b/>
          <w:bCs/>
          <w:i/>
          <w:color w:val="FF0000"/>
          <w:u w:val="none"/>
        </w:rPr>
        <w:t>fuscatus</w:t>
      </w:r>
      <w:proofErr w:type="spellEnd"/>
      <w:r w:rsidRPr="00C015D7">
        <w:rPr>
          <w:rStyle w:val="Hipervnculo"/>
          <w:rFonts w:ascii="Times New Roman" w:hAnsi="Times New Roman" w:cs="Times New Roman"/>
          <w:b/>
          <w:bCs/>
          <w:color w:val="000000" w:themeColor="text1"/>
          <w:u w:val="none"/>
        </w:rPr>
        <w:t>): Blowout Versus Shelling Method and Health Risk Assessment.</w:t>
      </w:r>
      <w:r w:rsidRPr="00C015D7">
        <w:rPr>
          <w:rFonts w:ascii="Times New Roman" w:hAnsi="Times New Roman" w:cs="Times New Roman"/>
          <w:color w:val="000000" w:themeColor="text1"/>
        </w:rPr>
        <w:fldChar w:fldCharType="end"/>
      </w:r>
    </w:p>
    <w:p w14:paraId="2CB41B6D" w14:textId="77777777" w:rsidR="00341B14" w:rsidRPr="00C015D7" w:rsidRDefault="00341B14" w:rsidP="00341B14">
      <w:bookmarkStart w:id="0" w:name="_GoBack"/>
      <w:bookmarkEnd w:id="0"/>
    </w:p>
    <w:p w14:paraId="148CFCF1" w14:textId="77777777" w:rsidR="00341B14" w:rsidRPr="00C015D7" w:rsidRDefault="00341B14" w:rsidP="00341B14"/>
    <w:p w14:paraId="7FD062F1" w14:textId="77777777" w:rsidR="00341B14" w:rsidRPr="00C015D7" w:rsidRDefault="00341B14" w:rsidP="00341B14">
      <w:pPr>
        <w:rPr>
          <w:rFonts w:ascii="Times New Roman" w:hAnsi="Times New Roman" w:cs="Times New Roman"/>
        </w:rPr>
      </w:pPr>
      <w:r w:rsidRPr="00C015D7">
        <w:rPr>
          <w:rFonts w:ascii="Times New Roman" w:hAnsi="Times New Roman" w:cs="Times New Roman"/>
          <w:b/>
          <w:bCs/>
        </w:rPr>
        <w:t xml:space="preserve">ABSTRACT </w:t>
      </w:r>
    </w:p>
    <w:p w14:paraId="7870BCFF" w14:textId="5B68FF19" w:rsidR="00341B14" w:rsidRPr="00C015D7" w:rsidRDefault="00341B14" w:rsidP="00341B14">
      <w:pPr>
        <w:jc w:val="both"/>
      </w:pPr>
      <w:r w:rsidRPr="00C015D7">
        <w:rPr>
          <w:rFonts w:ascii="Times New Roman" w:hAnsi="Times New Roman" w:cs="Times New Roman"/>
          <w:sz w:val="22"/>
          <w:szCs w:val="22"/>
        </w:rPr>
        <w:t xml:space="preserve">Heavy metals are persistent environmental pollutants that pose risks to aquatic life and humans due to their non-biodegradable nature, bio-accumulation and toxicity. This study assessed the concentrations of Cadmium (Cd), Arsenic (As), Zinc (Zn), Lead (Pb), Copper (Cu), and Mercury (Hg) in </w:t>
      </w:r>
      <w:proofErr w:type="spellStart"/>
      <w:r w:rsidRPr="00C015D7">
        <w:rPr>
          <w:rFonts w:ascii="Times New Roman" w:hAnsi="Times New Roman" w:cs="Times New Roman"/>
          <w:i/>
          <w:iCs/>
          <w:sz w:val="22"/>
          <w:szCs w:val="22"/>
        </w:rPr>
        <w:t>Tympanotonus</w:t>
      </w:r>
      <w:proofErr w:type="spellEnd"/>
      <w:r w:rsidRPr="00C015D7">
        <w:rPr>
          <w:rFonts w:ascii="Times New Roman" w:hAnsi="Times New Roman" w:cs="Times New Roman"/>
          <w:i/>
          <w:iCs/>
          <w:sz w:val="22"/>
          <w:szCs w:val="22"/>
        </w:rPr>
        <w:t xml:space="preserve"> </w:t>
      </w:r>
      <w:proofErr w:type="spellStart"/>
      <w:r w:rsidRPr="00C015D7">
        <w:rPr>
          <w:rFonts w:ascii="Times New Roman" w:hAnsi="Times New Roman" w:cs="Times New Roman"/>
          <w:i/>
          <w:iCs/>
          <w:sz w:val="22"/>
          <w:szCs w:val="22"/>
        </w:rPr>
        <w:t>fuscatus</w:t>
      </w:r>
      <w:proofErr w:type="spellEnd"/>
      <w:r w:rsidRPr="00C015D7">
        <w:rPr>
          <w:rFonts w:ascii="Times New Roman" w:hAnsi="Times New Roman" w:cs="Times New Roman"/>
          <w:sz w:val="22"/>
          <w:szCs w:val="22"/>
        </w:rPr>
        <w:t xml:space="preserve"> (periwinkle) to evaluate potential processing-induced heavy metal content and health risk assessment. Samples were collected from three stations at Eagle Island, Port Harcourt, Nigeria. Metal concentrations were determined using an Atomic Absorption Spectrophotometer (AAS), and data were </w:t>
      </w:r>
      <w:r w:rsidR="00AD4313" w:rsidRPr="00AD4313">
        <w:rPr>
          <w:rFonts w:ascii="Times New Roman" w:hAnsi="Times New Roman" w:cs="Times New Roman"/>
          <w:color w:val="FF0000"/>
          <w:sz w:val="22"/>
          <w:szCs w:val="22"/>
        </w:rPr>
        <w:t>analyzed</w:t>
      </w:r>
      <w:r w:rsidRPr="00AD4313">
        <w:rPr>
          <w:rFonts w:ascii="Times New Roman" w:hAnsi="Times New Roman" w:cs="Times New Roman"/>
          <w:color w:val="FF0000"/>
          <w:sz w:val="22"/>
          <w:szCs w:val="22"/>
        </w:rPr>
        <w:t xml:space="preserve"> with </w:t>
      </w:r>
      <w:r w:rsidRPr="00C015D7">
        <w:rPr>
          <w:rFonts w:ascii="Times New Roman" w:hAnsi="Times New Roman" w:cs="Times New Roman"/>
          <w:sz w:val="22"/>
          <w:szCs w:val="22"/>
        </w:rPr>
        <w:t xml:space="preserve">SPSS version 25, with a significant difference set at a P ≤ 0.05. The data obtained were used to compute the health risk assessment. Results showed significantly higher levels of heavy metal in the blowout than in the shelling method: Cd: 0.053±0.001 (blowout), 0.0033±0.0001 (shelling); As: 0.175±0.004 (blowout), 0.038±0.001 (shelling); Zn: 6.91±0.27 (blowout), 3.42±0.19 (shelling); Pb 4.92 ± 0.70 mg/kg (blowout), 1.77 ± 0.26 mg/kg (shelling), Cu 12.96 ± 1.75 mg/kg (blowout) 4.86 ± 0.74 mg/kg (shelling), and Hg 0.043 ± 0.006 mg/kg (blowout) 0.006 ± 0.001 mg/kg (shelling). The target health Quotient for periwinkles processed by Blowout was found to be &gt;1. </w:t>
      </w:r>
      <w:r w:rsidR="00FE53BD">
        <w:rPr>
          <w:rFonts w:ascii="Times New Roman" w:hAnsi="Times New Roman" w:cs="Times New Roman"/>
          <w:sz w:val="22"/>
          <w:szCs w:val="22"/>
        </w:rPr>
        <w:t xml:space="preserve">In the same vein, the ECR of the blowout method was also greater than the acceptable range of  </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-6</m:t>
            </m:r>
          </m:sup>
        </m:sSup>
      </m:oMath>
      <w:r w:rsidR="00FE53BD" w:rsidRPr="008B46F8">
        <w:rPr>
          <w:rFonts w:ascii="Times New Roman" w:eastAsiaTheme="minorEastAsia" w:hAnsi="Times New Roman" w:cs="Times New Roman"/>
        </w:rPr>
        <w:t xml:space="preserve"> </w:t>
      </w:r>
      <w:r w:rsidR="00FE53BD">
        <w:rPr>
          <w:rFonts w:ascii="Times New Roman" w:hAnsi="Times New Roman" w:cs="Times New Roman"/>
        </w:rPr>
        <w:t>-</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-4</m:t>
            </m:r>
          </m:sup>
        </m:sSup>
      </m:oMath>
      <w:r w:rsidRPr="00C015D7">
        <w:rPr>
          <w:rFonts w:ascii="Times New Roman" w:hAnsi="Times New Roman" w:cs="Times New Roman"/>
          <w:sz w:val="22"/>
          <w:szCs w:val="22"/>
        </w:rPr>
        <w:t>.</w:t>
      </w:r>
      <w:r w:rsidR="00FE53BD">
        <w:rPr>
          <w:rFonts w:ascii="Times New Roman" w:hAnsi="Times New Roman" w:cs="Times New Roman"/>
          <w:sz w:val="22"/>
          <w:szCs w:val="22"/>
        </w:rPr>
        <w:t xml:space="preserve"> </w:t>
      </w:r>
      <w:r w:rsidRPr="00C015D7">
        <w:rPr>
          <w:rFonts w:ascii="Times New Roman" w:hAnsi="Times New Roman" w:cs="Times New Roman"/>
          <w:sz w:val="22"/>
          <w:szCs w:val="22"/>
        </w:rPr>
        <w:t>ECR values of &gt;1.0x10-4 indicate a lifetime carcinogen risk. Consequently, the higher heavy metal concentrations in blowout compared to shelling suggest a health risk, which includes both cancer risk and non-cancer risk if consumed without deshelling. Following these results, we recommend the shelling method of processing to minimise heavy metal exposure</w:t>
      </w:r>
      <w:r w:rsidRPr="00C015D7">
        <w:t>.</w:t>
      </w:r>
    </w:p>
    <w:p w14:paraId="180F6FCF" w14:textId="77777777" w:rsidR="00341B14" w:rsidRPr="00C015D7" w:rsidRDefault="00341B14" w:rsidP="00341B14">
      <w:pPr>
        <w:rPr>
          <w:rFonts w:ascii="Times New Roman" w:hAnsi="Times New Roman" w:cs="Times New Roman"/>
          <w:sz w:val="22"/>
          <w:szCs w:val="22"/>
        </w:rPr>
      </w:pPr>
      <w:r w:rsidRPr="00C015D7">
        <w:rPr>
          <w:rFonts w:ascii="Times New Roman" w:hAnsi="Times New Roman" w:cs="Times New Roman"/>
          <w:sz w:val="22"/>
          <w:szCs w:val="22"/>
        </w:rPr>
        <w:t>Keywords: Cadmium, Arsenic, Zinc, Lead, Copper, Mercury, Toxicity.</w:t>
      </w:r>
    </w:p>
    <w:p w14:paraId="234124B4" w14:textId="77777777" w:rsidR="00341B14" w:rsidRPr="00C015D7" w:rsidRDefault="00341B14" w:rsidP="00341B14"/>
    <w:p w14:paraId="1529D254"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1.0 Introduction</w:t>
      </w:r>
    </w:p>
    <w:p w14:paraId="00769831" w14:textId="18FD60B5" w:rsidR="00341B14" w:rsidRPr="00C015D7" w:rsidRDefault="00341B14" w:rsidP="00341B14">
      <w:pPr>
        <w:jc w:val="both"/>
        <w:rPr>
          <w:rFonts w:ascii="Times New Roman" w:hAnsi="Times New Roman" w:cs="Times New Roman"/>
        </w:rPr>
      </w:pPr>
      <w:r w:rsidRPr="00C015D7">
        <w:rPr>
          <w:rFonts w:ascii="Times New Roman" w:hAnsi="Times New Roman" w:cs="Times New Roman"/>
        </w:rPr>
        <w:t>Periwinkle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is widely consumed in the Niger Delta region of Nigeria and serves as an affordable source of protein, micronutrients, and livelihood for coastal communities (Adebayo-</w:t>
      </w:r>
      <w:proofErr w:type="spellStart"/>
      <w:r w:rsidRPr="00C015D7">
        <w:rPr>
          <w:rFonts w:ascii="Times New Roman" w:hAnsi="Times New Roman" w:cs="Times New Roman"/>
        </w:rPr>
        <w:t>Tayo</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Ogunjobi</w:t>
      </w:r>
      <w:proofErr w:type="spellEnd"/>
      <w:r w:rsidRPr="00C015D7">
        <w:rPr>
          <w:rFonts w:ascii="Times New Roman" w:hAnsi="Times New Roman" w:cs="Times New Roman"/>
        </w:rPr>
        <w:t xml:space="preserve">, 2015; </w:t>
      </w:r>
      <w:proofErr w:type="spellStart"/>
      <w:r w:rsidRPr="00C015D7">
        <w:rPr>
          <w:rFonts w:ascii="Times New Roman" w:hAnsi="Times New Roman" w:cs="Times New Roman"/>
        </w:rPr>
        <w:t>Kponee</w:t>
      </w:r>
      <w:proofErr w:type="spellEnd"/>
      <w:r w:rsidRPr="00C015D7">
        <w:rPr>
          <w:rFonts w:ascii="Times New Roman" w:hAnsi="Times New Roman" w:cs="Times New Roman"/>
        </w:rPr>
        <w:t xml:space="preserve"> et al., 2014). However, periwinkles harvested from polluted estuarine and coastal environments can accumulate heavy metals such as lead (Pb), cadmium (Cd), mercury (Hg), copper (Cu), and zinc (Zn), arising from industrial effluents, oil exploration, domestic waste discharge, and agricultural runoff (</w:t>
      </w:r>
      <w:proofErr w:type="spellStart"/>
      <w:r w:rsidRPr="00C015D7">
        <w:rPr>
          <w:rFonts w:ascii="Times New Roman" w:hAnsi="Times New Roman" w:cs="Times New Roman"/>
        </w:rPr>
        <w:t>Fubara</w:t>
      </w:r>
      <w:proofErr w:type="spellEnd"/>
      <w:r w:rsidRPr="00C015D7">
        <w:rPr>
          <w:rFonts w:ascii="Times New Roman" w:hAnsi="Times New Roman" w:cs="Times New Roman"/>
        </w:rPr>
        <w:t>-Manuel &amp; Jumbo, 2018; Onwuli et al., 2014; Abah et al., 2013;</w:t>
      </w:r>
      <w:r>
        <w:rPr>
          <w:rFonts w:ascii="Times New Roman" w:hAnsi="Times New Roman" w:cs="Times New Roman"/>
        </w:rPr>
        <w:t xml:space="preserve"> </w:t>
      </w:r>
      <w:proofErr w:type="spellStart"/>
      <w:r w:rsidRPr="00C015D7">
        <w:rPr>
          <w:rFonts w:ascii="Times New Roman" w:hAnsi="Times New Roman" w:cs="Times New Roman"/>
        </w:rPr>
        <w:t>Asuquo</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Ewa-Oboho</w:t>
      </w:r>
      <w:proofErr w:type="spellEnd"/>
      <w:r w:rsidRPr="00C015D7">
        <w:rPr>
          <w:rFonts w:ascii="Times New Roman" w:hAnsi="Times New Roman" w:cs="Times New Roman"/>
        </w:rPr>
        <w:t>, 2004). Chronic exposure to these metals poses serious public health concerns when consumed above permissible limits (FAO/WHO, 2011; USEPA, 2011).</w:t>
      </w:r>
    </w:p>
    <w:p w14:paraId="60B941B4"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In Nigeria, two traditional processing techniques are commonly applied to periwinkle: (a) shelling, which involves washing and manually cracking the shell to extract the flesh and is used in cooking </w:t>
      </w:r>
      <w:r w:rsidRPr="00C015D7">
        <w:rPr>
          <w:rFonts w:ascii="Times New Roman" w:hAnsi="Times New Roman" w:cs="Times New Roman"/>
        </w:rPr>
        <w:lastRenderedPageBreak/>
        <w:t xml:space="preserve">and (b) blowout, which entails washing the periwinkle and cooking it along with the shell in soup and pressure-expelling the flesh from the shell by sucking, during consumption. The blowout method is most often used in cooking delicacies such as periwinkle soup, native soup, </w:t>
      </w:r>
      <w:proofErr w:type="spellStart"/>
      <w:r w:rsidRPr="00C015D7">
        <w:rPr>
          <w:rFonts w:ascii="Times New Roman" w:hAnsi="Times New Roman" w:cs="Times New Roman"/>
        </w:rPr>
        <w:t>Afang</w:t>
      </w:r>
      <w:proofErr w:type="spellEnd"/>
      <w:r w:rsidRPr="00C015D7">
        <w:rPr>
          <w:rFonts w:ascii="Times New Roman" w:hAnsi="Times New Roman" w:cs="Times New Roman"/>
        </w:rPr>
        <w:t xml:space="preserve"> soup, </w:t>
      </w:r>
      <w:proofErr w:type="spellStart"/>
      <w:r w:rsidRPr="00C015D7">
        <w:rPr>
          <w:rFonts w:ascii="Times New Roman" w:hAnsi="Times New Roman" w:cs="Times New Roman"/>
        </w:rPr>
        <w:t>Ekpang</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nkukwo</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Ofe</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nsala</w:t>
      </w:r>
      <w:proofErr w:type="spellEnd"/>
      <w:r w:rsidRPr="00C015D7">
        <w:rPr>
          <w:rFonts w:ascii="Times New Roman" w:hAnsi="Times New Roman" w:cs="Times New Roman"/>
        </w:rPr>
        <w:t xml:space="preserve">, Okra soup and so on. Consumers derive joy in sucking the periwinkle out of its shell as they eat the food. These processing methods vary in heat exposure, which contributes to the leaching of the heavy metals into the food. Handling and shell-contact may influence the retention or reduction of heavy metals in the edible tissue (Agboola &amp; Ololade, 2013; Oluwole et al., 2020;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2013). Despite their widespread use, limited studies have specifically compared how shelling and blowout processing modify the concentration of heavy metals in periwinkle consumed in the Niger.</w:t>
      </w:r>
    </w:p>
    <w:p w14:paraId="3E1A6F2F" w14:textId="36078610"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World Health </w:t>
      </w:r>
      <w:r w:rsidR="00DC0F1D" w:rsidRPr="00DC0F1D">
        <w:rPr>
          <w:rFonts w:ascii="Times New Roman" w:hAnsi="Times New Roman" w:cs="Times New Roman"/>
          <w:color w:val="FF0000"/>
        </w:rPr>
        <w:t>Organization</w:t>
      </w:r>
      <w:r w:rsidRPr="00DC0F1D">
        <w:rPr>
          <w:rFonts w:ascii="Times New Roman" w:hAnsi="Times New Roman" w:cs="Times New Roman"/>
          <w:color w:val="FF0000"/>
        </w:rPr>
        <w:t xml:space="preserve"> </w:t>
      </w:r>
      <w:r w:rsidRPr="00C015D7">
        <w:rPr>
          <w:rFonts w:ascii="Times New Roman" w:hAnsi="Times New Roman" w:cs="Times New Roman"/>
        </w:rPr>
        <w:t xml:space="preserve">(WHO) and the Food and Agriculture </w:t>
      </w:r>
      <w:r w:rsidR="00DC0F1D" w:rsidRPr="00DC0F1D">
        <w:rPr>
          <w:rFonts w:ascii="Times New Roman" w:hAnsi="Times New Roman" w:cs="Times New Roman"/>
          <w:color w:val="FF0000"/>
        </w:rPr>
        <w:t>Organization</w:t>
      </w:r>
      <w:r w:rsidRPr="00C015D7">
        <w:rPr>
          <w:rFonts w:ascii="Times New Roman" w:hAnsi="Times New Roman" w:cs="Times New Roman"/>
        </w:rPr>
        <w:t xml:space="preserve"> (FAO) have established permissible limits for heavy metals in food to safeguard public health. However, in many developing regions, regular monitoring of heavy metals in seafood remains inadequate, and environmental regulations are poorly enforced (Nwoko et al., 2014). Given the increasing level of environmental contamination in coastal regions, it is important to evaluate the extent to which processing methods of seafood affect their heavy metal content and the potential risks associated with the consumption of the seafood. Health risk assessment models such as Estimated Daily Intake (EDI), Target Hazard Quotient (THQ), and Hazard Index (HI) provide reliable approaches for quantifying non-carcinogenic and carcinogenic risks associated with contaminated seafood (USEPA, 2011; FAO/WHO, 2011). This study, therefore, investigates processing-induced variations in heavy metal content of periwinkle processed using shelling and blowout methods, and assesses the associated human health risks. The findings will inform safe processing practices, guide public health advice, and support environmental monitoring efforts in the Niger Delta and similar coastal environments. </w:t>
      </w:r>
    </w:p>
    <w:p w14:paraId="17282662" w14:textId="77777777" w:rsidR="00341B14" w:rsidRPr="00C015D7" w:rsidRDefault="00341B14" w:rsidP="00341B14">
      <w:pPr>
        <w:jc w:val="both"/>
        <w:rPr>
          <w:rFonts w:ascii="Times New Roman" w:hAnsi="Times New Roman" w:cs="Times New Roman"/>
        </w:rPr>
      </w:pPr>
    </w:p>
    <w:p w14:paraId="7A553BF0"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2.0 Materials and Methods</w:t>
      </w:r>
    </w:p>
    <w:p w14:paraId="32E96B3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2.1 Study Area</w:t>
      </w:r>
    </w:p>
    <w:p w14:paraId="3FC1D3CC" w14:textId="59AEEB8D"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study was carried out in Eagle Island, Port Harcourt, Rivers State, Nigeria, a brackish water environment within the Niger Delta known for artisanal fishing and domestic waste discharge. Three sampling stations were selected to reflect different pollution exposures. Their geographical </w:t>
      </w:r>
      <w:r w:rsidRPr="00DC0F1D">
        <w:rPr>
          <w:rFonts w:ascii="Times New Roman" w:hAnsi="Times New Roman" w:cs="Times New Roman"/>
          <w:color w:val="FF0000"/>
        </w:rPr>
        <w:t>coordinates are:</w:t>
      </w:r>
      <w:r w:rsidR="00DC0F1D" w:rsidRPr="00DC0F1D">
        <w:rPr>
          <w:rFonts w:ascii="Times New Roman" w:hAnsi="Times New Roman" w:cs="Times New Roman"/>
          <w:color w:val="FF0000"/>
        </w:rPr>
        <w:t xml:space="preserve"> </w:t>
      </w:r>
      <w:r w:rsidRPr="00DC0F1D">
        <w:rPr>
          <w:rFonts w:ascii="Times New Roman" w:hAnsi="Times New Roman" w:cs="Times New Roman"/>
          <w:color w:val="FF0000"/>
        </w:rPr>
        <w:t>Station</w:t>
      </w:r>
      <w:r w:rsidRPr="00C015D7">
        <w:rPr>
          <w:rFonts w:ascii="Times New Roman" w:hAnsi="Times New Roman" w:cs="Times New Roman"/>
        </w:rPr>
        <w:t xml:space="preserve"> A: 4°47′04″N, 6°58′28″E; Station B: 4°46′48″N, 6°58′28″E; Station C: 4°47′30″N, 6°58′24″E. These sites were chosen based on accessibility, human activity intensity, and hydrological flow.</w:t>
      </w:r>
    </w:p>
    <w:p w14:paraId="09E71E44"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2.2 Sample Collection</w:t>
      </w:r>
    </w:p>
    <w:p w14:paraId="0280D26D" w14:textId="6886DB0E" w:rsidR="00341B14" w:rsidRPr="00C015D7" w:rsidRDefault="00341B14" w:rsidP="00341B14">
      <w:pPr>
        <w:jc w:val="both"/>
        <w:rPr>
          <w:rFonts w:ascii="Times New Roman" w:hAnsi="Times New Roman" w:cs="Times New Roman"/>
        </w:rPr>
      </w:pPr>
      <w:r w:rsidRPr="00C015D7">
        <w:rPr>
          <w:rFonts w:ascii="Times New Roman" w:hAnsi="Times New Roman" w:cs="Times New Roman"/>
        </w:rPr>
        <w:t>Live periwinkles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were collected manually by handpicking from the intertidal zones of each station during low tide. Approximately 2–3 kg of </w:t>
      </w:r>
      <w:r w:rsidRPr="00DC0F1D">
        <w:rPr>
          <w:rFonts w:ascii="Times New Roman" w:hAnsi="Times New Roman" w:cs="Times New Roman"/>
          <w:color w:val="FF0000"/>
        </w:rPr>
        <w:t xml:space="preserve">periwinkles </w:t>
      </w:r>
      <w:r w:rsidR="00DC0F1D" w:rsidRPr="00DC0F1D">
        <w:rPr>
          <w:rFonts w:ascii="Times New Roman" w:hAnsi="Times New Roman" w:cs="Times New Roman"/>
          <w:color w:val="FF0000"/>
        </w:rPr>
        <w:t>was</w:t>
      </w:r>
      <w:r w:rsidRPr="00DC0F1D">
        <w:rPr>
          <w:rFonts w:ascii="Times New Roman" w:hAnsi="Times New Roman" w:cs="Times New Roman"/>
          <w:color w:val="FF0000"/>
        </w:rPr>
        <w:t xml:space="preserve"> </w:t>
      </w:r>
      <w:r w:rsidRPr="00C015D7">
        <w:rPr>
          <w:rFonts w:ascii="Times New Roman" w:hAnsi="Times New Roman" w:cs="Times New Roman"/>
        </w:rPr>
        <w:lastRenderedPageBreak/>
        <w:t xml:space="preserve">harvested at each location. The samples were placed in clean polyethene bags, labelled, and transported in ice chests to the laboratory for </w:t>
      </w:r>
      <w:r w:rsidRPr="00DC0F1D">
        <w:rPr>
          <w:rFonts w:ascii="Times New Roman" w:hAnsi="Times New Roman" w:cs="Times New Roman"/>
          <w:strike/>
          <w:highlight w:val="yellow"/>
        </w:rPr>
        <w:t>immediate</w:t>
      </w:r>
      <w:r w:rsidRPr="00C015D7">
        <w:rPr>
          <w:rFonts w:ascii="Times New Roman" w:hAnsi="Times New Roman" w:cs="Times New Roman"/>
        </w:rPr>
        <w:t xml:space="preserve"> processing.</w:t>
      </w:r>
    </w:p>
    <w:p w14:paraId="23154A29"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2.3 Sample Preparation</w:t>
      </w:r>
    </w:p>
    <w:p w14:paraId="02CAC0F8" w14:textId="247DE93B"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In the laboratory, 2kg of periwinkles were washed 10 times with distilled water by shaking vigorously to remove mud and external debris, and further rinsed </w:t>
      </w:r>
      <w:r w:rsidRPr="00DC0F1D">
        <w:rPr>
          <w:rFonts w:ascii="Times New Roman" w:hAnsi="Times New Roman" w:cs="Times New Roman"/>
          <w:color w:val="FF0000"/>
        </w:rPr>
        <w:t xml:space="preserve">with </w:t>
      </w:r>
      <w:r w:rsidR="00DC0F1D" w:rsidRPr="00DC0F1D">
        <w:rPr>
          <w:rFonts w:ascii="Times New Roman" w:hAnsi="Times New Roman" w:cs="Times New Roman"/>
          <w:color w:val="FF0000"/>
        </w:rPr>
        <w:t>deionized</w:t>
      </w:r>
      <w:r w:rsidRPr="00DC0F1D">
        <w:rPr>
          <w:rFonts w:ascii="Times New Roman" w:hAnsi="Times New Roman" w:cs="Times New Roman"/>
          <w:color w:val="FF0000"/>
        </w:rPr>
        <w:t xml:space="preserve"> water</w:t>
      </w:r>
      <w:r w:rsidRPr="00C015D7">
        <w:rPr>
          <w:rFonts w:ascii="Times New Roman" w:hAnsi="Times New Roman" w:cs="Times New Roman"/>
        </w:rPr>
        <w:t xml:space="preserve">. They were then divided into two groups of 1kg each for analysis: Shell filtrate samples – about 1 kg of whole periwinkles (shell and tissue) were boiled in 50 mL of distilled water for about 10 minutes, and the water (filtrate) was extracted, made up to 50 mL </w:t>
      </w:r>
      <w:r w:rsidRPr="00DC0F1D">
        <w:rPr>
          <w:rFonts w:ascii="Times New Roman" w:hAnsi="Times New Roman" w:cs="Times New Roman"/>
          <w:color w:val="FF0000"/>
        </w:rPr>
        <w:t xml:space="preserve">with </w:t>
      </w:r>
      <w:r w:rsidR="00DC0F1D" w:rsidRPr="00DC0F1D">
        <w:rPr>
          <w:rFonts w:ascii="Times New Roman" w:hAnsi="Times New Roman" w:cs="Times New Roman"/>
          <w:color w:val="FF0000"/>
        </w:rPr>
        <w:t>deionized</w:t>
      </w:r>
      <w:r w:rsidRPr="00DC0F1D">
        <w:rPr>
          <w:rFonts w:ascii="Times New Roman" w:hAnsi="Times New Roman" w:cs="Times New Roman"/>
          <w:color w:val="FF0000"/>
        </w:rPr>
        <w:t xml:space="preserve"> water </w:t>
      </w:r>
      <w:r w:rsidRPr="00C015D7">
        <w:rPr>
          <w:rFonts w:ascii="Times New Roman" w:hAnsi="Times New Roman" w:cs="Times New Roman"/>
        </w:rPr>
        <w:t>and stored for analysis. For the tissue samples, the remaining 1 kg of periwinkles were deshelled, and the soft tissues were extracted for analysis, following digestion procedures.</w:t>
      </w:r>
    </w:p>
    <w:p w14:paraId="3759ABC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2.4 Digestion of Samples</w:t>
      </w:r>
    </w:p>
    <w:p w14:paraId="0620E325" w14:textId="1B79001D"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tissue samples were transferred into a digestion flask. Wet digestion was performed using a mixture of concentrated nitric acid (HNO₃) and perchloric acid (</w:t>
      </w:r>
      <w:proofErr w:type="spellStart"/>
      <w:r w:rsidRPr="00C015D7">
        <w:rPr>
          <w:rFonts w:ascii="Times New Roman" w:hAnsi="Times New Roman" w:cs="Times New Roman"/>
        </w:rPr>
        <w:t>HClO</w:t>
      </w:r>
      <w:proofErr w:type="spellEnd"/>
      <w:r w:rsidRPr="00C015D7">
        <w:rPr>
          <w:rFonts w:ascii="Times New Roman" w:hAnsi="Times New Roman" w:cs="Times New Roman"/>
        </w:rPr>
        <w:t xml:space="preserve">₄) in the ratio of 3:1. The mixture was gently heated on a hot plate until a clear solution was obtained, indicating complete digestion of organic matter. The digest was then allowed to cool, filtered into a 50 ml volumetric flask, and made up to the </w:t>
      </w:r>
      <w:r w:rsidRPr="00DC0F1D">
        <w:rPr>
          <w:rFonts w:ascii="Times New Roman" w:hAnsi="Times New Roman" w:cs="Times New Roman"/>
          <w:color w:val="FF0000"/>
        </w:rPr>
        <w:t xml:space="preserve">mark with </w:t>
      </w:r>
      <w:r w:rsidR="00DC0F1D" w:rsidRPr="00DC0F1D">
        <w:rPr>
          <w:rFonts w:ascii="Times New Roman" w:hAnsi="Times New Roman" w:cs="Times New Roman"/>
          <w:color w:val="FF0000"/>
        </w:rPr>
        <w:t>deionized</w:t>
      </w:r>
      <w:r w:rsidRPr="00DC0F1D">
        <w:rPr>
          <w:rFonts w:ascii="Times New Roman" w:hAnsi="Times New Roman" w:cs="Times New Roman"/>
          <w:color w:val="FF0000"/>
        </w:rPr>
        <w:t xml:space="preserve"> water</w:t>
      </w:r>
      <w:r w:rsidRPr="00C015D7">
        <w:rPr>
          <w:rFonts w:ascii="Times New Roman" w:hAnsi="Times New Roman" w:cs="Times New Roman"/>
        </w:rPr>
        <w:t>. The resulting solution was stored in clean, labelled containers for subsequent elemental analysis.</w:t>
      </w:r>
    </w:p>
    <w:p w14:paraId="36B6BCBD"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2.5 Heavy metal analysis</w:t>
      </w:r>
    </w:p>
    <w:p w14:paraId="1B735E47" w14:textId="1973D6E9"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concentrations of heavy metals (lead (Pb), mercury (Hg), arsenic (As) and cadmium (Cd)) in digested periwinkles samples were quantified using atomic absorption spectrophotometry (AAS) with a Varian Spectra 100 instrument, USA.AAS operates by measuring the absorption of light by atoms of a particular element at a wavelength specific to that element. </w:t>
      </w:r>
      <w:r w:rsidRPr="00DC0F1D">
        <w:rPr>
          <w:rFonts w:ascii="Times New Roman" w:hAnsi="Times New Roman" w:cs="Times New Roman"/>
          <w:color w:val="FF0000"/>
        </w:rPr>
        <w:t xml:space="preserve">Quantification was </w:t>
      </w:r>
      <w:r w:rsidR="00DC0F1D" w:rsidRPr="00DC0F1D">
        <w:rPr>
          <w:rFonts w:ascii="Times New Roman" w:hAnsi="Times New Roman" w:cs="Times New Roman"/>
          <w:color w:val="FF0000"/>
        </w:rPr>
        <w:t>made</w:t>
      </w:r>
      <w:r w:rsidRPr="00DC0F1D">
        <w:rPr>
          <w:rFonts w:ascii="Times New Roman" w:hAnsi="Times New Roman" w:cs="Times New Roman"/>
          <w:color w:val="FF0000"/>
        </w:rPr>
        <w:t xml:space="preserve"> </w:t>
      </w:r>
      <w:r w:rsidRPr="00C015D7">
        <w:rPr>
          <w:rFonts w:ascii="Times New Roman" w:hAnsi="Times New Roman" w:cs="Times New Roman"/>
        </w:rPr>
        <w:t>triplicate, and the mean values in mg/kg were recorded.</w:t>
      </w:r>
    </w:p>
    <w:p w14:paraId="33F48570" w14:textId="77777777" w:rsidR="00341B14" w:rsidRPr="00C015D7" w:rsidRDefault="00341B14" w:rsidP="00341B14">
      <w:pPr>
        <w:rPr>
          <w:rFonts w:ascii="Times New Roman" w:hAnsi="Times New Roman" w:cs="Times New Roman"/>
        </w:rPr>
      </w:pPr>
      <w:r w:rsidRPr="00C015D7">
        <w:rPr>
          <w:rFonts w:ascii="Times New Roman" w:hAnsi="Times New Roman" w:cs="Times New Roman"/>
          <w:b/>
          <w:bCs/>
        </w:rPr>
        <w:t>2.6 Calculation of Estimated Daily Intake</w:t>
      </w:r>
    </w:p>
    <w:p w14:paraId="46AFE3A4" w14:textId="77777777" w:rsidR="00341B14" w:rsidRPr="00DC0F1D" w:rsidRDefault="00341B14" w:rsidP="00DC0F1D">
      <w:pPr>
        <w:jc w:val="both"/>
        <w:rPr>
          <w:rFonts w:ascii="Times New Roman" w:hAnsi="Times New Roman" w:cs="Times New Roman"/>
          <w:color w:val="FF0000"/>
        </w:rPr>
      </w:pPr>
      <w:r w:rsidRPr="00DC0F1D">
        <w:rPr>
          <w:rFonts w:ascii="Times New Roman" w:hAnsi="Times New Roman" w:cs="Times New Roman"/>
          <w:color w:val="FF0000"/>
        </w:rPr>
        <w:t xml:space="preserve">The estimated daily intake (EDI) of heavy metals was calculated according to the method described by </w:t>
      </w:r>
      <w:proofErr w:type="spellStart"/>
      <w:r w:rsidRPr="00DC0F1D">
        <w:rPr>
          <w:rFonts w:ascii="Times New Roman" w:hAnsi="Times New Roman" w:cs="Times New Roman"/>
          <w:color w:val="FF0000"/>
        </w:rPr>
        <w:t>Orisakwe</w:t>
      </w:r>
      <w:proofErr w:type="spellEnd"/>
      <w:r w:rsidRPr="00DC0F1D">
        <w:rPr>
          <w:rFonts w:ascii="Times New Roman" w:hAnsi="Times New Roman" w:cs="Times New Roman"/>
          <w:color w:val="FF0000"/>
        </w:rPr>
        <w:t xml:space="preserve"> et al. (2017) using the equation:</w:t>
      </w:r>
    </w:p>
    <w:p w14:paraId="64BCEF21" w14:textId="77777777" w:rsidR="00341B14" w:rsidRPr="00C015D7" w:rsidRDefault="00341B14" w:rsidP="00341B14">
      <w:pPr>
        <w:rPr>
          <w:rFonts w:ascii="Times New Roman" w:hAnsi="Times New Roman" w:cs="Times New Roman"/>
        </w:rPr>
      </w:pPr>
    </w:p>
    <w:p w14:paraId="3F2EBC0D"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Where: C= Concentration of heavy metal in periwinkle.</w:t>
      </w:r>
    </w:p>
    <w:p w14:paraId="7EF10A3F"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Iring =Ingestion rate 0.02 kg/person/day (</w:t>
      </w:r>
      <w:proofErr w:type="spellStart"/>
      <w:r w:rsidRPr="00C015D7">
        <w:rPr>
          <w:rFonts w:ascii="Times New Roman" w:hAnsi="Times New Roman" w:cs="Times New Roman"/>
        </w:rPr>
        <w:t>Udiba</w:t>
      </w:r>
      <w:proofErr w:type="spellEnd"/>
      <w:r w:rsidRPr="00C015D7">
        <w:rPr>
          <w:rFonts w:ascii="Times New Roman" w:hAnsi="Times New Roman" w:cs="Times New Roman"/>
        </w:rPr>
        <w:t xml:space="preserve"> et al 2020).</w:t>
      </w:r>
    </w:p>
    <w:p w14:paraId="002316B1"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EF= Exposure frequency (350 days/year)</w:t>
      </w:r>
    </w:p>
    <w:p w14:paraId="5D2A24E5"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ED= Exposure duration (56 years- the average life expectancy rate for adult Nigerians according to World Bank statistics 2014)</w:t>
      </w:r>
    </w:p>
    <w:p w14:paraId="34D63F8F"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 xml:space="preserve">BW = Average body weight for exposed individuals (70kg for adults) </w:t>
      </w:r>
    </w:p>
    <w:p w14:paraId="1A511510"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lastRenderedPageBreak/>
        <w:t xml:space="preserve">AT = Average exposure days within lifetime (365 days x ED or 20440 days </w:t>
      </w:r>
    </w:p>
    <w:p w14:paraId="33A1BE8F" w14:textId="77777777" w:rsidR="00341B14" w:rsidRPr="00C015D7" w:rsidRDefault="00341B14" w:rsidP="00341B14">
      <w:pPr>
        <w:rPr>
          <w:rFonts w:ascii="Times New Roman" w:hAnsi="Times New Roman" w:cs="Times New Roman"/>
        </w:rPr>
      </w:pPr>
    </w:p>
    <w:p w14:paraId="5F18532E" w14:textId="77777777" w:rsidR="00341B14" w:rsidRPr="00C015D7" w:rsidRDefault="00341B14" w:rsidP="00341B14">
      <w:pPr>
        <w:rPr>
          <w:rFonts w:ascii="Times New Roman" w:hAnsi="Times New Roman" w:cs="Times New Roman"/>
          <w:b/>
          <w:bCs/>
        </w:rPr>
      </w:pPr>
      <w:r w:rsidRPr="00C015D7">
        <w:rPr>
          <w:rFonts w:ascii="Times New Roman" w:hAnsi="Times New Roman" w:cs="Times New Roman"/>
          <w:b/>
          <w:bCs/>
        </w:rPr>
        <w:t>2.6 Determination of Health Risk</w:t>
      </w:r>
    </w:p>
    <w:p w14:paraId="433C06BE"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Target hazard quotient (THQ) was used to assess the potential for non-cancer health hazards expected from exposure to heavy metal contaminants using available non-cancer health guidelines, such as reference dose (RFD). The values for reference dose and EDI are related to the target hazard quotient, as shown below.</w:t>
      </w:r>
    </w:p>
    <w:p w14:paraId="70DB8A9A" w14:textId="77777777" w:rsidR="00341B14" w:rsidRPr="00C015D7" w:rsidRDefault="00341B14" w:rsidP="00341B14">
      <w:pPr>
        <w:rPr>
          <w:rFonts w:ascii="Times New Roman" w:hAnsi="Times New Roman" w:cs="Times New Roman"/>
          <w:b/>
          <w:bCs/>
        </w:rPr>
      </w:pPr>
      <w:r w:rsidRPr="00C015D7">
        <w:rPr>
          <w:rFonts w:ascii="Times New Roman" w:hAnsi="Times New Roman" w:cs="Times New Roman"/>
          <w:b/>
          <w:bCs/>
        </w:rPr>
        <w:t>THQ = EDI/RFD</w:t>
      </w:r>
    </w:p>
    <w:p w14:paraId="31611F25"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Where EDI -Estimated daily intake (mg/kg/day)</w:t>
      </w:r>
    </w:p>
    <w:p w14:paraId="75F4A92D"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RFD= Reference dose (mg/kg/day)</w:t>
      </w:r>
    </w:p>
    <w:p w14:paraId="460B2247"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following oral reference dose values were used.</w:t>
      </w:r>
    </w:p>
    <w:p w14:paraId="342ECC3E"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Cd=0.001; As=0.0003; Zn=0.3; Pb=0.004; Cu=0.04; Hg= 0.0001 (USEPA, 2006) </w:t>
      </w:r>
    </w:p>
    <w:p w14:paraId="025E472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A THQ value &lt;1 indicates that there is a potential health risk associated with the heavy metal content in periwinkle, while a THQ value ≥ 1indicates potential health concern.</w:t>
      </w:r>
    </w:p>
    <w:p w14:paraId="75DD95A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overall non-carcinogenic risk to humans that is expected from exposure to all the heavy metals was calculated using the following equation:</w:t>
      </w:r>
    </w:p>
    <w:p w14:paraId="50C462F2"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HI= ∑THQ(Cd)+ THQ(As)+THQ(Zn)+ THQ(Pb)+THQ(Cu)+THQ(Hg)</w:t>
      </w:r>
    </w:p>
    <w:p w14:paraId="1914BEF3"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Where HI =Hazard index and = ∑THQ=sum of the THQs for Cd, As, Zn, Pb, Cu and Hg</w:t>
      </w:r>
    </w:p>
    <w:p w14:paraId="4BEE2C5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If the HI value &gt;1 is obtained, it means that the risk is likely to occur. Cancer risk was estimated using the equation below: </w:t>
      </w:r>
    </w:p>
    <w:p w14:paraId="0B2905EB"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ECR= EDI x CSF</w:t>
      </w:r>
    </w:p>
    <w:p w14:paraId="3FD4ADD6"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Where ECR= Estimated cancer risk. This represents the estimated lifetime carcinogenic risk associated with exposure to a particular metal.</w:t>
      </w:r>
    </w:p>
    <w:p w14:paraId="5D1DBDB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EDI= Estimated daily intake of the metal; CSF=Cancer slope factor (in mg/kg/day).</w:t>
      </w:r>
    </w:p>
    <w:p w14:paraId="5902E5B3"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following CSF values were used: </w:t>
      </w:r>
    </w:p>
    <w:p w14:paraId="5F32D8EB"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CSF (Cd) 0.38mg/kg/day; CSF (Pb) 0.0085mg/kg/day; CSF (As) 1.5 mg/kg/day</w:t>
      </w:r>
    </w:p>
    <w:p w14:paraId="3CB8A7DB"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CSF (Hg, Zn and Cu) Not available.</w:t>
      </w:r>
    </w:p>
    <w:p w14:paraId="130C5966"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ECR values lying between 1.0x10-4 and 1.0x10-6 were considered acceptable as the risk can be neglected. Values &gt;1.0x10-4, however, indicate a lifetime carcinogen risk. For multiple metals, the </w:t>
      </w:r>
      <w:r w:rsidRPr="00C015D7">
        <w:rPr>
          <w:rFonts w:ascii="Times New Roman" w:hAnsi="Times New Roman" w:cs="Times New Roman"/>
        </w:rPr>
        <w:lastRenderedPageBreak/>
        <w:t>total cancer risk was obtained from the sum of the CR values of different metals according to the equation: ∑ECR.</w:t>
      </w:r>
    </w:p>
    <w:p w14:paraId="5BCE538D"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2.7 Statistical analysis</w:t>
      </w:r>
    </w:p>
    <w:p w14:paraId="15683C97" w14:textId="797F9F76"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All statistical analyses </w:t>
      </w:r>
      <w:r w:rsidRPr="00DC0F1D">
        <w:rPr>
          <w:rFonts w:ascii="Times New Roman" w:hAnsi="Times New Roman" w:cs="Times New Roman"/>
          <w:color w:val="FF0000"/>
        </w:rPr>
        <w:t xml:space="preserve">were </w:t>
      </w:r>
      <w:r w:rsidR="00DC0F1D" w:rsidRPr="00DC0F1D">
        <w:rPr>
          <w:rFonts w:ascii="Times New Roman" w:hAnsi="Times New Roman" w:cs="Times New Roman"/>
          <w:color w:val="FF0000"/>
        </w:rPr>
        <w:t>made</w:t>
      </w:r>
      <w:r w:rsidRPr="00DC0F1D">
        <w:rPr>
          <w:rFonts w:ascii="Times New Roman" w:hAnsi="Times New Roman" w:cs="Times New Roman"/>
          <w:color w:val="FF0000"/>
        </w:rPr>
        <w:t xml:space="preserve"> using </w:t>
      </w:r>
      <w:r w:rsidRPr="00C015D7">
        <w:rPr>
          <w:rFonts w:ascii="Times New Roman" w:hAnsi="Times New Roman" w:cs="Times New Roman"/>
        </w:rPr>
        <w:t xml:space="preserve">Statistical Package for the Social Sciences (SPSS) software, version 25.0. Statistical significance was set at p &lt; 0.05. Where significant differences were observed, Tukey’s Honestly Significant Difference (HSD) post hoc test was applied to </w:t>
      </w:r>
      <w:r w:rsidRPr="006E6447">
        <w:rPr>
          <w:rFonts w:ascii="Times New Roman" w:hAnsi="Times New Roman" w:cs="Times New Roman"/>
          <w:color w:val="FF0000"/>
        </w:rPr>
        <w:t xml:space="preserve">identify the specific groups </w:t>
      </w:r>
      <w:r w:rsidR="006E6447" w:rsidRPr="006E6447">
        <w:rPr>
          <w:rFonts w:ascii="Times New Roman" w:hAnsi="Times New Roman" w:cs="Times New Roman"/>
          <w:color w:val="FF0000"/>
        </w:rPr>
        <w:t>differences</w:t>
      </w:r>
      <w:r w:rsidR="006E6447">
        <w:rPr>
          <w:rFonts w:ascii="Times New Roman" w:hAnsi="Times New Roman" w:cs="Times New Roman"/>
        </w:rPr>
        <w:t>.</w:t>
      </w:r>
    </w:p>
    <w:p w14:paraId="5AE923B4" w14:textId="77777777" w:rsidR="00341B14" w:rsidRPr="00C015D7" w:rsidRDefault="00341B14" w:rsidP="00341B14">
      <w:pPr>
        <w:jc w:val="both"/>
        <w:rPr>
          <w:rFonts w:ascii="Times New Roman" w:hAnsi="Times New Roman" w:cs="Times New Roman"/>
        </w:rPr>
      </w:pPr>
    </w:p>
    <w:p w14:paraId="3D0B88BB" w14:textId="77777777" w:rsidR="00341B14" w:rsidRPr="00C015D7" w:rsidRDefault="00341B14" w:rsidP="00341B14">
      <w:pPr>
        <w:jc w:val="both"/>
        <w:rPr>
          <w:rFonts w:ascii="Times New Roman" w:hAnsi="Times New Roman" w:cs="Times New Roman"/>
          <w:b/>
          <w:bCs/>
          <w:sz w:val="28"/>
          <w:szCs w:val="28"/>
        </w:rPr>
      </w:pPr>
      <w:r w:rsidRPr="00C015D7">
        <w:rPr>
          <w:rFonts w:ascii="Times New Roman" w:hAnsi="Times New Roman" w:cs="Times New Roman"/>
          <w:b/>
          <w:bCs/>
          <w:sz w:val="28"/>
          <w:szCs w:val="28"/>
        </w:rPr>
        <w:t xml:space="preserve">3.0 Results </w:t>
      </w:r>
    </w:p>
    <w:p w14:paraId="7E894DB0"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3.1 Heavy Metal content in the blowout and shelling method</w:t>
      </w:r>
    </w:p>
    <w:p w14:paraId="74765E62" w14:textId="6F4423CC"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Table 1 presents the mean heavy metal content of the blowout and shelling. For all six heavy metals (Cd, As, Zn, Pb, Cu and Hg), concentrations were observed to be </w:t>
      </w:r>
      <w:r w:rsidRPr="006E6447">
        <w:rPr>
          <w:rFonts w:ascii="Times New Roman" w:hAnsi="Times New Roman" w:cs="Times New Roman"/>
          <w:color w:val="FF0000"/>
        </w:rPr>
        <w:t xml:space="preserve">significantly </w:t>
      </w:r>
      <w:r w:rsidR="006E6447" w:rsidRPr="006E6447">
        <w:rPr>
          <w:rFonts w:ascii="Times New Roman" w:hAnsi="Times New Roman" w:cs="Times New Roman"/>
          <w:color w:val="FF0000"/>
        </w:rPr>
        <w:t>different</w:t>
      </w:r>
      <w:r w:rsidRPr="006E6447">
        <w:rPr>
          <w:rFonts w:ascii="Times New Roman" w:hAnsi="Times New Roman" w:cs="Times New Roman"/>
          <w:color w:val="FF0000"/>
        </w:rPr>
        <w:t xml:space="preserve"> in whole </w:t>
      </w:r>
      <w:r w:rsidRPr="00C015D7">
        <w:rPr>
          <w:rFonts w:ascii="Times New Roman" w:hAnsi="Times New Roman" w:cs="Times New Roman"/>
        </w:rPr>
        <w:t>Periwinkle filtrates than in tissue filtrate (p &lt; 0.0001 for all metals). The concentration of the heavy metals in the whole periwinkle filtrate is of the order Cu&gt;Zn&gt;Pb&gt;As&gt;Cd&gt;Hg, while in the tissue filtrate Cu&gt;Zn&gt;Pb&gt;As&gt;Hg&gt;As. This implies that processing of the periwinkle by the blow-out method of blowout presents a higher risk of the level heavy metal intake compared to the shelling method</w:t>
      </w:r>
      <w:r w:rsidRPr="00C015D7">
        <w:rPr>
          <w:rFonts w:ascii="Times New Roman" w:hAnsi="Times New Roman" w:cs="Times New Roman"/>
          <w:b/>
          <w:bCs/>
        </w:rPr>
        <w:t>.</w:t>
      </w:r>
    </w:p>
    <w:p w14:paraId="7C0FC2C5" w14:textId="77777777" w:rsidR="00341B14" w:rsidRDefault="00341B14" w:rsidP="00341B14">
      <w:pPr>
        <w:rPr>
          <w:rFonts w:ascii="Times New Roman" w:hAnsi="Times New Roman" w:cs="Times New Roman"/>
          <w:b/>
          <w:bCs/>
        </w:rPr>
      </w:pPr>
      <w:r w:rsidRPr="00C015D7">
        <w:rPr>
          <w:rFonts w:ascii="Times New Roman" w:hAnsi="Times New Roman" w:cs="Times New Roman"/>
          <w:b/>
          <w:bCs/>
        </w:rPr>
        <w:t>Table 1: Mean heavy metal content in processed by the blowout and shelling method.</w:t>
      </w:r>
    </w:p>
    <w:tbl>
      <w:tblPr>
        <w:tblW w:w="9125" w:type="dxa"/>
        <w:tblBorders>
          <w:top w:val="single" w:sz="4" w:space="0" w:color="000000"/>
          <w:bottom w:val="single" w:sz="4" w:space="0" w:color="000000"/>
        </w:tblBorders>
        <w:tblLayout w:type="fixed"/>
        <w:tblLook w:val="0400" w:firstRow="0" w:lastRow="0" w:firstColumn="0" w:lastColumn="0" w:noHBand="0" w:noVBand="1"/>
      </w:tblPr>
      <w:tblGrid>
        <w:gridCol w:w="1107"/>
        <w:gridCol w:w="2433"/>
        <w:gridCol w:w="2711"/>
        <w:gridCol w:w="1658"/>
        <w:gridCol w:w="1216"/>
      </w:tblGrid>
      <w:tr w:rsidR="00341B14" w:rsidRPr="008054A9" w14:paraId="30FC7769" w14:textId="77777777" w:rsidTr="002E59B7">
        <w:trPr>
          <w:trHeight w:val="541"/>
          <w:tblHeader/>
        </w:trPr>
        <w:tc>
          <w:tcPr>
            <w:tcW w:w="1107" w:type="dxa"/>
            <w:tcBorders>
              <w:bottom w:val="single" w:sz="4" w:space="0" w:color="000000"/>
            </w:tcBorders>
            <w:vAlign w:val="center"/>
          </w:tcPr>
          <w:p w14:paraId="03AFF26F"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Metal</w:t>
            </w:r>
          </w:p>
        </w:tc>
        <w:tc>
          <w:tcPr>
            <w:tcW w:w="2433" w:type="dxa"/>
            <w:tcBorders>
              <w:bottom w:val="single" w:sz="4" w:space="0" w:color="000000"/>
            </w:tcBorders>
            <w:vAlign w:val="center"/>
          </w:tcPr>
          <w:p w14:paraId="0FF45156" w14:textId="77777777" w:rsidR="00341B14" w:rsidRPr="008054A9" w:rsidRDefault="00341B14" w:rsidP="002E59B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Blowout</w:t>
            </w:r>
            <w:r w:rsidRPr="008054A9">
              <w:rPr>
                <w:rFonts w:ascii="Times New Roman" w:eastAsia="Times New Roman" w:hAnsi="Times New Roman" w:cs="Times New Roman"/>
                <w:b/>
              </w:rPr>
              <w:t xml:space="preserve"> (ppm) </w:t>
            </w:r>
          </w:p>
          <w:p w14:paraId="2AE10EE2"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(Mean ± SD)</w:t>
            </w:r>
          </w:p>
        </w:tc>
        <w:tc>
          <w:tcPr>
            <w:tcW w:w="2711" w:type="dxa"/>
            <w:tcBorders>
              <w:bottom w:val="single" w:sz="4" w:space="0" w:color="000000"/>
            </w:tcBorders>
            <w:vAlign w:val="center"/>
          </w:tcPr>
          <w:p w14:paraId="1704C840" w14:textId="77777777" w:rsidR="00341B14" w:rsidRPr="008054A9" w:rsidRDefault="00341B14" w:rsidP="002E59B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Shelling</w:t>
            </w:r>
            <w:r w:rsidRPr="008054A9">
              <w:rPr>
                <w:rFonts w:ascii="Times New Roman" w:eastAsia="Times New Roman" w:hAnsi="Times New Roman" w:cs="Times New Roman"/>
                <w:b/>
              </w:rPr>
              <w:t xml:space="preserve"> (ppm)</w:t>
            </w:r>
          </w:p>
          <w:p w14:paraId="2D82F20E" w14:textId="77777777" w:rsidR="00341B14" w:rsidRPr="008054A9" w:rsidRDefault="00341B14" w:rsidP="002E59B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8054A9">
              <w:rPr>
                <w:rFonts w:ascii="Times New Roman" w:eastAsia="Times New Roman" w:hAnsi="Times New Roman" w:cs="Times New Roman"/>
                <w:b/>
              </w:rPr>
              <w:t>(Mean ± SD)</w:t>
            </w:r>
          </w:p>
        </w:tc>
        <w:tc>
          <w:tcPr>
            <w:tcW w:w="1658" w:type="dxa"/>
            <w:tcBorders>
              <w:bottom w:val="single" w:sz="4" w:space="0" w:color="000000"/>
            </w:tcBorders>
            <w:vAlign w:val="center"/>
          </w:tcPr>
          <w:p w14:paraId="138CBC69"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p-value</w:t>
            </w:r>
          </w:p>
        </w:tc>
        <w:tc>
          <w:tcPr>
            <w:tcW w:w="1216" w:type="dxa"/>
            <w:tcBorders>
              <w:bottom w:val="single" w:sz="4" w:space="0" w:color="000000"/>
            </w:tcBorders>
            <w:vAlign w:val="center"/>
          </w:tcPr>
          <w:p w14:paraId="1924B9E6"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Inference</w:t>
            </w:r>
          </w:p>
        </w:tc>
      </w:tr>
      <w:tr w:rsidR="00341B14" w:rsidRPr="008054A9" w14:paraId="47F13037" w14:textId="77777777" w:rsidTr="002E59B7">
        <w:trPr>
          <w:trHeight w:val="512"/>
        </w:trPr>
        <w:tc>
          <w:tcPr>
            <w:tcW w:w="1107" w:type="dxa"/>
            <w:tcBorders>
              <w:top w:val="single" w:sz="4" w:space="0" w:color="000000"/>
            </w:tcBorders>
            <w:vAlign w:val="center"/>
          </w:tcPr>
          <w:p w14:paraId="607DBC3A"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Cd</w:t>
            </w:r>
            <w:r w:rsidRPr="00E92BF1">
              <w:rPr>
                <w:vertAlign w:val="superscript"/>
              </w:rPr>
              <w:t>2+</w:t>
            </w:r>
          </w:p>
        </w:tc>
        <w:tc>
          <w:tcPr>
            <w:tcW w:w="2433" w:type="dxa"/>
            <w:tcBorders>
              <w:top w:val="single" w:sz="4" w:space="0" w:color="000000"/>
            </w:tcBorders>
            <w:vAlign w:val="center"/>
          </w:tcPr>
          <w:p w14:paraId="52AAE90B"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0.053 ± 0.001</w:t>
            </w:r>
            <w:r w:rsidRPr="008054A9">
              <w:rPr>
                <w:rFonts w:ascii="Times New Roman" w:eastAsia="Times New Roman" w:hAnsi="Times New Roman" w:cs="Times New Roman"/>
                <w:vertAlign w:val="superscript"/>
              </w:rPr>
              <w:t>a</w:t>
            </w:r>
          </w:p>
        </w:tc>
        <w:tc>
          <w:tcPr>
            <w:tcW w:w="2711" w:type="dxa"/>
            <w:tcBorders>
              <w:top w:val="single" w:sz="4" w:space="0" w:color="000000"/>
            </w:tcBorders>
            <w:vAlign w:val="center"/>
          </w:tcPr>
          <w:p w14:paraId="01BB1B06"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0.0033 ± 0.0001</w:t>
            </w:r>
            <w:r w:rsidRPr="008054A9">
              <w:rPr>
                <w:rFonts w:ascii="Times New Roman" w:eastAsia="Times New Roman" w:hAnsi="Times New Roman" w:cs="Times New Roman"/>
                <w:vertAlign w:val="superscript"/>
              </w:rPr>
              <w:t>b</w:t>
            </w:r>
          </w:p>
        </w:tc>
        <w:tc>
          <w:tcPr>
            <w:tcW w:w="1658" w:type="dxa"/>
            <w:tcBorders>
              <w:top w:val="single" w:sz="4" w:space="0" w:color="000000"/>
            </w:tcBorders>
            <w:vAlign w:val="center"/>
          </w:tcPr>
          <w:p w14:paraId="0208685C"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tc>
        <w:tc>
          <w:tcPr>
            <w:tcW w:w="1216" w:type="dxa"/>
            <w:tcBorders>
              <w:top w:val="single" w:sz="4" w:space="0" w:color="000000"/>
            </w:tcBorders>
            <w:vAlign w:val="center"/>
          </w:tcPr>
          <w:p w14:paraId="1798473A"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054A9">
              <w:rPr>
                <w:rFonts w:ascii="Times New Roman" w:eastAsia="Times New Roman" w:hAnsi="Times New Roman" w:cs="Times New Roman"/>
              </w:rPr>
              <w:t xml:space="preserve"> S</w:t>
            </w:r>
          </w:p>
        </w:tc>
      </w:tr>
      <w:tr w:rsidR="00341B14" w:rsidRPr="008054A9" w14:paraId="0832E46C" w14:textId="77777777" w:rsidTr="002E59B7">
        <w:trPr>
          <w:trHeight w:val="541"/>
        </w:trPr>
        <w:tc>
          <w:tcPr>
            <w:tcW w:w="1107" w:type="dxa"/>
            <w:vAlign w:val="center"/>
          </w:tcPr>
          <w:p w14:paraId="0AD39062"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As</w:t>
            </w:r>
            <w:r>
              <w:rPr>
                <w:vertAlign w:val="superscript"/>
              </w:rPr>
              <w:t>3</w:t>
            </w:r>
            <w:r w:rsidRPr="00E92BF1">
              <w:rPr>
                <w:vertAlign w:val="superscript"/>
              </w:rPr>
              <w:t>+</w:t>
            </w:r>
          </w:p>
        </w:tc>
        <w:tc>
          <w:tcPr>
            <w:tcW w:w="2433" w:type="dxa"/>
            <w:vAlign w:val="center"/>
          </w:tcPr>
          <w:p w14:paraId="7156BE2A"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0.175 ± 0.004</w:t>
            </w:r>
            <w:r w:rsidRPr="008054A9">
              <w:rPr>
                <w:rFonts w:ascii="Times New Roman" w:eastAsia="Times New Roman" w:hAnsi="Times New Roman" w:cs="Times New Roman"/>
                <w:vertAlign w:val="superscript"/>
              </w:rPr>
              <w:t>a</w:t>
            </w:r>
          </w:p>
        </w:tc>
        <w:tc>
          <w:tcPr>
            <w:tcW w:w="2711" w:type="dxa"/>
            <w:vAlign w:val="center"/>
          </w:tcPr>
          <w:p w14:paraId="27CA44CD"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0.038 ± 0.001</w:t>
            </w:r>
            <w:r w:rsidRPr="008054A9">
              <w:rPr>
                <w:rFonts w:ascii="Times New Roman" w:eastAsia="Times New Roman" w:hAnsi="Times New Roman" w:cs="Times New Roman"/>
                <w:vertAlign w:val="superscript"/>
              </w:rPr>
              <w:t>b</w:t>
            </w:r>
          </w:p>
        </w:tc>
        <w:tc>
          <w:tcPr>
            <w:tcW w:w="1658" w:type="dxa"/>
            <w:vAlign w:val="center"/>
          </w:tcPr>
          <w:p w14:paraId="15BE238C"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tc>
        <w:tc>
          <w:tcPr>
            <w:tcW w:w="1216" w:type="dxa"/>
            <w:vAlign w:val="center"/>
          </w:tcPr>
          <w:p w14:paraId="3A6678BE"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S</w:t>
            </w:r>
          </w:p>
        </w:tc>
      </w:tr>
      <w:tr w:rsidR="00341B14" w:rsidRPr="008054A9" w14:paraId="73D0007A" w14:textId="77777777" w:rsidTr="002E59B7">
        <w:trPr>
          <w:trHeight w:val="512"/>
        </w:trPr>
        <w:tc>
          <w:tcPr>
            <w:tcW w:w="1107" w:type="dxa"/>
            <w:vAlign w:val="center"/>
          </w:tcPr>
          <w:p w14:paraId="2371BD15" w14:textId="77777777" w:rsidR="00341B14"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Zn</w:t>
            </w:r>
            <w:r w:rsidRPr="00E92BF1">
              <w:rPr>
                <w:vertAlign w:val="superscript"/>
              </w:rPr>
              <w:t>2+</w:t>
            </w:r>
          </w:p>
          <w:p w14:paraId="5D6F8ACB" w14:textId="77777777" w:rsidR="00341B14"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Pb </w:t>
            </w:r>
            <w:r w:rsidRPr="00E92BF1">
              <w:rPr>
                <w:vertAlign w:val="superscript"/>
              </w:rPr>
              <w:t>2+</w:t>
            </w:r>
            <w:r>
              <w:rPr>
                <w:rFonts w:ascii="Times New Roman" w:eastAsia="Times New Roman" w:hAnsi="Times New Roman" w:cs="Times New Roman"/>
              </w:rPr>
              <w:t xml:space="preserve">  </w:t>
            </w:r>
          </w:p>
          <w:p w14:paraId="1B2C887B" w14:textId="77777777" w:rsidR="00341B14" w:rsidRDefault="00341B14" w:rsidP="002E59B7">
            <w:pPr>
              <w:spacing w:line="360" w:lineRule="auto"/>
              <w:jc w:val="both"/>
            </w:pPr>
            <w:r>
              <w:t>Cu</w:t>
            </w:r>
            <w:bookmarkStart w:id="1" w:name="_Hlk216836534"/>
            <w:r w:rsidRPr="00E92BF1">
              <w:rPr>
                <w:vertAlign w:val="superscript"/>
              </w:rPr>
              <w:t>2+</w:t>
            </w:r>
            <w:bookmarkEnd w:id="1"/>
          </w:p>
          <w:p w14:paraId="167C9E65"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Hg</w:t>
            </w:r>
            <w:r w:rsidRPr="00E92BF1">
              <w:rPr>
                <w:vertAlign w:val="superscript"/>
              </w:rPr>
              <w:t>2+</w:t>
            </w:r>
          </w:p>
        </w:tc>
        <w:tc>
          <w:tcPr>
            <w:tcW w:w="2433" w:type="dxa"/>
            <w:vAlign w:val="center"/>
          </w:tcPr>
          <w:p w14:paraId="45D535A6" w14:textId="77777777" w:rsidR="00341B14" w:rsidRDefault="00341B14" w:rsidP="002E59B7">
            <w:pPr>
              <w:spacing w:line="360" w:lineRule="auto"/>
              <w:jc w:val="both"/>
              <w:rPr>
                <w:rFonts w:ascii="Times New Roman" w:eastAsia="Times New Roman" w:hAnsi="Times New Roman" w:cs="Times New Roman"/>
                <w:vertAlign w:val="superscript"/>
              </w:rPr>
            </w:pPr>
            <w:r w:rsidRPr="008054A9">
              <w:rPr>
                <w:rFonts w:ascii="Times New Roman" w:eastAsia="Times New Roman" w:hAnsi="Times New Roman" w:cs="Times New Roman"/>
              </w:rPr>
              <w:t>6.91 ± 0.27</w:t>
            </w:r>
            <w:r w:rsidRPr="008054A9">
              <w:rPr>
                <w:rFonts w:ascii="Times New Roman" w:eastAsia="Times New Roman" w:hAnsi="Times New Roman" w:cs="Times New Roman"/>
                <w:vertAlign w:val="superscript"/>
              </w:rPr>
              <w:t>a</w:t>
            </w:r>
          </w:p>
          <w:p w14:paraId="1F77FA8C" w14:textId="77777777" w:rsidR="00341B14"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4.92 ± 0.70ᵃ</w:t>
            </w:r>
            <w:r>
              <w:rPr>
                <w:rFonts w:ascii="Times New Roman" w:eastAsia="Times New Roman" w:hAnsi="Times New Roman"/>
              </w:rPr>
              <w:t xml:space="preserve">   </w:t>
            </w:r>
          </w:p>
          <w:p w14:paraId="58D38D26" w14:textId="77777777" w:rsidR="00341B14" w:rsidRPr="008C0006"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12.96 ± 1.75ᵃ</w:t>
            </w:r>
            <w:r>
              <w:rPr>
                <w:rFonts w:ascii="Times New Roman" w:eastAsia="Times New Roman" w:hAnsi="Times New Roman"/>
              </w:rPr>
              <w:t xml:space="preserve">  </w:t>
            </w:r>
          </w:p>
          <w:p w14:paraId="46DABECD"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rPr>
              <w:t xml:space="preserve"> </w:t>
            </w:r>
            <w:r w:rsidRPr="00117BDB">
              <w:rPr>
                <w:rFonts w:ascii="Times New Roman" w:eastAsia="Times New Roman" w:hAnsi="Times New Roman"/>
              </w:rPr>
              <w:t>0.043 ± 0.006ᵃ</w:t>
            </w:r>
            <w:r>
              <w:rPr>
                <w:rFonts w:ascii="Times New Roman" w:eastAsia="Times New Roman" w:hAnsi="Times New Roman"/>
              </w:rPr>
              <w:t xml:space="preserve">                </w:t>
            </w:r>
          </w:p>
        </w:tc>
        <w:tc>
          <w:tcPr>
            <w:tcW w:w="2711" w:type="dxa"/>
            <w:vAlign w:val="center"/>
          </w:tcPr>
          <w:p w14:paraId="50D689B3" w14:textId="77777777" w:rsidR="00341B14" w:rsidRDefault="00341B14" w:rsidP="002E59B7">
            <w:pPr>
              <w:spacing w:line="360" w:lineRule="auto"/>
              <w:jc w:val="both"/>
              <w:rPr>
                <w:rFonts w:ascii="Times New Roman" w:eastAsia="Times New Roman" w:hAnsi="Times New Roman" w:cs="Times New Roman"/>
                <w:vertAlign w:val="superscript"/>
              </w:rPr>
            </w:pPr>
            <w:r w:rsidRPr="008054A9">
              <w:rPr>
                <w:rFonts w:ascii="Times New Roman" w:eastAsia="Times New Roman" w:hAnsi="Times New Roman" w:cs="Times New Roman"/>
              </w:rPr>
              <w:t xml:space="preserve">      3.42 ± 0.19</w:t>
            </w:r>
            <w:r w:rsidRPr="008054A9">
              <w:rPr>
                <w:rFonts w:ascii="Times New Roman" w:eastAsia="Times New Roman" w:hAnsi="Times New Roman" w:cs="Times New Roman"/>
                <w:vertAlign w:val="superscript"/>
              </w:rPr>
              <w:t>b</w:t>
            </w:r>
          </w:p>
          <w:p w14:paraId="516D7FF4" w14:textId="77777777" w:rsidR="00341B14" w:rsidRDefault="00341B14" w:rsidP="002E59B7">
            <w:pPr>
              <w:spacing w:line="360" w:lineRule="auto"/>
              <w:jc w:val="both"/>
              <w:rPr>
                <w:rFonts w:ascii="Times New Roman" w:eastAsia="Times New Roman" w:hAnsi="Times New Roman"/>
              </w:rPr>
            </w:pPr>
            <w:r>
              <w:rPr>
                <w:rFonts w:ascii="Times New Roman" w:eastAsia="Times New Roman" w:hAnsi="Times New Roman"/>
              </w:rPr>
              <w:t xml:space="preserve">      </w:t>
            </w:r>
            <w:r w:rsidRPr="00117BDB">
              <w:rPr>
                <w:rFonts w:ascii="Times New Roman" w:eastAsia="Times New Roman" w:hAnsi="Times New Roman"/>
              </w:rPr>
              <w:t>1.77 ± 0.26ᵇ</w:t>
            </w:r>
          </w:p>
          <w:p w14:paraId="70D28B01" w14:textId="77777777" w:rsidR="00341B14" w:rsidRPr="008C0006" w:rsidRDefault="00341B14" w:rsidP="002E59B7">
            <w:pPr>
              <w:spacing w:line="360" w:lineRule="auto"/>
              <w:jc w:val="both"/>
              <w:rPr>
                <w:rFonts w:ascii="Times New Roman" w:eastAsia="Times New Roman" w:hAnsi="Times New Roman"/>
              </w:rPr>
            </w:pPr>
            <w:r>
              <w:rPr>
                <w:rFonts w:ascii="Times New Roman" w:eastAsia="Times New Roman" w:hAnsi="Times New Roman"/>
              </w:rPr>
              <w:t xml:space="preserve">      </w:t>
            </w:r>
            <w:r w:rsidRPr="00117BDB">
              <w:rPr>
                <w:rFonts w:ascii="Times New Roman" w:eastAsia="Times New Roman" w:hAnsi="Times New Roman"/>
              </w:rPr>
              <w:t>4.86 ± 0.74ᵇ</w:t>
            </w:r>
          </w:p>
          <w:p w14:paraId="582B9D9F"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rPr>
              <w:t xml:space="preserve">       </w:t>
            </w:r>
            <w:r w:rsidRPr="00117BDB">
              <w:rPr>
                <w:rFonts w:ascii="Times New Roman" w:eastAsia="Times New Roman" w:hAnsi="Times New Roman"/>
              </w:rPr>
              <w:t>0.006 ± 0.001ᵇ</w:t>
            </w:r>
          </w:p>
        </w:tc>
        <w:tc>
          <w:tcPr>
            <w:tcW w:w="1658" w:type="dxa"/>
            <w:vAlign w:val="center"/>
          </w:tcPr>
          <w:p w14:paraId="1C4ACB22" w14:textId="77777777" w:rsidR="00341B14"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p w14:paraId="7C5FA02E" w14:textId="77777777" w:rsidR="00341B14"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&lt;0.0001</w:t>
            </w:r>
          </w:p>
          <w:p w14:paraId="7B90F3D4" w14:textId="77777777" w:rsidR="00341B14" w:rsidRPr="008C0006"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&lt;0.0001</w:t>
            </w:r>
          </w:p>
          <w:p w14:paraId="02E6F43F" w14:textId="77777777" w:rsidR="00341B14" w:rsidRPr="008054A9" w:rsidRDefault="00341B14" w:rsidP="002E59B7">
            <w:pPr>
              <w:spacing w:line="360" w:lineRule="auto"/>
              <w:jc w:val="both"/>
              <w:rPr>
                <w:rFonts w:ascii="Times New Roman" w:eastAsia="Times New Roman" w:hAnsi="Times New Roman" w:cs="Times New Roman"/>
              </w:rPr>
            </w:pPr>
            <w:r w:rsidRPr="00117BDB">
              <w:rPr>
                <w:rFonts w:ascii="Times New Roman" w:eastAsia="Times New Roman" w:hAnsi="Times New Roman"/>
              </w:rPr>
              <w:t>&lt;0.0001</w:t>
            </w:r>
          </w:p>
        </w:tc>
        <w:tc>
          <w:tcPr>
            <w:tcW w:w="1216" w:type="dxa"/>
            <w:vAlign w:val="center"/>
          </w:tcPr>
          <w:p w14:paraId="7134BB79" w14:textId="77777777" w:rsidR="00341B14"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S</w:t>
            </w:r>
          </w:p>
          <w:p w14:paraId="0F08FFB5" w14:textId="77777777" w:rsidR="00341B14"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p w14:paraId="674678C6" w14:textId="77777777" w:rsidR="00341B14" w:rsidRPr="008C0006"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p w14:paraId="159442B6"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tc>
      </w:tr>
    </w:tbl>
    <w:p w14:paraId="0DAF49A6" w14:textId="77777777" w:rsidR="00341B14" w:rsidRPr="00C015D7" w:rsidRDefault="00341B14" w:rsidP="00341B14">
      <w:pPr>
        <w:rPr>
          <w:rFonts w:ascii="Times New Roman" w:hAnsi="Times New Roman" w:cs="Times New Roman"/>
        </w:rPr>
      </w:pPr>
    </w:p>
    <w:p w14:paraId="18A92C90" w14:textId="77777777" w:rsidR="00341B14" w:rsidRPr="00C35159" w:rsidRDefault="00341B14" w:rsidP="00341B14">
      <w:pPr>
        <w:rPr>
          <w:rFonts w:ascii="Times New Roman" w:hAnsi="Times New Roman" w:cs="Times New Roman"/>
          <w:i/>
          <w:iCs/>
          <w:sz w:val="20"/>
          <w:szCs w:val="20"/>
        </w:rPr>
      </w:pPr>
      <w:r w:rsidRPr="00C015D7">
        <w:rPr>
          <w:rFonts w:ascii="Times New Roman" w:hAnsi="Times New Roman" w:cs="Times New Roman"/>
          <w:i/>
          <w:iCs/>
          <w:sz w:val="20"/>
          <w:szCs w:val="20"/>
        </w:rPr>
        <w:t>Pb – Lead; Cu – Copper; Hg – Mercury WP= Whole Periwinkle; Cd = Cadmium; As = Arsenic; Zn = Zinc; S = Significant; SD = Standard deviation; Means with different superscripts (a, b) are significantly different (p &lt; 0.05).</w:t>
      </w:r>
    </w:p>
    <w:p w14:paraId="2D1F6030" w14:textId="77777777" w:rsidR="00341B14" w:rsidRPr="00C015D7" w:rsidRDefault="00341B14" w:rsidP="00341B14">
      <w:pPr>
        <w:jc w:val="both"/>
        <w:rPr>
          <w:rFonts w:ascii="Times New Roman" w:hAnsi="Times New Roman" w:cs="Times New Roman"/>
          <w:b/>
          <w:bCs/>
          <w:color w:val="000000" w:themeColor="text1"/>
        </w:rPr>
      </w:pPr>
      <w:r w:rsidRPr="00C015D7">
        <w:rPr>
          <w:rFonts w:ascii="Times New Roman" w:hAnsi="Times New Roman" w:cs="Times New Roman"/>
          <w:b/>
          <w:bCs/>
          <w:color w:val="000000" w:themeColor="text1"/>
        </w:rPr>
        <w:lastRenderedPageBreak/>
        <w:t>3.2 Heavy metal concentrations across the three Sampling Stations.</w:t>
      </w:r>
    </w:p>
    <w:p w14:paraId="27B9DD0B" w14:textId="77777777" w:rsidR="00341B14" w:rsidRPr="00C015D7" w:rsidRDefault="005D057E" w:rsidP="00341B14">
      <w:pPr>
        <w:jc w:val="both"/>
        <w:rPr>
          <w:rFonts w:ascii="Times New Roman" w:hAnsi="Times New Roman" w:cs="Times New Roman"/>
          <w:color w:val="000000" w:themeColor="text1"/>
        </w:rPr>
      </w:pPr>
      <w:hyperlink w:history="1">
        <w:r w:rsidR="00341B14" w:rsidRPr="00C015D7">
          <w:rPr>
            <w:rStyle w:val="Hipervnculo"/>
            <w:rFonts w:ascii="Times New Roman" w:hAnsi="Times New Roman" w:cs="Times New Roman"/>
            <w:color w:val="000000" w:themeColor="text1"/>
            <w:u w:val="none"/>
          </w:rPr>
          <w:t>In Table 2, the heavy metal concentrations across the three sampling stations are presented. The results show that Cd concentrations in whole periwinkle filtrates did not vary significantly across the stations, indicating a relatively uniform distribution. Similarly, concentrations in whole Periwinkle filtrates were not significantly different across the stations; in contrast, Zn concentrations displayed significant variation across the stations in whole periwinkle filtrate. Specifically, whole Periwinkle filtrates recorded the highest Zn levels at Station B. For Pb, there was a significant difference across the stations, with Station C showing the highest level, while for Cu, the difference was statistically significant, with Station C showing the highest accumulation. Mercury concentrations were relatively low; however, Station C also had the highest level.</w:t>
        </w:r>
      </w:hyperlink>
    </w:p>
    <w:p w14:paraId="2061AD0A" w14:textId="77777777" w:rsidR="00341B14" w:rsidRPr="00C015D7" w:rsidRDefault="00341B14" w:rsidP="00341B14">
      <w:pPr>
        <w:jc w:val="both"/>
        <w:rPr>
          <w:rFonts w:ascii="Times New Roman" w:hAnsi="Times New Roman" w:cs="Times New Roman"/>
        </w:rPr>
      </w:pPr>
    </w:p>
    <w:p w14:paraId="5E381B64" w14:textId="77777777" w:rsidR="00341B14" w:rsidRDefault="00341B14" w:rsidP="00341B14">
      <w:pPr>
        <w:jc w:val="both"/>
        <w:rPr>
          <w:rFonts w:ascii="Times New Roman" w:hAnsi="Times New Roman" w:cs="Times New Roman"/>
          <w:b/>
          <w:bCs/>
        </w:rPr>
      </w:pPr>
      <w:r w:rsidRPr="00C015D7">
        <w:rPr>
          <w:rFonts w:ascii="Times New Roman" w:hAnsi="Times New Roman" w:cs="Times New Roman"/>
          <w:b/>
          <w:bCs/>
        </w:rPr>
        <w:t>Table 2. Concentration of heavy metals across the sampling locations</w:t>
      </w:r>
    </w:p>
    <w:tbl>
      <w:tblPr>
        <w:tblW w:w="9781"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984"/>
        <w:gridCol w:w="2125"/>
        <w:gridCol w:w="1780"/>
        <w:gridCol w:w="867"/>
        <w:gridCol w:w="1053"/>
        <w:gridCol w:w="1121"/>
      </w:tblGrid>
      <w:tr w:rsidR="00341B14" w:rsidRPr="004A1750" w14:paraId="59C673DC" w14:textId="77777777" w:rsidTr="002E59B7">
        <w:trPr>
          <w:trHeight w:val="638"/>
          <w:tblHeader/>
          <w:tblCellSpacing w:w="15" w:type="dxa"/>
        </w:trPr>
        <w:tc>
          <w:tcPr>
            <w:tcW w:w="806" w:type="dxa"/>
            <w:vAlign w:val="center"/>
            <w:hideMark/>
          </w:tcPr>
          <w:p w14:paraId="297FC577" w14:textId="77777777" w:rsidR="00341B14" w:rsidRPr="004A1750" w:rsidRDefault="00341B14" w:rsidP="002E59B7">
            <w:pPr>
              <w:ind w:left="567" w:hanging="567"/>
              <w:jc w:val="both"/>
              <w:rPr>
                <w:rFonts w:ascii="Times New Roman" w:hAnsi="Times New Roman" w:cs="Times New Roman"/>
                <w:b/>
                <w:bCs/>
              </w:rPr>
            </w:pPr>
            <w:bookmarkStart w:id="2" w:name="_Hlk217683292"/>
            <w:r w:rsidRPr="004A1750">
              <w:rPr>
                <w:rFonts w:ascii="Times New Roman" w:hAnsi="Times New Roman" w:cs="Times New Roman"/>
                <w:b/>
                <w:bCs/>
              </w:rPr>
              <w:t>Metal</w:t>
            </w:r>
          </w:p>
        </w:tc>
        <w:tc>
          <w:tcPr>
            <w:tcW w:w="1954" w:type="dxa"/>
            <w:vAlign w:val="center"/>
            <w:hideMark/>
          </w:tcPr>
          <w:p w14:paraId="25C71C8E"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 xml:space="preserve">Station A </w:t>
            </w:r>
          </w:p>
          <w:p w14:paraId="629F4182"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2095" w:type="dxa"/>
            <w:vAlign w:val="center"/>
            <w:hideMark/>
          </w:tcPr>
          <w:p w14:paraId="12A114D6"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 xml:space="preserve">Station B </w:t>
            </w:r>
          </w:p>
          <w:p w14:paraId="48A90BD7"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1750" w:type="dxa"/>
            <w:vAlign w:val="center"/>
            <w:hideMark/>
          </w:tcPr>
          <w:p w14:paraId="1838167E"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 xml:space="preserve">Station C </w:t>
            </w:r>
          </w:p>
          <w:p w14:paraId="3AC39C04"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837" w:type="dxa"/>
            <w:vAlign w:val="center"/>
            <w:hideMark/>
          </w:tcPr>
          <w:p w14:paraId="7D4520CA"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F-value</w:t>
            </w:r>
          </w:p>
        </w:tc>
        <w:tc>
          <w:tcPr>
            <w:tcW w:w="1023" w:type="dxa"/>
            <w:vAlign w:val="center"/>
            <w:hideMark/>
          </w:tcPr>
          <w:p w14:paraId="6007CF54"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p-value</w:t>
            </w:r>
          </w:p>
        </w:tc>
        <w:tc>
          <w:tcPr>
            <w:tcW w:w="1076" w:type="dxa"/>
            <w:vAlign w:val="center"/>
            <w:hideMark/>
          </w:tcPr>
          <w:p w14:paraId="26A9C3BA"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Inference</w:t>
            </w:r>
          </w:p>
        </w:tc>
      </w:tr>
      <w:tr w:rsidR="00341B14" w:rsidRPr="004A1750" w14:paraId="17032D7D" w14:textId="77777777" w:rsidTr="002E59B7">
        <w:trPr>
          <w:trHeight w:val="634"/>
          <w:tblCellSpacing w:w="15" w:type="dxa"/>
        </w:trPr>
        <w:tc>
          <w:tcPr>
            <w:tcW w:w="806" w:type="dxa"/>
            <w:tcBorders>
              <w:top w:val="single" w:sz="4" w:space="0" w:color="auto"/>
            </w:tcBorders>
            <w:vAlign w:val="center"/>
            <w:hideMark/>
          </w:tcPr>
          <w:p w14:paraId="2D57AF1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Cd </w:t>
            </w:r>
          </w:p>
        </w:tc>
        <w:tc>
          <w:tcPr>
            <w:tcW w:w="1954" w:type="dxa"/>
            <w:tcBorders>
              <w:top w:val="single" w:sz="4" w:space="0" w:color="auto"/>
            </w:tcBorders>
            <w:vAlign w:val="center"/>
            <w:hideMark/>
          </w:tcPr>
          <w:p w14:paraId="17E4DBF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0.0528 ± 0.0014ᵇ</w:t>
            </w:r>
          </w:p>
        </w:tc>
        <w:tc>
          <w:tcPr>
            <w:tcW w:w="2095" w:type="dxa"/>
            <w:tcBorders>
              <w:top w:val="single" w:sz="4" w:space="0" w:color="auto"/>
            </w:tcBorders>
            <w:vAlign w:val="center"/>
            <w:hideMark/>
          </w:tcPr>
          <w:p w14:paraId="41D7B866"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0.0276 ± 0.0006ᶜ</w:t>
            </w:r>
          </w:p>
        </w:tc>
        <w:tc>
          <w:tcPr>
            <w:tcW w:w="1750" w:type="dxa"/>
            <w:tcBorders>
              <w:top w:val="single" w:sz="4" w:space="0" w:color="auto"/>
            </w:tcBorders>
            <w:vAlign w:val="center"/>
            <w:hideMark/>
          </w:tcPr>
          <w:p w14:paraId="0BC9EBD6"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0.0819 ± 0.0016ᵃ</w:t>
            </w:r>
          </w:p>
        </w:tc>
        <w:tc>
          <w:tcPr>
            <w:tcW w:w="837" w:type="dxa"/>
            <w:tcBorders>
              <w:top w:val="single" w:sz="4" w:space="0" w:color="auto"/>
            </w:tcBorders>
            <w:vAlign w:val="center"/>
            <w:hideMark/>
          </w:tcPr>
          <w:p w14:paraId="5C692ED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2.38</w:t>
            </w:r>
          </w:p>
        </w:tc>
        <w:tc>
          <w:tcPr>
            <w:tcW w:w="1023" w:type="dxa"/>
            <w:tcBorders>
              <w:top w:val="single" w:sz="4" w:space="0" w:color="auto"/>
            </w:tcBorders>
            <w:vAlign w:val="center"/>
            <w:hideMark/>
          </w:tcPr>
          <w:p w14:paraId="4A3777A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0.125</w:t>
            </w:r>
          </w:p>
        </w:tc>
        <w:tc>
          <w:tcPr>
            <w:tcW w:w="1076" w:type="dxa"/>
            <w:tcBorders>
              <w:top w:val="single" w:sz="4" w:space="0" w:color="auto"/>
            </w:tcBorders>
            <w:vAlign w:val="center"/>
            <w:hideMark/>
          </w:tcPr>
          <w:p w14:paraId="4CF6115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NS</w:t>
            </w:r>
          </w:p>
        </w:tc>
      </w:tr>
      <w:tr w:rsidR="00341B14" w:rsidRPr="004A1750" w14:paraId="17F05280" w14:textId="77777777" w:rsidTr="002E59B7">
        <w:trPr>
          <w:trHeight w:val="878"/>
          <w:tblCellSpacing w:w="15" w:type="dxa"/>
        </w:trPr>
        <w:tc>
          <w:tcPr>
            <w:tcW w:w="806" w:type="dxa"/>
            <w:vAlign w:val="center"/>
            <w:hideMark/>
          </w:tcPr>
          <w:p w14:paraId="6FF4DED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As </w:t>
            </w:r>
          </w:p>
        </w:tc>
        <w:tc>
          <w:tcPr>
            <w:tcW w:w="1954" w:type="dxa"/>
            <w:vAlign w:val="center"/>
            <w:hideMark/>
          </w:tcPr>
          <w:p w14:paraId="2014B99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0.0483 ± 0.0006ᵇ</w:t>
            </w:r>
          </w:p>
        </w:tc>
        <w:tc>
          <w:tcPr>
            <w:tcW w:w="2095" w:type="dxa"/>
            <w:vAlign w:val="center"/>
            <w:hideMark/>
          </w:tcPr>
          <w:p w14:paraId="561FA7A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0.0164 ± 0.0003ᶜ</w:t>
            </w:r>
          </w:p>
        </w:tc>
        <w:tc>
          <w:tcPr>
            <w:tcW w:w="1750" w:type="dxa"/>
            <w:vAlign w:val="center"/>
            <w:hideMark/>
          </w:tcPr>
          <w:p w14:paraId="176F591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0.0517 ± 0.0009ᵃ</w:t>
            </w:r>
          </w:p>
        </w:tc>
        <w:tc>
          <w:tcPr>
            <w:tcW w:w="837" w:type="dxa"/>
            <w:vAlign w:val="center"/>
            <w:hideMark/>
          </w:tcPr>
          <w:p w14:paraId="25B942F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4.12</w:t>
            </w:r>
          </w:p>
        </w:tc>
        <w:tc>
          <w:tcPr>
            <w:tcW w:w="1023" w:type="dxa"/>
            <w:vAlign w:val="center"/>
            <w:hideMark/>
          </w:tcPr>
          <w:p w14:paraId="4F49AF8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0.039</w:t>
            </w:r>
          </w:p>
        </w:tc>
        <w:tc>
          <w:tcPr>
            <w:tcW w:w="1076" w:type="dxa"/>
            <w:vAlign w:val="center"/>
            <w:hideMark/>
          </w:tcPr>
          <w:p w14:paraId="58DFACA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3D09A6C0" w14:textId="77777777" w:rsidTr="002E59B7">
        <w:trPr>
          <w:trHeight w:val="439"/>
          <w:tblCellSpacing w:w="15" w:type="dxa"/>
        </w:trPr>
        <w:tc>
          <w:tcPr>
            <w:tcW w:w="806" w:type="dxa"/>
            <w:vAlign w:val="center"/>
            <w:hideMark/>
          </w:tcPr>
          <w:p w14:paraId="7999B05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Zn </w:t>
            </w:r>
          </w:p>
        </w:tc>
        <w:tc>
          <w:tcPr>
            <w:tcW w:w="1954" w:type="dxa"/>
            <w:vAlign w:val="center"/>
            <w:hideMark/>
          </w:tcPr>
          <w:p w14:paraId="180E1FFE"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2.91 ± 0.05ᵇ</w:t>
            </w:r>
          </w:p>
        </w:tc>
        <w:tc>
          <w:tcPr>
            <w:tcW w:w="2095" w:type="dxa"/>
            <w:vAlign w:val="center"/>
            <w:hideMark/>
          </w:tcPr>
          <w:p w14:paraId="70EE23D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5.15 ± 0.11ᵃ</w:t>
            </w:r>
          </w:p>
        </w:tc>
        <w:tc>
          <w:tcPr>
            <w:tcW w:w="1750" w:type="dxa"/>
            <w:vAlign w:val="center"/>
            <w:hideMark/>
          </w:tcPr>
          <w:p w14:paraId="7AE1133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2.24 ± 0.06ᶜ</w:t>
            </w:r>
          </w:p>
        </w:tc>
        <w:tc>
          <w:tcPr>
            <w:tcW w:w="837" w:type="dxa"/>
            <w:vAlign w:val="center"/>
            <w:hideMark/>
          </w:tcPr>
          <w:p w14:paraId="27AC175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6.21</w:t>
            </w:r>
          </w:p>
        </w:tc>
        <w:tc>
          <w:tcPr>
            <w:tcW w:w="1023" w:type="dxa"/>
            <w:vAlign w:val="center"/>
            <w:hideMark/>
          </w:tcPr>
          <w:p w14:paraId="1008ABD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0.008</w:t>
            </w:r>
          </w:p>
        </w:tc>
        <w:tc>
          <w:tcPr>
            <w:tcW w:w="1076" w:type="dxa"/>
            <w:vAlign w:val="center"/>
            <w:hideMark/>
          </w:tcPr>
          <w:p w14:paraId="37B5304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65D2BAB6" w14:textId="77777777" w:rsidTr="002E59B7">
        <w:trPr>
          <w:trHeight w:val="462"/>
          <w:tblCellSpacing w:w="15" w:type="dxa"/>
        </w:trPr>
        <w:tc>
          <w:tcPr>
            <w:tcW w:w="806" w:type="dxa"/>
            <w:vAlign w:val="center"/>
            <w:hideMark/>
          </w:tcPr>
          <w:p w14:paraId="364EEBDE"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Pb</w:t>
            </w:r>
          </w:p>
        </w:tc>
        <w:tc>
          <w:tcPr>
            <w:tcW w:w="1954" w:type="dxa"/>
            <w:vAlign w:val="center"/>
            <w:hideMark/>
          </w:tcPr>
          <w:p w14:paraId="0CBB6E8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4.24 ± 0.63ᵇ</w:t>
            </w:r>
          </w:p>
        </w:tc>
        <w:tc>
          <w:tcPr>
            <w:tcW w:w="2095" w:type="dxa"/>
            <w:vAlign w:val="center"/>
            <w:hideMark/>
          </w:tcPr>
          <w:p w14:paraId="0D8B0FF3"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3.06 ± 0.44ᵇ</w:t>
            </w:r>
          </w:p>
        </w:tc>
        <w:tc>
          <w:tcPr>
            <w:tcW w:w="1750" w:type="dxa"/>
            <w:vAlign w:val="center"/>
            <w:hideMark/>
          </w:tcPr>
          <w:p w14:paraId="2AEFA2E3"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7.45 ± 1.02ᵃ</w:t>
            </w:r>
          </w:p>
        </w:tc>
        <w:tc>
          <w:tcPr>
            <w:tcW w:w="837" w:type="dxa"/>
            <w:vAlign w:val="center"/>
            <w:hideMark/>
          </w:tcPr>
          <w:p w14:paraId="4648AE7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14.05</w:t>
            </w:r>
          </w:p>
        </w:tc>
        <w:tc>
          <w:tcPr>
            <w:tcW w:w="1023" w:type="dxa"/>
            <w:vAlign w:val="center"/>
            <w:hideMark/>
          </w:tcPr>
          <w:p w14:paraId="6D5ACAF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0.0025</w:t>
            </w:r>
          </w:p>
        </w:tc>
        <w:tc>
          <w:tcPr>
            <w:tcW w:w="1076" w:type="dxa"/>
            <w:vAlign w:val="center"/>
            <w:hideMark/>
          </w:tcPr>
          <w:p w14:paraId="4F28A87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67BACFA8" w14:textId="77777777" w:rsidTr="002E59B7">
        <w:trPr>
          <w:trHeight w:val="439"/>
          <w:tblCellSpacing w:w="15" w:type="dxa"/>
        </w:trPr>
        <w:tc>
          <w:tcPr>
            <w:tcW w:w="806" w:type="dxa"/>
            <w:vAlign w:val="center"/>
            <w:hideMark/>
          </w:tcPr>
          <w:p w14:paraId="6051B2C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Cu</w:t>
            </w:r>
          </w:p>
        </w:tc>
        <w:tc>
          <w:tcPr>
            <w:tcW w:w="1954" w:type="dxa"/>
            <w:vAlign w:val="center"/>
            <w:hideMark/>
          </w:tcPr>
          <w:p w14:paraId="3944744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13.00 ± 1.91ᵇ</w:t>
            </w:r>
          </w:p>
        </w:tc>
        <w:tc>
          <w:tcPr>
            <w:tcW w:w="2095" w:type="dxa"/>
            <w:vAlign w:val="center"/>
            <w:hideMark/>
          </w:tcPr>
          <w:p w14:paraId="122CB40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8.62 ± 1.15ᶜ</w:t>
            </w:r>
          </w:p>
        </w:tc>
        <w:tc>
          <w:tcPr>
            <w:tcW w:w="1750" w:type="dxa"/>
            <w:vAlign w:val="center"/>
            <w:hideMark/>
          </w:tcPr>
          <w:p w14:paraId="58038F9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17.26 ± 2.11ᵃ</w:t>
            </w:r>
          </w:p>
        </w:tc>
        <w:tc>
          <w:tcPr>
            <w:tcW w:w="837" w:type="dxa"/>
            <w:vAlign w:val="center"/>
            <w:hideMark/>
          </w:tcPr>
          <w:p w14:paraId="1BA96BC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6.45</w:t>
            </w:r>
          </w:p>
        </w:tc>
        <w:tc>
          <w:tcPr>
            <w:tcW w:w="1023" w:type="dxa"/>
            <w:vAlign w:val="center"/>
            <w:hideMark/>
          </w:tcPr>
          <w:p w14:paraId="4D9880C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0.0038</w:t>
            </w:r>
          </w:p>
        </w:tc>
        <w:tc>
          <w:tcPr>
            <w:tcW w:w="1076" w:type="dxa"/>
            <w:vAlign w:val="center"/>
            <w:hideMark/>
          </w:tcPr>
          <w:p w14:paraId="6E91BADE"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16782B3B" w14:textId="77777777" w:rsidTr="002E59B7">
        <w:trPr>
          <w:trHeight w:val="439"/>
          <w:tblCellSpacing w:w="15" w:type="dxa"/>
        </w:trPr>
        <w:tc>
          <w:tcPr>
            <w:tcW w:w="806" w:type="dxa"/>
            <w:vAlign w:val="center"/>
            <w:hideMark/>
          </w:tcPr>
          <w:p w14:paraId="04BD475C"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Hg</w:t>
            </w:r>
          </w:p>
        </w:tc>
        <w:tc>
          <w:tcPr>
            <w:tcW w:w="1954" w:type="dxa"/>
            <w:vAlign w:val="center"/>
            <w:hideMark/>
          </w:tcPr>
          <w:p w14:paraId="6C675A6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0.030 ± 0.005</w:t>
            </w:r>
          </w:p>
        </w:tc>
        <w:tc>
          <w:tcPr>
            <w:tcW w:w="2095" w:type="dxa"/>
            <w:vAlign w:val="center"/>
            <w:hideMark/>
          </w:tcPr>
          <w:p w14:paraId="5404144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0.018 ± 0.003</w:t>
            </w:r>
          </w:p>
        </w:tc>
        <w:tc>
          <w:tcPr>
            <w:tcW w:w="1750" w:type="dxa"/>
            <w:vAlign w:val="center"/>
            <w:hideMark/>
          </w:tcPr>
          <w:p w14:paraId="3B8AF98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0.082 ± 0.009</w:t>
            </w:r>
          </w:p>
        </w:tc>
        <w:tc>
          <w:tcPr>
            <w:tcW w:w="837" w:type="dxa"/>
            <w:vAlign w:val="center"/>
            <w:hideMark/>
          </w:tcPr>
          <w:p w14:paraId="5D93950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9.00</w:t>
            </w:r>
          </w:p>
        </w:tc>
        <w:tc>
          <w:tcPr>
            <w:tcW w:w="1023" w:type="dxa"/>
            <w:vAlign w:val="center"/>
            <w:hideMark/>
          </w:tcPr>
          <w:p w14:paraId="01C9C18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0.0006</w:t>
            </w:r>
          </w:p>
        </w:tc>
        <w:tc>
          <w:tcPr>
            <w:tcW w:w="1076" w:type="dxa"/>
            <w:vAlign w:val="center"/>
            <w:hideMark/>
          </w:tcPr>
          <w:p w14:paraId="34114B0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bookmarkEnd w:id="2"/>
    </w:tbl>
    <w:p w14:paraId="1B1F3F31" w14:textId="77777777" w:rsidR="00341B14" w:rsidRPr="00C015D7" w:rsidRDefault="00341B14" w:rsidP="00341B14">
      <w:pPr>
        <w:jc w:val="both"/>
        <w:rPr>
          <w:rFonts w:ascii="Times New Roman" w:hAnsi="Times New Roman" w:cs="Times New Roman"/>
        </w:rPr>
      </w:pPr>
    </w:p>
    <w:p w14:paraId="18C7FC97" w14:textId="77777777" w:rsidR="00341B14" w:rsidRPr="00C015D7" w:rsidRDefault="00341B14" w:rsidP="00341B14">
      <w:pPr>
        <w:jc w:val="both"/>
        <w:rPr>
          <w:rFonts w:ascii="Times New Roman" w:hAnsi="Times New Roman" w:cs="Times New Roman"/>
          <w:i/>
          <w:iCs/>
          <w:sz w:val="20"/>
          <w:szCs w:val="20"/>
        </w:rPr>
      </w:pPr>
      <w:r w:rsidRPr="00C015D7">
        <w:rPr>
          <w:rFonts w:ascii="Times New Roman" w:hAnsi="Times New Roman" w:cs="Times New Roman"/>
          <w:i/>
          <w:iCs/>
          <w:sz w:val="20"/>
          <w:szCs w:val="20"/>
        </w:rPr>
        <w:t>Keys: Cd-Cadmium; As-Arsenic; Zn- Zinc; Pb – Lead; Cu – Copper; Hg – Mercury</w:t>
      </w:r>
    </w:p>
    <w:p w14:paraId="4B31F2C3" w14:textId="77777777" w:rsidR="00341B14" w:rsidRPr="00C015D7" w:rsidRDefault="00341B14" w:rsidP="00341B14">
      <w:pPr>
        <w:jc w:val="both"/>
        <w:rPr>
          <w:rFonts w:ascii="Times New Roman" w:hAnsi="Times New Roman" w:cs="Times New Roman"/>
        </w:rPr>
      </w:pPr>
    </w:p>
    <w:p w14:paraId="563B0EBC"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3.3 Estimated daily intake of heavy metals from consuming periwinkle processed by the blowout and shelling method.</w:t>
      </w:r>
    </w:p>
    <w:p w14:paraId="32B131B7" w14:textId="77777777" w:rsidR="00341B14" w:rsidRPr="00C015D7" w:rsidRDefault="00341B14" w:rsidP="00341B14">
      <w:pPr>
        <w:jc w:val="both"/>
      </w:pPr>
      <w:r w:rsidRPr="00C015D7">
        <w:rPr>
          <w:rFonts w:ascii="Times New Roman" w:hAnsi="Times New Roman" w:cs="Times New Roman"/>
        </w:rPr>
        <w:t xml:space="preserve">In Table 3, the estimated daily intake of heavy metals by consuming periwinkle processed using the methods under investigation is presented. The values recorded here for both methods of processing indicate that the heavy metal content is below the recommended daily allowance </w:t>
      </w:r>
      <w:r w:rsidRPr="00C015D7">
        <w:rPr>
          <w:rFonts w:ascii="Times New Roman" w:hAnsi="Times New Roman" w:cs="Times New Roman"/>
        </w:rPr>
        <w:lastRenderedPageBreak/>
        <w:t>(FAO/WHO Joint Expert Committee on Food Additives, 2010), and the EDI from the periwinkle processed by shelling is by far less than the values obtained</w:t>
      </w:r>
      <w:r w:rsidRPr="00C015D7">
        <w:t xml:space="preserve"> from the blowout method.</w:t>
      </w:r>
    </w:p>
    <w:p w14:paraId="52CD1724" w14:textId="77777777" w:rsidR="00341B14" w:rsidRDefault="00341B14" w:rsidP="00341B14">
      <w:pPr>
        <w:rPr>
          <w:rFonts w:ascii="Times New Roman" w:hAnsi="Times New Roman" w:cs="Times New Roman"/>
          <w:b/>
          <w:bCs/>
        </w:rPr>
      </w:pPr>
    </w:p>
    <w:p w14:paraId="20FD9BDE" w14:textId="77777777" w:rsidR="00341B14" w:rsidRDefault="00341B14" w:rsidP="00341B14">
      <w:pPr>
        <w:rPr>
          <w:rFonts w:ascii="Times New Roman" w:hAnsi="Times New Roman" w:cs="Times New Roman"/>
          <w:b/>
          <w:bCs/>
        </w:rPr>
      </w:pPr>
    </w:p>
    <w:p w14:paraId="3C515AAE" w14:textId="77777777" w:rsidR="00341B14" w:rsidRDefault="00341B14" w:rsidP="00341B14">
      <w:pPr>
        <w:rPr>
          <w:rFonts w:ascii="Times New Roman" w:hAnsi="Times New Roman" w:cs="Times New Roman"/>
          <w:b/>
          <w:bCs/>
        </w:rPr>
      </w:pPr>
    </w:p>
    <w:p w14:paraId="1810A68C" w14:textId="77777777" w:rsidR="00341B14" w:rsidRDefault="00341B14" w:rsidP="00341B14">
      <w:pPr>
        <w:rPr>
          <w:rFonts w:ascii="Times New Roman" w:hAnsi="Times New Roman" w:cs="Times New Roman"/>
          <w:b/>
          <w:bCs/>
        </w:rPr>
      </w:pPr>
      <w:r w:rsidRPr="00C015D7">
        <w:rPr>
          <w:rFonts w:ascii="Times New Roman" w:hAnsi="Times New Roman" w:cs="Times New Roman"/>
          <w:b/>
          <w:bCs/>
        </w:rPr>
        <w:t>Table 3. EDI of heavy metals in whole periwinkle filtrate and Tissue filtrate</w:t>
      </w:r>
      <w:r>
        <w:rPr>
          <w:rFonts w:ascii="Times New Roman" w:hAnsi="Times New Roman" w:cs="Times New Roman"/>
          <w:b/>
          <w:bCs/>
        </w:rPr>
        <w:t>.</w:t>
      </w:r>
    </w:p>
    <w:tbl>
      <w:tblPr>
        <w:tblpPr w:leftFromText="180" w:rightFromText="180" w:vertAnchor="page" w:horzAnchor="margin" w:tblpY="4264"/>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3686"/>
        <w:gridCol w:w="3118"/>
      </w:tblGrid>
      <w:tr w:rsidR="00341B14" w:rsidRPr="004A1750" w14:paraId="2CD88436" w14:textId="77777777" w:rsidTr="002E59B7">
        <w:trPr>
          <w:trHeight w:val="644"/>
          <w:tblHeader/>
          <w:tblCellSpacing w:w="15" w:type="dxa"/>
        </w:trPr>
        <w:tc>
          <w:tcPr>
            <w:tcW w:w="1656" w:type="dxa"/>
            <w:vAlign w:val="center"/>
            <w:hideMark/>
          </w:tcPr>
          <w:p w14:paraId="51D1FA76" w14:textId="77777777" w:rsidR="00341B14" w:rsidRPr="004A1750" w:rsidRDefault="00341B14" w:rsidP="002E59B7">
            <w:pPr>
              <w:ind w:left="567" w:hanging="567"/>
              <w:jc w:val="both"/>
              <w:rPr>
                <w:rFonts w:ascii="Times New Roman" w:hAnsi="Times New Roman" w:cs="Times New Roman"/>
                <w:b/>
                <w:bCs/>
              </w:rPr>
            </w:pPr>
            <w:bookmarkStart w:id="3" w:name="_Hlk217707731"/>
            <w:r w:rsidRPr="004A1750">
              <w:rPr>
                <w:rFonts w:ascii="Times New Roman" w:hAnsi="Times New Roman" w:cs="Times New Roman"/>
                <w:b/>
                <w:bCs/>
              </w:rPr>
              <w:t>Metal</w:t>
            </w:r>
          </w:p>
        </w:tc>
        <w:tc>
          <w:tcPr>
            <w:tcW w:w="3656" w:type="dxa"/>
            <w:vAlign w:val="center"/>
            <w:hideMark/>
          </w:tcPr>
          <w:p w14:paraId="7F826425" w14:textId="77777777" w:rsidR="00341B14" w:rsidRPr="004A1750" w:rsidRDefault="00341B14" w:rsidP="002E59B7">
            <w:pPr>
              <w:jc w:val="both"/>
              <w:rPr>
                <w:rFonts w:ascii="Times New Roman" w:hAnsi="Times New Roman" w:cs="Times New Roman"/>
                <w:b/>
                <w:bCs/>
              </w:rPr>
            </w:pPr>
            <w:r>
              <w:rPr>
                <w:rFonts w:ascii="Times New Roman" w:hAnsi="Times New Roman" w:cs="Times New Roman"/>
                <w:b/>
                <w:bCs/>
              </w:rPr>
              <w:t>Blowout</w:t>
            </w:r>
          </w:p>
        </w:tc>
        <w:tc>
          <w:tcPr>
            <w:tcW w:w="3073" w:type="dxa"/>
            <w:vAlign w:val="center"/>
            <w:hideMark/>
          </w:tcPr>
          <w:p w14:paraId="4848D321" w14:textId="77777777" w:rsidR="00341B14" w:rsidRPr="004A1750" w:rsidRDefault="00341B14" w:rsidP="002E59B7">
            <w:pPr>
              <w:ind w:left="567" w:hanging="567"/>
              <w:jc w:val="both"/>
              <w:rPr>
                <w:rFonts w:ascii="Times New Roman" w:hAnsi="Times New Roman" w:cs="Times New Roman"/>
                <w:b/>
                <w:bCs/>
              </w:rPr>
            </w:pPr>
            <w:r>
              <w:rPr>
                <w:rFonts w:ascii="Times New Roman" w:hAnsi="Times New Roman" w:cs="Times New Roman"/>
                <w:b/>
                <w:bCs/>
              </w:rPr>
              <w:t>Shelling</w:t>
            </w:r>
          </w:p>
        </w:tc>
      </w:tr>
      <w:tr w:rsidR="00341B14" w:rsidRPr="004A1750" w14:paraId="79808761" w14:textId="77777777" w:rsidTr="002E59B7">
        <w:trPr>
          <w:trHeight w:val="494"/>
          <w:tblCellSpacing w:w="15" w:type="dxa"/>
        </w:trPr>
        <w:tc>
          <w:tcPr>
            <w:tcW w:w="1656" w:type="dxa"/>
            <w:tcBorders>
              <w:top w:val="single" w:sz="4" w:space="0" w:color="auto"/>
            </w:tcBorders>
            <w:vAlign w:val="center"/>
            <w:hideMark/>
          </w:tcPr>
          <w:p w14:paraId="0954E2B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Cd </w:t>
            </w:r>
          </w:p>
        </w:tc>
        <w:tc>
          <w:tcPr>
            <w:tcW w:w="3656" w:type="dxa"/>
            <w:tcBorders>
              <w:top w:val="single" w:sz="4" w:space="0" w:color="auto"/>
            </w:tcBorders>
            <w:vAlign w:val="center"/>
            <w:hideMark/>
          </w:tcPr>
          <w:p w14:paraId="18892FF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1.49 x 10</w:t>
            </w:r>
            <w:r w:rsidRPr="004A1750">
              <w:rPr>
                <w:rFonts w:ascii="Times New Roman" w:hAnsi="Times New Roman" w:cs="Times New Roman"/>
                <w:vertAlign w:val="superscript"/>
              </w:rPr>
              <w:t>-5</w:t>
            </w:r>
          </w:p>
        </w:tc>
        <w:tc>
          <w:tcPr>
            <w:tcW w:w="3073" w:type="dxa"/>
            <w:tcBorders>
              <w:top w:val="single" w:sz="4" w:space="0" w:color="auto"/>
            </w:tcBorders>
            <w:vAlign w:val="center"/>
            <w:hideMark/>
          </w:tcPr>
          <w:p w14:paraId="6201C8C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9.29 x 10</w:t>
            </w:r>
            <w:r w:rsidRPr="004A1750">
              <w:rPr>
                <w:rFonts w:ascii="Times New Roman" w:hAnsi="Times New Roman" w:cs="Times New Roman"/>
                <w:vertAlign w:val="superscript"/>
              </w:rPr>
              <w:t>-7</w:t>
            </w:r>
          </w:p>
        </w:tc>
      </w:tr>
      <w:tr w:rsidR="00341B14" w:rsidRPr="004A1750" w14:paraId="4B7EF0A1" w14:textId="77777777" w:rsidTr="002E59B7">
        <w:trPr>
          <w:trHeight w:val="370"/>
          <w:tblCellSpacing w:w="15" w:type="dxa"/>
        </w:trPr>
        <w:tc>
          <w:tcPr>
            <w:tcW w:w="1656" w:type="dxa"/>
            <w:vAlign w:val="center"/>
            <w:hideMark/>
          </w:tcPr>
          <w:p w14:paraId="52D6959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As </w:t>
            </w:r>
          </w:p>
        </w:tc>
        <w:tc>
          <w:tcPr>
            <w:tcW w:w="3656" w:type="dxa"/>
            <w:vAlign w:val="center"/>
            <w:hideMark/>
          </w:tcPr>
          <w:p w14:paraId="0D34A2F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4.93 x 10</w:t>
            </w:r>
            <w:r w:rsidRPr="004A1750">
              <w:rPr>
                <w:rFonts w:ascii="Times New Roman" w:hAnsi="Times New Roman" w:cs="Times New Roman"/>
                <w:vertAlign w:val="superscript"/>
              </w:rPr>
              <w:t>-5</w:t>
            </w:r>
          </w:p>
        </w:tc>
        <w:tc>
          <w:tcPr>
            <w:tcW w:w="3073" w:type="dxa"/>
            <w:vAlign w:val="center"/>
            <w:hideMark/>
          </w:tcPr>
          <w:p w14:paraId="375B7AB3"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1.07 x 10</w:t>
            </w:r>
            <w:r w:rsidRPr="004A1750">
              <w:rPr>
                <w:rFonts w:ascii="Times New Roman" w:hAnsi="Times New Roman" w:cs="Times New Roman"/>
                <w:vertAlign w:val="superscript"/>
              </w:rPr>
              <w:t>-5</w:t>
            </w:r>
          </w:p>
        </w:tc>
      </w:tr>
      <w:tr w:rsidR="00341B14" w:rsidRPr="004A1750" w14:paraId="0AEDDBD6" w14:textId="77777777" w:rsidTr="002E59B7">
        <w:trPr>
          <w:trHeight w:val="439"/>
          <w:tblCellSpacing w:w="15" w:type="dxa"/>
        </w:trPr>
        <w:tc>
          <w:tcPr>
            <w:tcW w:w="1656" w:type="dxa"/>
            <w:vAlign w:val="center"/>
            <w:hideMark/>
          </w:tcPr>
          <w:p w14:paraId="5FE234E4"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Zn </w:t>
            </w:r>
          </w:p>
        </w:tc>
        <w:tc>
          <w:tcPr>
            <w:tcW w:w="3656" w:type="dxa"/>
            <w:vAlign w:val="center"/>
            <w:hideMark/>
          </w:tcPr>
          <w:p w14:paraId="0413F7F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1.94 x 10</w:t>
            </w:r>
            <w:r w:rsidRPr="004A1750">
              <w:rPr>
                <w:rFonts w:ascii="Times New Roman" w:hAnsi="Times New Roman" w:cs="Times New Roman"/>
                <w:vertAlign w:val="superscript"/>
              </w:rPr>
              <w:t>-2</w:t>
            </w:r>
          </w:p>
        </w:tc>
        <w:tc>
          <w:tcPr>
            <w:tcW w:w="3073" w:type="dxa"/>
            <w:vAlign w:val="center"/>
            <w:hideMark/>
          </w:tcPr>
          <w:p w14:paraId="0D1C1F6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9.6 x 10</w:t>
            </w:r>
            <w:r w:rsidRPr="004A1750">
              <w:rPr>
                <w:rFonts w:ascii="Times New Roman" w:hAnsi="Times New Roman" w:cs="Times New Roman"/>
                <w:vertAlign w:val="superscript"/>
              </w:rPr>
              <w:t>-4</w:t>
            </w:r>
          </w:p>
        </w:tc>
      </w:tr>
      <w:tr w:rsidR="00341B14" w:rsidRPr="004A1750" w14:paraId="782FD073" w14:textId="77777777" w:rsidTr="002E59B7">
        <w:trPr>
          <w:trHeight w:val="462"/>
          <w:tblCellSpacing w:w="15" w:type="dxa"/>
        </w:trPr>
        <w:tc>
          <w:tcPr>
            <w:tcW w:w="1656" w:type="dxa"/>
            <w:vAlign w:val="center"/>
            <w:hideMark/>
          </w:tcPr>
          <w:p w14:paraId="6217484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Pb</w:t>
            </w:r>
          </w:p>
        </w:tc>
        <w:tc>
          <w:tcPr>
            <w:tcW w:w="3656" w:type="dxa"/>
            <w:vAlign w:val="center"/>
            <w:hideMark/>
          </w:tcPr>
          <w:p w14:paraId="323DAE94"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1.38 x 10</w:t>
            </w:r>
            <w:r w:rsidRPr="004A1750">
              <w:rPr>
                <w:rFonts w:ascii="Times New Roman" w:hAnsi="Times New Roman" w:cs="Times New Roman"/>
                <w:vertAlign w:val="superscript"/>
              </w:rPr>
              <w:t>-3</w:t>
            </w:r>
          </w:p>
        </w:tc>
        <w:tc>
          <w:tcPr>
            <w:tcW w:w="3073" w:type="dxa"/>
            <w:vAlign w:val="center"/>
            <w:hideMark/>
          </w:tcPr>
          <w:p w14:paraId="035F403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4.98 x 10</w:t>
            </w:r>
            <w:r w:rsidRPr="004A1750">
              <w:rPr>
                <w:rFonts w:ascii="Times New Roman" w:hAnsi="Times New Roman" w:cs="Times New Roman"/>
                <w:vertAlign w:val="superscript"/>
              </w:rPr>
              <w:t>-4</w:t>
            </w:r>
          </w:p>
        </w:tc>
      </w:tr>
      <w:tr w:rsidR="00341B14" w:rsidRPr="004A1750" w14:paraId="0E1AF73B" w14:textId="77777777" w:rsidTr="002E59B7">
        <w:trPr>
          <w:trHeight w:val="439"/>
          <w:tblCellSpacing w:w="15" w:type="dxa"/>
        </w:trPr>
        <w:tc>
          <w:tcPr>
            <w:tcW w:w="1656" w:type="dxa"/>
            <w:vAlign w:val="center"/>
            <w:hideMark/>
          </w:tcPr>
          <w:p w14:paraId="5D5CD4BF"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Cu</w:t>
            </w:r>
          </w:p>
        </w:tc>
        <w:tc>
          <w:tcPr>
            <w:tcW w:w="3656" w:type="dxa"/>
            <w:vAlign w:val="center"/>
            <w:hideMark/>
          </w:tcPr>
          <w:p w14:paraId="4D5A7EB9"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3.6 x 10</w:t>
            </w:r>
            <w:r w:rsidRPr="004A1750">
              <w:rPr>
                <w:rFonts w:ascii="Times New Roman" w:hAnsi="Times New Roman" w:cs="Times New Roman"/>
                <w:vertAlign w:val="superscript"/>
              </w:rPr>
              <w:t>-3</w:t>
            </w:r>
          </w:p>
        </w:tc>
        <w:tc>
          <w:tcPr>
            <w:tcW w:w="3073" w:type="dxa"/>
            <w:vAlign w:val="center"/>
            <w:hideMark/>
          </w:tcPr>
          <w:p w14:paraId="23BC692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1.37 x 10</w:t>
            </w:r>
            <w:r w:rsidRPr="004A1750">
              <w:rPr>
                <w:rFonts w:ascii="Times New Roman" w:hAnsi="Times New Roman" w:cs="Times New Roman"/>
                <w:vertAlign w:val="superscript"/>
              </w:rPr>
              <w:t>-3</w:t>
            </w:r>
          </w:p>
        </w:tc>
      </w:tr>
      <w:tr w:rsidR="00341B14" w:rsidRPr="004A1750" w14:paraId="24296600" w14:textId="77777777" w:rsidTr="002E59B7">
        <w:trPr>
          <w:trHeight w:val="439"/>
          <w:tblCellSpacing w:w="15" w:type="dxa"/>
        </w:trPr>
        <w:tc>
          <w:tcPr>
            <w:tcW w:w="1656" w:type="dxa"/>
            <w:vAlign w:val="center"/>
            <w:hideMark/>
          </w:tcPr>
          <w:p w14:paraId="3B8B41C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Hg</w:t>
            </w:r>
          </w:p>
        </w:tc>
        <w:tc>
          <w:tcPr>
            <w:tcW w:w="3656" w:type="dxa"/>
            <w:vAlign w:val="center"/>
            <w:hideMark/>
          </w:tcPr>
          <w:p w14:paraId="6867B46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1.21 x 10</w:t>
            </w:r>
            <w:r w:rsidRPr="004A1750">
              <w:rPr>
                <w:rFonts w:ascii="Times New Roman" w:hAnsi="Times New Roman" w:cs="Times New Roman"/>
                <w:vertAlign w:val="superscript"/>
              </w:rPr>
              <w:t>-5</w:t>
            </w:r>
          </w:p>
        </w:tc>
        <w:tc>
          <w:tcPr>
            <w:tcW w:w="3073" w:type="dxa"/>
            <w:vAlign w:val="center"/>
            <w:hideMark/>
          </w:tcPr>
          <w:p w14:paraId="6D81B5D4"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1.69 x 10</w:t>
            </w:r>
            <w:r w:rsidRPr="004A1750">
              <w:rPr>
                <w:rFonts w:ascii="Times New Roman" w:hAnsi="Times New Roman" w:cs="Times New Roman"/>
                <w:vertAlign w:val="superscript"/>
              </w:rPr>
              <w:t>-6</w:t>
            </w:r>
          </w:p>
        </w:tc>
      </w:tr>
      <w:bookmarkEnd w:id="3"/>
    </w:tbl>
    <w:p w14:paraId="633ADBB3" w14:textId="77777777" w:rsidR="00341B14" w:rsidRDefault="00341B14" w:rsidP="00341B14">
      <w:pPr>
        <w:rPr>
          <w:rFonts w:ascii="Times New Roman" w:hAnsi="Times New Roman" w:cs="Times New Roman"/>
          <w:b/>
          <w:bCs/>
        </w:rPr>
      </w:pPr>
    </w:p>
    <w:p w14:paraId="640B49BA" w14:textId="77777777" w:rsidR="00341B14" w:rsidRPr="00C015D7" w:rsidRDefault="00341B14" w:rsidP="00341B14">
      <w:pPr>
        <w:rPr>
          <w:rFonts w:ascii="Times New Roman" w:hAnsi="Times New Roman" w:cs="Times New Roman"/>
        </w:rPr>
      </w:pPr>
    </w:p>
    <w:p w14:paraId="20184D66" w14:textId="77777777" w:rsidR="00341B14" w:rsidRDefault="00341B14" w:rsidP="00341B14">
      <w:pPr>
        <w:rPr>
          <w:i/>
          <w:iCs/>
        </w:rPr>
      </w:pPr>
    </w:p>
    <w:p w14:paraId="5F5DF9F3" w14:textId="77777777" w:rsidR="00341B14" w:rsidRDefault="00341B14" w:rsidP="00341B14">
      <w:pPr>
        <w:rPr>
          <w:i/>
          <w:iCs/>
        </w:rPr>
      </w:pPr>
    </w:p>
    <w:p w14:paraId="334ACC73" w14:textId="77777777" w:rsidR="00341B14" w:rsidRDefault="00341B14" w:rsidP="00341B14">
      <w:pPr>
        <w:rPr>
          <w:i/>
          <w:iCs/>
        </w:rPr>
      </w:pPr>
    </w:p>
    <w:p w14:paraId="57922434" w14:textId="77777777" w:rsidR="00341B14" w:rsidRDefault="00341B14" w:rsidP="00341B14">
      <w:pPr>
        <w:rPr>
          <w:i/>
          <w:iCs/>
        </w:rPr>
      </w:pPr>
    </w:p>
    <w:p w14:paraId="1C83C339" w14:textId="77777777" w:rsidR="00341B14" w:rsidRDefault="00341B14" w:rsidP="00341B14">
      <w:pPr>
        <w:rPr>
          <w:i/>
          <w:iCs/>
        </w:rPr>
      </w:pPr>
    </w:p>
    <w:p w14:paraId="05E51D81" w14:textId="77777777" w:rsidR="00341B14" w:rsidRDefault="00341B14" w:rsidP="00341B14">
      <w:pPr>
        <w:rPr>
          <w:i/>
          <w:iCs/>
        </w:rPr>
      </w:pPr>
    </w:p>
    <w:p w14:paraId="41A98F64" w14:textId="77777777" w:rsidR="00341B14" w:rsidRDefault="00341B14" w:rsidP="00341B14">
      <w:pPr>
        <w:rPr>
          <w:i/>
          <w:iCs/>
        </w:rPr>
      </w:pPr>
    </w:p>
    <w:p w14:paraId="20EECBA4" w14:textId="77777777" w:rsidR="00341B14" w:rsidRPr="00C015D7" w:rsidRDefault="00341B14" w:rsidP="00341B14">
      <w:pPr>
        <w:rPr>
          <w:i/>
          <w:iCs/>
        </w:rPr>
      </w:pPr>
      <w:r w:rsidRPr="00C015D7">
        <w:rPr>
          <w:i/>
          <w:iCs/>
        </w:rPr>
        <w:t>Key: EDI= Estimated Daily intake</w:t>
      </w:r>
    </w:p>
    <w:p w14:paraId="04072407" w14:textId="77777777" w:rsidR="00341B14" w:rsidRDefault="00341B14" w:rsidP="00341B14">
      <w:pPr>
        <w:rPr>
          <w:b/>
          <w:bCs/>
        </w:rPr>
      </w:pPr>
    </w:p>
    <w:p w14:paraId="20FDE508" w14:textId="77777777" w:rsidR="00341B14" w:rsidRDefault="00341B14" w:rsidP="00341B14">
      <w:pPr>
        <w:jc w:val="both"/>
        <w:rPr>
          <w:rFonts w:ascii="Times New Roman" w:hAnsi="Times New Roman" w:cs="Times New Roman"/>
          <w:b/>
          <w:bCs/>
        </w:rPr>
      </w:pPr>
    </w:p>
    <w:p w14:paraId="47481822" w14:textId="77777777" w:rsidR="00341B14" w:rsidRDefault="00341B14" w:rsidP="00341B14">
      <w:pPr>
        <w:jc w:val="both"/>
        <w:rPr>
          <w:rFonts w:ascii="Times New Roman" w:hAnsi="Times New Roman" w:cs="Times New Roman"/>
          <w:b/>
          <w:bCs/>
        </w:rPr>
      </w:pPr>
    </w:p>
    <w:p w14:paraId="33D29AFB"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3.4 Target health quotient of the heavy metals in periwinkle.</w:t>
      </w:r>
    </w:p>
    <w:p w14:paraId="319065BA"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Table 3.4 presents the THQ and the sum of THQ for the heavy metals in periwinkle processed by the methods under investigation. From this table, all the heavy metals estimated in the blowout and the shelling methods have no non-carcinogenic health risk, but when the sum of THQ of all the heavy metals was computed, the result is &gt;1 in the blowout, while the shelling method is &lt;1. Meaning that consuming periwinkle processed by the blow-out method has a non-carcinogenic health risk associated with it, while the shelling method has no risk associated with it.</w:t>
      </w:r>
    </w:p>
    <w:p w14:paraId="0B9B628C" w14:textId="77777777" w:rsidR="00341B14" w:rsidRPr="00C015D7" w:rsidRDefault="00341B14" w:rsidP="00341B14">
      <w:pPr>
        <w:jc w:val="both"/>
        <w:rPr>
          <w:rFonts w:ascii="Times New Roman" w:hAnsi="Times New Roman" w:cs="Times New Roman"/>
        </w:rPr>
      </w:pPr>
    </w:p>
    <w:p w14:paraId="63203D65" w14:textId="77777777" w:rsidR="00341B14" w:rsidRDefault="00341B14" w:rsidP="00341B14">
      <w:pPr>
        <w:jc w:val="both"/>
        <w:rPr>
          <w:rFonts w:ascii="Times New Roman" w:hAnsi="Times New Roman" w:cs="Times New Roman"/>
          <w:b/>
          <w:bCs/>
        </w:rPr>
      </w:pPr>
    </w:p>
    <w:p w14:paraId="66E02FCB" w14:textId="77777777" w:rsidR="00341B14" w:rsidRDefault="00341B14" w:rsidP="00341B14">
      <w:pPr>
        <w:jc w:val="both"/>
        <w:rPr>
          <w:rFonts w:ascii="Times New Roman" w:hAnsi="Times New Roman" w:cs="Times New Roman"/>
          <w:b/>
          <w:bCs/>
        </w:rPr>
      </w:pPr>
    </w:p>
    <w:p w14:paraId="4196725C" w14:textId="77777777" w:rsidR="00341B14" w:rsidRDefault="00341B14" w:rsidP="00341B14">
      <w:pPr>
        <w:jc w:val="both"/>
        <w:rPr>
          <w:rFonts w:ascii="Times New Roman" w:hAnsi="Times New Roman" w:cs="Times New Roman"/>
          <w:b/>
          <w:bCs/>
        </w:rPr>
      </w:pPr>
      <w:r w:rsidRPr="00C015D7">
        <w:rPr>
          <w:rFonts w:ascii="Times New Roman" w:hAnsi="Times New Roman" w:cs="Times New Roman"/>
          <w:b/>
          <w:bCs/>
        </w:rPr>
        <w:lastRenderedPageBreak/>
        <w:t>Table 4. THQ of the heavy metals in the whole periwinkle filtrate and tissue filtrate</w:t>
      </w:r>
      <w:r>
        <w:rPr>
          <w:rFonts w:ascii="Times New Roman" w:hAnsi="Times New Roman" w:cs="Times New Roman"/>
          <w:b/>
          <w:bCs/>
        </w:rPr>
        <w:t>.</w:t>
      </w:r>
    </w:p>
    <w:tbl>
      <w:tblPr>
        <w:tblpPr w:leftFromText="180" w:rightFromText="180" w:vertAnchor="page" w:horzAnchor="margin" w:tblpY="2631"/>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8"/>
        <w:gridCol w:w="3119"/>
        <w:gridCol w:w="3118"/>
      </w:tblGrid>
      <w:tr w:rsidR="00341B14" w:rsidRPr="001117D5" w14:paraId="7F986217" w14:textId="77777777" w:rsidTr="002E59B7">
        <w:trPr>
          <w:trHeight w:val="644"/>
          <w:tblHeader/>
          <w:tblCellSpacing w:w="15" w:type="dxa"/>
        </w:trPr>
        <w:tc>
          <w:tcPr>
            <w:tcW w:w="2223" w:type="dxa"/>
            <w:vAlign w:val="center"/>
            <w:hideMark/>
          </w:tcPr>
          <w:p w14:paraId="43AE17AD" w14:textId="77777777" w:rsidR="00341B14" w:rsidRPr="001117D5" w:rsidRDefault="00341B14" w:rsidP="002E59B7">
            <w:pPr>
              <w:rPr>
                <w:rFonts w:ascii="Times New Roman" w:hAnsi="Times New Roman" w:cs="Times New Roman"/>
                <w:b/>
                <w:bCs/>
              </w:rPr>
            </w:pPr>
            <w:bookmarkStart w:id="4" w:name="_Hlk218750191"/>
            <w:r>
              <w:rPr>
                <w:rFonts w:ascii="Times New Roman" w:hAnsi="Times New Roman" w:cs="Times New Roman"/>
                <w:b/>
                <w:bCs/>
              </w:rPr>
              <w:t xml:space="preserve">Heavy </w:t>
            </w:r>
            <w:r w:rsidRPr="001117D5">
              <w:rPr>
                <w:rFonts w:ascii="Times New Roman" w:hAnsi="Times New Roman" w:cs="Times New Roman"/>
                <w:b/>
                <w:bCs/>
              </w:rPr>
              <w:t>Metal</w:t>
            </w:r>
            <w:r>
              <w:rPr>
                <w:rFonts w:ascii="Times New Roman" w:hAnsi="Times New Roman" w:cs="Times New Roman"/>
                <w:b/>
                <w:bCs/>
              </w:rPr>
              <w:t>s</w:t>
            </w:r>
          </w:p>
        </w:tc>
        <w:tc>
          <w:tcPr>
            <w:tcW w:w="3089" w:type="dxa"/>
            <w:vAlign w:val="center"/>
            <w:hideMark/>
          </w:tcPr>
          <w:p w14:paraId="08CF230A" w14:textId="77777777" w:rsidR="00341B14" w:rsidRPr="001117D5" w:rsidRDefault="00341B14" w:rsidP="002E59B7">
            <w:pPr>
              <w:jc w:val="both"/>
              <w:rPr>
                <w:rFonts w:ascii="Times New Roman" w:hAnsi="Times New Roman" w:cs="Times New Roman"/>
                <w:b/>
                <w:bCs/>
              </w:rPr>
            </w:pPr>
            <w:r>
              <w:rPr>
                <w:rFonts w:ascii="Times New Roman" w:hAnsi="Times New Roman" w:cs="Times New Roman"/>
                <w:b/>
                <w:bCs/>
              </w:rPr>
              <w:t>Blow out</w:t>
            </w:r>
          </w:p>
        </w:tc>
        <w:tc>
          <w:tcPr>
            <w:tcW w:w="3073" w:type="dxa"/>
            <w:vAlign w:val="center"/>
            <w:hideMark/>
          </w:tcPr>
          <w:p w14:paraId="0D7FEC49" w14:textId="77777777" w:rsidR="00341B14" w:rsidRPr="001117D5" w:rsidRDefault="00341B14" w:rsidP="002E59B7">
            <w:pPr>
              <w:ind w:left="567" w:hanging="567"/>
              <w:jc w:val="both"/>
              <w:rPr>
                <w:rFonts w:ascii="Times New Roman" w:hAnsi="Times New Roman" w:cs="Times New Roman"/>
                <w:b/>
                <w:bCs/>
              </w:rPr>
            </w:pPr>
            <w:r>
              <w:rPr>
                <w:rFonts w:ascii="Times New Roman" w:hAnsi="Times New Roman" w:cs="Times New Roman"/>
                <w:b/>
                <w:bCs/>
              </w:rPr>
              <w:t>Shelling</w:t>
            </w:r>
          </w:p>
        </w:tc>
      </w:tr>
      <w:tr w:rsidR="00341B14" w:rsidRPr="001117D5" w14:paraId="17DEA8FF" w14:textId="77777777" w:rsidTr="002E59B7">
        <w:trPr>
          <w:trHeight w:val="494"/>
          <w:tblCellSpacing w:w="15" w:type="dxa"/>
        </w:trPr>
        <w:tc>
          <w:tcPr>
            <w:tcW w:w="2223" w:type="dxa"/>
            <w:tcBorders>
              <w:top w:val="single" w:sz="4" w:space="0" w:color="auto"/>
            </w:tcBorders>
            <w:vAlign w:val="center"/>
            <w:hideMark/>
          </w:tcPr>
          <w:p w14:paraId="13F807B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Cd </w:t>
            </w:r>
          </w:p>
        </w:tc>
        <w:tc>
          <w:tcPr>
            <w:tcW w:w="3089" w:type="dxa"/>
            <w:tcBorders>
              <w:top w:val="single" w:sz="4" w:space="0" w:color="auto"/>
            </w:tcBorders>
            <w:vAlign w:val="center"/>
            <w:hideMark/>
          </w:tcPr>
          <w:p w14:paraId="2D4BC42E"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1.49 x 10</w:t>
            </w:r>
            <w:r w:rsidRPr="001117D5">
              <w:rPr>
                <w:rFonts w:ascii="Times New Roman" w:hAnsi="Times New Roman" w:cs="Times New Roman"/>
                <w:vertAlign w:val="superscript"/>
              </w:rPr>
              <w:t>-2</w:t>
            </w:r>
          </w:p>
        </w:tc>
        <w:tc>
          <w:tcPr>
            <w:tcW w:w="3073" w:type="dxa"/>
            <w:tcBorders>
              <w:top w:val="single" w:sz="4" w:space="0" w:color="auto"/>
            </w:tcBorders>
            <w:vAlign w:val="center"/>
            <w:hideMark/>
          </w:tcPr>
          <w:p w14:paraId="4EB1D900"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9.29 x 10</w:t>
            </w:r>
            <w:r w:rsidRPr="001117D5">
              <w:rPr>
                <w:rFonts w:ascii="Times New Roman" w:hAnsi="Times New Roman" w:cs="Times New Roman"/>
                <w:vertAlign w:val="superscript"/>
              </w:rPr>
              <w:t>-3</w:t>
            </w:r>
          </w:p>
        </w:tc>
      </w:tr>
      <w:tr w:rsidR="00341B14" w:rsidRPr="001117D5" w14:paraId="1ED7EE72" w14:textId="77777777" w:rsidTr="002E59B7">
        <w:trPr>
          <w:trHeight w:val="370"/>
          <w:tblCellSpacing w:w="15" w:type="dxa"/>
        </w:trPr>
        <w:tc>
          <w:tcPr>
            <w:tcW w:w="2223" w:type="dxa"/>
            <w:vAlign w:val="center"/>
            <w:hideMark/>
          </w:tcPr>
          <w:p w14:paraId="540609DD"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As </w:t>
            </w:r>
          </w:p>
        </w:tc>
        <w:tc>
          <w:tcPr>
            <w:tcW w:w="3089" w:type="dxa"/>
            <w:vAlign w:val="center"/>
            <w:hideMark/>
          </w:tcPr>
          <w:p w14:paraId="06B54B37"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1.64 x 10</w:t>
            </w:r>
            <w:r w:rsidRPr="001117D5">
              <w:rPr>
                <w:rFonts w:ascii="Times New Roman" w:hAnsi="Times New Roman" w:cs="Times New Roman"/>
                <w:vertAlign w:val="superscript"/>
              </w:rPr>
              <w:t>-3</w:t>
            </w:r>
          </w:p>
        </w:tc>
        <w:tc>
          <w:tcPr>
            <w:tcW w:w="3073" w:type="dxa"/>
            <w:vAlign w:val="center"/>
            <w:hideMark/>
          </w:tcPr>
          <w:p w14:paraId="74132DFB"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3.56 x 10</w:t>
            </w:r>
            <w:r w:rsidRPr="001117D5">
              <w:rPr>
                <w:rFonts w:ascii="Times New Roman" w:hAnsi="Times New Roman" w:cs="Times New Roman"/>
                <w:vertAlign w:val="superscript"/>
              </w:rPr>
              <w:t>-2</w:t>
            </w:r>
          </w:p>
        </w:tc>
      </w:tr>
      <w:tr w:rsidR="00341B14" w:rsidRPr="001117D5" w14:paraId="3D596D9D" w14:textId="77777777" w:rsidTr="002E59B7">
        <w:trPr>
          <w:trHeight w:val="439"/>
          <w:tblCellSpacing w:w="15" w:type="dxa"/>
        </w:trPr>
        <w:tc>
          <w:tcPr>
            <w:tcW w:w="2223" w:type="dxa"/>
            <w:vAlign w:val="center"/>
            <w:hideMark/>
          </w:tcPr>
          <w:p w14:paraId="5CE3536B"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Zn </w:t>
            </w:r>
          </w:p>
        </w:tc>
        <w:tc>
          <w:tcPr>
            <w:tcW w:w="3089" w:type="dxa"/>
            <w:vAlign w:val="center"/>
            <w:hideMark/>
          </w:tcPr>
          <w:p w14:paraId="18041F1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6.46 x 10</w:t>
            </w:r>
            <w:r w:rsidRPr="001117D5">
              <w:rPr>
                <w:rFonts w:ascii="Times New Roman" w:hAnsi="Times New Roman" w:cs="Times New Roman"/>
                <w:vertAlign w:val="superscript"/>
              </w:rPr>
              <w:t>-1</w:t>
            </w:r>
          </w:p>
        </w:tc>
        <w:tc>
          <w:tcPr>
            <w:tcW w:w="3073" w:type="dxa"/>
            <w:vAlign w:val="center"/>
            <w:hideMark/>
          </w:tcPr>
          <w:p w14:paraId="712897EE"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3.20 x 10</w:t>
            </w:r>
            <w:r w:rsidRPr="001117D5">
              <w:rPr>
                <w:rFonts w:ascii="Times New Roman" w:hAnsi="Times New Roman" w:cs="Times New Roman"/>
                <w:vertAlign w:val="superscript"/>
              </w:rPr>
              <w:t>-3</w:t>
            </w:r>
          </w:p>
        </w:tc>
      </w:tr>
      <w:tr w:rsidR="00341B14" w:rsidRPr="001117D5" w14:paraId="6C5C6771" w14:textId="77777777" w:rsidTr="002E59B7">
        <w:trPr>
          <w:trHeight w:val="462"/>
          <w:tblCellSpacing w:w="15" w:type="dxa"/>
        </w:trPr>
        <w:tc>
          <w:tcPr>
            <w:tcW w:w="2223" w:type="dxa"/>
            <w:vAlign w:val="center"/>
            <w:hideMark/>
          </w:tcPr>
          <w:p w14:paraId="2ACEE618"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Pb</w:t>
            </w:r>
          </w:p>
        </w:tc>
        <w:tc>
          <w:tcPr>
            <w:tcW w:w="3089" w:type="dxa"/>
            <w:vAlign w:val="center"/>
            <w:hideMark/>
          </w:tcPr>
          <w:p w14:paraId="5E5DFA30"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3.45</w:t>
            </w:r>
            <w:r>
              <w:rPr>
                <w:rFonts w:ascii="Times New Roman" w:hAnsi="Times New Roman" w:cs="Times New Roman"/>
              </w:rPr>
              <w:t xml:space="preserve"> x </w:t>
            </w:r>
            <w:r w:rsidRPr="001117D5">
              <w:rPr>
                <w:rFonts w:ascii="Times New Roman" w:hAnsi="Times New Roman" w:cs="Times New Roman"/>
              </w:rPr>
              <w:t>10</w:t>
            </w:r>
            <w:r w:rsidRPr="001117D5">
              <w:rPr>
                <w:rFonts w:ascii="Times New Roman" w:hAnsi="Times New Roman" w:cs="Times New Roman"/>
                <w:vertAlign w:val="superscript"/>
              </w:rPr>
              <w:t>-1</w:t>
            </w:r>
          </w:p>
        </w:tc>
        <w:tc>
          <w:tcPr>
            <w:tcW w:w="3073" w:type="dxa"/>
            <w:vAlign w:val="center"/>
            <w:hideMark/>
          </w:tcPr>
          <w:p w14:paraId="5653EA9D"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1.25 x 10</w:t>
            </w:r>
            <w:r w:rsidRPr="001117D5">
              <w:rPr>
                <w:rFonts w:ascii="Times New Roman" w:hAnsi="Times New Roman" w:cs="Times New Roman"/>
                <w:vertAlign w:val="superscript"/>
              </w:rPr>
              <w:t>-1</w:t>
            </w:r>
          </w:p>
        </w:tc>
      </w:tr>
      <w:tr w:rsidR="00341B14" w:rsidRPr="001117D5" w14:paraId="1222E2FA" w14:textId="77777777" w:rsidTr="002E59B7">
        <w:trPr>
          <w:trHeight w:val="439"/>
          <w:tblCellSpacing w:w="15" w:type="dxa"/>
        </w:trPr>
        <w:tc>
          <w:tcPr>
            <w:tcW w:w="2223" w:type="dxa"/>
            <w:vAlign w:val="center"/>
            <w:hideMark/>
          </w:tcPr>
          <w:p w14:paraId="2FF95529"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Cu</w:t>
            </w:r>
          </w:p>
        </w:tc>
        <w:tc>
          <w:tcPr>
            <w:tcW w:w="3089" w:type="dxa"/>
            <w:vAlign w:val="center"/>
            <w:hideMark/>
          </w:tcPr>
          <w:p w14:paraId="0B44CA28"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9.0 x 10</w:t>
            </w:r>
            <w:r w:rsidRPr="001117D5">
              <w:rPr>
                <w:rFonts w:ascii="Times New Roman" w:hAnsi="Times New Roman" w:cs="Times New Roman"/>
                <w:vertAlign w:val="superscript"/>
              </w:rPr>
              <w:t>-1</w:t>
            </w:r>
          </w:p>
        </w:tc>
        <w:tc>
          <w:tcPr>
            <w:tcW w:w="3073" w:type="dxa"/>
            <w:vAlign w:val="center"/>
            <w:hideMark/>
          </w:tcPr>
          <w:p w14:paraId="690C2636"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3.42 x 10</w:t>
            </w:r>
            <w:r w:rsidRPr="001117D5">
              <w:rPr>
                <w:rFonts w:ascii="Times New Roman" w:hAnsi="Times New Roman" w:cs="Times New Roman"/>
                <w:vertAlign w:val="superscript"/>
              </w:rPr>
              <w:t>-1</w:t>
            </w:r>
          </w:p>
        </w:tc>
      </w:tr>
      <w:tr w:rsidR="00341B14" w:rsidRPr="001117D5" w14:paraId="02652A8F" w14:textId="77777777" w:rsidTr="002E59B7">
        <w:trPr>
          <w:trHeight w:val="439"/>
          <w:tblCellSpacing w:w="15" w:type="dxa"/>
        </w:trPr>
        <w:tc>
          <w:tcPr>
            <w:tcW w:w="2223" w:type="dxa"/>
            <w:vAlign w:val="center"/>
            <w:hideMark/>
          </w:tcPr>
          <w:p w14:paraId="5F6A3FE0" w14:textId="77777777" w:rsidR="00341B14" w:rsidRDefault="00341B14" w:rsidP="002E59B7">
            <w:pPr>
              <w:ind w:left="567" w:hanging="567"/>
              <w:jc w:val="both"/>
              <w:rPr>
                <w:rFonts w:ascii="Times New Roman" w:hAnsi="Times New Roman" w:cs="Times New Roman"/>
              </w:rPr>
            </w:pPr>
            <w:r w:rsidRPr="001117D5">
              <w:rPr>
                <w:rFonts w:ascii="Times New Roman" w:hAnsi="Times New Roman" w:cs="Times New Roman"/>
              </w:rPr>
              <w:t>Hg</w:t>
            </w:r>
          </w:p>
          <w:p w14:paraId="0A2150EA"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lang w:val="en-GB"/>
              </w:rPr>
              <w:t>∑THQ (HI)</w:t>
            </w:r>
          </w:p>
        </w:tc>
        <w:tc>
          <w:tcPr>
            <w:tcW w:w="3089" w:type="dxa"/>
            <w:vAlign w:val="center"/>
            <w:hideMark/>
          </w:tcPr>
          <w:p w14:paraId="3B29E0FF" w14:textId="77777777" w:rsidR="00341B14" w:rsidRDefault="00341B14" w:rsidP="002E59B7">
            <w:pPr>
              <w:ind w:left="567" w:hanging="567"/>
              <w:jc w:val="both"/>
              <w:rPr>
                <w:rFonts w:ascii="Times New Roman" w:hAnsi="Times New Roman" w:cs="Times New Roman"/>
                <w:vertAlign w:val="superscript"/>
              </w:rPr>
            </w:pPr>
            <w:r w:rsidRPr="001117D5">
              <w:rPr>
                <w:rFonts w:ascii="Times New Roman" w:hAnsi="Times New Roman" w:cs="Times New Roman"/>
              </w:rPr>
              <w:t>1.21 x 10</w:t>
            </w:r>
            <w:r w:rsidRPr="001117D5">
              <w:rPr>
                <w:rFonts w:ascii="Times New Roman" w:hAnsi="Times New Roman" w:cs="Times New Roman"/>
                <w:vertAlign w:val="superscript"/>
              </w:rPr>
              <w:t>-1</w:t>
            </w:r>
          </w:p>
          <w:p w14:paraId="50A9751F" w14:textId="77777777" w:rsidR="00341B14" w:rsidRPr="001117D5" w:rsidRDefault="00341B14" w:rsidP="002E59B7">
            <w:pPr>
              <w:ind w:left="567" w:hanging="567"/>
              <w:jc w:val="both"/>
              <w:rPr>
                <w:rFonts w:ascii="Times New Roman" w:hAnsi="Times New Roman" w:cs="Times New Roman"/>
              </w:rPr>
            </w:pPr>
            <w:r w:rsidRPr="00D42E46">
              <w:rPr>
                <w:rFonts w:ascii="Times New Roman" w:hAnsi="Times New Roman" w:cs="Times New Roman"/>
              </w:rPr>
              <w:t>1.90754</w:t>
            </w:r>
          </w:p>
        </w:tc>
        <w:tc>
          <w:tcPr>
            <w:tcW w:w="3073" w:type="dxa"/>
            <w:vAlign w:val="center"/>
            <w:hideMark/>
          </w:tcPr>
          <w:p w14:paraId="0FFF01FA" w14:textId="77777777" w:rsidR="00341B14" w:rsidRDefault="00341B14" w:rsidP="002E59B7">
            <w:pPr>
              <w:ind w:left="567" w:hanging="567"/>
              <w:jc w:val="both"/>
              <w:rPr>
                <w:rFonts w:ascii="Times New Roman" w:hAnsi="Times New Roman" w:cs="Times New Roman"/>
                <w:vertAlign w:val="superscript"/>
              </w:rPr>
            </w:pPr>
            <w:r w:rsidRPr="001117D5">
              <w:rPr>
                <w:rFonts w:ascii="Times New Roman" w:hAnsi="Times New Roman" w:cs="Times New Roman"/>
              </w:rPr>
              <w:t>1.69 x 10</w:t>
            </w:r>
            <w:r w:rsidRPr="001117D5">
              <w:rPr>
                <w:rFonts w:ascii="Times New Roman" w:hAnsi="Times New Roman" w:cs="Times New Roman"/>
                <w:vertAlign w:val="superscript"/>
              </w:rPr>
              <w:t>-3</w:t>
            </w:r>
          </w:p>
          <w:p w14:paraId="44FB93E2" w14:textId="77777777" w:rsidR="00341B14" w:rsidRPr="001117D5" w:rsidRDefault="00341B14" w:rsidP="002E59B7">
            <w:pPr>
              <w:ind w:left="567" w:hanging="567"/>
              <w:jc w:val="both"/>
              <w:rPr>
                <w:rFonts w:ascii="Times New Roman" w:hAnsi="Times New Roman" w:cs="Times New Roman"/>
              </w:rPr>
            </w:pPr>
            <w:r w:rsidRPr="00D42E46">
              <w:rPr>
                <w:rFonts w:ascii="Times New Roman" w:hAnsi="Times New Roman" w:cs="Times New Roman"/>
              </w:rPr>
              <w:t>0.51678</w:t>
            </w:r>
          </w:p>
        </w:tc>
      </w:tr>
      <w:bookmarkEnd w:id="4"/>
    </w:tbl>
    <w:p w14:paraId="7E1E612C" w14:textId="77777777" w:rsidR="00341B14" w:rsidRDefault="00341B14" w:rsidP="00341B14">
      <w:pPr>
        <w:jc w:val="both"/>
        <w:rPr>
          <w:rFonts w:ascii="Times New Roman" w:hAnsi="Times New Roman" w:cs="Times New Roman"/>
          <w:b/>
          <w:bCs/>
        </w:rPr>
      </w:pPr>
    </w:p>
    <w:p w14:paraId="6E82E226" w14:textId="77777777" w:rsidR="00341B14" w:rsidRPr="00C015D7" w:rsidRDefault="00341B14" w:rsidP="00341B14">
      <w:pPr>
        <w:jc w:val="both"/>
        <w:rPr>
          <w:rFonts w:ascii="Times New Roman" w:hAnsi="Times New Roman" w:cs="Times New Roman"/>
        </w:rPr>
      </w:pPr>
    </w:p>
    <w:p w14:paraId="2E2AC4D1" w14:textId="77777777" w:rsidR="00341B14" w:rsidRPr="00C015D7" w:rsidRDefault="00341B14" w:rsidP="00341B14">
      <w:pPr>
        <w:jc w:val="both"/>
        <w:rPr>
          <w:rFonts w:ascii="Times New Roman" w:hAnsi="Times New Roman" w:cs="Times New Roman"/>
        </w:rPr>
      </w:pPr>
    </w:p>
    <w:p w14:paraId="39CD46E4" w14:textId="77777777" w:rsidR="00341B14" w:rsidRPr="00C015D7" w:rsidRDefault="00341B14" w:rsidP="00341B14">
      <w:pPr>
        <w:jc w:val="both"/>
        <w:rPr>
          <w:rFonts w:ascii="Times New Roman" w:hAnsi="Times New Roman" w:cs="Times New Roman"/>
        </w:rPr>
      </w:pPr>
    </w:p>
    <w:p w14:paraId="13255ED0" w14:textId="77777777" w:rsidR="00341B14" w:rsidRPr="00C015D7" w:rsidRDefault="00341B14" w:rsidP="00341B14">
      <w:pPr>
        <w:jc w:val="both"/>
        <w:rPr>
          <w:rFonts w:ascii="Times New Roman" w:hAnsi="Times New Roman" w:cs="Times New Roman"/>
        </w:rPr>
      </w:pPr>
    </w:p>
    <w:p w14:paraId="1BB31E11" w14:textId="77777777" w:rsidR="00341B14" w:rsidRPr="00C015D7" w:rsidRDefault="00341B14" w:rsidP="00341B14">
      <w:pPr>
        <w:jc w:val="both"/>
        <w:rPr>
          <w:rFonts w:ascii="Times New Roman" w:hAnsi="Times New Roman" w:cs="Times New Roman"/>
        </w:rPr>
      </w:pPr>
    </w:p>
    <w:p w14:paraId="4195371C" w14:textId="77777777" w:rsidR="00341B14" w:rsidRPr="00C015D7" w:rsidRDefault="00341B14" w:rsidP="00341B14">
      <w:pPr>
        <w:jc w:val="both"/>
        <w:rPr>
          <w:rFonts w:ascii="Times New Roman" w:hAnsi="Times New Roman" w:cs="Times New Roman"/>
        </w:rPr>
      </w:pPr>
    </w:p>
    <w:p w14:paraId="14700B36" w14:textId="77777777" w:rsidR="00341B14" w:rsidRPr="00C015D7" w:rsidRDefault="00341B14" w:rsidP="00341B14">
      <w:pPr>
        <w:jc w:val="both"/>
        <w:rPr>
          <w:rFonts w:ascii="Times New Roman" w:hAnsi="Times New Roman" w:cs="Times New Roman"/>
        </w:rPr>
      </w:pPr>
    </w:p>
    <w:p w14:paraId="296AC885" w14:textId="77777777" w:rsidR="00341B14" w:rsidRDefault="00341B14" w:rsidP="00341B14">
      <w:pPr>
        <w:jc w:val="both"/>
        <w:rPr>
          <w:rFonts w:ascii="Times New Roman" w:hAnsi="Times New Roman" w:cs="Times New Roman"/>
          <w:b/>
          <w:bCs/>
        </w:rPr>
      </w:pPr>
    </w:p>
    <w:p w14:paraId="009B6F1C" w14:textId="77777777" w:rsidR="00341B14" w:rsidRDefault="00341B14" w:rsidP="00341B14">
      <w:pPr>
        <w:jc w:val="both"/>
        <w:rPr>
          <w:rFonts w:ascii="Times New Roman" w:hAnsi="Times New Roman" w:cs="Times New Roman"/>
          <w:b/>
          <w:bCs/>
        </w:rPr>
      </w:pPr>
    </w:p>
    <w:p w14:paraId="66024203" w14:textId="77777777" w:rsidR="00341B14" w:rsidRDefault="00341B14" w:rsidP="00341B14">
      <w:pPr>
        <w:jc w:val="both"/>
        <w:rPr>
          <w:rFonts w:ascii="Times New Roman" w:hAnsi="Times New Roman" w:cs="Times New Roman"/>
          <w:b/>
          <w:bCs/>
        </w:rPr>
      </w:pPr>
    </w:p>
    <w:p w14:paraId="7FAB59CF" w14:textId="77777777" w:rsidR="00341B14" w:rsidRDefault="00341B14" w:rsidP="00341B14">
      <w:pPr>
        <w:jc w:val="both"/>
        <w:rPr>
          <w:rFonts w:ascii="Times New Roman" w:hAnsi="Times New Roman" w:cs="Times New Roman"/>
          <w:b/>
          <w:bCs/>
        </w:rPr>
      </w:pPr>
    </w:p>
    <w:p w14:paraId="6BA15501" w14:textId="77777777" w:rsidR="00341B14" w:rsidRDefault="00341B14" w:rsidP="00341B14">
      <w:pPr>
        <w:jc w:val="both"/>
        <w:rPr>
          <w:rFonts w:ascii="Times New Roman" w:hAnsi="Times New Roman" w:cs="Times New Roman"/>
          <w:b/>
          <w:bCs/>
        </w:rPr>
      </w:pPr>
    </w:p>
    <w:p w14:paraId="2746FC7A"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3.5. Estimated cancer risk (ECR) of consuming the periwinkle processed by blowout and shelling</w:t>
      </w:r>
    </w:p>
    <w:p w14:paraId="6950AA9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Table 3.5 shows the estimated cancer risk of consuming periwinkle processed by the methods under investigation. The estimated cancer risk (ECR) was calculated as the product of the estimated daily intake (EDI) and the cancer slope factor (CSF). An ECR value between and is considered acceptable, whereas values above indicate potential carcinogenic risk USEPA, 1989; IRIS, (2023). This implies that periwinkle processed by the blow-out method with an ECR value of 7.8 x 10-3 carries a carcinogenic risk compared to processing by the shelling method with an ECR value of 2.10×10-5.</w:t>
      </w:r>
    </w:p>
    <w:p w14:paraId="56AC32C6" w14:textId="77777777" w:rsidR="00341B14" w:rsidRDefault="00341B14" w:rsidP="00341B14">
      <w:pPr>
        <w:jc w:val="both"/>
        <w:rPr>
          <w:rFonts w:ascii="Times New Roman" w:hAnsi="Times New Roman" w:cs="Times New Roman"/>
          <w:b/>
          <w:bCs/>
        </w:rPr>
      </w:pPr>
    </w:p>
    <w:p w14:paraId="2724B551" w14:textId="77777777" w:rsidR="00341B14" w:rsidRDefault="00341B14" w:rsidP="00341B14">
      <w:pPr>
        <w:jc w:val="both"/>
        <w:rPr>
          <w:rFonts w:ascii="Times New Roman" w:hAnsi="Times New Roman" w:cs="Times New Roman"/>
          <w:b/>
          <w:bCs/>
        </w:rPr>
      </w:pPr>
    </w:p>
    <w:p w14:paraId="464CA0AB" w14:textId="77777777" w:rsidR="00341B14" w:rsidRDefault="00341B14" w:rsidP="00341B14">
      <w:pPr>
        <w:jc w:val="both"/>
        <w:rPr>
          <w:rFonts w:ascii="Times New Roman" w:hAnsi="Times New Roman" w:cs="Times New Roman"/>
          <w:b/>
          <w:bCs/>
        </w:rPr>
      </w:pPr>
    </w:p>
    <w:p w14:paraId="04BC9B76" w14:textId="77777777" w:rsidR="00341B14" w:rsidRDefault="00341B14" w:rsidP="00341B14">
      <w:pPr>
        <w:jc w:val="both"/>
        <w:rPr>
          <w:rFonts w:ascii="Times New Roman" w:hAnsi="Times New Roman" w:cs="Times New Roman"/>
          <w:b/>
          <w:bCs/>
        </w:rPr>
      </w:pPr>
    </w:p>
    <w:p w14:paraId="52A4C174" w14:textId="77777777" w:rsidR="00341B14" w:rsidRDefault="00341B14" w:rsidP="00341B14">
      <w:pPr>
        <w:jc w:val="both"/>
        <w:rPr>
          <w:rFonts w:ascii="Times New Roman" w:hAnsi="Times New Roman" w:cs="Times New Roman"/>
          <w:b/>
          <w:bCs/>
        </w:rPr>
      </w:pPr>
    </w:p>
    <w:p w14:paraId="159E52D7" w14:textId="77777777" w:rsidR="00341B14" w:rsidRDefault="00341B14" w:rsidP="00341B14">
      <w:pPr>
        <w:jc w:val="both"/>
        <w:rPr>
          <w:rFonts w:ascii="Times New Roman" w:hAnsi="Times New Roman" w:cs="Times New Roman"/>
          <w:b/>
          <w:bCs/>
        </w:rPr>
      </w:pPr>
    </w:p>
    <w:p w14:paraId="75DCB175"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lastRenderedPageBreak/>
        <w:t>Table 5. ECR of the heavy metals in the blowout and shelling method</w:t>
      </w:r>
    </w:p>
    <w:p w14:paraId="2E90CDEA" w14:textId="77777777" w:rsidR="00341B14" w:rsidRPr="00C015D7" w:rsidRDefault="00341B14" w:rsidP="00341B14">
      <w:pPr>
        <w:jc w:val="both"/>
        <w:rPr>
          <w:rFonts w:ascii="Times New Roman" w:hAnsi="Times New Roman" w:cs="Times New Roman"/>
        </w:rPr>
      </w:pPr>
    </w:p>
    <w:p w14:paraId="04385FF4" w14:textId="77777777" w:rsidR="00341B14" w:rsidRPr="00C015D7" w:rsidRDefault="00341B14" w:rsidP="00341B14">
      <w:pPr>
        <w:jc w:val="both"/>
        <w:rPr>
          <w:rFonts w:ascii="Times New Roman" w:hAnsi="Times New Roman" w:cs="Times New Roman"/>
        </w:rPr>
      </w:pPr>
    </w:p>
    <w:p w14:paraId="01C5D43C" w14:textId="77777777" w:rsidR="00341B14" w:rsidRPr="00C015D7" w:rsidRDefault="00341B14" w:rsidP="00341B14">
      <w:pPr>
        <w:jc w:val="both"/>
        <w:rPr>
          <w:rFonts w:ascii="Times New Roman" w:hAnsi="Times New Roman" w:cs="Times New Roman"/>
        </w:rPr>
      </w:pPr>
    </w:p>
    <w:p w14:paraId="1D6BA4F1" w14:textId="77777777" w:rsidR="00341B14" w:rsidRPr="00C015D7" w:rsidRDefault="00341B14" w:rsidP="00341B14">
      <w:pPr>
        <w:jc w:val="both"/>
        <w:rPr>
          <w:rFonts w:ascii="Times New Roman" w:hAnsi="Times New Roman" w:cs="Times New Roman"/>
        </w:rPr>
      </w:pPr>
    </w:p>
    <w:tbl>
      <w:tblPr>
        <w:tblpPr w:leftFromText="180" w:rightFromText="180" w:vertAnchor="page" w:horzAnchor="margin" w:tblpY="2031"/>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3686"/>
        <w:gridCol w:w="3118"/>
      </w:tblGrid>
      <w:tr w:rsidR="00341B14" w:rsidRPr="001117D5" w14:paraId="706C0CD6" w14:textId="77777777" w:rsidTr="002E59B7">
        <w:trPr>
          <w:trHeight w:val="644"/>
          <w:tblHeader/>
          <w:tblCellSpacing w:w="15" w:type="dxa"/>
        </w:trPr>
        <w:tc>
          <w:tcPr>
            <w:tcW w:w="1656" w:type="dxa"/>
            <w:vAlign w:val="center"/>
            <w:hideMark/>
          </w:tcPr>
          <w:p w14:paraId="45A36C4C" w14:textId="77777777" w:rsidR="00341B14" w:rsidRPr="001117D5" w:rsidRDefault="00341B14" w:rsidP="002E59B7">
            <w:pPr>
              <w:ind w:left="567" w:hanging="567"/>
              <w:jc w:val="both"/>
              <w:rPr>
                <w:rFonts w:ascii="Times New Roman" w:hAnsi="Times New Roman" w:cs="Times New Roman"/>
                <w:b/>
                <w:bCs/>
              </w:rPr>
            </w:pPr>
            <w:r w:rsidRPr="001117D5">
              <w:rPr>
                <w:rFonts w:ascii="Times New Roman" w:hAnsi="Times New Roman" w:cs="Times New Roman"/>
                <w:b/>
                <w:bCs/>
              </w:rPr>
              <w:t>Metal</w:t>
            </w:r>
          </w:p>
        </w:tc>
        <w:tc>
          <w:tcPr>
            <w:tcW w:w="3656" w:type="dxa"/>
            <w:vAlign w:val="center"/>
            <w:hideMark/>
          </w:tcPr>
          <w:p w14:paraId="297E79AD" w14:textId="77777777" w:rsidR="00341B14" w:rsidRPr="001117D5" w:rsidRDefault="00341B14" w:rsidP="002E59B7">
            <w:pPr>
              <w:jc w:val="both"/>
              <w:rPr>
                <w:rFonts w:ascii="Times New Roman" w:hAnsi="Times New Roman" w:cs="Times New Roman"/>
                <w:b/>
                <w:bCs/>
              </w:rPr>
            </w:pPr>
            <w:r>
              <w:rPr>
                <w:rFonts w:ascii="Times New Roman" w:hAnsi="Times New Roman" w:cs="Times New Roman"/>
                <w:b/>
                <w:bCs/>
              </w:rPr>
              <w:t>Blowout</w:t>
            </w:r>
          </w:p>
        </w:tc>
        <w:tc>
          <w:tcPr>
            <w:tcW w:w="3073" w:type="dxa"/>
            <w:vAlign w:val="center"/>
            <w:hideMark/>
          </w:tcPr>
          <w:p w14:paraId="740EA20F" w14:textId="77777777" w:rsidR="00341B14" w:rsidRPr="001117D5" w:rsidRDefault="00341B14" w:rsidP="002E59B7">
            <w:pPr>
              <w:jc w:val="both"/>
              <w:rPr>
                <w:rFonts w:ascii="Times New Roman" w:hAnsi="Times New Roman" w:cs="Times New Roman"/>
                <w:b/>
                <w:bCs/>
              </w:rPr>
            </w:pPr>
            <w:r>
              <w:rPr>
                <w:rFonts w:ascii="Times New Roman" w:hAnsi="Times New Roman" w:cs="Times New Roman"/>
                <w:b/>
                <w:bCs/>
              </w:rPr>
              <w:t>Shelling</w:t>
            </w:r>
          </w:p>
        </w:tc>
      </w:tr>
      <w:tr w:rsidR="00341B14" w:rsidRPr="001117D5" w14:paraId="1820DEB4" w14:textId="77777777" w:rsidTr="002E59B7">
        <w:trPr>
          <w:trHeight w:val="494"/>
          <w:tblCellSpacing w:w="15" w:type="dxa"/>
        </w:trPr>
        <w:tc>
          <w:tcPr>
            <w:tcW w:w="1656" w:type="dxa"/>
            <w:tcBorders>
              <w:top w:val="single" w:sz="4" w:space="0" w:color="auto"/>
            </w:tcBorders>
            <w:vAlign w:val="center"/>
            <w:hideMark/>
          </w:tcPr>
          <w:p w14:paraId="7C356374"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 xml:space="preserve"> </w:t>
            </w:r>
            <w:r w:rsidRPr="001117D5">
              <w:rPr>
                <w:rFonts w:ascii="Times New Roman" w:hAnsi="Times New Roman" w:cs="Times New Roman"/>
              </w:rPr>
              <w:t xml:space="preserve">Cd </w:t>
            </w:r>
          </w:p>
        </w:tc>
        <w:tc>
          <w:tcPr>
            <w:tcW w:w="3656" w:type="dxa"/>
            <w:tcBorders>
              <w:top w:val="single" w:sz="4" w:space="0" w:color="auto"/>
            </w:tcBorders>
            <w:vAlign w:val="center"/>
            <w:hideMark/>
          </w:tcPr>
          <w:p w14:paraId="273540C5"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3.90</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tcBorders>
              <w:top w:val="single" w:sz="4" w:space="0" w:color="auto"/>
            </w:tcBorders>
            <w:vAlign w:val="center"/>
            <w:hideMark/>
          </w:tcPr>
          <w:p w14:paraId="41028122"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3.5</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7</w:t>
            </w:r>
          </w:p>
        </w:tc>
      </w:tr>
      <w:tr w:rsidR="00341B14" w:rsidRPr="001117D5" w14:paraId="79285215" w14:textId="77777777" w:rsidTr="002E59B7">
        <w:trPr>
          <w:trHeight w:val="370"/>
          <w:tblCellSpacing w:w="15" w:type="dxa"/>
        </w:trPr>
        <w:tc>
          <w:tcPr>
            <w:tcW w:w="1656" w:type="dxa"/>
            <w:vAlign w:val="center"/>
            <w:hideMark/>
          </w:tcPr>
          <w:p w14:paraId="400C61B4"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As </w:t>
            </w:r>
          </w:p>
        </w:tc>
        <w:tc>
          <w:tcPr>
            <w:tcW w:w="3656" w:type="dxa"/>
            <w:vAlign w:val="center"/>
            <w:hideMark/>
          </w:tcPr>
          <w:p w14:paraId="360D06B7"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3.90</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vAlign w:val="center"/>
            <w:hideMark/>
          </w:tcPr>
          <w:p w14:paraId="2CC76988"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1.61</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5</w:t>
            </w:r>
          </w:p>
        </w:tc>
      </w:tr>
      <w:tr w:rsidR="00341B14" w:rsidRPr="001117D5" w14:paraId="61EBA448" w14:textId="77777777" w:rsidTr="002E59B7">
        <w:trPr>
          <w:trHeight w:val="439"/>
          <w:tblCellSpacing w:w="15" w:type="dxa"/>
        </w:trPr>
        <w:tc>
          <w:tcPr>
            <w:tcW w:w="1656" w:type="dxa"/>
            <w:vAlign w:val="center"/>
            <w:hideMark/>
          </w:tcPr>
          <w:p w14:paraId="1AE1DB0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Zn </w:t>
            </w:r>
          </w:p>
        </w:tc>
        <w:tc>
          <w:tcPr>
            <w:tcW w:w="3656" w:type="dxa"/>
            <w:vAlign w:val="center"/>
            <w:hideMark/>
          </w:tcPr>
          <w:p w14:paraId="659B7414"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c>
          <w:tcPr>
            <w:tcW w:w="3073" w:type="dxa"/>
            <w:vAlign w:val="center"/>
            <w:hideMark/>
          </w:tcPr>
          <w:p w14:paraId="17C0FE62"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r>
      <w:tr w:rsidR="00341B14" w:rsidRPr="001117D5" w14:paraId="470A8C69" w14:textId="77777777" w:rsidTr="002E59B7">
        <w:trPr>
          <w:trHeight w:val="462"/>
          <w:tblCellSpacing w:w="15" w:type="dxa"/>
        </w:trPr>
        <w:tc>
          <w:tcPr>
            <w:tcW w:w="1656" w:type="dxa"/>
            <w:vAlign w:val="center"/>
            <w:hideMark/>
          </w:tcPr>
          <w:p w14:paraId="280A3E37"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Pb</w:t>
            </w:r>
          </w:p>
        </w:tc>
        <w:tc>
          <w:tcPr>
            <w:tcW w:w="3656" w:type="dxa"/>
            <w:vAlign w:val="center"/>
            <w:hideMark/>
          </w:tcPr>
          <w:p w14:paraId="2C019893" w14:textId="77777777" w:rsidR="00341B14" w:rsidRPr="001117D5" w:rsidRDefault="00341B14" w:rsidP="002E59B7">
            <w:pPr>
              <w:ind w:left="567" w:hanging="567"/>
              <w:jc w:val="both"/>
              <w:rPr>
                <w:rFonts w:ascii="Times New Roman" w:hAnsi="Times New Roman" w:cs="Times New Roman"/>
              </w:rPr>
            </w:pPr>
            <w:r w:rsidRPr="00693316">
              <w:rPr>
                <w:rFonts w:ascii="Times New Roman" w:hAnsi="Times New Roman" w:cs="Times New Roman"/>
              </w:rPr>
              <w:t>1.17×</w:t>
            </w:r>
            <w:r w:rsidRPr="001117D5">
              <w:rPr>
                <w:rFonts w:ascii="Times New Roman" w:hAnsi="Times New Roman" w:cs="Times New Roman"/>
              </w:rPr>
              <w:t>10</w:t>
            </w:r>
            <w:r w:rsidRPr="001117D5">
              <w:rPr>
                <w:rFonts w:ascii="Times New Roman" w:hAnsi="Times New Roman" w:cs="Times New Roman"/>
                <w:vertAlign w:val="superscript"/>
              </w:rPr>
              <w:t>-</w:t>
            </w:r>
            <w:r>
              <w:rPr>
                <w:rFonts w:ascii="Times New Roman" w:hAnsi="Times New Roman" w:cs="Times New Roman"/>
                <w:vertAlign w:val="superscript"/>
              </w:rPr>
              <w:t>5</w:t>
            </w:r>
          </w:p>
        </w:tc>
        <w:tc>
          <w:tcPr>
            <w:tcW w:w="3073" w:type="dxa"/>
            <w:vAlign w:val="center"/>
            <w:hideMark/>
          </w:tcPr>
          <w:p w14:paraId="54471C03"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4.23</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6</w:t>
            </w:r>
          </w:p>
        </w:tc>
      </w:tr>
      <w:tr w:rsidR="00341B14" w:rsidRPr="001117D5" w14:paraId="76A666CF" w14:textId="77777777" w:rsidTr="002E59B7">
        <w:trPr>
          <w:trHeight w:val="439"/>
          <w:tblCellSpacing w:w="15" w:type="dxa"/>
        </w:trPr>
        <w:tc>
          <w:tcPr>
            <w:tcW w:w="1656" w:type="dxa"/>
            <w:vAlign w:val="center"/>
            <w:hideMark/>
          </w:tcPr>
          <w:p w14:paraId="7AB9728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Cu</w:t>
            </w:r>
          </w:p>
        </w:tc>
        <w:tc>
          <w:tcPr>
            <w:tcW w:w="3656" w:type="dxa"/>
            <w:vAlign w:val="center"/>
            <w:hideMark/>
          </w:tcPr>
          <w:p w14:paraId="376AC150"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c>
          <w:tcPr>
            <w:tcW w:w="3073" w:type="dxa"/>
            <w:vAlign w:val="center"/>
            <w:hideMark/>
          </w:tcPr>
          <w:p w14:paraId="1586FD0C"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r>
      <w:tr w:rsidR="00341B14" w:rsidRPr="001117D5" w14:paraId="7EAFD6F1" w14:textId="77777777" w:rsidTr="002E59B7">
        <w:trPr>
          <w:trHeight w:val="439"/>
          <w:tblCellSpacing w:w="15" w:type="dxa"/>
        </w:trPr>
        <w:tc>
          <w:tcPr>
            <w:tcW w:w="1656" w:type="dxa"/>
            <w:vAlign w:val="center"/>
            <w:hideMark/>
          </w:tcPr>
          <w:p w14:paraId="68C30EE7" w14:textId="77777777" w:rsidR="00341B14" w:rsidRDefault="00341B14" w:rsidP="002E59B7">
            <w:pPr>
              <w:ind w:left="567" w:hanging="567"/>
              <w:jc w:val="both"/>
              <w:rPr>
                <w:rFonts w:ascii="Times New Roman" w:hAnsi="Times New Roman" w:cs="Times New Roman"/>
              </w:rPr>
            </w:pPr>
            <w:r w:rsidRPr="001117D5">
              <w:rPr>
                <w:rFonts w:ascii="Times New Roman" w:hAnsi="Times New Roman" w:cs="Times New Roman"/>
              </w:rPr>
              <w:t>Hg</w:t>
            </w:r>
          </w:p>
          <w:p w14:paraId="1E1FAFED"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lang w:val="en-GB"/>
              </w:rPr>
              <w:t>∑ECR.</w:t>
            </w:r>
          </w:p>
        </w:tc>
        <w:tc>
          <w:tcPr>
            <w:tcW w:w="3656" w:type="dxa"/>
            <w:vAlign w:val="center"/>
            <w:hideMark/>
          </w:tcPr>
          <w:p w14:paraId="40ACE22D" w14:textId="77777777" w:rsidR="00341B14" w:rsidRDefault="00341B14" w:rsidP="002E59B7">
            <w:pPr>
              <w:ind w:left="567" w:hanging="567"/>
              <w:jc w:val="both"/>
              <w:rPr>
                <w:rFonts w:ascii="Times New Roman" w:hAnsi="Times New Roman" w:cs="Times New Roman"/>
              </w:rPr>
            </w:pPr>
            <w:r>
              <w:rPr>
                <w:rFonts w:ascii="Times New Roman" w:hAnsi="Times New Roman" w:cs="Times New Roman"/>
              </w:rPr>
              <w:t>-</w:t>
            </w:r>
          </w:p>
          <w:p w14:paraId="436DB256" w14:textId="77777777" w:rsidR="00341B14" w:rsidRPr="001117D5" w:rsidRDefault="00341B14" w:rsidP="002E59B7">
            <w:pPr>
              <w:ind w:left="567" w:hanging="567"/>
              <w:jc w:val="both"/>
              <w:rPr>
                <w:rFonts w:ascii="Times New Roman" w:hAnsi="Times New Roman" w:cs="Times New Roman"/>
              </w:rPr>
            </w:pPr>
            <w:r w:rsidRPr="007C70B4">
              <w:rPr>
                <w:rFonts w:ascii="Times New Roman" w:hAnsi="Times New Roman" w:cs="Times New Roman"/>
              </w:rPr>
              <w:t>7</w:t>
            </w:r>
            <w:r>
              <w:rPr>
                <w:rFonts w:ascii="Times New Roman" w:hAnsi="Times New Roman" w:cs="Times New Roman"/>
              </w:rPr>
              <w:t>.</w:t>
            </w:r>
            <w:r w:rsidRPr="007C70B4">
              <w:rPr>
                <w:rFonts w:ascii="Times New Roman" w:hAnsi="Times New Roman" w:cs="Times New Roman"/>
              </w:rPr>
              <w:t>8</w:t>
            </w:r>
            <w:r>
              <w:rPr>
                <w:rFonts w:ascii="Times New Roman" w:hAnsi="Times New Roman" w:cs="Times New Roman"/>
              </w:rPr>
              <w:t xml:space="preserve"> </w:t>
            </w:r>
            <w:r w:rsidRPr="001117D5">
              <w:rPr>
                <w:rFonts w:ascii="Times New Roman" w:hAnsi="Times New Roman" w:cs="Times New Roman"/>
              </w:rPr>
              <w:t>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vAlign w:val="center"/>
            <w:hideMark/>
          </w:tcPr>
          <w:p w14:paraId="625F6CD9" w14:textId="77777777" w:rsidR="00341B14" w:rsidRDefault="00341B14" w:rsidP="002E59B7">
            <w:pPr>
              <w:ind w:left="567" w:hanging="567"/>
              <w:jc w:val="both"/>
              <w:rPr>
                <w:rFonts w:ascii="Times New Roman" w:hAnsi="Times New Roman" w:cs="Times New Roman"/>
              </w:rPr>
            </w:pPr>
            <w:r>
              <w:rPr>
                <w:rFonts w:ascii="Times New Roman" w:hAnsi="Times New Roman" w:cs="Times New Roman"/>
              </w:rPr>
              <w:t>-</w:t>
            </w:r>
          </w:p>
          <w:p w14:paraId="01DFB859" w14:textId="77777777" w:rsidR="00341B14" w:rsidRPr="001117D5" w:rsidRDefault="00341B14" w:rsidP="002E59B7">
            <w:pPr>
              <w:ind w:left="567" w:hanging="567"/>
              <w:jc w:val="both"/>
              <w:rPr>
                <w:rFonts w:ascii="Times New Roman" w:hAnsi="Times New Roman" w:cs="Times New Roman"/>
              </w:rPr>
            </w:pPr>
            <w:r w:rsidRPr="00004B3D">
              <w:rPr>
                <w:rFonts w:ascii="Times New Roman" w:hAnsi="Times New Roman" w:cs="Times New Roman"/>
              </w:rPr>
              <w:t>2.</w:t>
            </w:r>
            <w:r>
              <w:rPr>
                <w:rFonts w:ascii="Times New Roman" w:hAnsi="Times New Roman" w:cs="Times New Roman"/>
              </w:rPr>
              <w:t>10</w:t>
            </w:r>
            <w:r w:rsidRPr="00004B3D">
              <w:rPr>
                <w:rFonts w:ascii="Times New Roman" w:hAnsi="Times New Roman" w:cs="Times New Roman"/>
              </w:rPr>
              <w:t>×</w:t>
            </w:r>
            <w:r w:rsidRPr="001117D5">
              <w:rPr>
                <w:rFonts w:ascii="Times New Roman" w:hAnsi="Times New Roman" w:cs="Times New Roman"/>
              </w:rPr>
              <w:t>10</w:t>
            </w:r>
            <w:r w:rsidRPr="001117D5">
              <w:rPr>
                <w:rFonts w:ascii="Times New Roman" w:hAnsi="Times New Roman" w:cs="Times New Roman"/>
                <w:vertAlign w:val="superscript"/>
              </w:rPr>
              <w:t>-</w:t>
            </w:r>
            <w:r>
              <w:rPr>
                <w:rFonts w:ascii="Times New Roman" w:hAnsi="Times New Roman" w:cs="Times New Roman"/>
                <w:vertAlign w:val="superscript"/>
              </w:rPr>
              <w:t>5</w:t>
            </w:r>
          </w:p>
        </w:tc>
      </w:tr>
    </w:tbl>
    <w:p w14:paraId="3AD5C6A0" w14:textId="77777777" w:rsidR="00341B14" w:rsidRPr="00C015D7" w:rsidRDefault="00341B14" w:rsidP="00341B14">
      <w:pPr>
        <w:jc w:val="both"/>
        <w:rPr>
          <w:rFonts w:ascii="Times New Roman" w:hAnsi="Times New Roman" w:cs="Times New Roman"/>
        </w:rPr>
      </w:pPr>
    </w:p>
    <w:p w14:paraId="3631C842" w14:textId="77777777" w:rsidR="00341B14" w:rsidRPr="00C015D7" w:rsidRDefault="00341B14" w:rsidP="00341B14"/>
    <w:p w14:paraId="2EDC678A" w14:textId="77777777" w:rsidR="00341B14" w:rsidRPr="00C015D7" w:rsidRDefault="00341B14" w:rsidP="00341B14"/>
    <w:p w14:paraId="587CF19F" w14:textId="77777777" w:rsidR="00341B14" w:rsidRDefault="00341B14" w:rsidP="00341B14">
      <w:pPr>
        <w:rPr>
          <w:i/>
          <w:iCs/>
        </w:rPr>
      </w:pPr>
    </w:p>
    <w:p w14:paraId="4C4E4E75" w14:textId="77777777" w:rsidR="00341B14" w:rsidRDefault="00341B14" w:rsidP="00341B14">
      <w:pPr>
        <w:rPr>
          <w:i/>
          <w:iCs/>
        </w:rPr>
      </w:pPr>
    </w:p>
    <w:p w14:paraId="7324B558" w14:textId="77777777" w:rsidR="00341B14" w:rsidRDefault="00341B14" w:rsidP="00341B14">
      <w:pPr>
        <w:rPr>
          <w:i/>
          <w:iCs/>
        </w:rPr>
      </w:pPr>
    </w:p>
    <w:p w14:paraId="624DDED0" w14:textId="77777777" w:rsidR="00341B14" w:rsidRPr="00C015D7" w:rsidRDefault="00341B14" w:rsidP="00341B14">
      <w:pPr>
        <w:rPr>
          <w:rFonts w:ascii="Times New Roman" w:hAnsi="Times New Roman" w:cs="Times New Roman"/>
        </w:rPr>
      </w:pPr>
      <w:r w:rsidRPr="00C015D7">
        <w:rPr>
          <w:rFonts w:ascii="Times New Roman" w:hAnsi="Times New Roman" w:cs="Times New Roman"/>
          <w:i/>
          <w:iCs/>
        </w:rPr>
        <w:t>ECR= Estimated cancer risk</w:t>
      </w:r>
    </w:p>
    <w:p w14:paraId="6069B67D" w14:textId="77777777" w:rsidR="00341B14" w:rsidRPr="00C015D7" w:rsidRDefault="00341B14" w:rsidP="00341B14"/>
    <w:p w14:paraId="528ACCF3" w14:textId="77777777" w:rsidR="00341B14" w:rsidRPr="00C015D7" w:rsidRDefault="00341B14" w:rsidP="00341B14">
      <w:pPr>
        <w:jc w:val="both"/>
        <w:rPr>
          <w:rFonts w:ascii="Times New Roman" w:hAnsi="Times New Roman" w:cs="Times New Roman"/>
          <w:b/>
          <w:bCs/>
          <w:sz w:val="28"/>
          <w:szCs w:val="28"/>
        </w:rPr>
      </w:pPr>
      <w:r w:rsidRPr="00C015D7">
        <w:rPr>
          <w:rFonts w:ascii="Times New Roman" w:hAnsi="Times New Roman" w:cs="Times New Roman"/>
          <w:b/>
          <w:bCs/>
          <w:sz w:val="28"/>
          <w:szCs w:val="28"/>
        </w:rPr>
        <w:t>4.0 Discussion</w:t>
      </w:r>
    </w:p>
    <w:p w14:paraId="31E56390" w14:textId="2030FE24"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In aquatic ecosystems, heavy metals such as Cadmium (Cd), Lead (Pb), Copper (Cu), Mercury (Hg), Arsenic (As), Zinc (Zn) pose serious risks because they persist, bioaccumulate, and can move through food chains to humans and sometimes causing toxicity, which impacts on the quality of life of exposed individuals. This study, therefore, evaluated the processing-induced variations in heavy metal content of periwinkle by comparing the methods of blowout and the shelling method of processing. It also goes further to evaluate the non-carcinogenic and carcinogenic risks associated with the consumption of periwinkle processed by the two methods. This study was influenced by the report of Agboola &amp; Ololade (2013); Oluwole et al. (2020), and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(2013), who revealed that the method of processing of sea foods can influence the heavy metal content of the sea food. Our findings in this work corroborate these reports, as the heavy metal content of periwinkle processed by the blowout method is found to contain higher heavy metal concentration than the shelling method. We also report here that all six </w:t>
      </w:r>
      <w:r w:rsidRPr="006E6447">
        <w:rPr>
          <w:rFonts w:ascii="Times New Roman" w:hAnsi="Times New Roman" w:cs="Times New Roman"/>
          <w:color w:val="FF0000"/>
        </w:rPr>
        <w:t xml:space="preserve">heavy metals </w:t>
      </w:r>
      <w:r w:rsidR="006E6447" w:rsidRPr="006E6447">
        <w:rPr>
          <w:rFonts w:ascii="Times New Roman" w:hAnsi="Times New Roman" w:cs="Times New Roman"/>
          <w:color w:val="FF0000"/>
        </w:rPr>
        <w:t>analyzed</w:t>
      </w:r>
      <w:r w:rsidRPr="006E6447">
        <w:rPr>
          <w:rFonts w:ascii="Times New Roman" w:hAnsi="Times New Roman" w:cs="Times New Roman"/>
          <w:color w:val="FF0000"/>
        </w:rPr>
        <w:t xml:space="preserve"> </w:t>
      </w:r>
      <w:r w:rsidRPr="00C015D7">
        <w:rPr>
          <w:rFonts w:ascii="Times New Roman" w:hAnsi="Times New Roman" w:cs="Times New Roman"/>
        </w:rPr>
        <w:t xml:space="preserve">were found to be present in the periwinkle prepared by whichever method. This finding is in line with earlier reports of Onwuli et al. (2014), Udo &amp; Udoh (2014), and </w:t>
      </w:r>
      <w:proofErr w:type="spellStart"/>
      <w:r w:rsidRPr="00C015D7">
        <w:rPr>
          <w:rFonts w:ascii="Times New Roman" w:hAnsi="Times New Roman" w:cs="Times New Roman"/>
        </w:rPr>
        <w:t>Ifeadi</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Nwankwoala</w:t>
      </w:r>
      <w:proofErr w:type="spellEnd"/>
      <w:r w:rsidRPr="00C015D7">
        <w:rPr>
          <w:rFonts w:ascii="Times New Roman" w:hAnsi="Times New Roman" w:cs="Times New Roman"/>
        </w:rPr>
        <w:t xml:space="preserve"> (2015). That higher heavy metals were found in the blowout method of processing compared to the shelling suggests that shells act as sinks for toxic elements (Nwoko et al., 2014). The consistency of our findings across different geographical regions highlights the importance of considering the method of consumption in human health risk assessments: consuming periwinkles with shells or shell fragments could significantly increase heavy metal intake, whereas deshelled periwinkles provide </w:t>
      </w:r>
      <w:r w:rsidRPr="00C015D7">
        <w:rPr>
          <w:rFonts w:ascii="Times New Roman" w:hAnsi="Times New Roman" w:cs="Times New Roman"/>
        </w:rPr>
        <w:lastRenderedPageBreak/>
        <w:t>a safer dietary option (</w:t>
      </w:r>
      <w:proofErr w:type="spellStart"/>
      <w:r w:rsidRPr="00C015D7">
        <w:rPr>
          <w:rFonts w:ascii="Times New Roman" w:hAnsi="Times New Roman" w:cs="Times New Roman"/>
        </w:rPr>
        <w:t>Oriakpono</w:t>
      </w:r>
      <w:proofErr w:type="spellEnd"/>
      <w:r w:rsidRPr="00C015D7">
        <w:rPr>
          <w:rFonts w:ascii="Times New Roman" w:hAnsi="Times New Roman" w:cs="Times New Roman"/>
        </w:rPr>
        <w:t xml:space="preserve"> et al 2022). This finding is relevant because heavy metals have been implicated in adverse health conditions such as cardiovascular disease (Ziwei et al., 2024) and entire human metabolomics (</w:t>
      </w:r>
      <w:proofErr w:type="spellStart"/>
      <w:r w:rsidRPr="00C015D7">
        <w:rPr>
          <w:rFonts w:ascii="Times New Roman" w:hAnsi="Times New Roman" w:cs="Times New Roman"/>
        </w:rPr>
        <w:t>Shangufta</w:t>
      </w:r>
      <w:proofErr w:type="spellEnd"/>
      <w:r w:rsidRPr="00C015D7">
        <w:rPr>
          <w:rFonts w:ascii="Times New Roman" w:hAnsi="Times New Roman" w:cs="Times New Roman"/>
        </w:rPr>
        <w:t xml:space="preserve"> et al., 2025). </w:t>
      </w:r>
    </w:p>
    <w:p w14:paraId="48296A9F" w14:textId="18F988F2"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spatial variation in heavy metal concentrations observed across the sampling stations, as shown in Table 2, suggests differential contamination inputs into the aquatic environment. Certain stations showed significantly elevated levels of lead, copper, and mercury, </w:t>
      </w:r>
      <w:r w:rsidRPr="006E6447">
        <w:rPr>
          <w:rFonts w:ascii="Times New Roman" w:hAnsi="Times New Roman" w:cs="Times New Roman"/>
          <w:color w:val="FF0000"/>
        </w:rPr>
        <w:t xml:space="preserve">indicating </w:t>
      </w:r>
      <w:r w:rsidR="006E6447" w:rsidRPr="006E6447">
        <w:rPr>
          <w:rFonts w:ascii="Times New Roman" w:hAnsi="Times New Roman" w:cs="Times New Roman"/>
          <w:color w:val="FF0000"/>
        </w:rPr>
        <w:t>localized</w:t>
      </w:r>
      <w:r w:rsidRPr="006E6447">
        <w:rPr>
          <w:rFonts w:ascii="Times New Roman" w:hAnsi="Times New Roman" w:cs="Times New Roman"/>
          <w:color w:val="FF0000"/>
        </w:rPr>
        <w:t xml:space="preserve"> </w:t>
      </w:r>
      <w:r w:rsidRPr="00C015D7">
        <w:rPr>
          <w:rFonts w:ascii="Times New Roman" w:hAnsi="Times New Roman" w:cs="Times New Roman"/>
        </w:rPr>
        <w:t xml:space="preserve">anthropogenic activities as possible sources. Periwinkles exhibited site-specific bioaccumulation of heavy metals, largely attributed to industrial and domestic discharges. This finding is in support of the report of </w:t>
      </w:r>
      <w:proofErr w:type="spellStart"/>
      <w:r w:rsidRPr="00C015D7">
        <w:rPr>
          <w:rFonts w:ascii="Times New Roman" w:hAnsi="Times New Roman" w:cs="Times New Roman"/>
        </w:rPr>
        <w:t>Moslen</w:t>
      </w:r>
      <w:proofErr w:type="spellEnd"/>
      <w:r w:rsidRPr="00C015D7">
        <w:rPr>
          <w:rFonts w:ascii="Times New Roman" w:hAnsi="Times New Roman" w:cs="Times New Roman"/>
        </w:rPr>
        <w:t xml:space="preserve"> and others (2017). This spatial variation in heavy metal content of food sources has earlier been reported by Onwuli et al.</w:t>
      </w:r>
      <w:r w:rsidR="00572A5F">
        <w:rPr>
          <w:rFonts w:ascii="Times New Roman" w:hAnsi="Times New Roman" w:cs="Times New Roman"/>
        </w:rPr>
        <w:t>,</w:t>
      </w:r>
      <w:r w:rsidRPr="00C015D7">
        <w:rPr>
          <w:rFonts w:ascii="Times New Roman" w:hAnsi="Times New Roman" w:cs="Times New Roman"/>
        </w:rPr>
        <w:t xml:space="preserve"> (2025).</w:t>
      </w:r>
    </w:p>
    <w:p w14:paraId="77EC3165" w14:textId="1E90E61C" w:rsidR="00341B14" w:rsidRPr="00C015D7" w:rsidRDefault="00341B14" w:rsidP="00341B14">
      <w:pPr>
        <w:jc w:val="both"/>
        <w:rPr>
          <w:rFonts w:ascii="Times New Roman" w:hAnsi="Times New Roman" w:cs="Times New Roman"/>
        </w:rPr>
      </w:pPr>
      <w:r w:rsidRPr="00C015D7">
        <w:rPr>
          <w:rFonts w:ascii="Times New Roman" w:hAnsi="Times New Roman" w:cs="Times New Roman"/>
        </w:rPr>
        <w:t>Periwinkles are widely consumed in coastal communities as a cheap and accessible protein source, yet their ability to bioaccumulate toxic elements raises concerns for food safety. Chronic exposure to Cadmium can lead to kidney damage, IARC (2012); ATSDR (2012). Arsenic can affect the skin, liver and nervous system (2017) while chronic exposure to copper can lead to liver disease ATSDR, 2020). Lead has been linked to neurological disorders, renal impairment, and developmental deficits, while mercury poses risks of neurotoxicity and immune dysfunction. The elevated level of heavy metals in the blowout method further suggests that contamination levels in edible tissues may rise over time, particularly in environments with ongoing pollution inputs (Davies et al</w:t>
      </w:r>
      <w:r w:rsidR="00572A5F">
        <w:rPr>
          <w:rFonts w:ascii="Times New Roman" w:hAnsi="Times New Roman" w:cs="Times New Roman"/>
        </w:rPr>
        <w:t>.,</w:t>
      </w:r>
      <w:r w:rsidRPr="00C015D7">
        <w:rPr>
          <w:rFonts w:ascii="Times New Roman" w:hAnsi="Times New Roman" w:cs="Times New Roman"/>
        </w:rPr>
        <w:t xml:space="preserve"> 2006; </w:t>
      </w:r>
      <w:proofErr w:type="spellStart"/>
      <w:r w:rsidRPr="00C015D7">
        <w:rPr>
          <w:rFonts w:ascii="Times New Roman" w:hAnsi="Times New Roman" w:cs="Times New Roman"/>
        </w:rPr>
        <w:t>Moslen</w:t>
      </w:r>
      <w:proofErr w:type="spellEnd"/>
      <w:r w:rsidRPr="00C015D7">
        <w:rPr>
          <w:rFonts w:ascii="Times New Roman" w:hAnsi="Times New Roman" w:cs="Times New Roman"/>
        </w:rPr>
        <w:t xml:space="preserve"> et al</w:t>
      </w:r>
      <w:r w:rsidR="00572A5F">
        <w:rPr>
          <w:rFonts w:ascii="Times New Roman" w:hAnsi="Times New Roman" w:cs="Times New Roman"/>
        </w:rPr>
        <w:t>.,</w:t>
      </w:r>
      <w:r w:rsidRPr="00C015D7">
        <w:rPr>
          <w:rFonts w:ascii="Times New Roman" w:hAnsi="Times New Roman" w:cs="Times New Roman"/>
        </w:rPr>
        <w:t xml:space="preserve"> 2017. </w:t>
      </w:r>
    </w:p>
    <w:p w14:paraId="3B2FF584" w14:textId="0D25998A"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non-carcinogenic risk was assessed using the Target Hazard Quotient (THQ). A THQ value of less than 1 indicates no significant health risk, whereas THQ ≥ 1 suggests potential adverse health effects (USEPA, 1989). Our results show that all heavy metals evaluated in this study have a THQ value &lt;1, but when the THQ was summed up, the value for blowout was &gt;1, while that of the shelling method was &lt;1 (see Table 3.4). This means that the blowout method of processing suggests potential adverse health effects (USEPA, 1989). This finding underscores the inherent danger of the blowout method of processing periwinkle for human consumption and calls for public awareness to forestall consequences. Furthermore, the cancer risk was estimated for the blowout and the shelling method; the results show that Cd </w:t>
      </w:r>
      <w:r w:rsidRPr="006E6447">
        <w:rPr>
          <w:rFonts w:ascii="Times New Roman" w:hAnsi="Times New Roman" w:cs="Times New Roman"/>
          <w:color w:val="FF0000"/>
        </w:rPr>
        <w:t xml:space="preserve">and </w:t>
      </w:r>
      <w:r w:rsidR="006E6447" w:rsidRPr="006E6447">
        <w:rPr>
          <w:rFonts w:ascii="Times New Roman" w:hAnsi="Times New Roman" w:cs="Times New Roman"/>
          <w:color w:val="FF0000"/>
        </w:rPr>
        <w:t>as</w:t>
      </w:r>
      <w:r w:rsidRPr="006E6447">
        <w:rPr>
          <w:rFonts w:ascii="Times New Roman" w:hAnsi="Times New Roman" w:cs="Times New Roman"/>
          <w:color w:val="FF0000"/>
        </w:rPr>
        <w:t xml:space="preserve"> have </w:t>
      </w:r>
      <w:r w:rsidRPr="00C015D7">
        <w:rPr>
          <w:rFonts w:ascii="Times New Roman" w:hAnsi="Times New Roman" w:cs="Times New Roman"/>
        </w:rPr>
        <w:t>ECR values of 3.90 x 10-3, respectively, a value greater than 10-4 signifying a cancer risk. Summation of all the ECR for the blowout gave a value greater than. On the other hand, the shelling method shows individual ECR within the acceptable range, and when the ECR was summed up for the shelling, the result was also within the acceptable range. Therefore, from a human consumption standpoint, these findings reinforce the need for awareness about processing</w:t>
      </w:r>
      <w:r>
        <w:rPr>
          <w:rFonts w:ascii="Times New Roman" w:hAnsi="Times New Roman" w:cs="Times New Roman"/>
        </w:rPr>
        <w:t xml:space="preserve"> </w:t>
      </w:r>
      <w:r w:rsidRPr="00C015D7">
        <w:rPr>
          <w:rFonts w:ascii="Times New Roman" w:hAnsi="Times New Roman" w:cs="Times New Roman"/>
        </w:rPr>
        <w:t>methods</w:t>
      </w:r>
      <w:r w:rsidRPr="00C015D7">
        <w:rPr>
          <w:rFonts w:ascii="Times New Roman" w:hAnsi="Times New Roman" w:cs="Times New Roman"/>
          <w:b/>
          <w:bCs/>
        </w:rPr>
        <w:t>,</w:t>
      </w:r>
      <w:r w:rsidRPr="00C015D7">
        <w:rPr>
          <w:rFonts w:ascii="Times New Roman" w:hAnsi="Times New Roman" w:cs="Times New Roman"/>
        </w:rPr>
        <w:t xml:space="preserve"> as the inclusion of shells in dietary intake can amplify the transfer of metals to humans. Implementing deshelling practices prior to cooking or consumption should therefore be considered a key strategy in reducing heavy metal exposure from periwinkle-based diets.</w:t>
      </w:r>
    </w:p>
    <w:p w14:paraId="39EA8C50" w14:textId="77777777" w:rsidR="00341B14" w:rsidRDefault="00341B14" w:rsidP="00341B14">
      <w:pPr>
        <w:jc w:val="both"/>
        <w:rPr>
          <w:rFonts w:ascii="Times New Roman" w:hAnsi="Times New Roman" w:cs="Times New Roman"/>
          <w:b/>
          <w:bCs/>
        </w:rPr>
      </w:pPr>
    </w:p>
    <w:p w14:paraId="07942510" w14:textId="77777777" w:rsidR="00572A5F" w:rsidRDefault="00572A5F" w:rsidP="00341B14">
      <w:pPr>
        <w:jc w:val="both"/>
        <w:rPr>
          <w:rFonts w:ascii="Times New Roman" w:hAnsi="Times New Roman" w:cs="Times New Roman"/>
          <w:b/>
          <w:bCs/>
        </w:rPr>
      </w:pPr>
    </w:p>
    <w:p w14:paraId="7615BE36" w14:textId="37D87F30" w:rsidR="00341B14" w:rsidRPr="00C015D7" w:rsidRDefault="00341B14" w:rsidP="00341B14">
      <w:pPr>
        <w:jc w:val="both"/>
        <w:rPr>
          <w:rFonts w:ascii="Times New Roman" w:hAnsi="Times New Roman" w:cs="Times New Roman"/>
          <w:b/>
          <w:bCs/>
          <w:sz w:val="28"/>
          <w:szCs w:val="28"/>
        </w:rPr>
      </w:pPr>
      <w:r w:rsidRPr="00C015D7">
        <w:rPr>
          <w:rFonts w:ascii="Times New Roman" w:hAnsi="Times New Roman" w:cs="Times New Roman"/>
          <w:b/>
          <w:bCs/>
          <w:sz w:val="28"/>
          <w:szCs w:val="28"/>
        </w:rPr>
        <w:lastRenderedPageBreak/>
        <w:t>Conclusion</w:t>
      </w:r>
    </w:p>
    <w:p w14:paraId="3B2F2610" w14:textId="77777777" w:rsidR="00341B14" w:rsidRDefault="00341B14" w:rsidP="00341B14">
      <w:pPr>
        <w:jc w:val="both"/>
        <w:rPr>
          <w:rFonts w:ascii="Times New Roman" w:hAnsi="Times New Roman" w:cs="Times New Roman"/>
        </w:rPr>
      </w:pPr>
      <w:r w:rsidRPr="00C015D7">
        <w:rPr>
          <w:rFonts w:ascii="Times New Roman" w:hAnsi="Times New Roman" w:cs="Times New Roman"/>
        </w:rPr>
        <w:t>Given that periwinkle processed by blowout retained considerably higher concentrations of toxic metals than the shelling method, processing periwinkles without removing the shells poses a heightened risk of heavy metal ingestion. Chronic exposure to Cadmium, Lead, Copper, Arsenic, Zinc and Mercury can lead to neurological, renal, and immunological impairments, as well as developmental and reproductive disorders, especially with long-term dietary accumulation. The report from this study has shown that the method of processing periwinkles for human consumption plays a critical role in minimising human exposure to toxic heavy metals in food. It is hereby suggested that caution should be applied in processing foods in order to reduce toxic metal contamination and so avert potential danger in their toxicity.</w:t>
      </w:r>
    </w:p>
    <w:p w14:paraId="0022E321" w14:textId="0689A918" w:rsidR="003304E5" w:rsidRDefault="003304E5" w:rsidP="00341B14">
      <w:pPr>
        <w:jc w:val="both"/>
        <w:rPr>
          <w:rFonts w:ascii="Times New Roman" w:hAnsi="Times New Roman" w:cs="Times New Roman"/>
        </w:rPr>
      </w:pPr>
      <w:r w:rsidRPr="00017AF7">
        <w:rPr>
          <w:rFonts w:ascii="Times New Roman" w:hAnsi="Times New Roman" w:cs="Times New Roman"/>
          <w:b/>
          <w:bCs/>
          <w:sz w:val="28"/>
          <w:szCs w:val="28"/>
        </w:rPr>
        <w:t>Author’s contributions.</w:t>
      </w:r>
      <w:r w:rsidRPr="00017AF7">
        <w:rPr>
          <w:rFonts w:ascii="Times New Roman" w:hAnsi="Times New Roman" w:cs="Times New Roman"/>
          <w:sz w:val="28"/>
          <w:szCs w:val="28"/>
        </w:rPr>
        <w:t xml:space="preserve"> </w:t>
      </w:r>
      <w:r>
        <w:rPr>
          <w:rFonts w:ascii="Times New Roman" w:hAnsi="Times New Roman" w:cs="Times New Roman"/>
        </w:rPr>
        <w:t xml:space="preserve">Author DOO designed the project and wrote the manuscript. Authors CC and EO did the sample collections and heavy metal analysis. Authors UOA did the statistical analysis, Authors DOO, ABE and UOA did the health risk assessment computerization while </w:t>
      </w:r>
      <w:r w:rsidR="00017AF7">
        <w:rPr>
          <w:rFonts w:ascii="Times New Roman" w:hAnsi="Times New Roman" w:cs="Times New Roman"/>
        </w:rPr>
        <w:t>Authors ABE and UOA reviewed the manuscript. All authors read and approved the final version.</w:t>
      </w:r>
    </w:p>
    <w:p w14:paraId="4F3F07C4" w14:textId="38079F8F" w:rsidR="00017AF7" w:rsidRPr="00C015D7" w:rsidRDefault="00017AF7" w:rsidP="00341B14">
      <w:pPr>
        <w:jc w:val="both"/>
        <w:rPr>
          <w:rFonts w:ascii="Times New Roman" w:hAnsi="Times New Roman" w:cs="Times New Roman"/>
        </w:rPr>
      </w:pPr>
      <w:r w:rsidRPr="00017AF7">
        <w:rPr>
          <w:rFonts w:ascii="Times New Roman" w:hAnsi="Times New Roman" w:cs="Times New Roman"/>
          <w:b/>
          <w:bCs/>
          <w:sz w:val="28"/>
          <w:szCs w:val="28"/>
        </w:rPr>
        <w:t>Funding</w:t>
      </w:r>
      <w:r>
        <w:rPr>
          <w:rFonts w:ascii="Times New Roman" w:hAnsi="Times New Roman" w:cs="Times New Roman"/>
        </w:rPr>
        <w:t>: This work was funded by all the authors.</w:t>
      </w:r>
    </w:p>
    <w:p w14:paraId="1AD404D0" w14:textId="77777777" w:rsidR="00341B14" w:rsidRPr="00C015D7" w:rsidRDefault="00341B14" w:rsidP="00341B14">
      <w:pPr>
        <w:jc w:val="both"/>
        <w:rPr>
          <w:rFonts w:ascii="Times New Roman" w:hAnsi="Times New Roman" w:cs="Times New Roman"/>
        </w:rPr>
      </w:pPr>
    </w:p>
    <w:p w14:paraId="52C96099" w14:textId="77777777" w:rsidR="00341B14" w:rsidRPr="00C015D7" w:rsidRDefault="005D057E" w:rsidP="00341B14">
      <w:pPr>
        <w:jc w:val="both"/>
        <w:rPr>
          <w:rFonts w:ascii="Times New Roman" w:hAnsi="Times New Roman" w:cs="Times New Roman"/>
        </w:rPr>
      </w:pPr>
      <w:hyperlink w:history="1">
        <w:r w:rsidR="00341B14" w:rsidRPr="00C015D7">
          <w:rPr>
            <w:rStyle w:val="Hipervnculo"/>
            <w:rFonts w:ascii="Times New Roman" w:hAnsi="Times New Roman" w:cs="Times New Roman"/>
          </w:rPr>
          <w:t>Disclaimer (Artificial intelligence)</w:t>
        </w:r>
      </w:hyperlink>
    </w:p>
    <w:p w14:paraId="128BC0E6"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Option 1:</w:t>
      </w:r>
    </w:p>
    <w:p w14:paraId="1673FFF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7B2E5F7E" w14:textId="77777777" w:rsidR="00341B14" w:rsidRPr="00C015D7" w:rsidRDefault="00341B14" w:rsidP="00341B14">
      <w:pPr>
        <w:jc w:val="both"/>
        <w:rPr>
          <w:rFonts w:ascii="Times New Roman" w:hAnsi="Times New Roman" w:cs="Times New Roman"/>
        </w:rPr>
      </w:pPr>
    </w:p>
    <w:p w14:paraId="3D1265A7" w14:textId="52C2274E" w:rsidR="00341B14" w:rsidRPr="00C015D7" w:rsidRDefault="003304E5" w:rsidP="00341B14">
      <w:pPr>
        <w:jc w:val="both"/>
        <w:rPr>
          <w:rFonts w:ascii="Times New Roman" w:hAnsi="Times New Roman" w:cs="Times New Roman"/>
          <w:sz w:val="28"/>
          <w:szCs w:val="28"/>
        </w:rPr>
      </w:pPr>
      <w:r w:rsidRPr="003304E5">
        <w:rPr>
          <w:rFonts w:ascii="Times New Roman" w:hAnsi="Times New Roman" w:cs="Times New Roman"/>
          <w:b/>
          <w:bCs/>
          <w:sz w:val="28"/>
          <w:szCs w:val="28"/>
        </w:rPr>
        <w:t>References</w:t>
      </w:r>
    </w:p>
    <w:p w14:paraId="05D27B55" w14:textId="77777777" w:rsidR="00341B14" w:rsidRPr="00C015D7" w:rsidRDefault="00341B14" w:rsidP="00341B14">
      <w:pPr>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Abah</w:t>
      </w:r>
      <w:proofErr w:type="spellEnd"/>
      <w:r w:rsidRPr="00DC0F1D">
        <w:rPr>
          <w:rFonts w:ascii="Times New Roman" w:hAnsi="Times New Roman" w:cs="Times New Roman"/>
          <w:lang w:val="es-MX"/>
        </w:rPr>
        <w:t xml:space="preserve">, J., </w:t>
      </w:r>
      <w:proofErr w:type="spellStart"/>
      <w:r w:rsidRPr="00DC0F1D">
        <w:rPr>
          <w:rFonts w:ascii="Times New Roman" w:hAnsi="Times New Roman" w:cs="Times New Roman"/>
          <w:lang w:val="es-MX"/>
        </w:rPr>
        <w:t>Ubwa</w:t>
      </w:r>
      <w:proofErr w:type="spellEnd"/>
      <w:r w:rsidRPr="00DC0F1D">
        <w:rPr>
          <w:rFonts w:ascii="Times New Roman" w:hAnsi="Times New Roman" w:cs="Times New Roman"/>
          <w:lang w:val="es-MX"/>
        </w:rPr>
        <w:t xml:space="preserve">, S. T., &amp; </w:t>
      </w:r>
      <w:proofErr w:type="spellStart"/>
      <w:r w:rsidRPr="00DC0F1D">
        <w:rPr>
          <w:rFonts w:ascii="Times New Roman" w:hAnsi="Times New Roman" w:cs="Times New Roman"/>
          <w:lang w:val="es-MX"/>
        </w:rPr>
        <w:t>Abah</w:t>
      </w:r>
      <w:proofErr w:type="spellEnd"/>
      <w:r w:rsidRPr="00DC0F1D">
        <w:rPr>
          <w:rFonts w:ascii="Times New Roman" w:hAnsi="Times New Roman" w:cs="Times New Roman"/>
          <w:lang w:val="es-MX"/>
        </w:rPr>
        <w:t xml:space="preserve">, E. (2013). </w:t>
      </w:r>
      <w:r w:rsidRPr="00C015D7">
        <w:rPr>
          <w:rFonts w:ascii="Times New Roman" w:hAnsi="Times New Roman" w:cs="Times New Roman"/>
        </w:rPr>
        <w:t>Assessment of heavy metal contamination in periwinkle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sold in some major markets in Benue State, Nigeria. </w:t>
      </w:r>
      <w:r w:rsidRPr="00C015D7">
        <w:rPr>
          <w:rFonts w:ascii="Times New Roman" w:hAnsi="Times New Roman" w:cs="Times New Roman"/>
          <w:i/>
          <w:iCs/>
        </w:rPr>
        <w:t>Journal of Environmental Science, Toxicology and Food Technology</w:t>
      </w:r>
      <w:r w:rsidRPr="00C015D7">
        <w:rPr>
          <w:rFonts w:ascii="Times New Roman" w:hAnsi="Times New Roman" w:cs="Times New Roman"/>
        </w:rPr>
        <w:t>, 4(1), 44–49.</w:t>
      </w:r>
    </w:p>
    <w:p w14:paraId="76D2202D" w14:textId="77777777" w:rsidR="00341B14" w:rsidRPr="00C015D7" w:rsidRDefault="00341B14" w:rsidP="00341B14">
      <w:pPr>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Adebayo-Tayo</w:t>
      </w:r>
      <w:proofErr w:type="spellEnd"/>
      <w:r w:rsidRPr="00DC0F1D">
        <w:rPr>
          <w:rFonts w:ascii="Times New Roman" w:hAnsi="Times New Roman" w:cs="Times New Roman"/>
          <w:lang w:val="es-MX"/>
        </w:rPr>
        <w:t xml:space="preserve">, B. C., &amp; </w:t>
      </w:r>
      <w:proofErr w:type="spellStart"/>
      <w:r w:rsidRPr="00DC0F1D">
        <w:rPr>
          <w:rFonts w:ascii="Times New Roman" w:hAnsi="Times New Roman" w:cs="Times New Roman"/>
          <w:lang w:val="es-MX"/>
        </w:rPr>
        <w:t>Ogunjobi</w:t>
      </w:r>
      <w:proofErr w:type="spellEnd"/>
      <w:r w:rsidRPr="00DC0F1D">
        <w:rPr>
          <w:rFonts w:ascii="Times New Roman" w:hAnsi="Times New Roman" w:cs="Times New Roman"/>
          <w:lang w:val="es-MX"/>
        </w:rPr>
        <w:t xml:space="preserve">, A. A. (2015). </w:t>
      </w:r>
      <w:r w:rsidRPr="00C015D7">
        <w:rPr>
          <w:rFonts w:ascii="Times New Roman" w:hAnsi="Times New Roman" w:cs="Times New Roman"/>
        </w:rPr>
        <w:t>Comparative analysis of heavy metal levels in periwinkle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from different creeks in the Niger Delta region of Nigeria. </w:t>
      </w:r>
      <w:r w:rsidRPr="00C015D7">
        <w:rPr>
          <w:rFonts w:ascii="Times New Roman" w:hAnsi="Times New Roman" w:cs="Times New Roman"/>
          <w:i/>
          <w:iCs/>
        </w:rPr>
        <w:t>African Journal of Environmental Science and Technology</w:t>
      </w:r>
      <w:r w:rsidRPr="00C015D7">
        <w:rPr>
          <w:rFonts w:ascii="Times New Roman" w:hAnsi="Times New Roman" w:cs="Times New Roman"/>
        </w:rPr>
        <w:t>, 9(7), 641–646.</w:t>
      </w:r>
    </w:p>
    <w:p w14:paraId="7629564E" w14:textId="77777777" w:rsidR="00341B14" w:rsidRPr="00C015D7" w:rsidRDefault="00341B14" w:rsidP="00341B14">
      <w:pPr>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Agboola</w:t>
      </w:r>
      <w:proofErr w:type="spellEnd"/>
      <w:r w:rsidRPr="00DC0F1D">
        <w:rPr>
          <w:rFonts w:ascii="Times New Roman" w:hAnsi="Times New Roman" w:cs="Times New Roman"/>
          <w:lang w:val="es-MX"/>
        </w:rPr>
        <w:t xml:space="preserve">, J. I., &amp; </w:t>
      </w:r>
      <w:proofErr w:type="spellStart"/>
      <w:r w:rsidRPr="00DC0F1D">
        <w:rPr>
          <w:rFonts w:ascii="Times New Roman" w:hAnsi="Times New Roman" w:cs="Times New Roman"/>
          <w:lang w:val="es-MX"/>
        </w:rPr>
        <w:t>Ololade</w:t>
      </w:r>
      <w:proofErr w:type="spellEnd"/>
      <w:r w:rsidRPr="00DC0F1D">
        <w:rPr>
          <w:rFonts w:ascii="Times New Roman" w:hAnsi="Times New Roman" w:cs="Times New Roman"/>
          <w:lang w:val="es-MX"/>
        </w:rPr>
        <w:t xml:space="preserve">, I. A. (2013). </w:t>
      </w:r>
      <w:r w:rsidRPr="00C015D7">
        <w:rPr>
          <w:rFonts w:ascii="Times New Roman" w:hAnsi="Times New Roman" w:cs="Times New Roman"/>
        </w:rPr>
        <w:t xml:space="preserve">The effects of cooking and processing methods on the heavy metal concentration of some Nigerian periwinkles. </w:t>
      </w:r>
      <w:r w:rsidRPr="00C015D7">
        <w:rPr>
          <w:rFonts w:ascii="Times New Roman" w:hAnsi="Times New Roman" w:cs="Times New Roman"/>
          <w:i/>
          <w:iCs/>
        </w:rPr>
        <w:t>International Journal of Environmental Monitoring and Analysis</w:t>
      </w:r>
      <w:r w:rsidRPr="00C015D7">
        <w:rPr>
          <w:rFonts w:ascii="Times New Roman" w:hAnsi="Times New Roman" w:cs="Times New Roman"/>
        </w:rPr>
        <w:t>, 1(2), 50–56.</w:t>
      </w:r>
    </w:p>
    <w:p w14:paraId="2AE0E732"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lastRenderedPageBreak/>
        <w:t xml:space="preserve">Agency for Toxic Substances and Disease Registry. (2012). Toxicological profile for cadmium. Atlanta (GA): U.S. Department of Health and Human Services. </w:t>
      </w:r>
      <w:hyperlink r:id="rId8" w:history="1">
        <w:r w:rsidRPr="00C015D7">
          <w:rPr>
            <w:rStyle w:val="Hipervnculo"/>
            <w:rFonts w:ascii="Times New Roman" w:hAnsi="Times New Roman" w:cs="Times New Roman"/>
          </w:rPr>
          <w:t>https://www.atsdr.cdc.gov/toxprofiles/tp5.pdf</w:t>
        </w:r>
      </w:hyperlink>
    </w:p>
    <w:p w14:paraId="1112428F"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Agency for Toxic Substances and Disease Registry. (2024). Toxicological profile for copper. U.S. Department of Health and Human Services. </w:t>
      </w:r>
      <w:hyperlink r:id="rId9" w:history="1">
        <w:r w:rsidRPr="00C015D7">
          <w:rPr>
            <w:rStyle w:val="Hipervnculo"/>
            <w:rFonts w:ascii="Times New Roman" w:hAnsi="Times New Roman" w:cs="Times New Roman"/>
          </w:rPr>
          <w:t>https://www.atsdr.cdc.gov/toxprofiles/tp132.pdf</w:t>
        </w:r>
      </w:hyperlink>
    </w:p>
    <w:p w14:paraId="04900FD1" w14:textId="77777777" w:rsidR="00341B14" w:rsidRPr="00C015D7" w:rsidRDefault="00341B14" w:rsidP="00341B14">
      <w:pPr>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Asuquo</w:t>
      </w:r>
      <w:proofErr w:type="spellEnd"/>
      <w:r w:rsidRPr="00DC0F1D">
        <w:rPr>
          <w:rFonts w:ascii="Times New Roman" w:hAnsi="Times New Roman" w:cs="Times New Roman"/>
          <w:lang w:val="es-MX"/>
        </w:rPr>
        <w:t xml:space="preserve">, F. E., &amp; </w:t>
      </w:r>
      <w:proofErr w:type="spellStart"/>
      <w:r w:rsidRPr="00DC0F1D">
        <w:rPr>
          <w:rFonts w:ascii="Times New Roman" w:hAnsi="Times New Roman" w:cs="Times New Roman"/>
          <w:lang w:val="es-MX"/>
        </w:rPr>
        <w:t>Ewa-Oboho</w:t>
      </w:r>
      <w:proofErr w:type="spellEnd"/>
      <w:r w:rsidRPr="00DC0F1D">
        <w:rPr>
          <w:rFonts w:ascii="Times New Roman" w:hAnsi="Times New Roman" w:cs="Times New Roman"/>
          <w:lang w:val="es-MX"/>
        </w:rPr>
        <w:t xml:space="preserve">, I. O. (2004). </w:t>
      </w:r>
      <w:r w:rsidRPr="00C015D7">
        <w:rPr>
          <w:rFonts w:ascii="Times New Roman" w:hAnsi="Times New Roman" w:cs="Times New Roman"/>
        </w:rPr>
        <w:t xml:space="preserve">Heavy metals in periwinkle from the Cross River Estuary, Nigeria. </w:t>
      </w:r>
      <w:r w:rsidRPr="00C015D7">
        <w:rPr>
          <w:rFonts w:ascii="Times New Roman" w:hAnsi="Times New Roman" w:cs="Times New Roman"/>
          <w:i/>
          <w:iCs/>
        </w:rPr>
        <w:t>Journal of Applied Sciences and Environmental Management</w:t>
      </w:r>
      <w:r w:rsidRPr="00C015D7">
        <w:rPr>
          <w:rFonts w:ascii="Times New Roman" w:hAnsi="Times New Roman" w:cs="Times New Roman"/>
        </w:rPr>
        <w:t>, 8(1), 67–70.</w:t>
      </w:r>
    </w:p>
    <w:p w14:paraId="25BB6A51"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Davies, O. A., Allison, M. E., &amp; </w:t>
      </w:r>
      <w:proofErr w:type="spellStart"/>
      <w:r w:rsidRPr="00C015D7">
        <w:rPr>
          <w:rFonts w:ascii="Times New Roman" w:hAnsi="Times New Roman" w:cs="Times New Roman"/>
        </w:rPr>
        <w:t>Uyi</w:t>
      </w:r>
      <w:proofErr w:type="spellEnd"/>
      <w:r w:rsidRPr="00C015D7">
        <w:rPr>
          <w:rFonts w:ascii="Times New Roman" w:hAnsi="Times New Roman" w:cs="Times New Roman"/>
        </w:rPr>
        <w:t>, H. S. (2006). Bioaccumulation of heavy metals in water, sediment and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7428BB">
        <w:rPr>
          <w:rFonts w:ascii="Times New Roman" w:hAnsi="Times New Roman" w:cs="Times New Roman"/>
          <w:color w:val="FF0000"/>
        </w:rPr>
        <w:t xml:space="preserve"> </w:t>
      </w:r>
      <w:r w:rsidRPr="007428BB">
        <w:rPr>
          <w:rFonts w:ascii="Times New Roman" w:hAnsi="Times New Roman" w:cs="Times New Roman"/>
          <w:i/>
          <w:color w:val="FF0000"/>
        </w:rPr>
        <w:t>var radula</w:t>
      </w:r>
      <w:r w:rsidRPr="00C015D7">
        <w:rPr>
          <w:rFonts w:ascii="Times New Roman" w:hAnsi="Times New Roman" w:cs="Times New Roman"/>
        </w:rPr>
        <w:t xml:space="preserve">) from the Elechi Creek, Niger Delta. African Journal of Biotechnology, 5(10), 968-973. </w:t>
      </w:r>
      <w:hyperlink r:id="rId10" w:history="1">
        <w:r w:rsidRPr="00C015D7">
          <w:rPr>
            <w:rStyle w:val="Hipervnculo"/>
            <w:rFonts w:ascii="Times New Roman" w:hAnsi="Times New Roman" w:cs="Times New Roman"/>
          </w:rPr>
          <w:t>https://doi.org/10.5897/AJB05.387</w:t>
        </w:r>
      </w:hyperlink>
    </w:p>
    <w:p w14:paraId="21EA7168"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FAO/WHO. (2011). Report of the Joint FAO/WHO Expert Consultation on the Risks and Benefits of Fish Consumption. FAO Fisheries and Aquaculture Report No. 978. </w:t>
      </w:r>
      <w:hyperlink r:id="rId11" w:history="1">
        <w:r w:rsidRPr="00C015D7">
          <w:rPr>
            <w:rStyle w:val="Hipervnculo"/>
            <w:rFonts w:ascii="Times New Roman" w:hAnsi="Times New Roman" w:cs="Times New Roman"/>
          </w:rPr>
          <w:t>https://www.fao.org/3/i1953e/i1953e.pdf</w:t>
        </w:r>
      </w:hyperlink>
    </w:p>
    <w:p w14:paraId="3A0D5D4D" w14:textId="77777777" w:rsidR="00341B14" w:rsidRPr="00C015D7" w:rsidRDefault="00341B14" w:rsidP="00341B14">
      <w:pPr>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Fubara</w:t>
      </w:r>
      <w:proofErr w:type="spellEnd"/>
      <w:r w:rsidRPr="00DC0F1D">
        <w:rPr>
          <w:rFonts w:ascii="Times New Roman" w:hAnsi="Times New Roman" w:cs="Times New Roman"/>
          <w:lang w:val="es-MX"/>
        </w:rPr>
        <w:t xml:space="preserve">-Manuel, I., &amp; Jumbo, A. J. (2018). </w:t>
      </w:r>
      <w:r w:rsidRPr="00C015D7">
        <w:rPr>
          <w:rFonts w:ascii="Times New Roman" w:hAnsi="Times New Roman" w:cs="Times New Roman"/>
        </w:rPr>
        <w:t xml:space="preserve">Heavy metal accumulation in periwinkle and shrimp from the Bonny River, Rivers State, Nigeria. </w:t>
      </w:r>
      <w:r w:rsidRPr="00C015D7">
        <w:rPr>
          <w:rFonts w:ascii="Times New Roman" w:hAnsi="Times New Roman" w:cs="Times New Roman"/>
          <w:i/>
          <w:iCs/>
        </w:rPr>
        <w:t>International Journal of Fisheries and Aquatic Studies</w:t>
      </w:r>
      <w:r w:rsidRPr="00C015D7">
        <w:rPr>
          <w:rFonts w:ascii="Times New Roman" w:hAnsi="Times New Roman" w:cs="Times New Roman"/>
        </w:rPr>
        <w:t>, 6(2), 135–140.</w:t>
      </w:r>
    </w:p>
    <w:p w14:paraId="2DC1277E" w14:textId="77777777" w:rsidR="00341B14" w:rsidRPr="00C015D7" w:rsidRDefault="00341B14" w:rsidP="00341B14">
      <w:pPr>
        <w:numPr>
          <w:ilvl w:val="0"/>
          <w:numId w:val="4"/>
        </w:numPr>
        <w:jc w:val="both"/>
        <w:rPr>
          <w:rFonts w:ascii="Times New Roman" w:hAnsi="Times New Roman" w:cs="Times New Roman"/>
        </w:rPr>
      </w:pPr>
      <w:proofErr w:type="spellStart"/>
      <w:r w:rsidRPr="00C015D7">
        <w:rPr>
          <w:rFonts w:ascii="Times New Roman" w:hAnsi="Times New Roman" w:cs="Times New Roman"/>
        </w:rPr>
        <w:t>Ifeadi</w:t>
      </w:r>
      <w:proofErr w:type="spellEnd"/>
      <w:r w:rsidRPr="00C015D7">
        <w:rPr>
          <w:rFonts w:ascii="Times New Roman" w:hAnsi="Times New Roman" w:cs="Times New Roman"/>
        </w:rPr>
        <w:t xml:space="preserve">, C. N., &amp; </w:t>
      </w:r>
      <w:proofErr w:type="spellStart"/>
      <w:r w:rsidRPr="00C015D7">
        <w:rPr>
          <w:rFonts w:ascii="Times New Roman" w:hAnsi="Times New Roman" w:cs="Times New Roman"/>
        </w:rPr>
        <w:t>Nwankwoala</w:t>
      </w:r>
      <w:proofErr w:type="spellEnd"/>
      <w:r w:rsidRPr="00C015D7">
        <w:rPr>
          <w:rFonts w:ascii="Times New Roman" w:hAnsi="Times New Roman" w:cs="Times New Roman"/>
        </w:rPr>
        <w:t xml:space="preserve">, H. O. (2015). Source identification and ecological risk of heavy metals in periwinkle from Eagle Island River, Port Harcourt, Nigeria. </w:t>
      </w:r>
      <w:r w:rsidRPr="00C015D7">
        <w:rPr>
          <w:rFonts w:ascii="Times New Roman" w:hAnsi="Times New Roman" w:cs="Times New Roman"/>
          <w:i/>
          <w:iCs/>
        </w:rPr>
        <w:t>Journal of Environmental Science and Engineering</w:t>
      </w:r>
      <w:r w:rsidRPr="00C015D7">
        <w:rPr>
          <w:rFonts w:ascii="Times New Roman" w:hAnsi="Times New Roman" w:cs="Times New Roman"/>
        </w:rPr>
        <w:t>, A4, 30–41.</w:t>
      </w:r>
    </w:p>
    <w:p w14:paraId="6614E26A"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International Agency for Research on Cancer. (2012). Cadmium and cadmium compounds. In *IARC Monographs on the Evaluation of Carcinogenic Risks to Humans, Vol. 100C: Arsenic, Metals, </w:t>
      </w:r>
      <w:proofErr w:type="spellStart"/>
      <w:r w:rsidRPr="00C015D7">
        <w:rPr>
          <w:rFonts w:ascii="Times New Roman" w:hAnsi="Times New Roman" w:cs="Times New Roman"/>
        </w:rPr>
        <w:t>Fibres</w:t>
      </w:r>
      <w:proofErr w:type="spellEnd"/>
      <w:r w:rsidRPr="00C015D7">
        <w:rPr>
          <w:rFonts w:ascii="Times New Roman" w:hAnsi="Times New Roman" w:cs="Times New Roman"/>
        </w:rPr>
        <w:t xml:space="preserve"> and Dusts*. Lyon: IARC. </w:t>
      </w:r>
      <w:hyperlink r:id="rId12" w:history="1">
        <w:r w:rsidRPr="00C015D7">
          <w:rPr>
            <w:rStyle w:val="Hipervnculo"/>
            <w:rFonts w:ascii="Times New Roman" w:hAnsi="Times New Roman" w:cs="Times New Roman"/>
          </w:rPr>
          <w:t>https://monographs.iarc.fr/wp-content/uploads/2018/06/mono100C-8.pdf</w:t>
        </w:r>
      </w:hyperlink>
    </w:p>
    <w:p w14:paraId="4A3EEDF3" w14:textId="53F6985F"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International Agency for Research on Cancer. (2012). Arsenic, </w:t>
      </w:r>
      <w:r w:rsidRPr="007428BB">
        <w:rPr>
          <w:rFonts w:ascii="Times New Roman" w:hAnsi="Times New Roman" w:cs="Times New Roman"/>
          <w:color w:val="FF0000"/>
        </w:rPr>
        <w:t xml:space="preserve">metals, </w:t>
      </w:r>
      <w:r w:rsidR="007428BB" w:rsidRPr="007428BB">
        <w:rPr>
          <w:rFonts w:ascii="Times New Roman" w:hAnsi="Times New Roman" w:cs="Times New Roman"/>
          <w:color w:val="FF0000"/>
        </w:rPr>
        <w:t>fibers</w:t>
      </w:r>
      <w:r w:rsidRPr="00C015D7">
        <w:rPr>
          <w:rFonts w:ascii="Times New Roman" w:hAnsi="Times New Roman" w:cs="Times New Roman"/>
        </w:rPr>
        <w:t xml:space="preserve">, and dusts. (IARC Monographs on the Evaluation of Carcinogenic Risks to Humans, Vol. 100C). World Health </w:t>
      </w:r>
      <w:r w:rsidR="007428BB" w:rsidRPr="007428BB">
        <w:rPr>
          <w:rFonts w:ascii="Times New Roman" w:hAnsi="Times New Roman" w:cs="Times New Roman"/>
          <w:color w:val="FF0000"/>
        </w:rPr>
        <w:t>Organization</w:t>
      </w:r>
      <w:r w:rsidRPr="00C015D7">
        <w:rPr>
          <w:rFonts w:ascii="Times New Roman" w:hAnsi="Times New Roman" w:cs="Times New Roman"/>
        </w:rPr>
        <w:t xml:space="preserve">. </w:t>
      </w:r>
      <w:hyperlink r:id="rId13" w:history="1">
        <w:r w:rsidRPr="00C015D7">
          <w:rPr>
            <w:rStyle w:val="Hipervnculo"/>
            <w:rFonts w:ascii="Times New Roman" w:hAnsi="Times New Roman" w:cs="Times New Roman"/>
          </w:rPr>
          <w:t>https://publications.iarc.fr/Book-And-Report-Series/Iarc-Monographs-On-The-Identification-Of-Carcinogenic-Hazards-To-Humans/Arsenic-Metals-Fibres-And-Dusts-2012</w:t>
        </w:r>
      </w:hyperlink>
    </w:p>
    <w:p w14:paraId="6B3B5D44" w14:textId="77777777" w:rsidR="00341B14" w:rsidRPr="00C015D7" w:rsidRDefault="00341B14" w:rsidP="00341B14">
      <w:pPr>
        <w:numPr>
          <w:ilvl w:val="0"/>
          <w:numId w:val="4"/>
        </w:numPr>
        <w:jc w:val="both"/>
        <w:rPr>
          <w:rFonts w:ascii="Times New Roman" w:hAnsi="Times New Roman" w:cs="Times New Roman"/>
        </w:rPr>
      </w:pPr>
      <w:proofErr w:type="spellStart"/>
      <w:r w:rsidRPr="00C015D7">
        <w:rPr>
          <w:rFonts w:ascii="Times New Roman" w:hAnsi="Times New Roman" w:cs="Times New Roman"/>
        </w:rPr>
        <w:t>Kponee</w:t>
      </w:r>
      <w:proofErr w:type="spellEnd"/>
      <w:r w:rsidRPr="00C015D7">
        <w:rPr>
          <w:rFonts w:ascii="Times New Roman" w:hAnsi="Times New Roman" w:cs="Times New Roman"/>
        </w:rPr>
        <w:t xml:space="preserve">, K. Z., </w:t>
      </w:r>
      <w:proofErr w:type="spellStart"/>
      <w:r w:rsidRPr="00C015D7">
        <w:rPr>
          <w:rFonts w:ascii="Times New Roman" w:hAnsi="Times New Roman" w:cs="Times New Roman"/>
        </w:rPr>
        <w:t>Nriagu</w:t>
      </w:r>
      <w:proofErr w:type="spellEnd"/>
      <w:r w:rsidRPr="00C015D7">
        <w:rPr>
          <w:rFonts w:ascii="Times New Roman" w:hAnsi="Times New Roman" w:cs="Times New Roman"/>
        </w:rPr>
        <w:t xml:space="preserve">, J., &amp; Miller, R. (2014). Nutritional and toxicological assessments of periwinkle consumed in the Niger Delta, Nigeria. </w:t>
      </w:r>
      <w:r w:rsidRPr="00C015D7">
        <w:rPr>
          <w:rFonts w:ascii="Times New Roman" w:hAnsi="Times New Roman" w:cs="Times New Roman"/>
          <w:i/>
          <w:iCs/>
        </w:rPr>
        <w:t>Journal of Food Composition and Analysis</w:t>
      </w:r>
      <w:r w:rsidRPr="00C015D7">
        <w:rPr>
          <w:rFonts w:ascii="Times New Roman" w:hAnsi="Times New Roman" w:cs="Times New Roman"/>
        </w:rPr>
        <w:t>, 33, 1–9.</w:t>
      </w:r>
    </w:p>
    <w:p w14:paraId="5F75D94F" w14:textId="77777777" w:rsidR="00341B14" w:rsidRPr="00C015D7" w:rsidRDefault="00341B14" w:rsidP="00341B14">
      <w:pPr>
        <w:numPr>
          <w:ilvl w:val="0"/>
          <w:numId w:val="4"/>
        </w:numPr>
        <w:jc w:val="both"/>
        <w:rPr>
          <w:rFonts w:ascii="Times New Roman" w:hAnsi="Times New Roman" w:cs="Times New Roman"/>
        </w:rPr>
      </w:pPr>
      <w:proofErr w:type="spellStart"/>
      <w:r w:rsidRPr="00C015D7">
        <w:rPr>
          <w:rFonts w:ascii="Times New Roman" w:hAnsi="Times New Roman" w:cs="Times New Roman"/>
        </w:rPr>
        <w:lastRenderedPageBreak/>
        <w:t>Moslen</w:t>
      </w:r>
      <w:proofErr w:type="spellEnd"/>
      <w:r w:rsidRPr="00C015D7">
        <w:rPr>
          <w:rFonts w:ascii="Times New Roman" w:hAnsi="Times New Roman" w:cs="Times New Roman"/>
        </w:rPr>
        <w:t xml:space="preserve">, M., </w:t>
      </w:r>
      <w:proofErr w:type="spellStart"/>
      <w:r w:rsidRPr="00C015D7">
        <w:rPr>
          <w:rFonts w:ascii="Times New Roman" w:hAnsi="Times New Roman" w:cs="Times New Roman"/>
        </w:rPr>
        <w:t>Ekweozor</w:t>
      </w:r>
      <w:proofErr w:type="spellEnd"/>
      <w:r w:rsidRPr="00C015D7">
        <w:rPr>
          <w:rFonts w:ascii="Times New Roman" w:hAnsi="Times New Roman" w:cs="Times New Roman"/>
        </w:rPr>
        <w:t xml:space="preserve">, I. K. E., &amp; </w:t>
      </w:r>
      <w:proofErr w:type="spellStart"/>
      <w:r w:rsidRPr="00C015D7">
        <w:rPr>
          <w:rFonts w:ascii="Times New Roman" w:hAnsi="Times New Roman" w:cs="Times New Roman"/>
        </w:rPr>
        <w:t>Nwoka</w:t>
      </w:r>
      <w:proofErr w:type="spellEnd"/>
      <w:r w:rsidRPr="00C015D7">
        <w:rPr>
          <w:rFonts w:ascii="Times New Roman" w:hAnsi="Times New Roman" w:cs="Times New Roman"/>
        </w:rPr>
        <w:t>, N. D. (2017). Assessment of heavy metals and bioaccumulation in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7428BB">
        <w:rPr>
          <w:rFonts w:ascii="Times New Roman" w:hAnsi="Times New Roman" w:cs="Times New Roman"/>
          <w:i/>
          <w:color w:val="FF0000"/>
        </w:rPr>
        <w:t xml:space="preserve"> var. radula</w:t>
      </w:r>
      <w:r w:rsidRPr="007428BB">
        <w:rPr>
          <w:rFonts w:ascii="Times New Roman" w:hAnsi="Times New Roman" w:cs="Times New Roman"/>
          <w:color w:val="FF0000"/>
        </w:rPr>
        <w:t xml:space="preserve"> </w:t>
      </w:r>
      <w:r w:rsidRPr="00C015D7">
        <w:rPr>
          <w:rFonts w:ascii="Times New Roman" w:hAnsi="Times New Roman" w:cs="Times New Roman"/>
        </w:rPr>
        <w:t xml:space="preserve">(L.)) obtained from the upper reaches of the Bonny Estuary, Nigeria. Journal of Heavy Metal Toxicity and Disease, 2(2), 3-34. </w:t>
      </w:r>
      <w:hyperlink r:id="rId14" w:history="1">
        <w:r w:rsidRPr="00C015D7">
          <w:rPr>
            <w:rStyle w:val="Hipervnculo"/>
            <w:rFonts w:ascii="Times New Roman" w:hAnsi="Times New Roman" w:cs="Times New Roman"/>
          </w:rPr>
          <w:t>https://doi.org/10.21767/2473-6457.100018</w:t>
        </w:r>
      </w:hyperlink>
    </w:p>
    <w:p w14:paraId="471EA336" w14:textId="77777777" w:rsidR="00341B14" w:rsidRPr="00C015D7" w:rsidRDefault="00341B14" w:rsidP="00341B14">
      <w:pPr>
        <w:jc w:val="both"/>
        <w:rPr>
          <w:rFonts w:ascii="Times New Roman" w:hAnsi="Times New Roman" w:cs="Times New Roman"/>
        </w:rPr>
      </w:pPr>
    </w:p>
    <w:p w14:paraId="7D681D97" w14:textId="13C4D698" w:rsidR="00341B14" w:rsidRPr="002E7684" w:rsidRDefault="00341B14" w:rsidP="002E7684">
      <w:pPr>
        <w:pStyle w:val="Prrafodelista"/>
        <w:numPr>
          <w:ilvl w:val="0"/>
          <w:numId w:val="4"/>
        </w:numPr>
        <w:jc w:val="both"/>
        <w:rPr>
          <w:rFonts w:ascii="Times New Roman" w:hAnsi="Times New Roman" w:cs="Times New Roman"/>
        </w:rPr>
      </w:pPr>
      <w:proofErr w:type="spellStart"/>
      <w:r w:rsidRPr="002E7684">
        <w:rPr>
          <w:rFonts w:ascii="Times New Roman" w:hAnsi="Times New Roman" w:cs="Times New Roman"/>
        </w:rPr>
        <w:t>Moslen</w:t>
      </w:r>
      <w:proofErr w:type="spellEnd"/>
      <w:r w:rsidRPr="002E7684">
        <w:rPr>
          <w:rFonts w:ascii="Times New Roman" w:hAnsi="Times New Roman" w:cs="Times New Roman"/>
        </w:rPr>
        <w:t xml:space="preserve">, M., </w:t>
      </w:r>
      <w:proofErr w:type="spellStart"/>
      <w:r w:rsidRPr="002E7684">
        <w:rPr>
          <w:rFonts w:ascii="Times New Roman" w:hAnsi="Times New Roman" w:cs="Times New Roman"/>
        </w:rPr>
        <w:t>Ekweozor</w:t>
      </w:r>
      <w:proofErr w:type="spellEnd"/>
      <w:r w:rsidRPr="002E7684">
        <w:rPr>
          <w:rFonts w:ascii="Times New Roman" w:hAnsi="Times New Roman" w:cs="Times New Roman"/>
        </w:rPr>
        <w:t xml:space="preserve">, I. K. E., &amp; </w:t>
      </w:r>
      <w:proofErr w:type="spellStart"/>
      <w:r w:rsidRPr="002E7684">
        <w:rPr>
          <w:rFonts w:ascii="Times New Roman" w:hAnsi="Times New Roman" w:cs="Times New Roman"/>
        </w:rPr>
        <w:t>Nwoka</w:t>
      </w:r>
      <w:proofErr w:type="spellEnd"/>
      <w:r w:rsidRPr="002E7684">
        <w:rPr>
          <w:rFonts w:ascii="Times New Roman" w:hAnsi="Times New Roman" w:cs="Times New Roman"/>
        </w:rPr>
        <w:t>, N. D. (2017). Assessment of heavy metals and bioaccumulation in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7428BB">
        <w:rPr>
          <w:rFonts w:ascii="Times New Roman" w:hAnsi="Times New Roman" w:cs="Times New Roman"/>
          <w:i/>
          <w:color w:val="FF0000"/>
        </w:rPr>
        <w:t xml:space="preserve"> var. radula</w:t>
      </w:r>
      <w:r w:rsidRPr="007428BB">
        <w:rPr>
          <w:rFonts w:ascii="Times New Roman" w:hAnsi="Times New Roman" w:cs="Times New Roman"/>
          <w:color w:val="FF0000"/>
        </w:rPr>
        <w:t xml:space="preserve"> </w:t>
      </w:r>
      <w:r w:rsidRPr="002E7684">
        <w:rPr>
          <w:rFonts w:ascii="Times New Roman" w:hAnsi="Times New Roman" w:cs="Times New Roman"/>
        </w:rPr>
        <w:t xml:space="preserve">(L.)) obtained from the upper reaches of the Bonny Estuary, Nigeria. Journal of Heavy Metal Toxicity and Disease, 2(2), 3-34. </w:t>
      </w:r>
      <w:hyperlink r:id="rId15" w:history="1">
        <w:r w:rsidRPr="002E7684">
          <w:rPr>
            <w:rStyle w:val="Hipervnculo"/>
            <w:rFonts w:ascii="Times New Roman" w:hAnsi="Times New Roman" w:cs="Times New Roman"/>
          </w:rPr>
          <w:t>https://doi.org/10.21767/2473-6457.100018</w:t>
        </w:r>
      </w:hyperlink>
    </w:p>
    <w:p w14:paraId="1E4414EE" w14:textId="2854C90C" w:rsidR="00341B14" w:rsidRPr="002E7684" w:rsidRDefault="00341B14" w:rsidP="002E7684">
      <w:pPr>
        <w:pStyle w:val="Prrafodelista"/>
        <w:numPr>
          <w:ilvl w:val="0"/>
          <w:numId w:val="4"/>
        </w:numPr>
        <w:jc w:val="both"/>
        <w:rPr>
          <w:rFonts w:ascii="Times New Roman" w:hAnsi="Times New Roman" w:cs="Times New Roman"/>
        </w:rPr>
      </w:pPr>
      <w:r w:rsidRPr="002E7684">
        <w:rPr>
          <w:rFonts w:ascii="Times New Roman" w:hAnsi="Times New Roman" w:cs="Times New Roman"/>
        </w:rPr>
        <w:t xml:space="preserve">Nwoko, C. I. A., </w:t>
      </w:r>
      <w:proofErr w:type="spellStart"/>
      <w:r w:rsidRPr="002E7684">
        <w:rPr>
          <w:rFonts w:ascii="Times New Roman" w:hAnsi="Times New Roman" w:cs="Times New Roman"/>
        </w:rPr>
        <w:t>Ukiwe</w:t>
      </w:r>
      <w:proofErr w:type="spellEnd"/>
      <w:r w:rsidRPr="002E7684">
        <w:rPr>
          <w:rFonts w:ascii="Times New Roman" w:hAnsi="Times New Roman" w:cs="Times New Roman"/>
        </w:rPr>
        <w:t>, L. N., &amp; Oshoakpeme, G. S. (2014). Heavy Metals Concentrations in the Shell and Tissue of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2E7684">
        <w:rPr>
          <w:rFonts w:ascii="Times New Roman" w:hAnsi="Times New Roman" w:cs="Times New Roman"/>
        </w:rPr>
        <w:t>) and Giant Land Snail (</w:t>
      </w:r>
      <w:proofErr w:type="spellStart"/>
      <w:r w:rsidRPr="007428BB">
        <w:rPr>
          <w:rFonts w:ascii="Times New Roman" w:hAnsi="Times New Roman" w:cs="Times New Roman"/>
          <w:i/>
          <w:color w:val="FF0000"/>
        </w:rPr>
        <w:t>Achatina</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fulica</w:t>
      </w:r>
      <w:proofErr w:type="spellEnd"/>
      <w:r w:rsidRPr="002E7684">
        <w:rPr>
          <w:rFonts w:ascii="Times New Roman" w:hAnsi="Times New Roman" w:cs="Times New Roman"/>
        </w:rPr>
        <w:t xml:space="preserve">) in </w:t>
      </w:r>
      <w:proofErr w:type="spellStart"/>
      <w:r w:rsidRPr="002E7684">
        <w:rPr>
          <w:rFonts w:ascii="Times New Roman" w:hAnsi="Times New Roman" w:cs="Times New Roman"/>
        </w:rPr>
        <w:t>Soku</w:t>
      </w:r>
      <w:proofErr w:type="spellEnd"/>
      <w:r w:rsidRPr="002E7684">
        <w:rPr>
          <w:rFonts w:ascii="Times New Roman" w:hAnsi="Times New Roman" w:cs="Times New Roman"/>
        </w:rPr>
        <w:t xml:space="preserve"> Community of Niger Delta, Nigeria. Journal of Advances in Chemistry, 10(3). </w:t>
      </w:r>
      <w:hyperlink r:id="rId16" w:history="1">
        <w:r w:rsidRPr="002E7684">
          <w:rPr>
            <w:rStyle w:val="Hipervnculo"/>
            <w:rFonts w:ascii="Times New Roman" w:hAnsi="Times New Roman" w:cs="Times New Roman"/>
          </w:rPr>
          <w:t>https://doi.org/10.24297/JAC.V10I3.2291</w:t>
        </w:r>
      </w:hyperlink>
    </w:p>
    <w:p w14:paraId="34E3B7AB" w14:textId="77777777" w:rsidR="00341B14" w:rsidRPr="00C015D7" w:rsidRDefault="00341B14" w:rsidP="002E7684">
      <w:pPr>
        <w:numPr>
          <w:ilvl w:val="0"/>
          <w:numId w:val="4"/>
        </w:numPr>
        <w:jc w:val="both"/>
        <w:rPr>
          <w:rFonts w:ascii="Times New Roman" w:hAnsi="Times New Roman" w:cs="Times New Roman"/>
        </w:rPr>
      </w:pP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G. T.,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O. (2013). Effects of processing methods on heavy metal concentrations in fish and shellfish from Nigerian waters. </w:t>
      </w:r>
      <w:r w:rsidRPr="00C015D7">
        <w:rPr>
          <w:rFonts w:ascii="Times New Roman" w:hAnsi="Times New Roman" w:cs="Times New Roman"/>
          <w:i/>
          <w:iCs/>
        </w:rPr>
        <w:t>Journal of Toxicology and Environmental Health Sciences</w:t>
      </w:r>
      <w:r w:rsidRPr="00C015D7">
        <w:rPr>
          <w:rFonts w:ascii="Times New Roman" w:hAnsi="Times New Roman" w:cs="Times New Roman"/>
        </w:rPr>
        <w:t>, 5(9), 156–164.</w:t>
      </w:r>
    </w:p>
    <w:p w14:paraId="1F09E05B" w14:textId="77777777" w:rsidR="00341B14" w:rsidRPr="00C015D7" w:rsidRDefault="00341B14" w:rsidP="002E7684">
      <w:pPr>
        <w:numPr>
          <w:ilvl w:val="0"/>
          <w:numId w:val="4"/>
        </w:numPr>
        <w:jc w:val="both"/>
        <w:rPr>
          <w:rFonts w:ascii="Times New Roman" w:hAnsi="Times New Roman" w:cs="Times New Roman"/>
        </w:rPr>
      </w:pP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O.,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G. T. O. (2013). Heavy metal concentrations in water, sediment and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fuscastus</w:t>
      </w:r>
      <w:proofErr w:type="spellEnd"/>
      <w:r w:rsidRPr="00C015D7">
        <w:rPr>
          <w:rFonts w:ascii="Times New Roman" w:hAnsi="Times New Roman" w:cs="Times New Roman"/>
        </w:rPr>
        <w:t xml:space="preserve">) samples harvested from the Niger Delta region of Nigeria. African Journal of Environmental Science and Technology, 7(5), 245–248. </w:t>
      </w:r>
      <w:hyperlink r:id="rId17" w:history="1">
        <w:r w:rsidRPr="00C015D7">
          <w:rPr>
            <w:rStyle w:val="Hipervnculo"/>
            <w:rFonts w:ascii="Times New Roman" w:hAnsi="Times New Roman" w:cs="Times New Roman"/>
          </w:rPr>
          <w:t>https://doi.org/10.5897/AJEST12.191</w:t>
        </w:r>
      </w:hyperlink>
    </w:p>
    <w:p w14:paraId="2A65C017" w14:textId="77777777" w:rsidR="00341B14" w:rsidRPr="00C015D7" w:rsidRDefault="00341B14" w:rsidP="00341B14">
      <w:pPr>
        <w:jc w:val="both"/>
        <w:rPr>
          <w:rFonts w:ascii="Times New Roman" w:hAnsi="Times New Roman" w:cs="Times New Roman"/>
        </w:rPr>
      </w:pPr>
    </w:p>
    <w:p w14:paraId="03FCEB10" w14:textId="4AA96570" w:rsidR="00341B14" w:rsidRDefault="00341B14" w:rsidP="00341B14">
      <w:pPr>
        <w:pStyle w:val="Prrafodelista"/>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Oriakpono</w:t>
      </w:r>
      <w:proofErr w:type="spellEnd"/>
      <w:r w:rsidRPr="00DC0F1D">
        <w:rPr>
          <w:rFonts w:ascii="Times New Roman" w:hAnsi="Times New Roman" w:cs="Times New Roman"/>
          <w:lang w:val="es-MX"/>
        </w:rPr>
        <w:t xml:space="preserve">, O. E., &amp; Jaja, L. (2022). </w:t>
      </w:r>
      <w:r w:rsidRPr="002E7684">
        <w:rPr>
          <w:rFonts w:ascii="Times New Roman" w:hAnsi="Times New Roman" w:cs="Times New Roman"/>
        </w:rPr>
        <w:t>Assessment of heavy metal concentrations in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2E7684">
        <w:rPr>
          <w:rFonts w:ascii="Times New Roman" w:hAnsi="Times New Roman" w:cs="Times New Roman"/>
        </w:rPr>
        <w:t xml:space="preserve">) from five creeks of Rivers State, Nigeria. Journal of Global Agriculture and Ecology, 14(3), 8–16. </w:t>
      </w:r>
    </w:p>
    <w:p w14:paraId="4DA0DE74" w14:textId="77777777" w:rsidR="002E7684" w:rsidRPr="002E7684" w:rsidRDefault="002E7684" w:rsidP="002E7684">
      <w:pPr>
        <w:pStyle w:val="Prrafodelista"/>
        <w:rPr>
          <w:rFonts w:ascii="Times New Roman" w:hAnsi="Times New Roman" w:cs="Times New Roman"/>
        </w:rPr>
      </w:pPr>
    </w:p>
    <w:p w14:paraId="1A97D3B1" w14:textId="77777777" w:rsidR="002E7684" w:rsidRPr="00C015D7" w:rsidRDefault="002E7684" w:rsidP="002E7684">
      <w:pPr>
        <w:pStyle w:val="Prrafodelista"/>
        <w:jc w:val="both"/>
        <w:rPr>
          <w:rFonts w:ascii="Times New Roman" w:hAnsi="Times New Roman" w:cs="Times New Roman"/>
          <w:sz w:val="4"/>
          <w:szCs w:val="4"/>
        </w:rPr>
      </w:pPr>
    </w:p>
    <w:p w14:paraId="37826DBC" w14:textId="056B86A5" w:rsidR="00341B14" w:rsidRDefault="00341B14" w:rsidP="00341B14">
      <w:pPr>
        <w:pStyle w:val="Prrafodelista"/>
        <w:numPr>
          <w:ilvl w:val="0"/>
          <w:numId w:val="4"/>
        </w:numPr>
        <w:jc w:val="both"/>
        <w:rPr>
          <w:rFonts w:ascii="Times New Roman" w:hAnsi="Times New Roman" w:cs="Times New Roman"/>
        </w:rPr>
      </w:pPr>
      <w:proofErr w:type="spellStart"/>
      <w:r w:rsidRPr="002E7684">
        <w:rPr>
          <w:rFonts w:ascii="Times New Roman" w:hAnsi="Times New Roman" w:cs="Times New Roman"/>
        </w:rPr>
        <w:t>Orisakwe</w:t>
      </w:r>
      <w:proofErr w:type="spellEnd"/>
      <w:r w:rsidRPr="002E7684">
        <w:rPr>
          <w:rFonts w:ascii="Times New Roman" w:hAnsi="Times New Roman" w:cs="Times New Roman"/>
        </w:rPr>
        <w:t xml:space="preserve">, O. E., Dagur, E. A., Mbagwu, H. O. C., &amp; </w:t>
      </w:r>
      <w:proofErr w:type="spellStart"/>
      <w:r w:rsidRPr="002E7684">
        <w:rPr>
          <w:rFonts w:ascii="Times New Roman" w:hAnsi="Times New Roman" w:cs="Times New Roman"/>
        </w:rPr>
        <w:t>Udowelle</w:t>
      </w:r>
      <w:proofErr w:type="spellEnd"/>
      <w:r w:rsidRPr="002E7684">
        <w:rPr>
          <w:rFonts w:ascii="Times New Roman" w:hAnsi="Times New Roman" w:cs="Times New Roman"/>
        </w:rPr>
        <w:t xml:space="preserve">, N. A. (2017). Lead levels in vegetables from artisanal mining sites of </w:t>
      </w:r>
      <w:proofErr w:type="spellStart"/>
      <w:r w:rsidRPr="002E7684">
        <w:rPr>
          <w:rFonts w:ascii="Times New Roman" w:hAnsi="Times New Roman" w:cs="Times New Roman"/>
        </w:rPr>
        <w:t>Dilimi</w:t>
      </w:r>
      <w:proofErr w:type="spellEnd"/>
      <w:r w:rsidRPr="002E7684">
        <w:rPr>
          <w:rFonts w:ascii="Times New Roman" w:hAnsi="Times New Roman" w:cs="Times New Roman"/>
        </w:rPr>
        <w:t xml:space="preserve"> River, </w:t>
      </w:r>
      <w:proofErr w:type="spellStart"/>
      <w:r w:rsidRPr="002E7684">
        <w:rPr>
          <w:rFonts w:ascii="Times New Roman" w:hAnsi="Times New Roman" w:cs="Times New Roman"/>
        </w:rPr>
        <w:t>Bukuru</w:t>
      </w:r>
      <w:proofErr w:type="spellEnd"/>
      <w:r w:rsidRPr="002E7684">
        <w:rPr>
          <w:rFonts w:ascii="Times New Roman" w:hAnsi="Times New Roman" w:cs="Times New Roman"/>
        </w:rPr>
        <w:t xml:space="preserve"> and Barkin Ladi, North Central Nigeria: Cancer and non-cancer risk assessment. Asian Pacific Journal of Cancer Prevention, 18(3), 621-627. </w:t>
      </w:r>
      <w:hyperlink r:id="rId18" w:history="1">
        <w:r w:rsidRPr="002E7684">
          <w:rPr>
            <w:rStyle w:val="Hipervnculo"/>
            <w:rFonts w:ascii="Times New Roman" w:hAnsi="Times New Roman" w:cs="Times New Roman"/>
          </w:rPr>
          <w:t>https://doi.org/10.22034/APJCP.2017.18.3.621</w:t>
        </w:r>
      </w:hyperlink>
      <w:r w:rsidRPr="002E7684">
        <w:rPr>
          <w:rFonts w:ascii="Times New Roman" w:hAnsi="Times New Roman" w:cs="Times New Roman"/>
        </w:rPr>
        <w:t>.</w:t>
      </w:r>
    </w:p>
    <w:p w14:paraId="67B93760" w14:textId="77777777" w:rsidR="002E7684" w:rsidRPr="002E7684" w:rsidRDefault="002E7684" w:rsidP="002E7684">
      <w:pPr>
        <w:pStyle w:val="Prrafodelista"/>
        <w:jc w:val="both"/>
        <w:rPr>
          <w:rFonts w:ascii="Times New Roman" w:hAnsi="Times New Roman" w:cs="Times New Roman"/>
        </w:rPr>
      </w:pPr>
    </w:p>
    <w:p w14:paraId="21B888BC" w14:textId="5AF0F10A" w:rsidR="00341B14" w:rsidRPr="002E7684" w:rsidRDefault="00341B14" w:rsidP="002E7684">
      <w:pPr>
        <w:pStyle w:val="Prrafodelista"/>
        <w:numPr>
          <w:ilvl w:val="0"/>
          <w:numId w:val="4"/>
        </w:numPr>
        <w:jc w:val="both"/>
        <w:rPr>
          <w:rFonts w:ascii="Times New Roman" w:hAnsi="Times New Roman" w:cs="Times New Roman"/>
        </w:rPr>
      </w:pPr>
      <w:r w:rsidRPr="007428BB">
        <w:rPr>
          <w:rFonts w:ascii="Times New Roman" w:hAnsi="Times New Roman" w:cs="Times New Roman"/>
          <w:color w:val="FF0000"/>
        </w:rPr>
        <w:t>Onwuli. D O.,</w:t>
      </w:r>
      <w:r w:rsidR="007428BB" w:rsidRPr="007428BB">
        <w:rPr>
          <w:rFonts w:ascii="Times New Roman" w:hAnsi="Times New Roman" w:cs="Times New Roman"/>
          <w:color w:val="FF0000"/>
        </w:rPr>
        <w:t xml:space="preserve"> </w:t>
      </w:r>
      <w:proofErr w:type="spellStart"/>
      <w:r w:rsidRPr="007428BB">
        <w:rPr>
          <w:rFonts w:ascii="Times New Roman" w:hAnsi="Times New Roman" w:cs="Times New Roman"/>
          <w:color w:val="FF0000"/>
        </w:rPr>
        <w:t>Ajuru</w:t>
      </w:r>
      <w:proofErr w:type="spellEnd"/>
      <w:r w:rsidRPr="007428BB">
        <w:rPr>
          <w:rFonts w:ascii="Times New Roman" w:hAnsi="Times New Roman" w:cs="Times New Roman"/>
          <w:color w:val="FF0000"/>
        </w:rPr>
        <w:t xml:space="preserve"> </w:t>
      </w:r>
      <w:r w:rsidRPr="002E7684">
        <w:rPr>
          <w:rFonts w:ascii="Times New Roman" w:hAnsi="Times New Roman" w:cs="Times New Roman"/>
        </w:rPr>
        <w:t xml:space="preserve">Gospel., </w:t>
      </w:r>
      <w:r w:rsidRPr="007428BB">
        <w:rPr>
          <w:rFonts w:ascii="Times New Roman" w:hAnsi="Times New Roman" w:cs="Times New Roman"/>
          <w:color w:val="FF0000"/>
        </w:rPr>
        <w:t>Holy Brown.,</w:t>
      </w:r>
      <w:r w:rsidR="007428BB" w:rsidRPr="007428BB">
        <w:rPr>
          <w:rFonts w:ascii="Times New Roman" w:hAnsi="Times New Roman" w:cs="Times New Roman"/>
          <w:color w:val="FF0000"/>
        </w:rPr>
        <w:t xml:space="preserve"> </w:t>
      </w:r>
      <w:proofErr w:type="spellStart"/>
      <w:r w:rsidRPr="007428BB">
        <w:rPr>
          <w:rFonts w:ascii="Times New Roman" w:hAnsi="Times New Roman" w:cs="Times New Roman"/>
          <w:color w:val="FF0000"/>
        </w:rPr>
        <w:t>Amadi</w:t>
      </w:r>
      <w:proofErr w:type="spellEnd"/>
      <w:r w:rsidRPr="007428BB">
        <w:rPr>
          <w:rFonts w:ascii="Times New Roman" w:hAnsi="Times New Roman" w:cs="Times New Roman"/>
          <w:color w:val="FF0000"/>
        </w:rPr>
        <w:t xml:space="preserve">. </w:t>
      </w:r>
      <w:r w:rsidRPr="002E7684">
        <w:rPr>
          <w:rFonts w:ascii="Times New Roman" w:hAnsi="Times New Roman" w:cs="Times New Roman"/>
        </w:rPr>
        <w:t>F C (2014). The concentration of Lead in Periwinkle (</w:t>
      </w:r>
      <w:proofErr w:type="spellStart"/>
      <w:r w:rsidRPr="007428BB">
        <w:rPr>
          <w:rFonts w:ascii="Times New Roman" w:hAnsi="Times New Roman" w:cs="Times New Roman"/>
          <w:i/>
          <w:color w:val="FF0000"/>
        </w:rPr>
        <w:t>Tympanotonos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2E7684">
        <w:rPr>
          <w:rFonts w:ascii="Times New Roman" w:hAnsi="Times New Roman" w:cs="Times New Roman"/>
        </w:rPr>
        <w:t xml:space="preserve">) and River sediments in Eagle Island River, Port Harcourt, Rivers State, Nigeria. </w:t>
      </w:r>
      <w:r w:rsidRPr="002E7684">
        <w:rPr>
          <w:rFonts w:ascii="Times New Roman" w:hAnsi="Times New Roman" w:cs="Times New Roman"/>
          <w:i/>
          <w:iCs/>
        </w:rPr>
        <w:t>American Journal of Environmental Protection</w:t>
      </w:r>
      <w:r w:rsidRPr="002E7684">
        <w:rPr>
          <w:rFonts w:ascii="Times New Roman" w:hAnsi="Times New Roman" w:cs="Times New Roman"/>
        </w:rPr>
        <w:t>, (2), 37-40</w:t>
      </w:r>
    </w:p>
    <w:p w14:paraId="3F625A0E" w14:textId="77777777" w:rsidR="00341B14" w:rsidRPr="00C015D7" w:rsidRDefault="00341B14" w:rsidP="00341B14">
      <w:pPr>
        <w:jc w:val="both"/>
        <w:rPr>
          <w:rFonts w:ascii="Times New Roman" w:hAnsi="Times New Roman" w:cs="Times New Roman"/>
          <w:sz w:val="4"/>
          <w:szCs w:val="4"/>
        </w:rPr>
      </w:pPr>
    </w:p>
    <w:p w14:paraId="3B25A90C" w14:textId="1D3A2C47" w:rsidR="00341B14" w:rsidRPr="002E7684" w:rsidRDefault="00341B14" w:rsidP="002E7684">
      <w:pPr>
        <w:pStyle w:val="Prrafodelista"/>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Onwuli</w:t>
      </w:r>
      <w:proofErr w:type="spellEnd"/>
      <w:r w:rsidRPr="00DC0F1D">
        <w:rPr>
          <w:rFonts w:ascii="Times New Roman" w:hAnsi="Times New Roman" w:cs="Times New Roman"/>
          <w:lang w:val="es-MX"/>
        </w:rPr>
        <w:t xml:space="preserve">, D. O., </w:t>
      </w:r>
      <w:proofErr w:type="spellStart"/>
      <w:r w:rsidRPr="00DC0F1D">
        <w:rPr>
          <w:rFonts w:ascii="Times New Roman" w:hAnsi="Times New Roman" w:cs="Times New Roman"/>
          <w:lang w:val="es-MX"/>
        </w:rPr>
        <w:t>Igwe</w:t>
      </w:r>
      <w:proofErr w:type="spellEnd"/>
      <w:r w:rsidRPr="00DC0F1D">
        <w:rPr>
          <w:rFonts w:ascii="Times New Roman" w:hAnsi="Times New Roman" w:cs="Times New Roman"/>
          <w:lang w:val="es-MX"/>
        </w:rPr>
        <w:t xml:space="preserve">, P. O., &amp; </w:t>
      </w:r>
      <w:proofErr w:type="spellStart"/>
      <w:r w:rsidRPr="00DC0F1D">
        <w:rPr>
          <w:rFonts w:ascii="Times New Roman" w:hAnsi="Times New Roman" w:cs="Times New Roman"/>
          <w:lang w:val="es-MX"/>
        </w:rPr>
        <w:t>Tamuno-Emine</w:t>
      </w:r>
      <w:proofErr w:type="spellEnd"/>
      <w:r w:rsidRPr="00DC0F1D">
        <w:rPr>
          <w:rFonts w:ascii="Times New Roman" w:hAnsi="Times New Roman" w:cs="Times New Roman"/>
          <w:lang w:val="es-MX"/>
        </w:rPr>
        <w:t xml:space="preserve">, D. G. (2025). </w:t>
      </w:r>
      <w:r w:rsidRPr="002E7684">
        <w:rPr>
          <w:rFonts w:ascii="Times New Roman" w:hAnsi="Times New Roman" w:cs="Times New Roman"/>
        </w:rPr>
        <w:t>Spatial Variation of Heavy Metals Content in Bitter Leaf (</w:t>
      </w:r>
      <w:r w:rsidRPr="007428BB">
        <w:rPr>
          <w:rFonts w:ascii="Times New Roman" w:hAnsi="Times New Roman" w:cs="Times New Roman"/>
          <w:i/>
          <w:color w:val="FF0000"/>
        </w:rPr>
        <w:t>Vernonia amygdalina</w:t>
      </w:r>
      <w:r w:rsidRPr="002E7684">
        <w:rPr>
          <w:rFonts w:ascii="Times New Roman" w:hAnsi="Times New Roman" w:cs="Times New Roman"/>
        </w:rPr>
        <w:t xml:space="preserve">) in Port Harcourt and Human Health </w:t>
      </w:r>
      <w:r w:rsidRPr="002E7684">
        <w:rPr>
          <w:rFonts w:ascii="Times New Roman" w:hAnsi="Times New Roman" w:cs="Times New Roman"/>
        </w:rPr>
        <w:lastRenderedPageBreak/>
        <w:t xml:space="preserve">Risk Assessment. European Journal of Nutrition &amp; Food Safety, 17(12), 149-157. </w:t>
      </w:r>
      <w:hyperlink r:id="rId19" w:history="1">
        <w:r w:rsidRPr="002E7684">
          <w:rPr>
            <w:rStyle w:val="Hipervnculo"/>
            <w:rFonts w:ascii="Times New Roman" w:hAnsi="Times New Roman" w:cs="Times New Roman"/>
          </w:rPr>
          <w:t>https://doi.org/10.9734/ejnfs/2025/v17i121921</w:t>
        </w:r>
      </w:hyperlink>
    </w:p>
    <w:p w14:paraId="2ED302A8" w14:textId="77777777" w:rsidR="00341B14" w:rsidRPr="00C015D7" w:rsidRDefault="00341B14" w:rsidP="00341B14">
      <w:pPr>
        <w:jc w:val="both"/>
        <w:rPr>
          <w:rFonts w:ascii="Times New Roman" w:hAnsi="Times New Roman" w:cs="Times New Roman"/>
          <w:sz w:val="8"/>
          <w:szCs w:val="8"/>
        </w:rPr>
      </w:pPr>
    </w:p>
    <w:p w14:paraId="7019C3F1" w14:textId="110034F0" w:rsidR="00341B14" w:rsidRPr="002E7684" w:rsidRDefault="00341B14" w:rsidP="002E7684">
      <w:pPr>
        <w:pStyle w:val="Prrafodelista"/>
        <w:numPr>
          <w:ilvl w:val="0"/>
          <w:numId w:val="4"/>
        </w:numPr>
        <w:jc w:val="both"/>
        <w:rPr>
          <w:rFonts w:ascii="Times New Roman" w:hAnsi="Times New Roman" w:cs="Times New Roman"/>
        </w:rPr>
      </w:pPr>
      <w:r w:rsidRPr="002E7684">
        <w:rPr>
          <w:rFonts w:ascii="Times New Roman" w:hAnsi="Times New Roman" w:cs="Times New Roman"/>
        </w:rPr>
        <w:t xml:space="preserve">Shagufta, K., </w:t>
      </w:r>
      <w:proofErr w:type="spellStart"/>
      <w:r w:rsidRPr="002E7684">
        <w:rPr>
          <w:rFonts w:ascii="Times New Roman" w:hAnsi="Times New Roman" w:cs="Times New Roman"/>
        </w:rPr>
        <w:t>Sumbel</w:t>
      </w:r>
      <w:proofErr w:type="spellEnd"/>
      <w:r w:rsidRPr="002E7684">
        <w:rPr>
          <w:rFonts w:ascii="Times New Roman" w:hAnsi="Times New Roman" w:cs="Times New Roman"/>
        </w:rPr>
        <w:t>, M., Farwa, B., Kanwal, R., Muhammed, S., &amp;Hamid, A (2025). Metabolomics of heavy metal exposure. Advanced Clinical Chemistry, 128:109-154</w:t>
      </w:r>
    </w:p>
    <w:p w14:paraId="277ED762" w14:textId="77777777" w:rsidR="00341B14" w:rsidRPr="00C015D7" w:rsidRDefault="00341B14" w:rsidP="00341B14">
      <w:pPr>
        <w:jc w:val="both"/>
        <w:rPr>
          <w:rFonts w:ascii="Times New Roman" w:hAnsi="Times New Roman" w:cs="Times New Roman"/>
        </w:rPr>
      </w:pPr>
    </w:p>
    <w:p w14:paraId="4819948E" w14:textId="392AA962" w:rsidR="00341B14" w:rsidRPr="002E7684" w:rsidRDefault="00341B14" w:rsidP="002E7684">
      <w:pPr>
        <w:pStyle w:val="Prrafodelista"/>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Udo</w:t>
      </w:r>
      <w:proofErr w:type="spellEnd"/>
      <w:r w:rsidRPr="00DC0F1D">
        <w:rPr>
          <w:rFonts w:ascii="Times New Roman" w:hAnsi="Times New Roman" w:cs="Times New Roman"/>
          <w:lang w:val="es-MX"/>
        </w:rPr>
        <w:t xml:space="preserve">, I. U., &amp; </w:t>
      </w:r>
      <w:proofErr w:type="spellStart"/>
      <w:r w:rsidRPr="00DC0F1D">
        <w:rPr>
          <w:rFonts w:ascii="Times New Roman" w:hAnsi="Times New Roman" w:cs="Times New Roman"/>
          <w:lang w:val="es-MX"/>
        </w:rPr>
        <w:t>Udoh</w:t>
      </w:r>
      <w:proofErr w:type="spellEnd"/>
      <w:r w:rsidRPr="00DC0F1D">
        <w:rPr>
          <w:rFonts w:ascii="Times New Roman" w:hAnsi="Times New Roman" w:cs="Times New Roman"/>
          <w:lang w:val="es-MX"/>
        </w:rPr>
        <w:t xml:space="preserve">, A. P. (2014). </w:t>
      </w:r>
      <w:r w:rsidRPr="002E7684">
        <w:rPr>
          <w:rFonts w:ascii="Times New Roman" w:hAnsi="Times New Roman" w:cs="Times New Roman"/>
        </w:rPr>
        <w:t xml:space="preserve">Levels of heavy metals in periwinkle from the Iko River, Akwa Ibom State, Nigeria. </w:t>
      </w:r>
      <w:r w:rsidRPr="002E7684">
        <w:rPr>
          <w:rFonts w:ascii="Times New Roman" w:hAnsi="Times New Roman" w:cs="Times New Roman"/>
          <w:i/>
          <w:iCs/>
        </w:rPr>
        <w:t>International Journal of Fisheries and Aquaculture</w:t>
      </w:r>
      <w:r w:rsidRPr="002E7684">
        <w:rPr>
          <w:rFonts w:ascii="Times New Roman" w:hAnsi="Times New Roman" w:cs="Times New Roman"/>
        </w:rPr>
        <w:t>, 6(4), 40–46.</w:t>
      </w:r>
    </w:p>
    <w:p w14:paraId="1864F024" w14:textId="77777777" w:rsidR="00341B14" w:rsidRPr="00C015D7" w:rsidRDefault="00341B14" w:rsidP="002E7684">
      <w:pPr>
        <w:numPr>
          <w:ilvl w:val="0"/>
          <w:numId w:val="4"/>
        </w:numPr>
        <w:jc w:val="both"/>
        <w:rPr>
          <w:rFonts w:ascii="Times New Roman" w:hAnsi="Times New Roman" w:cs="Times New Roman"/>
        </w:rPr>
      </w:pPr>
      <w:r w:rsidRPr="00C015D7">
        <w:rPr>
          <w:rFonts w:ascii="Times New Roman" w:hAnsi="Times New Roman" w:cs="Times New Roman"/>
        </w:rPr>
        <w:t xml:space="preserve">U.S. Environmental Protection Agency. (2004). Risk Assessment Guidance for Superfund: Volume I - Human Health Evaluation Manual (Part E, Supplemental Guidance for Dermal Risk Assessment). </w:t>
      </w:r>
      <w:hyperlink r:id="rId20" w:history="1">
        <w:r w:rsidRPr="00C015D7">
          <w:rPr>
            <w:rStyle w:val="Hipervnculo"/>
            <w:rFonts w:ascii="Times New Roman" w:hAnsi="Times New Roman" w:cs="Times New Roman"/>
          </w:rPr>
          <w:t>https://www.epa.gov/superfund/risk-assessment-guidance-superfund-rags-part-e</w:t>
        </w:r>
      </w:hyperlink>
    </w:p>
    <w:p w14:paraId="2FDAABBA" w14:textId="240F9638"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World Health </w:t>
      </w:r>
      <w:r w:rsidR="007428BB" w:rsidRPr="007428BB">
        <w:rPr>
          <w:rFonts w:ascii="Times New Roman" w:hAnsi="Times New Roman" w:cs="Times New Roman"/>
          <w:color w:val="FF0000"/>
        </w:rPr>
        <w:t>Organization</w:t>
      </w:r>
      <w:r w:rsidRPr="007428BB">
        <w:rPr>
          <w:rFonts w:ascii="Times New Roman" w:hAnsi="Times New Roman" w:cs="Times New Roman"/>
          <w:color w:val="FF0000"/>
        </w:rPr>
        <w:t>.</w:t>
      </w:r>
      <w:r w:rsidRPr="00C015D7">
        <w:rPr>
          <w:rFonts w:ascii="Times New Roman" w:hAnsi="Times New Roman" w:cs="Times New Roman"/>
        </w:rPr>
        <w:t xml:space="preserve"> (2019). Arsenic in drinking-water: background document for development of WHO guidelines for drinking-water quality. Geneva.</w:t>
      </w:r>
    </w:p>
    <w:p w14:paraId="72FAC573" w14:textId="32C4C25F" w:rsidR="00341B14" w:rsidRPr="002E7684" w:rsidRDefault="00341B14" w:rsidP="002E7684">
      <w:pPr>
        <w:pStyle w:val="Prrafodelista"/>
        <w:numPr>
          <w:ilvl w:val="0"/>
          <w:numId w:val="4"/>
        </w:numPr>
        <w:jc w:val="both"/>
        <w:rPr>
          <w:rFonts w:ascii="Times New Roman" w:hAnsi="Times New Roman" w:cs="Times New Roman"/>
        </w:rPr>
      </w:pPr>
      <w:proofErr w:type="spellStart"/>
      <w:r w:rsidRPr="00DC0F1D">
        <w:rPr>
          <w:rFonts w:ascii="Times New Roman" w:hAnsi="Times New Roman" w:cs="Times New Roman"/>
          <w:lang w:val="es-MX"/>
        </w:rPr>
        <w:t>Udiba</w:t>
      </w:r>
      <w:proofErr w:type="spellEnd"/>
      <w:r w:rsidRPr="00DC0F1D">
        <w:rPr>
          <w:rFonts w:ascii="Times New Roman" w:hAnsi="Times New Roman" w:cs="Times New Roman"/>
          <w:lang w:val="es-MX"/>
        </w:rPr>
        <w:t xml:space="preserve">, U. U., </w:t>
      </w:r>
      <w:proofErr w:type="spellStart"/>
      <w:r w:rsidRPr="00DC0F1D">
        <w:rPr>
          <w:rFonts w:ascii="Times New Roman" w:hAnsi="Times New Roman" w:cs="Times New Roman"/>
          <w:lang w:val="es-MX"/>
        </w:rPr>
        <w:t>Udofia</w:t>
      </w:r>
      <w:proofErr w:type="spellEnd"/>
      <w:r w:rsidRPr="00DC0F1D">
        <w:rPr>
          <w:rFonts w:ascii="Times New Roman" w:hAnsi="Times New Roman" w:cs="Times New Roman"/>
          <w:lang w:val="es-MX"/>
        </w:rPr>
        <w:t xml:space="preserve">, U. U., &amp; </w:t>
      </w:r>
      <w:proofErr w:type="spellStart"/>
      <w:r w:rsidRPr="00DC0F1D">
        <w:rPr>
          <w:rFonts w:ascii="Times New Roman" w:hAnsi="Times New Roman" w:cs="Times New Roman"/>
          <w:lang w:val="es-MX"/>
        </w:rPr>
        <w:t>Akpan</w:t>
      </w:r>
      <w:proofErr w:type="spellEnd"/>
      <w:r w:rsidRPr="00DC0F1D">
        <w:rPr>
          <w:rFonts w:ascii="Times New Roman" w:hAnsi="Times New Roman" w:cs="Times New Roman"/>
          <w:lang w:val="es-MX"/>
        </w:rPr>
        <w:t xml:space="preserve">, E. R. (2020). </w:t>
      </w:r>
      <w:r w:rsidRPr="002E7684">
        <w:rPr>
          <w:rFonts w:ascii="Times New Roman" w:hAnsi="Times New Roman" w:cs="Times New Roman"/>
        </w:rPr>
        <w:t>Concentration and Potential Human Health Hazards of Heavy Metals in Periwinkle (</w:t>
      </w:r>
      <w:proofErr w:type="spellStart"/>
      <w:r w:rsidRPr="007428BB">
        <w:rPr>
          <w:rFonts w:ascii="Times New Roman" w:hAnsi="Times New Roman" w:cs="Times New Roman"/>
          <w:i/>
          <w:color w:val="FF0000"/>
        </w:rPr>
        <w:t>Tympanotonus</w:t>
      </w:r>
      <w:proofErr w:type="spellEnd"/>
      <w:r w:rsidRPr="007428BB">
        <w:rPr>
          <w:rFonts w:ascii="Times New Roman" w:hAnsi="Times New Roman" w:cs="Times New Roman"/>
          <w:i/>
          <w:color w:val="FF0000"/>
        </w:rPr>
        <w:t xml:space="preserve"> </w:t>
      </w:r>
      <w:proofErr w:type="spellStart"/>
      <w:r w:rsidRPr="007428BB">
        <w:rPr>
          <w:rFonts w:ascii="Times New Roman" w:hAnsi="Times New Roman" w:cs="Times New Roman"/>
          <w:i/>
          <w:color w:val="FF0000"/>
        </w:rPr>
        <w:t>fuscatus</w:t>
      </w:r>
      <w:proofErr w:type="spellEnd"/>
      <w:r w:rsidRPr="002E7684">
        <w:rPr>
          <w:rFonts w:ascii="Times New Roman" w:hAnsi="Times New Roman" w:cs="Times New Roman"/>
        </w:rPr>
        <w:t xml:space="preserve">) Purchased from Major Markets in Calabar, Nigeria. Journal of Health &amp; Pollution, 10(28), Article ID 201206. </w:t>
      </w:r>
      <w:hyperlink r:id="rId21" w:history="1">
        <w:r w:rsidRPr="002E7684">
          <w:rPr>
            <w:rStyle w:val="Hipervnculo"/>
            <w:rFonts w:ascii="Times New Roman" w:hAnsi="Times New Roman" w:cs="Times New Roman"/>
          </w:rPr>
          <w:t>https://doi.org/10.5696/2156-9614-10.28.201206</w:t>
        </w:r>
      </w:hyperlink>
      <w:r w:rsidRPr="002E7684">
        <w:rPr>
          <w:rFonts w:ascii="Times New Roman" w:hAnsi="Times New Roman" w:cs="Times New Roman"/>
        </w:rPr>
        <w:t>.</w:t>
      </w:r>
    </w:p>
    <w:p w14:paraId="1975C68A" w14:textId="685BFA40" w:rsidR="00341B14" w:rsidRPr="00C015D7" w:rsidRDefault="00341B14" w:rsidP="002E7684">
      <w:pPr>
        <w:numPr>
          <w:ilvl w:val="0"/>
          <w:numId w:val="4"/>
        </w:numPr>
        <w:jc w:val="both"/>
        <w:rPr>
          <w:rFonts w:ascii="Times New Roman" w:hAnsi="Times New Roman" w:cs="Times New Roman"/>
        </w:rPr>
      </w:pPr>
      <w:r w:rsidRPr="00C015D7">
        <w:rPr>
          <w:rFonts w:ascii="Times New Roman" w:hAnsi="Times New Roman" w:cs="Times New Roman"/>
        </w:rPr>
        <w:t xml:space="preserve">Ziwei, P., </w:t>
      </w:r>
      <w:r w:rsidRPr="007428BB">
        <w:rPr>
          <w:rFonts w:ascii="Times New Roman" w:hAnsi="Times New Roman" w:cs="Times New Roman"/>
          <w:color w:val="FF0000"/>
        </w:rPr>
        <w:t>Tingyu, G., &amp;</w:t>
      </w:r>
      <w:r w:rsidR="007428BB" w:rsidRPr="007428BB">
        <w:rPr>
          <w:rFonts w:ascii="Times New Roman" w:hAnsi="Times New Roman" w:cs="Times New Roman"/>
          <w:color w:val="FF0000"/>
        </w:rPr>
        <w:t xml:space="preserve"> </w:t>
      </w:r>
      <w:r w:rsidRPr="007428BB">
        <w:rPr>
          <w:rFonts w:ascii="Times New Roman" w:hAnsi="Times New Roman" w:cs="Times New Roman"/>
          <w:color w:val="FF0000"/>
        </w:rPr>
        <w:t>Ping</w:t>
      </w:r>
      <w:r w:rsidRPr="00C015D7">
        <w:rPr>
          <w:rFonts w:ascii="Times New Roman" w:hAnsi="Times New Roman" w:cs="Times New Roman"/>
        </w:rPr>
        <w:t>, L (2024). Heavy metals exposure and cardiovascular disease. Circulation Research, 134(9):1160-1178.</w:t>
      </w:r>
    </w:p>
    <w:p w14:paraId="564E560D" w14:textId="77777777" w:rsidR="00341B14" w:rsidRPr="00540CDE" w:rsidRDefault="00341B14" w:rsidP="00341B14">
      <w:pPr>
        <w:jc w:val="both"/>
        <w:rPr>
          <w:rFonts w:ascii="Times New Roman" w:hAnsi="Times New Roman" w:cs="Times New Roman"/>
        </w:rPr>
      </w:pPr>
    </w:p>
    <w:p w14:paraId="20155AD0" w14:textId="18E5F5FF" w:rsidR="0031669E" w:rsidRPr="00341B14" w:rsidRDefault="0031669E" w:rsidP="00341B14"/>
    <w:sectPr w:rsidR="0031669E" w:rsidRPr="00341B1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40E97" w14:textId="77777777" w:rsidR="00425783" w:rsidRDefault="00425783" w:rsidP="000E518A">
      <w:pPr>
        <w:spacing w:after="0" w:line="240" w:lineRule="auto"/>
      </w:pPr>
      <w:r>
        <w:separator/>
      </w:r>
    </w:p>
  </w:endnote>
  <w:endnote w:type="continuationSeparator" w:id="0">
    <w:p w14:paraId="6AC5BDB9" w14:textId="77777777" w:rsidR="00425783" w:rsidRDefault="00425783" w:rsidP="000E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C082" w14:textId="77777777" w:rsidR="000E518A" w:rsidRDefault="000E51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AD6" w14:textId="77777777" w:rsidR="000E518A" w:rsidRDefault="000E51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0BD7" w14:textId="77777777" w:rsidR="000E518A" w:rsidRDefault="000E51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E5B2B" w14:textId="77777777" w:rsidR="00425783" w:rsidRDefault="00425783" w:rsidP="000E518A">
      <w:pPr>
        <w:spacing w:after="0" w:line="240" w:lineRule="auto"/>
      </w:pPr>
      <w:r>
        <w:separator/>
      </w:r>
    </w:p>
  </w:footnote>
  <w:footnote w:type="continuationSeparator" w:id="0">
    <w:p w14:paraId="4A0EE81F" w14:textId="77777777" w:rsidR="00425783" w:rsidRDefault="00425783" w:rsidP="000E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ADE0" w14:textId="1ED1AC57" w:rsidR="000E518A" w:rsidRDefault="005D057E">
    <w:pPr>
      <w:pStyle w:val="Encabezado"/>
    </w:pPr>
    <w:r>
      <w:rPr>
        <w:noProof/>
      </w:rPr>
      <w:pict w14:anchorId="4B62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877A" w14:textId="45B255BB" w:rsidR="000E518A" w:rsidRDefault="005D057E">
    <w:pPr>
      <w:pStyle w:val="Encabezado"/>
    </w:pPr>
    <w:r>
      <w:rPr>
        <w:noProof/>
      </w:rPr>
      <w:pict w14:anchorId="2197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A337" w14:textId="588E2216" w:rsidR="000E518A" w:rsidRDefault="005D057E">
    <w:pPr>
      <w:pStyle w:val="Encabezado"/>
    </w:pPr>
    <w:r>
      <w:rPr>
        <w:noProof/>
      </w:rPr>
      <w:pict w14:anchorId="521DB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3856"/>
    <w:multiLevelType w:val="hybridMultilevel"/>
    <w:tmpl w:val="DCD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6835"/>
    <w:multiLevelType w:val="multilevel"/>
    <w:tmpl w:val="30AA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B5EE2"/>
    <w:multiLevelType w:val="multilevel"/>
    <w:tmpl w:val="950E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E3992"/>
    <w:multiLevelType w:val="multilevel"/>
    <w:tmpl w:val="9896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E3E32"/>
    <w:multiLevelType w:val="hybridMultilevel"/>
    <w:tmpl w:val="FED00266"/>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223B4"/>
    <w:multiLevelType w:val="multilevel"/>
    <w:tmpl w:val="ACEA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15ACA"/>
    <w:multiLevelType w:val="multilevel"/>
    <w:tmpl w:val="932EC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D1599"/>
    <w:multiLevelType w:val="multilevel"/>
    <w:tmpl w:val="7DDE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07DFE"/>
    <w:multiLevelType w:val="multilevel"/>
    <w:tmpl w:val="A5F8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230F62"/>
    <w:multiLevelType w:val="multilevel"/>
    <w:tmpl w:val="97BA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624B5"/>
    <w:multiLevelType w:val="multilevel"/>
    <w:tmpl w:val="CE98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343F2"/>
    <w:multiLevelType w:val="multilevel"/>
    <w:tmpl w:val="A5148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0"/>
  </w:num>
  <w:num w:numId="4">
    <w:abstractNumId w:val="6"/>
  </w:num>
  <w:num w:numId="5">
    <w:abstractNumId w:val="8"/>
  </w:num>
  <w:num w:numId="6">
    <w:abstractNumId w:val="3"/>
  </w:num>
  <w:num w:numId="7">
    <w:abstractNumId w:val="10"/>
  </w:num>
  <w:num w:numId="8">
    <w:abstractNumId w:val="5"/>
  </w:num>
  <w:num w:numId="9">
    <w:abstractNumId w:val="2"/>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1E"/>
    <w:rsid w:val="00004B3D"/>
    <w:rsid w:val="00017AF7"/>
    <w:rsid w:val="000223B5"/>
    <w:rsid w:val="00033041"/>
    <w:rsid w:val="000357A5"/>
    <w:rsid w:val="00042BA4"/>
    <w:rsid w:val="00062416"/>
    <w:rsid w:val="0007480E"/>
    <w:rsid w:val="000B07D3"/>
    <w:rsid w:val="000E518A"/>
    <w:rsid w:val="0010786A"/>
    <w:rsid w:val="0011558C"/>
    <w:rsid w:val="0016524D"/>
    <w:rsid w:val="001C1A70"/>
    <w:rsid w:val="001E658A"/>
    <w:rsid w:val="001F5727"/>
    <w:rsid w:val="00244BF5"/>
    <w:rsid w:val="00292AA8"/>
    <w:rsid w:val="002C2B4E"/>
    <w:rsid w:val="002C2D6F"/>
    <w:rsid w:val="002C3B26"/>
    <w:rsid w:val="002E7684"/>
    <w:rsid w:val="002F7637"/>
    <w:rsid w:val="003103DF"/>
    <w:rsid w:val="0031669E"/>
    <w:rsid w:val="003264A9"/>
    <w:rsid w:val="003304E5"/>
    <w:rsid w:val="00341B14"/>
    <w:rsid w:val="0034788F"/>
    <w:rsid w:val="00350AF1"/>
    <w:rsid w:val="0035265B"/>
    <w:rsid w:val="0035317A"/>
    <w:rsid w:val="003A0F31"/>
    <w:rsid w:val="00425783"/>
    <w:rsid w:val="00427E13"/>
    <w:rsid w:val="00450DE3"/>
    <w:rsid w:val="00452D52"/>
    <w:rsid w:val="00455DD8"/>
    <w:rsid w:val="00477229"/>
    <w:rsid w:val="00487178"/>
    <w:rsid w:val="00490118"/>
    <w:rsid w:val="004A1750"/>
    <w:rsid w:val="004D0850"/>
    <w:rsid w:val="005032EC"/>
    <w:rsid w:val="005375FF"/>
    <w:rsid w:val="005447ED"/>
    <w:rsid w:val="00572A5F"/>
    <w:rsid w:val="00592F53"/>
    <w:rsid w:val="005A5EB1"/>
    <w:rsid w:val="005C5CE8"/>
    <w:rsid w:val="005D057E"/>
    <w:rsid w:val="005D4D5E"/>
    <w:rsid w:val="00646D8B"/>
    <w:rsid w:val="006744D5"/>
    <w:rsid w:val="00693316"/>
    <w:rsid w:val="006A0D8C"/>
    <w:rsid w:val="006B0FB8"/>
    <w:rsid w:val="006E13ED"/>
    <w:rsid w:val="006E6447"/>
    <w:rsid w:val="00726DB5"/>
    <w:rsid w:val="00737287"/>
    <w:rsid w:val="007428BB"/>
    <w:rsid w:val="00796822"/>
    <w:rsid w:val="007C70B4"/>
    <w:rsid w:val="0080264A"/>
    <w:rsid w:val="00804D51"/>
    <w:rsid w:val="00817E5B"/>
    <w:rsid w:val="00886FB2"/>
    <w:rsid w:val="008B46F8"/>
    <w:rsid w:val="00911BDE"/>
    <w:rsid w:val="009455DC"/>
    <w:rsid w:val="00946DFA"/>
    <w:rsid w:val="00981E7C"/>
    <w:rsid w:val="009A60EA"/>
    <w:rsid w:val="009E3A50"/>
    <w:rsid w:val="009F6365"/>
    <w:rsid w:val="00A50362"/>
    <w:rsid w:val="00A60272"/>
    <w:rsid w:val="00A86B1E"/>
    <w:rsid w:val="00AA158F"/>
    <w:rsid w:val="00AB3B6B"/>
    <w:rsid w:val="00AB5639"/>
    <w:rsid w:val="00AC7803"/>
    <w:rsid w:val="00AD4313"/>
    <w:rsid w:val="00AF5351"/>
    <w:rsid w:val="00B20890"/>
    <w:rsid w:val="00B235C3"/>
    <w:rsid w:val="00B93376"/>
    <w:rsid w:val="00BA288A"/>
    <w:rsid w:val="00BF4578"/>
    <w:rsid w:val="00C710A0"/>
    <w:rsid w:val="00C74110"/>
    <w:rsid w:val="00C8733D"/>
    <w:rsid w:val="00C90079"/>
    <w:rsid w:val="00C91B4E"/>
    <w:rsid w:val="00CA4520"/>
    <w:rsid w:val="00CB2691"/>
    <w:rsid w:val="00CC7903"/>
    <w:rsid w:val="00CD0B8D"/>
    <w:rsid w:val="00CD67E4"/>
    <w:rsid w:val="00CF5DB7"/>
    <w:rsid w:val="00D06BAB"/>
    <w:rsid w:val="00D42E46"/>
    <w:rsid w:val="00D439DC"/>
    <w:rsid w:val="00D729D2"/>
    <w:rsid w:val="00DC0F1D"/>
    <w:rsid w:val="00E24C97"/>
    <w:rsid w:val="00E54586"/>
    <w:rsid w:val="00E54871"/>
    <w:rsid w:val="00EE70A5"/>
    <w:rsid w:val="00EE7AB4"/>
    <w:rsid w:val="00F649FD"/>
    <w:rsid w:val="00F9760C"/>
    <w:rsid w:val="00FC0297"/>
    <w:rsid w:val="00FC4BA1"/>
    <w:rsid w:val="00FE50C5"/>
    <w:rsid w:val="00FE53BD"/>
    <w:rsid w:val="00FF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5E0F"/>
  <w15:chartTrackingRefBased/>
  <w15:docId w15:val="{EB82F3EB-1557-4E8F-8CCE-3CA9AC24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B14"/>
  </w:style>
  <w:style w:type="paragraph" w:styleId="Ttulo1">
    <w:name w:val="heading 1"/>
    <w:basedOn w:val="Normal"/>
    <w:next w:val="Normal"/>
    <w:link w:val="Ttulo1Car"/>
    <w:uiPriority w:val="9"/>
    <w:qFormat/>
    <w:rsid w:val="00A86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A8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86B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86B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86B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86B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6B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6B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6B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B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A86B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86B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86B1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86B1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86B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6B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6B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6B1E"/>
    <w:rPr>
      <w:rFonts w:eastAsiaTheme="majorEastAsia" w:cstheme="majorBidi"/>
      <w:color w:val="272727" w:themeColor="text1" w:themeTint="D8"/>
    </w:rPr>
  </w:style>
  <w:style w:type="paragraph" w:styleId="Ttulo">
    <w:name w:val="Title"/>
    <w:basedOn w:val="Normal"/>
    <w:next w:val="Normal"/>
    <w:link w:val="TtuloCar"/>
    <w:uiPriority w:val="10"/>
    <w:qFormat/>
    <w:rsid w:val="00A8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6B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6B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6B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6B1E"/>
    <w:pPr>
      <w:spacing w:before="160"/>
      <w:jc w:val="center"/>
    </w:pPr>
    <w:rPr>
      <w:i/>
      <w:iCs/>
      <w:color w:val="404040" w:themeColor="text1" w:themeTint="BF"/>
    </w:rPr>
  </w:style>
  <w:style w:type="character" w:customStyle="1" w:styleId="CitaCar">
    <w:name w:val="Cita Car"/>
    <w:basedOn w:val="Fuentedeprrafopredeter"/>
    <w:link w:val="Cita"/>
    <w:uiPriority w:val="29"/>
    <w:rsid w:val="00A86B1E"/>
    <w:rPr>
      <w:i/>
      <w:iCs/>
      <w:color w:val="404040" w:themeColor="text1" w:themeTint="BF"/>
    </w:rPr>
  </w:style>
  <w:style w:type="paragraph" w:styleId="Prrafodelista">
    <w:name w:val="List Paragraph"/>
    <w:basedOn w:val="Normal"/>
    <w:uiPriority w:val="34"/>
    <w:qFormat/>
    <w:rsid w:val="00A86B1E"/>
    <w:pPr>
      <w:ind w:left="720"/>
      <w:contextualSpacing/>
    </w:pPr>
  </w:style>
  <w:style w:type="character" w:styleId="nfasisintenso">
    <w:name w:val="Intense Emphasis"/>
    <w:basedOn w:val="Fuentedeprrafopredeter"/>
    <w:uiPriority w:val="21"/>
    <w:qFormat/>
    <w:rsid w:val="00A86B1E"/>
    <w:rPr>
      <w:i/>
      <w:iCs/>
      <w:color w:val="2F5496" w:themeColor="accent1" w:themeShade="BF"/>
    </w:rPr>
  </w:style>
  <w:style w:type="paragraph" w:styleId="Citadestacada">
    <w:name w:val="Intense Quote"/>
    <w:basedOn w:val="Normal"/>
    <w:next w:val="Normal"/>
    <w:link w:val="CitadestacadaCar"/>
    <w:uiPriority w:val="30"/>
    <w:qFormat/>
    <w:rsid w:val="00A8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86B1E"/>
    <w:rPr>
      <w:i/>
      <w:iCs/>
      <w:color w:val="2F5496" w:themeColor="accent1" w:themeShade="BF"/>
    </w:rPr>
  </w:style>
  <w:style w:type="character" w:styleId="Referenciaintensa">
    <w:name w:val="Intense Reference"/>
    <w:basedOn w:val="Fuentedeprrafopredeter"/>
    <w:uiPriority w:val="32"/>
    <w:qFormat/>
    <w:rsid w:val="00A86B1E"/>
    <w:rPr>
      <w:b/>
      <w:bCs/>
      <w:smallCaps/>
      <w:color w:val="2F5496" w:themeColor="accent1" w:themeShade="BF"/>
      <w:spacing w:val="5"/>
    </w:rPr>
  </w:style>
  <w:style w:type="paragraph" w:styleId="Sinespaciado">
    <w:name w:val="No Spacing"/>
    <w:uiPriority w:val="1"/>
    <w:qFormat/>
    <w:rsid w:val="00A86B1E"/>
    <w:pPr>
      <w:spacing w:after="0" w:line="240" w:lineRule="auto"/>
    </w:pPr>
    <w:rPr>
      <w:rFonts w:ascii="Calibri" w:eastAsia="SimSun" w:hAnsi="Calibri" w:cs="Times New Roman"/>
      <w:kern w:val="0"/>
      <w:sz w:val="22"/>
      <w:szCs w:val="22"/>
      <w:lang w:eastAsia="zh-CN"/>
      <w14:ligatures w14:val="none"/>
    </w:rPr>
  </w:style>
  <w:style w:type="character" w:styleId="nfasis">
    <w:name w:val="Emphasis"/>
    <w:uiPriority w:val="20"/>
    <w:qFormat/>
    <w:rsid w:val="00A86B1E"/>
    <w:rPr>
      <w:i/>
      <w:iCs/>
    </w:rPr>
  </w:style>
  <w:style w:type="paragraph" w:styleId="NormalWeb">
    <w:name w:val="Normal (Web)"/>
    <w:basedOn w:val="Normal"/>
    <w:uiPriority w:val="99"/>
    <w:qFormat/>
    <w:rsid w:val="00A86B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uiPriority w:val="22"/>
    <w:qFormat/>
    <w:rsid w:val="00A86B1E"/>
    <w:rPr>
      <w:b/>
      <w:bCs/>
    </w:rPr>
  </w:style>
  <w:style w:type="table" w:styleId="Tablaconcuadrcula">
    <w:name w:val="Table Grid"/>
    <w:basedOn w:val="Tablanormal"/>
    <w:uiPriority w:val="39"/>
    <w:rsid w:val="00B9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32EC"/>
    <w:rPr>
      <w:sz w:val="16"/>
      <w:szCs w:val="16"/>
    </w:rPr>
  </w:style>
  <w:style w:type="paragraph" w:styleId="Textocomentario">
    <w:name w:val="annotation text"/>
    <w:basedOn w:val="Normal"/>
    <w:link w:val="TextocomentarioCar"/>
    <w:uiPriority w:val="99"/>
    <w:semiHidden/>
    <w:unhideWhenUsed/>
    <w:rsid w:val="005032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32EC"/>
    <w:rPr>
      <w:sz w:val="20"/>
      <w:szCs w:val="20"/>
    </w:rPr>
  </w:style>
  <w:style w:type="paragraph" w:styleId="Asuntodelcomentario">
    <w:name w:val="annotation subject"/>
    <w:basedOn w:val="Textocomentario"/>
    <w:next w:val="Textocomentario"/>
    <w:link w:val="AsuntodelcomentarioCar"/>
    <w:uiPriority w:val="99"/>
    <w:semiHidden/>
    <w:unhideWhenUsed/>
    <w:rsid w:val="005032EC"/>
    <w:rPr>
      <w:b/>
      <w:bCs/>
    </w:rPr>
  </w:style>
  <w:style w:type="character" w:customStyle="1" w:styleId="AsuntodelcomentarioCar">
    <w:name w:val="Asunto del comentario Car"/>
    <w:basedOn w:val="TextocomentarioCar"/>
    <w:link w:val="Asuntodelcomentario"/>
    <w:uiPriority w:val="99"/>
    <w:semiHidden/>
    <w:rsid w:val="005032EC"/>
    <w:rPr>
      <w:b/>
      <w:bCs/>
      <w:sz w:val="20"/>
      <w:szCs w:val="20"/>
    </w:rPr>
  </w:style>
  <w:style w:type="character" w:styleId="Hipervnculo">
    <w:name w:val="Hyperlink"/>
    <w:basedOn w:val="Fuentedeprrafopredeter"/>
    <w:uiPriority w:val="99"/>
    <w:unhideWhenUsed/>
    <w:rsid w:val="00D06BAB"/>
    <w:rPr>
      <w:color w:val="0563C1" w:themeColor="hyperlink"/>
      <w:u w:val="single"/>
    </w:rPr>
  </w:style>
  <w:style w:type="character" w:styleId="Mencinsinresolver">
    <w:name w:val="Unresolved Mention"/>
    <w:basedOn w:val="Fuentedeprrafopredeter"/>
    <w:uiPriority w:val="99"/>
    <w:semiHidden/>
    <w:unhideWhenUsed/>
    <w:rsid w:val="00D06BAB"/>
    <w:rPr>
      <w:color w:val="605E5C"/>
      <w:shd w:val="clear" w:color="auto" w:fill="E1DFDD"/>
    </w:rPr>
  </w:style>
  <w:style w:type="paragraph" w:styleId="Encabezado">
    <w:name w:val="header"/>
    <w:basedOn w:val="Normal"/>
    <w:link w:val="EncabezadoCar"/>
    <w:uiPriority w:val="99"/>
    <w:unhideWhenUsed/>
    <w:rsid w:val="000E51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E518A"/>
  </w:style>
  <w:style w:type="paragraph" w:styleId="Piedepgina">
    <w:name w:val="footer"/>
    <w:basedOn w:val="Normal"/>
    <w:link w:val="PiedepginaCar"/>
    <w:uiPriority w:val="99"/>
    <w:unhideWhenUsed/>
    <w:rsid w:val="000E51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dr.cdc.gov/toxprofiles/tp5.pdf" TargetMode="External"/><Relationship Id="rId13" Type="http://schemas.openxmlformats.org/officeDocument/2006/relationships/hyperlink" Target="https://publications.iarc.fr/Book-And-Report-Series/Iarc-Monographs-On-The-Identification-Of-Carcinogenic-Hazards-To-Humans/Arsenic-Metals-Fibres-And-Dusts-2012" TargetMode="External"/><Relationship Id="rId18" Type="http://schemas.openxmlformats.org/officeDocument/2006/relationships/hyperlink" Target="https://doi.org/10.22034/APJCP.2017.18.3.62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5696/2156-9614-10.28.201206" TargetMode="External"/><Relationship Id="rId7" Type="http://schemas.openxmlformats.org/officeDocument/2006/relationships/endnotes" Target="endnotes.xml"/><Relationship Id="rId12" Type="http://schemas.openxmlformats.org/officeDocument/2006/relationships/hyperlink" Target="https://monographs.iarc.fr/wp-content/uploads/2018/06/mono100C-8.pdf" TargetMode="External"/><Relationship Id="rId17" Type="http://schemas.openxmlformats.org/officeDocument/2006/relationships/hyperlink" Target="https://doi.org/10.5897/AJEST12.19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4297/JAC.V10I3.2291" TargetMode="External"/><Relationship Id="rId20" Type="http://schemas.openxmlformats.org/officeDocument/2006/relationships/hyperlink" Target="https://www.epa.gov/superfund/risk-assessment-guidance-superfund-rags-par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i1953e/i1953e.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1767/2473-6457.10001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897/AJB05.387" TargetMode="External"/><Relationship Id="rId19" Type="http://schemas.openxmlformats.org/officeDocument/2006/relationships/hyperlink" Target="https://doi.org/10.9734/ejnfs/2025/v17i121921" TargetMode="External"/><Relationship Id="rId4" Type="http://schemas.openxmlformats.org/officeDocument/2006/relationships/settings" Target="settings.xml"/><Relationship Id="rId9" Type="http://schemas.openxmlformats.org/officeDocument/2006/relationships/hyperlink" Target="https://www.atsdr.cdc.gov/toxprofiles/tp132.pdf" TargetMode="External"/><Relationship Id="rId14" Type="http://schemas.openxmlformats.org/officeDocument/2006/relationships/hyperlink" Target="https://doi.org/10.21767/2473-6457.10001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6CD7-1AC2-45BD-8A37-4EC50414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4731</Words>
  <Characters>26021</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JORGE CASTRO</cp:lastModifiedBy>
  <cp:revision>5</cp:revision>
  <cp:lastPrinted>2026-01-08T19:00:00Z</cp:lastPrinted>
  <dcterms:created xsi:type="dcterms:W3CDTF">2026-01-08T07:24:00Z</dcterms:created>
  <dcterms:modified xsi:type="dcterms:W3CDTF">2026-01-08T19:01:00Z</dcterms:modified>
</cp:coreProperties>
</file>