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36F4E" w14:textId="77777777" w:rsidR="00BE755B" w:rsidRPr="00BE755B" w:rsidRDefault="00BE755B" w:rsidP="00BE755B">
      <w:pPr>
        <w:jc w:val="center"/>
        <w:rPr>
          <w:rFonts w:ascii="Times New Roman" w:hAnsi="Times New Roman" w:cs="Times New Roman"/>
          <w:sz w:val="24"/>
          <w:szCs w:val="24"/>
        </w:rPr>
      </w:pPr>
      <w:r w:rsidRPr="00BE755B">
        <w:rPr>
          <w:rFonts w:ascii="Times New Roman" w:hAnsi="Times New Roman" w:cs="Times New Roman"/>
          <w:b/>
          <w:bCs/>
          <w:sz w:val="24"/>
          <w:szCs w:val="24"/>
        </w:rPr>
        <w:t>STRATEGIC DESIGN FOR TERMINAL PLANNING IN DOLOKSANGGUL, HUMBANG HASUNDUTAN REGENCY</w:t>
      </w:r>
    </w:p>
    <w:p w14:paraId="172CC289" w14:textId="04DC4074" w:rsidR="00BE755B" w:rsidRPr="00BE755B" w:rsidRDefault="00BE755B" w:rsidP="00BE755B">
      <w:pPr>
        <w:rPr>
          <w:rFonts w:ascii="Times New Roman" w:hAnsi="Times New Roman" w:cs="Times New Roman"/>
          <w:sz w:val="24"/>
          <w:szCs w:val="24"/>
        </w:rPr>
      </w:pPr>
    </w:p>
    <w:p w14:paraId="2B2FB300" w14:textId="77777777" w:rsidR="00BE755B" w:rsidRPr="00BE755B" w:rsidRDefault="00BE755B" w:rsidP="00BE755B">
      <w:pPr>
        <w:rPr>
          <w:rFonts w:ascii="Times New Roman" w:hAnsi="Times New Roman" w:cs="Times New Roman"/>
          <w:b/>
          <w:bCs/>
          <w:sz w:val="24"/>
          <w:szCs w:val="24"/>
        </w:rPr>
      </w:pPr>
      <w:r w:rsidRPr="00BE755B">
        <w:rPr>
          <w:rFonts w:ascii="Times New Roman" w:hAnsi="Times New Roman" w:cs="Times New Roman"/>
          <w:b/>
          <w:bCs/>
          <w:sz w:val="24"/>
          <w:szCs w:val="24"/>
        </w:rPr>
        <w:t>Abstract</w:t>
      </w:r>
    </w:p>
    <w:p w14:paraId="5FF2C770" w14:textId="7777777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This study aims to assess the need for, and to formulate a planning strategy for, the development of a passenger terminal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Humbang</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Hasundutan</w:t>
      </w:r>
      <w:proofErr w:type="spellEnd"/>
      <w:r w:rsidRPr="00BE755B">
        <w:rPr>
          <w:rFonts w:ascii="Times New Roman" w:hAnsi="Times New Roman" w:cs="Times New Roman"/>
          <w:sz w:val="24"/>
          <w:szCs w:val="24"/>
        </w:rPr>
        <w:t xml:space="preserve"> Regency, as an instrument to improve connectivity and support local economic development. The analysis focuses on (</w:t>
      </w:r>
      <w:proofErr w:type="spellStart"/>
      <w:r w:rsidRPr="00BE755B">
        <w:rPr>
          <w:rFonts w:ascii="Times New Roman" w:hAnsi="Times New Roman" w:cs="Times New Roman"/>
          <w:sz w:val="24"/>
          <w:szCs w:val="24"/>
        </w:rPr>
        <w:t>i</w:t>
      </w:r>
      <w:proofErr w:type="spellEnd"/>
      <w:r w:rsidRPr="00BE755B">
        <w:rPr>
          <w:rFonts w:ascii="Times New Roman" w:hAnsi="Times New Roman" w:cs="Times New Roman"/>
          <w:sz w:val="24"/>
          <w:szCs w:val="24"/>
        </w:rPr>
        <w:t xml:space="preserve">) the physical condition of the proposed site, (ii) projected traffic demand, and (iii) community and driver perceptions of the existing terminal condition. A mixed-method approach was employed, combining qualitative and quantitative techniques. Data were collected through surveys, in-depth interviews, and field observations. Quantitative data were </w:t>
      </w:r>
      <w:proofErr w:type="spellStart"/>
      <w:r w:rsidRPr="00BE755B">
        <w:rPr>
          <w:rFonts w:ascii="Times New Roman" w:hAnsi="Times New Roman" w:cs="Times New Roman"/>
          <w:sz w:val="24"/>
          <w:szCs w:val="24"/>
        </w:rPr>
        <w:t>analyzed</w:t>
      </w:r>
      <w:proofErr w:type="spellEnd"/>
      <w:r w:rsidRPr="00BE755B">
        <w:rPr>
          <w:rFonts w:ascii="Times New Roman" w:hAnsi="Times New Roman" w:cs="Times New Roman"/>
          <w:sz w:val="24"/>
          <w:szCs w:val="24"/>
        </w:rPr>
        <w:t xml:space="preserve"> using a vehicle volume estimation model (Vehicle </w:t>
      </w:r>
      <w:proofErr w:type="spellStart"/>
      <w:r w:rsidRPr="00BE755B">
        <w:rPr>
          <w:rFonts w:ascii="Times New Roman" w:hAnsi="Times New Roman" w:cs="Times New Roman"/>
          <w:sz w:val="24"/>
          <w:szCs w:val="24"/>
        </w:rPr>
        <w:t>Kilometers</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Traveled</w:t>
      </w:r>
      <w:proofErr w:type="spellEnd"/>
      <w:r w:rsidRPr="00BE755B">
        <w:rPr>
          <w:rFonts w:ascii="Times New Roman" w:hAnsi="Times New Roman" w:cs="Times New Roman"/>
          <w:sz w:val="24"/>
          <w:szCs w:val="24"/>
        </w:rPr>
        <w:t xml:space="preserve">/VKT) and a terminal demand projection framework, while qualitative data were processed through thematic analysis to capture user and public transport driver perceptions. The findings indicate that a terminal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is urgently required, given a projected 11.8% increase in vehicle volumes over the next five years. The current “shadow terminal” arrangement is unable to accommodate the growing number of vehicles and passengers. Site feasibility results suggest that the proposed location satisfies accessibility criteria and aligns with the regional spatial plan. The planned terminal is expected to enhance transport service quality and improve traffic circulation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Furthermore, a terminal integrated with other transport services may accelerate local economic development and strengthen inter-regional connectivity within North Sumatra. This study contributes to terminal planning in emerging urban areas by providing an evidence-based strategic framework and underlining the importance of intermodal integration to support regional economic growth.</w:t>
      </w:r>
    </w:p>
    <w:p w14:paraId="7FD9F59D" w14:textId="7777777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b/>
          <w:bCs/>
          <w:sz w:val="24"/>
          <w:szCs w:val="24"/>
        </w:rPr>
        <w:t>Keywords</w:t>
      </w:r>
      <w:r w:rsidRPr="00BE755B">
        <w:rPr>
          <w:rFonts w:ascii="Times New Roman" w:hAnsi="Times New Roman" w:cs="Times New Roman"/>
          <w:sz w:val="24"/>
          <w:szCs w:val="24"/>
        </w:rPr>
        <w:t xml:space="preserve">—Terminal Planning; Community Mobility; Public Transport;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Connectivity; Economic Development.</w:t>
      </w:r>
    </w:p>
    <w:p w14:paraId="67B097BF" w14:textId="10A161C2" w:rsidR="00BE755B" w:rsidRPr="00BE755B" w:rsidRDefault="00BE755B" w:rsidP="00BE755B">
      <w:pPr>
        <w:jc w:val="both"/>
        <w:rPr>
          <w:rFonts w:ascii="Times New Roman" w:hAnsi="Times New Roman" w:cs="Times New Roman"/>
          <w:sz w:val="24"/>
          <w:szCs w:val="24"/>
        </w:rPr>
      </w:pPr>
    </w:p>
    <w:p w14:paraId="7CBA6335" w14:textId="77777777" w:rsidR="00BE755B" w:rsidRPr="00BE755B" w:rsidRDefault="00BE755B" w:rsidP="00BE755B">
      <w:pPr>
        <w:jc w:val="both"/>
        <w:rPr>
          <w:rFonts w:ascii="Times New Roman" w:hAnsi="Times New Roman" w:cs="Times New Roman"/>
          <w:b/>
          <w:bCs/>
          <w:sz w:val="24"/>
          <w:szCs w:val="24"/>
        </w:rPr>
      </w:pPr>
      <w:r w:rsidRPr="00BE755B">
        <w:rPr>
          <w:rFonts w:ascii="Times New Roman" w:hAnsi="Times New Roman" w:cs="Times New Roman"/>
          <w:b/>
          <w:bCs/>
          <w:sz w:val="24"/>
          <w:szCs w:val="24"/>
        </w:rPr>
        <w:t>I. Introduction</w:t>
      </w:r>
    </w:p>
    <w:p w14:paraId="157CECE1" w14:textId="72F5478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Regional development in Indonesia, particularly in urban areas, is inseparable from the pivotal role of an adequate transportation system. One of the most influential drivers of territorial development is the availability of transport facilities capable of accommodating community mobility needs. As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 xml:space="preserve"> of economic activity, cities require effective transport infrastructure to support economic transactions and improve inter-area accessibility</w:t>
      </w:r>
      <w:r w:rsidR="00180E37">
        <w:rPr>
          <w:rFonts w:ascii="Times New Roman" w:hAnsi="Times New Roman" w:cs="Times New Roman"/>
          <w:sz w:val="24"/>
          <w:szCs w:val="24"/>
        </w:rPr>
        <w:t xml:space="preserve"> (</w:t>
      </w:r>
      <w:proofErr w:type="spellStart"/>
      <w:r w:rsidR="00180E37" w:rsidRPr="00180E37">
        <w:rPr>
          <w:rFonts w:ascii="Times New Roman" w:hAnsi="Times New Roman" w:cs="Times New Roman"/>
          <w:sz w:val="24"/>
          <w:szCs w:val="24"/>
        </w:rPr>
        <w:t>Chanieabate</w:t>
      </w:r>
      <w:proofErr w:type="spellEnd"/>
      <w:r w:rsidR="00180E37">
        <w:rPr>
          <w:rFonts w:ascii="Times New Roman" w:hAnsi="Times New Roman" w:cs="Times New Roman"/>
          <w:sz w:val="24"/>
          <w:szCs w:val="24"/>
        </w:rPr>
        <w:t>, 2023)</w:t>
      </w:r>
      <w:r w:rsidRPr="00BE755B">
        <w:rPr>
          <w:rFonts w:ascii="Times New Roman" w:hAnsi="Times New Roman" w:cs="Times New Roman"/>
          <w:sz w:val="24"/>
          <w:szCs w:val="24"/>
        </w:rPr>
        <w:t>. This view is consistent who argues that limited transport systems constitute a key constraint in regional development. Therefore, planned and sustainable transport infrastructure development is essential to ensure smooth flows of people and goods</w:t>
      </w:r>
      <w:r w:rsidR="00180E37">
        <w:rPr>
          <w:rFonts w:ascii="Times New Roman" w:hAnsi="Times New Roman" w:cs="Times New Roman"/>
          <w:sz w:val="24"/>
          <w:szCs w:val="24"/>
        </w:rPr>
        <w:t xml:space="preserve"> (</w:t>
      </w:r>
      <w:proofErr w:type="spellStart"/>
      <w:r w:rsidR="00180E37">
        <w:rPr>
          <w:rFonts w:ascii="Times New Roman" w:hAnsi="Times New Roman" w:cs="Times New Roman"/>
          <w:sz w:val="24"/>
          <w:szCs w:val="24"/>
        </w:rPr>
        <w:t>Purba</w:t>
      </w:r>
      <w:proofErr w:type="spellEnd"/>
      <w:r w:rsidR="00180E37">
        <w:rPr>
          <w:rFonts w:ascii="Times New Roman" w:hAnsi="Times New Roman" w:cs="Times New Roman"/>
          <w:sz w:val="24"/>
          <w:szCs w:val="24"/>
        </w:rPr>
        <w:t>, 2025)</w:t>
      </w:r>
      <w:r w:rsidRPr="00BE755B">
        <w:rPr>
          <w:rFonts w:ascii="Times New Roman" w:hAnsi="Times New Roman" w:cs="Times New Roman"/>
          <w:sz w:val="24"/>
          <w:szCs w:val="24"/>
        </w:rPr>
        <w:t>.</w:t>
      </w:r>
    </w:p>
    <w:p w14:paraId="74983AB1" w14:textId="25455E5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Passenger terminals are critical components of transport systems because they enable and organize community mobility. Morlok (1991) defines a terminal as a transport node that facilitates transfers between modes and provides an orderly location for passengers to board and alight. Terminals that are integrated with other transport systems can improve efficiency and accessibility and can reduce congestion commonly observed in city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 xml:space="preserve"> (</w:t>
      </w:r>
      <w:r w:rsidR="00180E37">
        <w:rPr>
          <w:rFonts w:ascii="Times New Roman" w:hAnsi="Times New Roman" w:cs="Times New Roman"/>
          <w:sz w:val="24"/>
          <w:szCs w:val="24"/>
        </w:rPr>
        <w:t xml:space="preserve">Oliveira, </w:t>
      </w:r>
      <w:r w:rsidR="00180E37">
        <w:rPr>
          <w:rFonts w:ascii="Times New Roman" w:hAnsi="Times New Roman" w:cs="Times New Roman"/>
          <w:sz w:val="24"/>
          <w:szCs w:val="24"/>
        </w:rPr>
        <w:lastRenderedPageBreak/>
        <w:t>2022</w:t>
      </w:r>
      <w:r w:rsidRPr="00BE755B">
        <w:rPr>
          <w:rFonts w:ascii="Times New Roman" w:hAnsi="Times New Roman" w:cs="Times New Roman"/>
          <w:sz w:val="24"/>
          <w:szCs w:val="24"/>
        </w:rPr>
        <w:t xml:space="preserve">). In this context, effective terminal planning is required to support traffic performance and to improve access to economic activity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w:t>
      </w:r>
    </w:p>
    <w:p w14:paraId="0F109908" w14:textId="625F23F8"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However, in many regions—particularly rapidly developing urban areas—congestion and the absence of adequate terminal facilities remain persistent barriers.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as the capital of </w:t>
      </w:r>
      <w:proofErr w:type="spellStart"/>
      <w:r w:rsidRPr="00BE755B">
        <w:rPr>
          <w:rFonts w:ascii="Times New Roman" w:hAnsi="Times New Roman" w:cs="Times New Roman"/>
          <w:sz w:val="24"/>
          <w:szCs w:val="24"/>
        </w:rPr>
        <w:t>Humbang</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Hasundutan</w:t>
      </w:r>
      <w:proofErr w:type="spellEnd"/>
      <w:r w:rsidRPr="00BE755B">
        <w:rPr>
          <w:rFonts w:ascii="Times New Roman" w:hAnsi="Times New Roman" w:cs="Times New Roman"/>
          <w:sz w:val="24"/>
          <w:szCs w:val="24"/>
        </w:rPr>
        <w:t xml:space="preserve"> Regency, illustrates this challenge. Despite rapid growth,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still lacks a proper terminal to support public transport demand, contributing to an imbalance between transport supply and demand. </w:t>
      </w:r>
      <w:r w:rsidR="00180E37">
        <w:rPr>
          <w:rFonts w:ascii="Times New Roman" w:hAnsi="Times New Roman" w:cs="Times New Roman"/>
          <w:sz w:val="24"/>
          <w:szCs w:val="24"/>
        </w:rPr>
        <w:t>Arifin</w:t>
      </w:r>
      <w:r w:rsidRPr="00BE755B">
        <w:rPr>
          <w:rFonts w:ascii="Times New Roman" w:hAnsi="Times New Roman" w:cs="Times New Roman"/>
          <w:sz w:val="24"/>
          <w:szCs w:val="24"/>
        </w:rPr>
        <w:t xml:space="preserve"> (</w:t>
      </w:r>
      <w:r w:rsidR="00180E37">
        <w:rPr>
          <w:rFonts w:ascii="Times New Roman" w:hAnsi="Times New Roman" w:cs="Times New Roman"/>
          <w:sz w:val="24"/>
          <w:szCs w:val="24"/>
        </w:rPr>
        <w:t>2020</w:t>
      </w:r>
      <w:r w:rsidRPr="00BE755B">
        <w:rPr>
          <w:rFonts w:ascii="Times New Roman" w:hAnsi="Times New Roman" w:cs="Times New Roman"/>
          <w:sz w:val="24"/>
          <w:szCs w:val="24"/>
        </w:rPr>
        <w:t>) similarly notes that transport development that does not keep pace with vehicle growth may lead to congestion and declining economic efficiency</w:t>
      </w:r>
      <w:r w:rsidR="00B72593">
        <w:rPr>
          <w:rFonts w:ascii="Times New Roman" w:hAnsi="Times New Roman" w:cs="Times New Roman"/>
          <w:sz w:val="24"/>
          <w:szCs w:val="24"/>
        </w:rPr>
        <w:t xml:space="preserve"> (</w:t>
      </w:r>
      <w:r w:rsidR="00B72593" w:rsidRPr="001553CB">
        <w:rPr>
          <w:rFonts w:ascii="Times New Roman" w:hAnsi="Times New Roman" w:cs="Times New Roman"/>
          <w:sz w:val="24"/>
          <w:szCs w:val="24"/>
        </w:rPr>
        <w:t>Afrin</w:t>
      </w:r>
      <w:r w:rsidR="00B72593">
        <w:rPr>
          <w:rFonts w:ascii="Times New Roman" w:hAnsi="Times New Roman" w:cs="Times New Roman"/>
          <w:sz w:val="24"/>
          <w:szCs w:val="24"/>
        </w:rPr>
        <w:t xml:space="preserve"> </w:t>
      </w:r>
      <w:r w:rsidR="00B72593" w:rsidRPr="001553CB">
        <w:rPr>
          <w:rFonts w:ascii="Times New Roman" w:hAnsi="Times New Roman" w:cs="Times New Roman"/>
          <w:sz w:val="24"/>
          <w:szCs w:val="24"/>
        </w:rPr>
        <w:t xml:space="preserve">&amp; </w:t>
      </w:r>
      <w:proofErr w:type="spellStart"/>
      <w:r w:rsidR="00B72593" w:rsidRPr="001553CB">
        <w:rPr>
          <w:rFonts w:ascii="Times New Roman" w:hAnsi="Times New Roman" w:cs="Times New Roman"/>
          <w:sz w:val="24"/>
          <w:szCs w:val="24"/>
        </w:rPr>
        <w:t>Yodo</w:t>
      </w:r>
      <w:proofErr w:type="spellEnd"/>
      <w:r w:rsidR="00B72593" w:rsidRPr="001553CB">
        <w:rPr>
          <w:rFonts w:ascii="Times New Roman" w:hAnsi="Times New Roman" w:cs="Times New Roman"/>
          <w:sz w:val="24"/>
          <w:szCs w:val="24"/>
        </w:rPr>
        <w:t>,</w:t>
      </w:r>
      <w:r w:rsidR="00B72593">
        <w:rPr>
          <w:rFonts w:ascii="Times New Roman" w:hAnsi="Times New Roman" w:cs="Times New Roman"/>
          <w:sz w:val="24"/>
          <w:szCs w:val="24"/>
        </w:rPr>
        <w:t xml:space="preserve"> </w:t>
      </w:r>
      <w:r w:rsidR="00B72593" w:rsidRPr="001553CB">
        <w:rPr>
          <w:rFonts w:ascii="Times New Roman" w:hAnsi="Times New Roman" w:cs="Times New Roman"/>
          <w:sz w:val="24"/>
          <w:szCs w:val="24"/>
        </w:rPr>
        <w:t>2020).</w:t>
      </w:r>
      <w:r w:rsidR="00B72593">
        <w:rPr>
          <w:rFonts w:ascii="Times New Roman" w:hAnsi="Times New Roman" w:cs="Times New Roman"/>
          <w:sz w:val="24"/>
          <w:szCs w:val="24"/>
        </w:rPr>
        <w:t>)</w:t>
      </w:r>
      <w:r w:rsidRPr="00BE755B">
        <w:rPr>
          <w:rFonts w:ascii="Times New Roman" w:hAnsi="Times New Roman" w:cs="Times New Roman"/>
          <w:sz w:val="24"/>
          <w:szCs w:val="24"/>
        </w:rPr>
        <w:t>.</w:t>
      </w:r>
    </w:p>
    <w:p w14:paraId="0ACB7DC9" w14:textId="2C8D62D2"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The availability of a well-functioning terminal can improve traffic circulation and enhance the quality of public services. A terminal does not merely serve as a boarding and alighting point but also acts as a node connecting multiple transport modes </w:t>
      </w:r>
      <w:r w:rsidR="001B50C4">
        <w:rPr>
          <w:rFonts w:ascii="Times New Roman" w:hAnsi="Times New Roman" w:cs="Times New Roman"/>
          <w:sz w:val="24"/>
          <w:szCs w:val="24"/>
        </w:rPr>
        <w:t>(</w:t>
      </w:r>
      <w:proofErr w:type="spellStart"/>
      <w:r w:rsidR="001B50C4">
        <w:rPr>
          <w:rFonts w:ascii="Times New Roman" w:hAnsi="Times New Roman" w:cs="Times New Roman"/>
          <w:sz w:val="24"/>
          <w:szCs w:val="24"/>
        </w:rPr>
        <w:t>Sitorus</w:t>
      </w:r>
      <w:proofErr w:type="spellEnd"/>
      <w:r w:rsidR="00B72593">
        <w:rPr>
          <w:rFonts w:ascii="Times New Roman" w:hAnsi="Times New Roman" w:cs="Times New Roman"/>
          <w:sz w:val="24"/>
          <w:szCs w:val="24"/>
        </w:rPr>
        <w:t xml:space="preserve"> et al.</w:t>
      </w:r>
      <w:r w:rsidR="001B50C4">
        <w:rPr>
          <w:rFonts w:ascii="Times New Roman" w:hAnsi="Times New Roman" w:cs="Times New Roman"/>
          <w:sz w:val="24"/>
          <w:szCs w:val="24"/>
        </w:rPr>
        <w:t>, 2025</w:t>
      </w:r>
      <w:r w:rsidRPr="00BE755B">
        <w:rPr>
          <w:rFonts w:ascii="Times New Roman" w:hAnsi="Times New Roman" w:cs="Times New Roman"/>
          <w:sz w:val="24"/>
          <w:szCs w:val="24"/>
        </w:rPr>
        <w:t xml:space="preserve">). Optimal terminal development must therefore consider spatial planning, site selection, and integration with wider transport networks. Nasution (2004) emphasizes that transport planning should account for intermodal connectivity and user accessibility. A well-planned terminal can also become an economic activity </w:t>
      </w:r>
      <w:proofErr w:type="spellStart"/>
      <w:r w:rsidRPr="00BE755B">
        <w:rPr>
          <w:rFonts w:ascii="Times New Roman" w:hAnsi="Times New Roman" w:cs="Times New Roman"/>
          <w:sz w:val="24"/>
          <w:szCs w:val="24"/>
        </w:rPr>
        <w:t>center</w:t>
      </w:r>
      <w:proofErr w:type="spellEnd"/>
      <w:r w:rsidRPr="00BE755B">
        <w:rPr>
          <w:rFonts w:ascii="Times New Roman" w:hAnsi="Times New Roman" w:cs="Times New Roman"/>
          <w:sz w:val="24"/>
          <w:szCs w:val="24"/>
        </w:rPr>
        <w:t xml:space="preserve"> that supports surrounding area development.</w:t>
      </w:r>
    </w:p>
    <w:p w14:paraId="3BA52C23" w14:textId="5357FDC6"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As an </w:t>
      </w:r>
      <w:proofErr w:type="spellStart"/>
      <w:r w:rsidRPr="00BE755B">
        <w:rPr>
          <w:rFonts w:ascii="Times New Roman" w:hAnsi="Times New Roman" w:cs="Times New Roman"/>
          <w:sz w:val="24"/>
          <w:szCs w:val="24"/>
        </w:rPr>
        <w:t>agropolitan</w:t>
      </w:r>
      <w:proofErr w:type="spellEnd"/>
      <w:r w:rsidRPr="00BE755B">
        <w:rPr>
          <w:rFonts w:ascii="Times New Roman" w:hAnsi="Times New Roman" w:cs="Times New Roman"/>
          <w:sz w:val="24"/>
          <w:szCs w:val="24"/>
        </w:rPr>
        <w:t xml:space="preserve"> area,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has substantial potential to become an economic hub in the Tapanuli region. Yet, without adequate transport infrastructure, this potential cannot be fully realized. Consequently, passenger terminal planning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becomes strategically important to link the area with other parts of North Sumatra. Terminal development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is expected to strengthen inter-regional connectivity and support local economic development </w:t>
      </w:r>
      <w:r w:rsidR="001B50C4">
        <w:rPr>
          <w:rFonts w:ascii="Times New Roman" w:hAnsi="Times New Roman" w:cs="Times New Roman"/>
          <w:sz w:val="24"/>
          <w:szCs w:val="24"/>
        </w:rPr>
        <w:t>(</w:t>
      </w:r>
      <w:proofErr w:type="spellStart"/>
      <w:r w:rsidR="001B50C4">
        <w:rPr>
          <w:rFonts w:ascii="Times New Roman" w:hAnsi="Times New Roman" w:cs="Times New Roman"/>
          <w:sz w:val="24"/>
          <w:szCs w:val="24"/>
        </w:rPr>
        <w:t>Alda</w:t>
      </w:r>
      <w:proofErr w:type="spellEnd"/>
      <w:r w:rsidR="00B72593">
        <w:rPr>
          <w:rFonts w:ascii="Times New Roman" w:hAnsi="Times New Roman" w:cs="Times New Roman"/>
          <w:sz w:val="24"/>
          <w:szCs w:val="24"/>
        </w:rPr>
        <w:t xml:space="preserve"> et al.</w:t>
      </w:r>
      <w:r w:rsidR="001B50C4">
        <w:rPr>
          <w:rFonts w:ascii="Times New Roman" w:hAnsi="Times New Roman" w:cs="Times New Roman"/>
          <w:sz w:val="24"/>
          <w:szCs w:val="24"/>
        </w:rPr>
        <w:t>, 2024)</w:t>
      </w:r>
      <w:r w:rsidRPr="00BE755B">
        <w:rPr>
          <w:rFonts w:ascii="Times New Roman" w:hAnsi="Times New Roman" w:cs="Times New Roman"/>
          <w:sz w:val="24"/>
          <w:szCs w:val="24"/>
        </w:rPr>
        <w:t xml:space="preserve"> The terminal may function as a transit node that facilitates passenger and goods movements from multiple areas toward </w:t>
      </w:r>
      <w:proofErr w:type="spellStart"/>
      <w:r w:rsidRPr="00BE755B">
        <w:rPr>
          <w:rFonts w:ascii="Times New Roman" w:hAnsi="Times New Roman" w:cs="Times New Roman"/>
          <w:sz w:val="24"/>
          <w:szCs w:val="24"/>
        </w:rPr>
        <w:t>Doloksanggul’s</w:t>
      </w:r>
      <w:proofErr w:type="spellEnd"/>
      <w:r w:rsidRPr="00BE755B">
        <w:rPr>
          <w:rFonts w:ascii="Times New Roman" w:hAnsi="Times New Roman" w:cs="Times New Roman"/>
          <w:sz w:val="24"/>
          <w:szCs w:val="24"/>
        </w:rPr>
        <w:t xml:space="preserve"> economic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w:t>
      </w:r>
    </w:p>
    <w:p w14:paraId="4A9B0352" w14:textId="5D8F0FD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In addition, terminal development can influence land-use dynamics around the terminal site. </w:t>
      </w:r>
      <w:r w:rsidR="001B50C4">
        <w:rPr>
          <w:rFonts w:ascii="Times New Roman" w:hAnsi="Times New Roman" w:cs="Times New Roman"/>
          <w:sz w:val="24"/>
          <w:szCs w:val="24"/>
        </w:rPr>
        <w:t>Zhuang</w:t>
      </w:r>
      <w:r w:rsidR="00B72593">
        <w:rPr>
          <w:rFonts w:ascii="Times New Roman" w:hAnsi="Times New Roman" w:cs="Times New Roman"/>
          <w:sz w:val="24"/>
          <w:szCs w:val="24"/>
        </w:rPr>
        <w:t xml:space="preserve"> et al.</w:t>
      </w:r>
      <w:r w:rsidR="001B50C4">
        <w:rPr>
          <w:rFonts w:ascii="Times New Roman" w:hAnsi="Times New Roman" w:cs="Times New Roman"/>
          <w:sz w:val="24"/>
          <w:szCs w:val="24"/>
        </w:rPr>
        <w:t xml:space="preserve"> </w:t>
      </w:r>
      <w:r w:rsidRPr="00BE755B">
        <w:rPr>
          <w:rFonts w:ascii="Times New Roman" w:hAnsi="Times New Roman" w:cs="Times New Roman"/>
          <w:sz w:val="24"/>
          <w:szCs w:val="24"/>
        </w:rPr>
        <w:t>(20</w:t>
      </w:r>
      <w:r w:rsidR="001B50C4">
        <w:rPr>
          <w:rFonts w:ascii="Times New Roman" w:hAnsi="Times New Roman" w:cs="Times New Roman"/>
          <w:sz w:val="24"/>
          <w:szCs w:val="24"/>
        </w:rPr>
        <w:t>23</w:t>
      </w:r>
      <w:r w:rsidRPr="00BE755B">
        <w:rPr>
          <w:rFonts w:ascii="Times New Roman" w:hAnsi="Times New Roman" w:cs="Times New Roman"/>
          <w:sz w:val="24"/>
          <w:szCs w:val="24"/>
        </w:rPr>
        <w:t xml:space="preserve">) argues that terminals can drive surrounding area development because they increase economic activities in adjacent zones. As vehicle volumes rise and the urban area expands, selecting an appropriate terminal location becomes increasingly important for accessibility and service quality. Accordingly, terminal site selection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should consider factors such as traffic density, accessibility, and the availability of supporting facilities.</w:t>
      </w:r>
    </w:p>
    <w:p w14:paraId="37DB3B01" w14:textId="503989A9"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Terminal development must also address safety and comfort. Spatial organization within and around the terminal should support smooth vehicle and passenger circulation. </w:t>
      </w:r>
      <w:r w:rsidR="001B50C4">
        <w:rPr>
          <w:rFonts w:ascii="Times New Roman" w:hAnsi="Times New Roman" w:cs="Times New Roman"/>
          <w:sz w:val="24"/>
          <w:szCs w:val="24"/>
        </w:rPr>
        <w:t>Rezwana (2025)</w:t>
      </w:r>
      <w:r w:rsidRPr="00BE755B">
        <w:rPr>
          <w:rFonts w:ascii="Times New Roman" w:hAnsi="Times New Roman" w:cs="Times New Roman"/>
          <w:sz w:val="24"/>
          <w:szCs w:val="24"/>
        </w:rPr>
        <w:t xml:space="preserve"> highlights that terminal layout should reflect vehicle and pedestrian movement patterns and should minimize congestion risks arising from inadequate spatial arrangements. Therefore, terminal design must comprehensively incorporate these considerations to ensure the terminal functions optimally and does not generate new operational problems.</w:t>
      </w:r>
    </w:p>
    <w:p w14:paraId="70736383" w14:textId="35905D66"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A major challenge in terminal planning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is the limited awareness among communities and public transport drivers regarding the use of existing terminal facilities. This condition sustains the proliferation of shadow terminals that disrupt traffic performance. </w:t>
      </w:r>
      <w:r w:rsidR="001B50C4">
        <w:rPr>
          <w:rFonts w:ascii="Times New Roman" w:hAnsi="Times New Roman" w:cs="Times New Roman"/>
          <w:sz w:val="24"/>
          <w:szCs w:val="24"/>
        </w:rPr>
        <w:t>Visconti (2025)</w:t>
      </w:r>
      <w:r w:rsidRPr="00BE755B">
        <w:rPr>
          <w:rFonts w:ascii="Times New Roman" w:hAnsi="Times New Roman" w:cs="Times New Roman"/>
          <w:sz w:val="24"/>
          <w:szCs w:val="24"/>
        </w:rPr>
        <w:t xml:space="preserve"> notes that user and driver awareness is essential to support effective terminal operations. Without broad stakeholder support, even a newly built terminal may not function </w:t>
      </w:r>
      <w:r w:rsidRPr="00BE755B">
        <w:rPr>
          <w:rFonts w:ascii="Times New Roman" w:hAnsi="Times New Roman" w:cs="Times New Roman"/>
          <w:sz w:val="24"/>
          <w:szCs w:val="24"/>
        </w:rPr>
        <w:lastRenderedPageBreak/>
        <w:t>as intended. Therefore, beyond physical planning, socialization and engagement efforts are required to strengthen understanding of the importance of using terminals effectively.</w:t>
      </w:r>
    </w:p>
    <w:p w14:paraId="15BD83BD" w14:textId="4F0E9776"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Within the broader context of regional development, terminals integrated with other transport systems can become essential enablers of local economic growth. Terminals are not merely service points for transport; they may also become economic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 xml:space="preserve"> that increase investment attractiveness. A terminal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that is integrated into the regional transport network can strengthen the area’s potential as an economic hub within Tapanuli. </w:t>
      </w:r>
      <w:r w:rsidR="001B50C4">
        <w:rPr>
          <w:rFonts w:ascii="Times New Roman" w:hAnsi="Times New Roman" w:cs="Times New Roman"/>
          <w:sz w:val="24"/>
          <w:szCs w:val="24"/>
        </w:rPr>
        <w:t>Gao</w:t>
      </w:r>
      <w:r w:rsidRPr="00BE755B">
        <w:rPr>
          <w:rFonts w:ascii="Times New Roman" w:hAnsi="Times New Roman" w:cs="Times New Roman"/>
          <w:sz w:val="24"/>
          <w:szCs w:val="24"/>
        </w:rPr>
        <w:t xml:space="preserve"> (</w:t>
      </w:r>
      <w:r w:rsidR="001B50C4">
        <w:rPr>
          <w:rFonts w:ascii="Times New Roman" w:hAnsi="Times New Roman" w:cs="Times New Roman"/>
          <w:sz w:val="24"/>
          <w:szCs w:val="24"/>
        </w:rPr>
        <w:t>2025</w:t>
      </w:r>
      <w:r w:rsidRPr="00BE755B">
        <w:rPr>
          <w:rFonts w:ascii="Times New Roman" w:hAnsi="Times New Roman" w:cs="Times New Roman"/>
          <w:sz w:val="24"/>
          <w:szCs w:val="24"/>
        </w:rPr>
        <w:t>) observe, terminals can concentrate passenger flows and improve the efficiency of goods and service distribution, thereby supporting regional economic growth.</w:t>
      </w:r>
    </w:p>
    <w:p w14:paraId="2273B9E9" w14:textId="69577F4C" w:rsidR="00BE755B" w:rsidRPr="00BE755B" w:rsidRDefault="00B11173" w:rsidP="00BE755B">
      <w:pPr>
        <w:jc w:val="both"/>
        <w:rPr>
          <w:rFonts w:ascii="Times New Roman" w:hAnsi="Times New Roman" w:cs="Times New Roman"/>
          <w:sz w:val="24"/>
          <w:szCs w:val="24"/>
        </w:rPr>
      </w:pPr>
      <w:r w:rsidRPr="00B11173">
        <w:rPr>
          <w:rFonts w:ascii="Times New Roman" w:hAnsi="Times New Roman" w:cs="Times New Roman"/>
          <w:sz w:val="24"/>
          <w:szCs w:val="24"/>
          <w:highlight w:val="yellow"/>
        </w:rPr>
        <w:t xml:space="preserve">This manuscript contributes to the scientific community by providing an evidence-based terminal planning framework for emerging urban and </w:t>
      </w:r>
      <w:proofErr w:type="spellStart"/>
      <w:r w:rsidRPr="00B11173">
        <w:rPr>
          <w:rFonts w:ascii="Times New Roman" w:hAnsi="Times New Roman" w:cs="Times New Roman"/>
          <w:sz w:val="24"/>
          <w:szCs w:val="24"/>
          <w:highlight w:val="yellow"/>
        </w:rPr>
        <w:t>agropolitan</w:t>
      </w:r>
      <w:proofErr w:type="spellEnd"/>
      <w:r w:rsidRPr="00B11173">
        <w:rPr>
          <w:rFonts w:ascii="Times New Roman" w:hAnsi="Times New Roman" w:cs="Times New Roman"/>
          <w:sz w:val="24"/>
          <w:szCs w:val="24"/>
          <w:highlight w:val="yellow"/>
        </w:rPr>
        <w:t xml:space="preserve"> contexts where informal “shadow terminal” operations still dominate. By integrating traffic-growth indicators with stakeholder perceptions and GIS-based land-use feasibility, the study offers a replicable approach for diagnosing terminal needs and selecting viable sites. The findings highlight how formal terminals—when designed for intermodal integration—can reduce roadside congestion, improve service reliability, and strengthen regional accessibility. In doing so, the study bridges transport planning, spatial planning, and local economic development, offering practical guidance for municipalities facing similar transition challenges in developing regions</w:t>
      </w:r>
      <w:r w:rsidR="001B50C4" w:rsidRPr="00B11173">
        <w:rPr>
          <w:rFonts w:ascii="Times New Roman" w:hAnsi="Times New Roman" w:cs="Times New Roman"/>
          <w:sz w:val="24"/>
          <w:szCs w:val="24"/>
          <w:highlight w:val="yellow"/>
        </w:rPr>
        <w:t>.</w:t>
      </w:r>
    </w:p>
    <w:p w14:paraId="4CAFE7BA" w14:textId="1A300B1F" w:rsidR="00BE755B" w:rsidRPr="00BE755B" w:rsidRDefault="00BE755B" w:rsidP="00BE755B">
      <w:pPr>
        <w:jc w:val="both"/>
        <w:rPr>
          <w:rFonts w:ascii="Times New Roman" w:hAnsi="Times New Roman" w:cs="Times New Roman"/>
          <w:sz w:val="24"/>
          <w:szCs w:val="24"/>
        </w:rPr>
      </w:pPr>
    </w:p>
    <w:p w14:paraId="13599A5F" w14:textId="77777777" w:rsidR="00BE755B" w:rsidRPr="00BE755B" w:rsidRDefault="00BE755B" w:rsidP="00BE755B">
      <w:pPr>
        <w:jc w:val="both"/>
        <w:rPr>
          <w:rFonts w:ascii="Times New Roman" w:hAnsi="Times New Roman" w:cs="Times New Roman"/>
          <w:b/>
          <w:bCs/>
          <w:sz w:val="24"/>
          <w:szCs w:val="24"/>
        </w:rPr>
      </w:pPr>
      <w:r w:rsidRPr="00BE755B">
        <w:rPr>
          <w:rFonts w:ascii="Times New Roman" w:hAnsi="Times New Roman" w:cs="Times New Roman"/>
          <w:b/>
          <w:bCs/>
          <w:sz w:val="24"/>
          <w:szCs w:val="24"/>
        </w:rPr>
        <w:t>II. Research Methods</w:t>
      </w:r>
    </w:p>
    <w:p w14:paraId="0F580A1A" w14:textId="6C4F9999"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2.1. Research Design</w:t>
      </w:r>
    </w:p>
    <w:p w14:paraId="3F884869"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This study employs a </w:t>
      </w:r>
      <w:r w:rsidRPr="00220028">
        <w:rPr>
          <w:rFonts w:ascii="Times New Roman" w:hAnsi="Times New Roman" w:cs="Times New Roman"/>
          <w:b/>
          <w:bCs/>
          <w:sz w:val="24"/>
          <w:szCs w:val="24"/>
          <w:highlight w:val="yellow"/>
        </w:rPr>
        <w:t>mixed qualitative–quantitative</w:t>
      </w:r>
      <w:r w:rsidRPr="00220028">
        <w:rPr>
          <w:rFonts w:ascii="Times New Roman" w:hAnsi="Times New Roman" w:cs="Times New Roman"/>
          <w:sz w:val="24"/>
          <w:szCs w:val="24"/>
          <w:highlight w:val="yellow"/>
        </w:rPr>
        <w:t xml:space="preserve"> approach to </w:t>
      </w:r>
      <w:proofErr w:type="spellStart"/>
      <w:r w:rsidRPr="00220028">
        <w:rPr>
          <w:rFonts w:ascii="Times New Roman" w:hAnsi="Times New Roman" w:cs="Times New Roman"/>
          <w:sz w:val="24"/>
          <w:szCs w:val="24"/>
          <w:highlight w:val="yellow"/>
        </w:rPr>
        <w:t>analyze</w:t>
      </w:r>
      <w:proofErr w:type="spellEnd"/>
      <w:r w:rsidRPr="00220028">
        <w:rPr>
          <w:rFonts w:ascii="Times New Roman" w:hAnsi="Times New Roman" w:cs="Times New Roman"/>
          <w:sz w:val="24"/>
          <w:szCs w:val="24"/>
          <w:highlight w:val="yellow"/>
        </w:rPr>
        <w:t xml:space="preserve"> passenger terminal planning and development in </w:t>
      </w:r>
      <w:proofErr w:type="spellStart"/>
      <w:r w:rsidRPr="00220028">
        <w:rPr>
          <w:rFonts w:ascii="Times New Roman" w:hAnsi="Times New Roman" w:cs="Times New Roman"/>
          <w:sz w:val="24"/>
          <w:szCs w:val="24"/>
          <w:highlight w:val="yellow"/>
        </w:rPr>
        <w:t>Doloksanggul</w:t>
      </w:r>
      <w:proofErr w:type="spellEnd"/>
      <w:r w:rsidRPr="00220028">
        <w:rPr>
          <w:rFonts w:ascii="Times New Roman" w:hAnsi="Times New Roman" w:cs="Times New Roman"/>
          <w:sz w:val="24"/>
          <w:szCs w:val="24"/>
          <w:highlight w:val="yellow"/>
        </w:rPr>
        <w:t xml:space="preserve">. The </w:t>
      </w:r>
      <w:r w:rsidRPr="00220028">
        <w:rPr>
          <w:rFonts w:ascii="Times New Roman" w:hAnsi="Times New Roman" w:cs="Times New Roman"/>
          <w:b/>
          <w:bCs/>
          <w:sz w:val="24"/>
          <w:szCs w:val="24"/>
          <w:highlight w:val="yellow"/>
        </w:rPr>
        <w:t>qualitative component</w:t>
      </w:r>
      <w:r w:rsidRPr="00220028">
        <w:rPr>
          <w:rFonts w:ascii="Times New Roman" w:hAnsi="Times New Roman" w:cs="Times New Roman"/>
          <w:sz w:val="24"/>
          <w:szCs w:val="24"/>
          <w:highlight w:val="yellow"/>
        </w:rPr>
        <w:t xml:space="preserve"> explores perceptions and operational realities among public transport drivers, users, and relevant stakeholders regarding current terminal conditions, service gaps, and the persistence of shadow-terminal practices. The </w:t>
      </w:r>
      <w:r w:rsidRPr="00220028">
        <w:rPr>
          <w:rFonts w:ascii="Times New Roman" w:hAnsi="Times New Roman" w:cs="Times New Roman"/>
          <w:b/>
          <w:bCs/>
          <w:sz w:val="24"/>
          <w:szCs w:val="24"/>
          <w:highlight w:val="yellow"/>
        </w:rPr>
        <w:t>quantitative component</w:t>
      </w:r>
      <w:r w:rsidRPr="00220028">
        <w:rPr>
          <w:rFonts w:ascii="Times New Roman" w:hAnsi="Times New Roman" w:cs="Times New Roman"/>
          <w:sz w:val="24"/>
          <w:szCs w:val="24"/>
          <w:highlight w:val="yellow"/>
        </w:rPr>
        <w:t xml:space="preserve"> evaluates </w:t>
      </w:r>
      <w:r w:rsidRPr="00220028">
        <w:rPr>
          <w:rFonts w:ascii="Times New Roman" w:hAnsi="Times New Roman" w:cs="Times New Roman"/>
          <w:b/>
          <w:bCs/>
          <w:sz w:val="24"/>
          <w:szCs w:val="24"/>
          <w:highlight w:val="yellow"/>
        </w:rPr>
        <w:t>traffic conditions</w:t>
      </w:r>
      <w:r w:rsidRPr="00220028">
        <w:rPr>
          <w:rFonts w:ascii="Times New Roman" w:hAnsi="Times New Roman" w:cs="Times New Roman"/>
          <w:sz w:val="24"/>
          <w:szCs w:val="24"/>
          <w:highlight w:val="yellow"/>
        </w:rPr>
        <w:t xml:space="preserve">, </w:t>
      </w:r>
      <w:r w:rsidRPr="00220028">
        <w:rPr>
          <w:rFonts w:ascii="Times New Roman" w:hAnsi="Times New Roman" w:cs="Times New Roman"/>
          <w:b/>
          <w:bCs/>
          <w:sz w:val="24"/>
          <w:szCs w:val="24"/>
          <w:highlight w:val="yellow"/>
        </w:rPr>
        <w:t>site feasibility</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terminal demand</w:t>
      </w:r>
      <w:r w:rsidRPr="00220028">
        <w:rPr>
          <w:rFonts w:ascii="Times New Roman" w:hAnsi="Times New Roman" w:cs="Times New Roman"/>
          <w:sz w:val="24"/>
          <w:szCs w:val="24"/>
          <w:highlight w:val="yellow"/>
        </w:rPr>
        <w:t xml:space="preserve"> using measurable indicators (traffic volume/VKT, accessibility, and physical site attributes). The integration of both components enables triangulation between observed traffic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stakeholder narratives, and spatial feasibility evidence.</w:t>
      </w:r>
    </w:p>
    <w:p w14:paraId="6A4EAA20"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2.2. Study Area</w:t>
      </w:r>
    </w:p>
    <w:p w14:paraId="66E1807D"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The study was conducted in </w:t>
      </w:r>
      <w:proofErr w:type="spellStart"/>
      <w:r w:rsidRPr="00220028">
        <w:rPr>
          <w:rFonts w:ascii="Times New Roman" w:hAnsi="Times New Roman" w:cs="Times New Roman"/>
          <w:b/>
          <w:bCs/>
          <w:sz w:val="24"/>
          <w:szCs w:val="24"/>
          <w:highlight w:val="yellow"/>
        </w:rPr>
        <w:t>Doloksanggul</w:t>
      </w:r>
      <w:proofErr w:type="spellEnd"/>
      <w:r w:rsidRPr="00220028">
        <w:rPr>
          <w:rFonts w:ascii="Times New Roman" w:hAnsi="Times New Roman" w:cs="Times New Roman"/>
          <w:sz w:val="24"/>
          <w:szCs w:val="24"/>
          <w:highlight w:val="yellow"/>
        </w:rPr>
        <w:t xml:space="preserve">, the capital of </w:t>
      </w:r>
      <w:proofErr w:type="spellStart"/>
      <w:r w:rsidRPr="00220028">
        <w:rPr>
          <w:rFonts w:ascii="Times New Roman" w:hAnsi="Times New Roman" w:cs="Times New Roman"/>
          <w:sz w:val="24"/>
          <w:szCs w:val="24"/>
          <w:highlight w:val="yellow"/>
        </w:rPr>
        <w:t>Humbang</w:t>
      </w:r>
      <w:proofErr w:type="spellEnd"/>
      <w:r w:rsidRPr="00220028">
        <w:rPr>
          <w:rFonts w:ascii="Times New Roman" w:hAnsi="Times New Roman" w:cs="Times New Roman"/>
          <w:sz w:val="24"/>
          <w:szCs w:val="24"/>
          <w:highlight w:val="yellow"/>
        </w:rPr>
        <w:t xml:space="preserve"> </w:t>
      </w:r>
      <w:proofErr w:type="spellStart"/>
      <w:r w:rsidRPr="00220028">
        <w:rPr>
          <w:rFonts w:ascii="Times New Roman" w:hAnsi="Times New Roman" w:cs="Times New Roman"/>
          <w:sz w:val="24"/>
          <w:szCs w:val="24"/>
          <w:highlight w:val="yellow"/>
        </w:rPr>
        <w:t>Hasundutan</w:t>
      </w:r>
      <w:proofErr w:type="spellEnd"/>
      <w:r w:rsidRPr="00220028">
        <w:rPr>
          <w:rFonts w:ascii="Times New Roman" w:hAnsi="Times New Roman" w:cs="Times New Roman"/>
          <w:sz w:val="24"/>
          <w:szCs w:val="24"/>
          <w:highlight w:val="yellow"/>
        </w:rPr>
        <w:t xml:space="preserve"> Regency, North Sumatra Province, Indonesia. </w:t>
      </w:r>
      <w:proofErr w:type="spellStart"/>
      <w:r w:rsidRPr="00220028">
        <w:rPr>
          <w:rFonts w:ascii="Times New Roman" w:hAnsi="Times New Roman" w:cs="Times New Roman"/>
          <w:sz w:val="24"/>
          <w:szCs w:val="24"/>
          <w:highlight w:val="yellow"/>
        </w:rPr>
        <w:t>Doloksanggul</w:t>
      </w:r>
      <w:proofErr w:type="spellEnd"/>
      <w:r w:rsidRPr="00220028">
        <w:rPr>
          <w:rFonts w:ascii="Times New Roman" w:hAnsi="Times New Roman" w:cs="Times New Roman"/>
          <w:sz w:val="24"/>
          <w:szCs w:val="24"/>
          <w:highlight w:val="yellow"/>
        </w:rPr>
        <w:t xml:space="preserve"> was selected because it functions as a strategic urban service </w:t>
      </w:r>
      <w:proofErr w:type="spellStart"/>
      <w:r w:rsidRPr="00220028">
        <w:rPr>
          <w:rFonts w:ascii="Times New Roman" w:hAnsi="Times New Roman" w:cs="Times New Roman"/>
          <w:sz w:val="24"/>
          <w:szCs w:val="24"/>
          <w:highlight w:val="yellow"/>
        </w:rPr>
        <w:t>center</w:t>
      </w:r>
      <w:proofErr w:type="spellEnd"/>
      <w:r w:rsidRPr="00220028">
        <w:rPr>
          <w:rFonts w:ascii="Times New Roman" w:hAnsi="Times New Roman" w:cs="Times New Roman"/>
          <w:sz w:val="24"/>
          <w:szCs w:val="24"/>
          <w:highlight w:val="yellow"/>
        </w:rPr>
        <w:t xml:space="preserve"> and a potential transport node that influences intra-regional mobility and local economic activity across surrounding districts.</w:t>
      </w:r>
    </w:p>
    <w:p w14:paraId="740B26B4"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2.3. Data Collection Techniques</w:t>
      </w:r>
    </w:p>
    <w:p w14:paraId="6AD8CBC9"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Data were collected through </w:t>
      </w:r>
      <w:r w:rsidRPr="00220028">
        <w:rPr>
          <w:rFonts w:ascii="Times New Roman" w:hAnsi="Times New Roman" w:cs="Times New Roman"/>
          <w:b/>
          <w:bCs/>
          <w:sz w:val="24"/>
          <w:szCs w:val="24"/>
          <w:highlight w:val="yellow"/>
        </w:rPr>
        <w:t>traffic surveys</w:t>
      </w:r>
      <w:r w:rsidRPr="00220028">
        <w:rPr>
          <w:rFonts w:ascii="Times New Roman" w:hAnsi="Times New Roman" w:cs="Times New Roman"/>
          <w:sz w:val="24"/>
          <w:szCs w:val="24"/>
          <w:highlight w:val="yellow"/>
        </w:rPr>
        <w:t xml:space="preserve">, </w:t>
      </w:r>
      <w:r w:rsidRPr="00220028">
        <w:rPr>
          <w:rFonts w:ascii="Times New Roman" w:hAnsi="Times New Roman" w:cs="Times New Roman"/>
          <w:b/>
          <w:bCs/>
          <w:sz w:val="24"/>
          <w:szCs w:val="24"/>
          <w:highlight w:val="yellow"/>
        </w:rPr>
        <w:t>in-depth interviews</w:t>
      </w:r>
      <w:r w:rsidRPr="00220028">
        <w:rPr>
          <w:rFonts w:ascii="Times New Roman" w:hAnsi="Times New Roman" w:cs="Times New Roman"/>
          <w:sz w:val="24"/>
          <w:szCs w:val="24"/>
          <w:highlight w:val="yellow"/>
        </w:rPr>
        <w:t xml:space="preserve">, </w:t>
      </w:r>
      <w:r w:rsidRPr="00220028">
        <w:rPr>
          <w:rFonts w:ascii="Times New Roman" w:hAnsi="Times New Roman" w:cs="Times New Roman"/>
          <w:b/>
          <w:bCs/>
          <w:sz w:val="24"/>
          <w:szCs w:val="24"/>
          <w:highlight w:val="yellow"/>
        </w:rPr>
        <w:t>field observations</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GIS-based spatial review</w:t>
      </w:r>
      <w:r w:rsidRPr="00220028">
        <w:rPr>
          <w:rFonts w:ascii="Times New Roman" w:hAnsi="Times New Roman" w:cs="Times New Roman"/>
          <w:sz w:val="24"/>
          <w:szCs w:val="24"/>
          <w:highlight w:val="yellow"/>
        </w:rPr>
        <w:t>.</w:t>
      </w:r>
    </w:p>
    <w:p w14:paraId="79E422E8"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Traffic surveys (quantitative)</w:t>
      </w:r>
    </w:p>
    <w:p w14:paraId="1A0EDCBA" w14:textId="44FB5B23"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Traffic surveys were conducted to obtain vehicle flow data for estimating travel intensity and supporting demand projections. Vehicle counts were recorded at </w:t>
      </w:r>
      <w:r w:rsidRPr="00220028">
        <w:rPr>
          <w:rFonts w:ascii="Times New Roman" w:hAnsi="Times New Roman" w:cs="Times New Roman"/>
          <w:b/>
          <w:bCs/>
          <w:sz w:val="24"/>
          <w:szCs w:val="24"/>
          <w:highlight w:val="yellow"/>
        </w:rPr>
        <w:t>five key observation points</w:t>
      </w:r>
      <w:r w:rsidRPr="00220028">
        <w:rPr>
          <w:rFonts w:ascii="Times New Roman" w:hAnsi="Times New Roman" w:cs="Times New Roman"/>
          <w:sz w:val="24"/>
          <w:szCs w:val="24"/>
          <w:highlight w:val="yellow"/>
        </w:rPr>
        <w:t xml:space="preserve"> </w:t>
      </w:r>
      <w:r w:rsidRPr="00220028">
        <w:rPr>
          <w:rFonts w:ascii="Times New Roman" w:hAnsi="Times New Roman" w:cs="Times New Roman"/>
          <w:sz w:val="24"/>
          <w:szCs w:val="24"/>
          <w:highlight w:val="yellow"/>
        </w:rPr>
        <w:lastRenderedPageBreak/>
        <w:t xml:space="preserve">along roads connecting the city </w:t>
      </w:r>
      <w:proofErr w:type="spellStart"/>
      <w:r w:rsidRPr="00220028">
        <w:rPr>
          <w:rFonts w:ascii="Times New Roman" w:hAnsi="Times New Roman" w:cs="Times New Roman"/>
          <w:sz w:val="24"/>
          <w:szCs w:val="24"/>
          <w:highlight w:val="yellow"/>
        </w:rPr>
        <w:t>center</w:t>
      </w:r>
      <w:proofErr w:type="spellEnd"/>
      <w:r w:rsidRPr="00220028">
        <w:rPr>
          <w:rFonts w:ascii="Times New Roman" w:hAnsi="Times New Roman" w:cs="Times New Roman"/>
          <w:sz w:val="24"/>
          <w:szCs w:val="24"/>
          <w:highlight w:val="yellow"/>
        </w:rPr>
        <w:t xml:space="preserve"> and the planned terminal location. Counts were conducted in fixed time intervals (e.g., 15 minutes) and aggregated into hourly volumes. To reflect typical and peak dynamics, observations were conducted during </w:t>
      </w:r>
      <w:r w:rsidRPr="00220028">
        <w:rPr>
          <w:rFonts w:ascii="Times New Roman" w:hAnsi="Times New Roman" w:cs="Times New Roman"/>
          <w:b/>
          <w:bCs/>
          <w:sz w:val="24"/>
          <w:szCs w:val="24"/>
          <w:highlight w:val="yellow"/>
        </w:rPr>
        <w:t>regular weekdays</w:t>
      </w:r>
      <w:r w:rsidRPr="00220028">
        <w:rPr>
          <w:rFonts w:ascii="Times New Roman" w:hAnsi="Times New Roman" w:cs="Times New Roman"/>
          <w:sz w:val="24"/>
          <w:szCs w:val="24"/>
          <w:highlight w:val="yellow"/>
        </w:rPr>
        <w:t xml:space="preserve"> and, where relevant, during the </w:t>
      </w:r>
      <w:r w:rsidRPr="00220028">
        <w:rPr>
          <w:rFonts w:ascii="Times New Roman" w:hAnsi="Times New Roman" w:cs="Times New Roman"/>
          <w:b/>
          <w:bCs/>
          <w:sz w:val="24"/>
          <w:szCs w:val="24"/>
          <w:highlight w:val="yellow"/>
        </w:rPr>
        <w:t>weekly market (</w:t>
      </w:r>
      <w:proofErr w:type="spellStart"/>
      <w:r w:rsidRPr="00220028">
        <w:rPr>
          <w:rFonts w:ascii="Times New Roman" w:hAnsi="Times New Roman" w:cs="Times New Roman"/>
          <w:b/>
          <w:bCs/>
          <w:sz w:val="24"/>
          <w:szCs w:val="24"/>
          <w:highlight w:val="yellow"/>
        </w:rPr>
        <w:t>onan</w:t>
      </w:r>
      <w:proofErr w:type="spellEnd"/>
      <w:r w:rsidRPr="00220028">
        <w:rPr>
          <w:rFonts w:ascii="Times New Roman" w:hAnsi="Times New Roman" w:cs="Times New Roman"/>
          <w:b/>
          <w:bCs/>
          <w:sz w:val="24"/>
          <w:szCs w:val="24"/>
          <w:highlight w:val="yellow"/>
        </w:rPr>
        <w:t>) day</w:t>
      </w:r>
      <w:r w:rsidRPr="00220028">
        <w:rPr>
          <w:rFonts w:ascii="Times New Roman" w:hAnsi="Times New Roman" w:cs="Times New Roman"/>
          <w:sz w:val="24"/>
          <w:szCs w:val="24"/>
          <w:highlight w:val="yellow"/>
        </w:rPr>
        <w:t xml:space="preserve"> to capture demand concentration effects. Vehicle types were categorized (e.g., AKAP/AKDP buses, city transport/</w:t>
      </w:r>
      <w:proofErr w:type="spellStart"/>
      <w:r w:rsidRPr="00220028">
        <w:rPr>
          <w:rFonts w:ascii="Times New Roman" w:hAnsi="Times New Roman" w:cs="Times New Roman"/>
          <w:sz w:val="24"/>
          <w:szCs w:val="24"/>
          <w:highlight w:val="yellow"/>
        </w:rPr>
        <w:t>angkot</w:t>
      </w:r>
      <w:proofErr w:type="spellEnd"/>
      <w:r w:rsidRPr="00220028">
        <w:rPr>
          <w:rFonts w:ascii="Times New Roman" w:hAnsi="Times New Roman" w:cs="Times New Roman"/>
          <w:sz w:val="24"/>
          <w:szCs w:val="24"/>
          <w:highlight w:val="yellow"/>
        </w:rPr>
        <w:t>, private vehicles, motorcycles) to support interpretation of terminal-relevant flows.</w:t>
      </w:r>
    </w:p>
    <w:p w14:paraId="4736850A"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Traffic Volume Estimation (Vehicle Kilometres Travelled/VKT):</w:t>
      </w:r>
    </w:p>
    <w:p w14:paraId="119AB6B0" w14:textId="34FD14D7" w:rsidR="00220028" w:rsidRPr="00220028" w:rsidRDefault="00220028" w:rsidP="00220028">
      <w:pPr>
        <w:jc w:val="both"/>
        <w:rPr>
          <w:rFonts w:ascii="Times New Roman" w:hAnsi="Times New Roman" w:cs="Times New Roman"/>
          <w:sz w:val="24"/>
          <w:szCs w:val="24"/>
          <w:highlight w:val="yellow"/>
        </w:rPr>
      </w:pPr>
      <m:oMathPara>
        <m:oMath>
          <m:r>
            <w:rPr>
              <w:rFonts w:ascii="Cambria Math" w:hAnsi="Cambria Math" w:cs="Times New Roman"/>
              <w:sz w:val="24"/>
              <w:szCs w:val="24"/>
              <w:highlight w:val="yellow"/>
            </w:rPr>
            <m:t>VKT=∑(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i</m:t>
              </m:r>
            </m:sub>
          </m:sSub>
          <m:r>
            <w:rPr>
              <w:rFonts w:ascii="Cambria Math" w:hAnsi="Cambria Math" w:cs="Times New Roman"/>
              <w:sz w:val="24"/>
              <w:szCs w:val="24"/>
              <w:highlight w:val="yellow"/>
            </w:rPr>
            <m: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D</m:t>
              </m:r>
            </m:e>
            <m:sub>
              <m:r>
                <w:rPr>
                  <w:rFonts w:ascii="Cambria Math" w:hAnsi="Cambria Math" w:cs="Times New Roman"/>
                  <w:sz w:val="24"/>
                  <w:szCs w:val="24"/>
                  <w:highlight w:val="yellow"/>
                </w:rPr>
                <m:t>i</m:t>
              </m:r>
            </m:sub>
          </m:sSub>
          <m:r>
            <w:rPr>
              <w:rFonts w:ascii="Cambria Math" w:hAnsi="Cambria Math" w:cs="Times New Roman"/>
              <w:sz w:val="24"/>
              <w:szCs w:val="24"/>
              <w:highlight w:val="yellow"/>
            </w:rPr>
            <m:t>)</m:t>
          </m:r>
          <m:r>
            <m:rPr>
              <m:sty m:val="p"/>
            </m:rPr>
            <w:rPr>
              <w:rFonts w:ascii="Times New Roman" w:hAnsi="Times New Roman" w:cs="Times New Roman"/>
              <w:sz w:val="24"/>
              <w:szCs w:val="24"/>
              <w:highlight w:val="yellow"/>
            </w:rPr>
            <w:br/>
          </m:r>
        </m:oMath>
      </m:oMathPara>
    </w:p>
    <w:p w14:paraId="775F408C"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Where:</w:t>
      </w:r>
    </w:p>
    <w:p w14:paraId="1C3C270F" w14:textId="77777777" w:rsidR="00220028" w:rsidRPr="00220028" w:rsidRDefault="00220028" w:rsidP="00220028">
      <w:pPr>
        <w:numPr>
          <w:ilvl w:val="0"/>
          <w:numId w:val="5"/>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VKT</w:t>
      </w:r>
      <w:r w:rsidRPr="00220028">
        <w:rPr>
          <w:rFonts w:ascii="Times New Roman" w:hAnsi="Times New Roman" w:cs="Times New Roman"/>
          <w:sz w:val="24"/>
          <w:szCs w:val="24"/>
          <w:highlight w:val="yellow"/>
        </w:rPr>
        <w:t xml:space="preserve"> = total vehicle-kilometres travelled (</w:t>
      </w:r>
      <w:proofErr w:type="spellStart"/>
      <w:r w:rsidRPr="00220028">
        <w:rPr>
          <w:rFonts w:ascii="Times New Roman" w:hAnsi="Times New Roman" w:cs="Times New Roman"/>
          <w:sz w:val="24"/>
          <w:szCs w:val="24"/>
          <w:highlight w:val="yellow"/>
        </w:rPr>
        <w:t>veh</w:t>
      </w:r>
      <w:proofErr w:type="spellEnd"/>
      <w:r w:rsidRPr="00220028">
        <w:rPr>
          <w:rFonts w:ascii="Times New Roman" w:hAnsi="Times New Roman" w:cs="Times New Roman"/>
          <w:sz w:val="24"/>
          <w:szCs w:val="24"/>
          <w:highlight w:val="yellow"/>
        </w:rPr>
        <w:t>-km)</w:t>
      </w:r>
    </w:p>
    <w:p w14:paraId="4AB32904" w14:textId="7E7CDCAD" w:rsidR="00220028" w:rsidRPr="00220028" w:rsidRDefault="00A15169" w:rsidP="00220028">
      <w:pPr>
        <w:numPr>
          <w:ilvl w:val="0"/>
          <w:numId w:val="5"/>
        </w:numPr>
        <w:jc w:val="both"/>
        <w:rPr>
          <w:rFonts w:ascii="Times New Roman" w:hAnsi="Times New Roman" w:cs="Times New Roman"/>
          <w:sz w:val="24"/>
          <w:szCs w:val="24"/>
          <w:highlight w:val="yellow"/>
        </w:rPr>
      </w:pPr>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i</m:t>
            </m:r>
          </m:sub>
        </m:sSub>
      </m:oMath>
      <w:r w:rsidR="00220028" w:rsidRPr="00220028">
        <w:rPr>
          <w:rFonts w:ascii="Times New Roman" w:hAnsi="Times New Roman" w:cs="Times New Roman"/>
          <w:sz w:val="24"/>
          <w:szCs w:val="24"/>
          <w:highlight w:val="yellow"/>
        </w:rPr>
        <w:t xml:space="preserve">= number of vehicles passing road segment </w:t>
      </w:r>
      <w:proofErr w:type="spellStart"/>
      <w:r w:rsidR="00220028" w:rsidRPr="00220028">
        <w:rPr>
          <w:rFonts w:ascii="Times New Roman" w:hAnsi="Times New Roman" w:cs="Times New Roman"/>
          <w:i/>
          <w:iCs/>
          <w:sz w:val="24"/>
          <w:szCs w:val="24"/>
          <w:highlight w:val="yellow"/>
        </w:rPr>
        <w:t>i</w:t>
      </w:r>
      <w:proofErr w:type="spellEnd"/>
      <w:r w:rsidR="00220028" w:rsidRPr="00220028">
        <w:rPr>
          <w:rFonts w:ascii="Times New Roman" w:hAnsi="Times New Roman" w:cs="Times New Roman"/>
          <w:sz w:val="24"/>
          <w:szCs w:val="24"/>
          <w:highlight w:val="yellow"/>
        </w:rPr>
        <w:t xml:space="preserve"> per unit time (</w:t>
      </w:r>
      <w:proofErr w:type="spellStart"/>
      <w:r w:rsidR="00220028" w:rsidRPr="00220028">
        <w:rPr>
          <w:rFonts w:ascii="Times New Roman" w:hAnsi="Times New Roman" w:cs="Times New Roman"/>
          <w:sz w:val="24"/>
          <w:szCs w:val="24"/>
          <w:highlight w:val="yellow"/>
        </w:rPr>
        <w:t>veh</w:t>
      </w:r>
      <w:proofErr w:type="spellEnd"/>
      <w:r w:rsidR="00220028" w:rsidRPr="00220028">
        <w:rPr>
          <w:rFonts w:ascii="Times New Roman" w:hAnsi="Times New Roman" w:cs="Times New Roman"/>
          <w:sz w:val="24"/>
          <w:szCs w:val="24"/>
          <w:highlight w:val="yellow"/>
        </w:rPr>
        <w:t>/time)</w:t>
      </w:r>
    </w:p>
    <w:p w14:paraId="56394BA1" w14:textId="014EE723" w:rsidR="00220028" w:rsidRPr="00220028" w:rsidRDefault="00A15169" w:rsidP="00220028">
      <w:pPr>
        <w:numPr>
          <w:ilvl w:val="0"/>
          <w:numId w:val="5"/>
        </w:numPr>
        <w:jc w:val="both"/>
        <w:rPr>
          <w:rFonts w:ascii="Times New Roman" w:hAnsi="Times New Roman" w:cs="Times New Roman"/>
          <w:sz w:val="24"/>
          <w:szCs w:val="24"/>
          <w:highlight w:val="yellow"/>
        </w:rPr>
      </w:pPr>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D</m:t>
            </m:r>
          </m:e>
          <m:sub>
            <m:r>
              <w:rPr>
                <w:rFonts w:ascii="Cambria Math" w:hAnsi="Cambria Math" w:cs="Times New Roman"/>
                <w:sz w:val="24"/>
                <w:szCs w:val="24"/>
                <w:highlight w:val="yellow"/>
              </w:rPr>
              <m:t>i</m:t>
            </m:r>
          </m:sub>
        </m:sSub>
      </m:oMath>
      <w:r w:rsidR="00220028" w:rsidRPr="00220028">
        <w:rPr>
          <w:rFonts w:ascii="Times New Roman" w:hAnsi="Times New Roman" w:cs="Times New Roman"/>
          <w:sz w:val="24"/>
          <w:szCs w:val="24"/>
          <w:highlight w:val="yellow"/>
        </w:rPr>
        <w:t xml:space="preserve">= average travel distance on segment </w:t>
      </w:r>
      <w:proofErr w:type="spellStart"/>
      <w:r w:rsidR="00220028" w:rsidRPr="00220028">
        <w:rPr>
          <w:rFonts w:ascii="Times New Roman" w:hAnsi="Times New Roman" w:cs="Times New Roman"/>
          <w:i/>
          <w:iCs/>
          <w:sz w:val="24"/>
          <w:szCs w:val="24"/>
          <w:highlight w:val="yellow"/>
        </w:rPr>
        <w:t>i</w:t>
      </w:r>
      <w:proofErr w:type="spellEnd"/>
      <w:r w:rsidR="00220028" w:rsidRPr="00220028">
        <w:rPr>
          <w:rFonts w:ascii="Times New Roman" w:hAnsi="Times New Roman" w:cs="Times New Roman"/>
          <w:sz w:val="24"/>
          <w:szCs w:val="24"/>
          <w:highlight w:val="yellow"/>
        </w:rPr>
        <w:t xml:space="preserve"> (km)</w:t>
      </w:r>
    </w:p>
    <w:p w14:paraId="1C9F5499"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(b) In-depth interviews (qualitative)</w:t>
      </w:r>
    </w:p>
    <w:p w14:paraId="6F173CC5" w14:textId="277D44AE"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In-depth interviews were conducted with key stakeholders, including local government actors, transport managers/operators, drivers, and service users. Interviews aimed to capture perceptions of terminal needs, service challenges, governance issues, informal stopping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and policy constraints affecting terminal implementation.</w:t>
      </w:r>
    </w:p>
    <w:p w14:paraId="74B64682"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 Field observations (qualitative + quantitative support)</w:t>
      </w:r>
    </w:p>
    <w:p w14:paraId="6983573C" w14:textId="0FBBE2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Direct observations were conducted at the proposed terminal site and across the main urban corridors to document: (</w:t>
      </w:r>
      <w:proofErr w:type="spellStart"/>
      <w:r w:rsidRPr="00220028">
        <w:rPr>
          <w:rFonts w:ascii="Times New Roman" w:hAnsi="Times New Roman" w:cs="Times New Roman"/>
          <w:sz w:val="24"/>
          <w:szCs w:val="24"/>
          <w:highlight w:val="yellow"/>
        </w:rPr>
        <w:t>i</w:t>
      </w:r>
      <w:proofErr w:type="spellEnd"/>
      <w:r w:rsidRPr="00220028">
        <w:rPr>
          <w:rFonts w:ascii="Times New Roman" w:hAnsi="Times New Roman" w:cs="Times New Roman"/>
          <w:sz w:val="24"/>
          <w:szCs w:val="24"/>
          <w:highlight w:val="yellow"/>
        </w:rPr>
        <w:t xml:space="preserve">) physical site conditions (access, land readiness, circulation), (ii) passenger boarding/alighting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xml:space="preserve">, and (iii) the presence and operational pattern of </w:t>
      </w:r>
      <w:r w:rsidRPr="00220028">
        <w:rPr>
          <w:rFonts w:ascii="Times New Roman" w:hAnsi="Times New Roman" w:cs="Times New Roman"/>
          <w:b/>
          <w:bCs/>
          <w:sz w:val="24"/>
          <w:szCs w:val="24"/>
          <w:highlight w:val="yellow"/>
        </w:rPr>
        <w:t>shadow terminals</w:t>
      </w:r>
      <w:r w:rsidRPr="00220028">
        <w:rPr>
          <w:rFonts w:ascii="Times New Roman" w:hAnsi="Times New Roman" w:cs="Times New Roman"/>
          <w:sz w:val="24"/>
          <w:szCs w:val="24"/>
          <w:highlight w:val="yellow"/>
        </w:rPr>
        <w:t xml:space="preserve"> that influence traffic circulation. Observations were used to validate and contextualize survey and interview findings (triangulation).</w:t>
      </w:r>
    </w:p>
    <w:p w14:paraId="2B385227"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(d) GIS-based spatial review (spatial feasibility and RDTR/land-use conformity)</w:t>
      </w:r>
    </w:p>
    <w:p w14:paraId="6EB69ACC" w14:textId="2AB46BAD"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A GIS-based spatial review was conducted to support site feasibility and planning justification. Spatial layers included administrative boundaries, road hierarchy, activity </w:t>
      </w:r>
      <w:proofErr w:type="spellStart"/>
      <w:r w:rsidRPr="00220028">
        <w:rPr>
          <w:rFonts w:ascii="Times New Roman" w:hAnsi="Times New Roman" w:cs="Times New Roman"/>
          <w:sz w:val="24"/>
          <w:szCs w:val="24"/>
          <w:highlight w:val="yellow"/>
        </w:rPr>
        <w:t>centers</w:t>
      </w:r>
      <w:proofErr w:type="spellEnd"/>
      <w:r w:rsidRPr="00220028">
        <w:rPr>
          <w:rFonts w:ascii="Times New Roman" w:hAnsi="Times New Roman" w:cs="Times New Roman"/>
          <w:sz w:val="24"/>
          <w:szCs w:val="24"/>
          <w:highlight w:val="yellow"/>
        </w:rPr>
        <w:t xml:space="preserve"> (e.g., market area), and land-use/zoning information from the </w:t>
      </w:r>
      <w:r w:rsidRPr="00220028">
        <w:rPr>
          <w:rFonts w:ascii="Times New Roman" w:hAnsi="Times New Roman" w:cs="Times New Roman"/>
          <w:b/>
          <w:bCs/>
          <w:sz w:val="24"/>
          <w:szCs w:val="24"/>
          <w:highlight w:val="yellow"/>
        </w:rPr>
        <w:t>draft RDTR</w:t>
      </w:r>
      <w:r w:rsidRPr="00220028">
        <w:rPr>
          <w:rFonts w:ascii="Times New Roman" w:hAnsi="Times New Roman" w:cs="Times New Roman"/>
          <w:sz w:val="24"/>
          <w:szCs w:val="24"/>
          <w:highlight w:val="yellow"/>
        </w:rPr>
        <w:t xml:space="preserve"> or equivalent spatial planning references available. Overlay analysis was used to assess (</w:t>
      </w:r>
      <w:proofErr w:type="spellStart"/>
      <w:r w:rsidRPr="00220028">
        <w:rPr>
          <w:rFonts w:ascii="Times New Roman" w:hAnsi="Times New Roman" w:cs="Times New Roman"/>
          <w:sz w:val="24"/>
          <w:szCs w:val="24"/>
          <w:highlight w:val="yellow"/>
        </w:rPr>
        <w:t>i</w:t>
      </w:r>
      <w:proofErr w:type="spellEnd"/>
      <w:r w:rsidRPr="00220028">
        <w:rPr>
          <w:rFonts w:ascii="Times New Roman" w:hAnsi="Times New Roman" w:cs="Times New Roman"/>
          <w:sz w:val="24"/>
          <w:szCs w:val="24"/>
          <w:highlight w:val="yellow"/>
        </w:rPr>
        <w:t>) site accessibility to dominant corridors and activity generators, (ii) land-use conformity and potential conflict risks, and (iii) feasibility constraints (where data were available, such as slope/drainage proxies). The GIS outputs informed suitability interpretation and strengthened evidence for site selection and access design.</w:t>
      </w:r>
    </w:p>
    <w:p w14:paraId="6E5D6391"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2.4. Population and Sample</w:t>
      </w:r>
    </w:p>
    <w:p w14:paraId="0FC19B67"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The population includes public transport users and actors in </w:t>
      </w:r>
      <w:proofErr w:type="spellStart"/>
      <w:r w:rsidRPr="00220028">
        <w:rPr>
          <w:rFonts w:ascii="Times New Roman" w:hAnsi="Times New Roman" w:cs="Times New Roman"/>
          <w:sz w:val="24"/>
          <w:szCs w:val="24"/>
          <w:highlight w:val="yellow"/>
        </w:rPr>
        <w:t>Doloksanggul</w:t>
      </w:r>
      <w:proofErr w:type="spellEnd"/>
      <w:r w:rsidRPr="00220028">
        <w:rPr>
          <w:rFonts w:ascii="Times New Roman" w:hAnsi="Times New Roman" w:cs="Times New Roman"/>
          <w:sz w:val="24"/>
          <w:szCs w:val="24"/>
          <w:highlight w:val="yellow"/>
        </w:rPr>
        <w:t xml:space="preserve">, including passengers, drivers, managers/operators, and government stakeholders involved in transport planning. </w:t>
      </w:r>
      <w:r w:rsidRPr="00220028">
        <w:rPr>
          <w:rFonts w:ascii="Times New Roman" w:hAnsi="Times New Roman" w:cs="Times New Roman"/>
          <w:b/>
          <w:bCs/>
          <w:sz w:val="24"/>
          <w:szCs w:val="24"/>
          <w:highlight w:val="yellow"/>
        </w:rPr>
        <w:t>Purposive sampling</w:t>
      </w:r>
      <w:r w:rsidRPr="00220028">
        <w:rPr>
          <w:rFonts w:ascii="Times New Roman" w:hAnsi="Times New Roman" w:cs="Times New Roman"/>
          <w:sz w:val="24"/>
          <w:szCs w:val="24"/>
          <w:highlight w:val="yellow"/>
        </w:rPr>
        <w:t xml:space="preserve"> was used for interviews based on role relevance and direct involvement in terminal-related mobility.</w:t>
      </w:r>
    </w:p>
    <w:p w14:paraId="11737D49"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lastRenderedPageBreak/>
        <w:t>Interview respondent criteria included:</w:t>
      </w:r>
    </w:p>
    <w:p w14:paraId="169A1C35"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Public transport drivers (AKAP, AKDP, city transport/</w:t>
      </w:r>
      <w:proofErr w:type="spellStart"/>
      <w:r w:rsidRPr="00220028">
        <w:rPr>
          <w:rFonts w:ascii="Times New Roman" w:hAnsi="Times New Roman" w:cs="Times New Roman"/>
          <w:sz w:val="24"/>
          <w:szCs w:val="24"/>
          <w:highlight w:val="yellow"/>
        </w:rPr>
        <w:t>angkot</w:t>
      </w:r>
      <w:proofErr w:type="spellEnd"/>
      <w:r w:rsidRPr="00220028">
        <w:rPr>
          <w:rFonts w:ascii="Times New Roman" w:hAnsi="Times New Roman" w:cs="Times New Roman"/>
          <w:sz w:val="24"/>
          <w:szCs w:val="24"/>
          <w:highlight w:val="yellow"/>
        </w:rPr>
        <w:t>)</w:t>
      </w:r>
    </w:p>
    <w:p w14:paraId="3138EA0E"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Public transport users (passengers)</w:t>
      </w:r>
    </w:p>
    <w:p w14:paraId="6F77FBE4"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Transport managers/operators in </w:t>
      </w:r>
      <w:proofErr w:type="spellStart"/>
      <w:r w:rsidRPr="00220028">
        <w:rPr>
          <w:rFonts w:ascii="Times New Roman" w:hAnsi="Times New Roman" w:cs="Times New Roman"/>
          <w:sz w:val="24"/>
          <w:szCs w:val="24"/>
          <w:highlight w:val="yellow"/>
        </w:rPr>
        <w:t>Doloksanggul</w:t>
      </w:r>
      <w:proofErr w:type="spellEnd"/>
    </w:p>
    <w:p w14:paraId="69074DBD"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Government officials involved in transport planning/management</w:t>
      </w:r>
    </w:p>
    <w:p w14:paraId="583E4BDC"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A total of </w:t>
      </w:r>
      <w:r w:rsidRPr="00220028">
        <w:rPr>
          <w:rFonts w:ascii="Times New Roman" w:hAnsi="Times New Roman" w:cs="Times New Roman"/>
          <w:b/>
          <w:bCs/>
          <w:sz w:val="24"/>
          <w:szCs w:val="24"/>
          <w:highlight w:val="yellow"/>
        </w:rPr>
        <w:t>30 interview respondents</w:t>
      </w:r>
      <w:r w:rsidRPr="00220028">
        <w:rPr>
          <w:rFonts w:ascii="Times New Roman" w:hAnsi="Times New Roman" w:cs="Times New Roman"/>
          <w:sz w:val="24"/>
          <w:szCs w:val="24"/>
          <w:highlight w:val="yellow"/>
        </w:rPr>
        <w:t xml:space="preserve"> were included: </w:t>
      </w:r>
      <w:r w:rsidRPr="00220028">
        <w:rPr>
          <w:rFonts w:ascii="Times New Roman" w:hAnsi="Times New Roman" w:cs="Times New Roman"/>
          <w:b/>
          <w:bCs/>
          <w:sz w:val="24"/>
          <w:szCs w:val="24"/>
          <w:highlight w:val="yellow"/>
        </w:rPr>
        <w:t>drivers (15 persons), service users (10 persons), and transport managers (5 persons)</w:t>
      </w:r>
      <w:r w:rsidRPr="00220028">
        <w:rPr>
          <w:rFonts w:ascii="Times New Roman" w:hAnsi="Times New Roman" w:cs="Times New Roman"/>
          <w:sz w:val="24"/>
          <w:szCs w:val="24"/>
          <w:highlight w:val="yellow"/>
        </w:rPr>
        <w:t xml:space="preserve">. For traffic surveys, observations were conducted at </w:t>
      </w:r>
      <w:r w:rsidRPr="00220028">
        <w:rPr>
          <w:rFonts w:ascii="Times New Roman" w:hAnsi="Times New Roman" w:cs="Times New Roman"/>
          <w:b/>
          <w:bCs/>
          <w:sz w:val="24"/>
          <w:szCs w:val="24"/>
          <w:highlight w:val="yellow"/>
        </w:rPr>
        <w:t>five key points</w:t>
      </w:r>
      <w:r w:rsidRPr="00220028">
        <w:rPr>
          <w:rFonts w:ascii="Times New Roman" w:hAnsi="Times New Roman" w:cs="Times New Roman"/>
          <w:sz w:val="24"/>
          <w:szCs w:val="24"/>
          <w:highlight w:val="yellow"/>
        </w:rPr>
        <w:t xml:space="preserve"> along major approaches to the city </w:t>
      </w:r>
      <w:proofErr w:type="spellStart"/>
      <w:r w:rsidRPr="00220028">
        <w:rPr>
          <w:rFonts w:ascii="Times New Roman" w:hAnsi="Times New Roman" w:cs="Times New Roman"/>
          <w:sz w:val="24"/>
          <w:szCs w:val="24"/>
          <w:highlight w:val="yellow"/>
        </w:rPr>
        <w:t>center</w:t>
      </w:r>
      <w:proofErr w:type="spellEnd"/>
      <w:r w:rsidRPr="00220028">
        <w:rPr>
          <w:rFonts w:ascii="Times New Roman" w:hAnsi="Times New Roman" w:cs="Times New Roman"/>
          <w:sz w:val="24"/>
          <w:szCs w:val="24"/>
          <w:highlight w:val="yellow"/>
        </w:rPr>
        <w:t xml:space="preserve"> and the planned terminal location.</w:t>
      </w:r>
    </w:p>
    <w:p w14:paraId="68F12EF4"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2.5. Research Instruments</w:t>
      </w:r>
    </w:p>
    <w:p w14:paraId="07A34666"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The instruments used in this study include:</w:t>
      </w:r>
    </w:p>
    <w:p w14:paraId="449F3848"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Survey/traffic count sheets and structured checklist</w:t>
      </w:r>
    </w:p>
    <w:p w14:paraId="1DD05EEB" w14:textId="3196E24F"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Used to record vehicle volumes by type, time interval, and location; supplemented by a structured checklist to capture basic road/traffic conditions relevant to terminal operations.</w:t>
      </w:r>
    </w:p>
    <w:p w14:paraId="0AE1F77A"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(b) Interview guide</w:t>
      </w:r>
    </w:p>
    <w:p w14:paraId="5DD6291F" w14:textId="19DFCC9A"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 semi-structured guide consisting of open-ended questions covering: terminal condition, willingness to use formal terminals, reasons for informal stopping, service expectations, safety/comfort issues, and governance/enforcement considerations.</w:t>
      </w:r>
    </w:p>
    <w:p w14:paraId="08AE0D3B"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 Observation protocol</w:t>
      </w:r>
    </w:p>
    <w:p w14:paraId="7BF47C99" w14:textId="183E5898"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Used to document site conditions, corridor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passenger movement patterns, and shadow-terminal activities. This protocol supported systematic recording and triangulation.</w:t>
      </w:r>
    </w:p>
    <w:p w14:paraId="729C0DA3"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(d) GIS overlay framework</w:t>
      </w:r>
    </w:p>
    <w:p w14:paraId="6D5D00D3" w14:textId="67C40F1D"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 set of spatial criteria and overlay procedures for accessibility and RDTR/land-use conformity checks, used to interpret feasibility and risk.</w:t>
      </w:r>
    </w:p>
    <w:p w14:paraId="23F5999D"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2.6. Data Analysis Techniques</w:t>
      </w:r>
    </w:p>
    <w:p w14:paraId="2012D25C"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Data were </w:t>
      </w:r>
      <w:proofErr w:type="spellStart"/>
      <w:r w:rsidRPr="00220028">
        <w:rPr>
          <w:rFonts w:ascii="Times New Roman" w:hAnsi="Times New Roman" w:cs="Times New Roman"/>
          <w:sz w:val="24"/>
          <w:szCs w:val="24"/>
          <w:highlight w:val="yellow"/>
        </w:rPr>
        <w:t>analyzed</w:t>
      </w:r>
      <w:proofErr w:type="spellEnd"/>
      <w:r w:rsidRPr="00220028">
        <w:rPr>
          <w:rFonts w:ascii="Times New Roman" w:hAnsi="Times New Roman" w:cs="Times New Roman"/>
          <w:sz w:val="24"/>
          <w:szCs w:val="24"/>
          <w:highlight w:val="yellow"/>
        </w:rPr>
        <w:t xml:space="preserve"> using complementary quantitative and qualitative techniques.</w:t>
      </w:r>
    </w:p>
    <w:p w14:paraId="687E11E3"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Quantitative analysis</w:t>
      </w:r>
    </w:p>
    <w:p w14:paraId="0D1CE15A" w14:textId="64D73659"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Traffic survey data were processed to produce VKT-based indicators and to support terminal demand projection. Terminal demand was modelled using regression to examine the relationship between travel intensity (VKT), accessibility, and terminal demand.</w:t>
      </w:r>
    </w:p>
    <w:p w14:paraId="27FDE994"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Terminal Demand Projection Model (regression form):</w:t>
      </w:r>
    </w:p>
    <w:p w14:paraId="52F688DD" w14:textId="0C734138" w:rsidR="00220028" w:rsidRPr="00220028" w:rsidRDefault="00220028" w:rsidP="00220028">
      <w:pPr>
        <w:jc w:val="both"/>
        <w:rPr>
          <w:rFonts w:ascii="Times New Roman" w:hAnsi="Times New Roman" w:cs="Times New Roman"/>
          <w:sz w:val="24"/>
          <w:szCs w:val="24"/>
          <w:highlight w:val="yellow"/>
        </w:rPr>
      </w:pPr>
      <m:oMathPara>
        <m:oMath>
          <m:r>
            <w:rPr>
              <w:rFonts w:ascii="Cambria Math" w:hAnsi="Cambria Math" w:cs="Times New Roman"/>
              <w:sz w:val="24"/>
              <w:szCs w:val="24"/>
              <w:highlight w:val="yellow"/>
            </w:rPr>
            <m:t>T=α+</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1</m:t>
              </m:r>
            </m:sub>
          </m:sSub>
          <m:r>
            <w:rPr>
              <w:rFonts w:ascii="Cambria Math" w:hAnsi="Cambria Math" w:cs="Times New Roman"/>
              <w:sz w:val="24"/>
              <w:szCs w:val="24"/>
              <w:highlight w:val="yellow"/>
            </w:rPr>
            <m:t>(VKT)+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2</m:t>
              </m:r>
            </m:sub>
          </m:sSub>
          <m:r>
            <w:rPr>
              <w:rFonts w:ascii="Cambria Math" w:hAnsi="Cambria Math" w:cs="Times New Roman"/>
              <w:sz w:val="24"/>
              <w:szCs w:val="24"/>
              <w:highlight w:val="yellow"/>
            </w:rPr>
            <m:t>(A)</m:t>
          </m:r>
          <m:r>
            <m:rPr>
              <m:sty m:val="p"/>
            </m:rPr>
            <w:rPr>
              <w:rFonts w:ascii="Times New Roman" w:hAnsi="Times New Roman" w:cs="Times New Roman"/>
              <w:sz w:val="24"/>
              <w:szCs w:val="24"/>
              <w:highlight w:val="yellow"/>
            </w:rPr>
            <w:br/>
          </m:r>
        </m:oMath>
      </m:oMathPara>
    </w:p>
    <w:p w14:paraId="56ED65AB"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Where:</w:t>
      </w:r>
    </w:p>
    <w:p w14:paraId="6C6233B9" w14:textId="77777777" w:rsidR="00220028" w:rsidRPr="00220028" w:rsidRDefault="00220028" w:rsidP="00220028">
      <w:pPr>
        <w:numPr>
          <w:ilvl w:val="0"/>
          <w:numId w:val="7"/>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lastRenderedPageBreak/>
        <w:t>T</w:t>
      </w:r>
      <w:r w:rsidRPr="00220028">
        <w:rPr>
          <w:rFonts w:ascii="Times New Roman" w:hAnsi="Times New Roman" w:cs="Times New Roman"/>
          <w:sz w:val="24"/>
          <w:szCs w:val="24"/>
          <w:highlight w:val="yellow"/>
        </w:rPr>
        <w:t xml:space="preserve"> = terminal demand (vehicle units / operational demand indicator)</w:t>
      </w:r>
    </w:p>
    <w:p w14:paraId="0E6741E9" w14:textId="719AB85C" w:rsidR="00220028" w:rsidRPr="00220028" w:rsidRDefault="00220028" w:rsidP="00220028">
      <w:pPr>
        <w:numPr>
          <w:ilvl w:val="0"/>
          <w:numId w:val="7"/>
        </w:numPr>
        <w:jc w:val="both"/>
        <w:rPr>
          <w:rFonts w:ascii="Times New Roman" w:hAnsi="Times New Roman" w:cs="Times New Roman"/>
          <w:sz w:val="24"/>
          <w:szCs w:val="24"/>
          <w:highlight w:val="yellow"/>
        </w:rPr>
      </w:pPr>
      <m:oMath>
        <m:r>
          <w:rPr>
            <w:rFonts w:ascii="Cambria Math" w:hAnsi="Cambria Math" w:cs="Times New Roman"/>
            <w:sz w:val="24"/>
            <w:szCs w:val="24"/>
            <w:highlight w:val="yellow"/>
          </w:rPr>
          <m:t>α</m:t>
        </m:r>
      </m:oMath>
      <w:r w:rsidRPr="00220028">
        <w:rPr>
          <w:rFonts w:ascii="Times New Roman" w:hAnsi="Times New Roman" w:cs="Times New Roman"/>
          <w:sz w:val="24"/>
          <w:szCs w:val="24"/>
          <w:highlight w:val="yellow"/>
        </w:rPr>
        <w:t>= constant</w:t>
      </w:r>
    </w:p>
    <w:p w14:paraId="2A584B4E" w14:textId="51C47A97" w:rsidR="00220028" w:rsidRPr="00220028" w:rsidRDefault="00A15169" w:rsidP="00220028">
      <w:pPr>
        <w:numPr>
          <w:ilvl w:val="0"/>
          <w:numId w:val="7"/>
        </w:numPr>
        <w:jc w:val="both"/>
        <w:rPr>
          <w:rFonts w:ascii="Times New Roman" w:hAnsi="Times New Roman" w:cs="Times New Roman"/>
          <w:sz w:val="24"/>
          <w:szCs w:val="24"/>
          <w:highlight w:val="yellow"/>
        </w:rPr>
      </w:pPr>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1</m:t>
            </m:r>
          </m:sub>
        </m:sSub>
        <m:r>
          <w:rPr>
            <w:rFonts w:ascii="Cambria Math" w:hAnsi="Cambria Math" w:cs="Times New Roman"/>
            <w:sz w:val="24"/>
            <w:szCs w:val="24"/>
            <w:highlight w:val="yellow"/>
          </w:rPr>
          <m: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2</m:t>
            </m:r>
          </m:sub>
        </m:sSub>
      </m:oMath>
      <w:r w:rsidR="00220028" w:rsidRPr="00220028">
        <w:rPr>
          <w:rFonts w:ascii="Times New Roman" w:hAnsi="Times New Roman" w:cs="Times New Roman"/>
          <w:sz w:val="24"/>
          <w:szCs w:val="24"/>
          <w:highlight w:val="yellow"/>
        </w:rPr>
        <w:t>= regression coefficients</w:t>
      </w:r>
    </w:p>
    <w:p w14:paraId="184DCA00" w14:textId="77777777" w:rsidR="00220028" w:rsidRPr="00220028" w:rsidRDefault="00220028" w:rsidP="00220028">
      <w:pPr>
        <w:numPr>
          <w:ilvl w:val="0"/>
          <w:numId w:val="7"/>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VKT</w:t>
      </w:r>
      <w:r w:rsidRPr="00220028">
        <w:rPr>
          <w:rFonts w:ascii="Times New Roman" w:hAnsi="Times New Roman" w:cs="Times New Roman"/>
          <w:sz w:val="24"/>
          <w:szCs w:val="24"/>
          <w:highlight w:val="yellow"/>
        </w:rPr>
        <w:t xml:space="preserve"> = total vehicle kilometres travelled (</w:t>
      </w:r>
      <w:proofErr w:type="spellStart"/>
      <w:r w:rsidRPr="00220028">
        <w:rPr>
          <w:rFonts w:ascii="Times New Roman" w:hAnsi="Times New Roman" w:cs="Times New Roman"/>
          <w:sz w:val="24"/>
          <w:szCs w:val="24"/>
          <w:highlight w:val="yellow"/>
        </w:rPr>
        <w:t>veh</w:t>
      </w:r>
      <w:proofErr w:type="spellEnd"/>
      <w:r w:rsidRPr="00220028">
        <w:rPr>
          <w:rFonts w:ascii="Times New Roman" w:hAnsi="Times New Roman" w:cs="Times New Roman"/>
          <w:sz w:val="24"/>
          <w:szCs w:val="24"/>
          <w:highlight w:val="yellow"/>
        </w:rPr>
        <w:t>-km)</w:t>
      </w:r>
    </w:p>
    <w:p w14:paraId="7B4B3398" w14:textId="77777777" w:rsidR="00220028" w:rsidRPr="00220028" w:rsidRDefault="00220028" w:rsidP="00220028">
      <w:pPr>
        <w:numPr>
          <w:ilvl w:val="0"/>
          <w:numId w:val="7"/>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A</w:t>
      </w:r>
      <w:r w:rsidRPr="00220028">
        <w:rPr>
          <w:rFonts w:ascii="Times New Roman" w:hAnsi="Times New Roman" w:cs="Times New Roman"/>
          <w:sz w:val="24"/>
          <w:szCs w:val="24"/>
          <w:highlight w:val="yellow"/>
        </w:rPr>
        <w:t xml:space="preserve"> = accessibility index/score</w:t>
      </w:r>
    </w:p>
    <w:p w14:paraId="0F074702"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Accessibility index (A)</w:t>
      </w:r>
      <w:r w:rsidRPr="00220028">
        <w:rPr>
          <w:rFonts w:ascii="Times New Roman" w:hAnsi="Times New Roman" w:cs="Times New Roman"/>
          <w:sz w:val="24"/>
          <w:szCs w:val="24"/>
          <w:highlight w:val="yellow"/>
        </w:rPr>
        <w:t xml:space="preserve"> was derived from spatial and operational indicators, such as proximity to main corridors and activity </w:t>
      </w:r>
      <w:proofErr w:type="spellStart"/>
      <w:r w:rsidRPr="00220028">
        <w:rPr>
          <w:rFonts w:ascii="Times New Roman" w:hAnsi="Times New Roman" w:cs="Times New Roman"/>
          <w:sz w:val="24"/>
          <w:szCs w:val="24"/>
          <w:highlight w:val="yellow"/>
        </w:rPr>
        <w:t>centers</w:t>
      </w:r>
      <w:proofErr w:type="spellEnd"/>
      <w:r w:rsidRPr="00220028">
        <w:rPr>
          <w:rFonts w:ascii="Times New Roman" w:hAnsi="Times New Roman" w:cs="Times New Roman"/>
          <w:sz w:val="24"/>
          <w:szCs w:val="24"/>
          <w:highlight w:val="yellow"/>
        </w:rPr>
        <w:t>, ease of entry/exit, and road hierarchy compatibility (supported by GIS review and field verification). Where necessary, A was standardized into a comparable score scale for modelling.</w:t>
      </w:r>
    </w:p>
    <w:p w14:paraId="361D1FA4"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(b) Qualitative analysis</w:t>
      </w:r>
    </w:p>
    <w:p w14:paraId="253BC3B6" w14:textId="1653A94D"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Interview transcripts and observation notes were </w:t>
      </w:r>
      <w:proofErr w:type="spellStart"/>
      <w:r w:rsidRPr="00220028">
        <w:rPr>
          <w:rFonts w:ascii="Times New Roman" w:hAnsi="Times New Roman" w:cs="Times New Roman"/>
          <w:sz w:val="24"/>
          <w:szCs w:val="24"/>
          <w:highlight w:val="yellow"/>
        </w:rPr>
        <w:t>analyzed</w:t>
      </w:r>
      <w:proofErr w:type="spellEnd"/>
      <w:r w:rsidRPr="00220028">
        <w:rPr>
          <w:rFonts w:ascii="Times New Roman" w:hAnsi="Times New Roman" w:cs="Times New Roman"/>
          <w:sz w:val="24"/>
          <w:szCs w:val="24"/>
          <w:highlight w:val="yellow"/>
        </w:rPr>
        <w:t xml:space="preserve"> using </w:t>
      </w:r>
      <w:r w:rsidRPr="00220028">
        <w:rPr>
          <w:rFonts w:ascii="Times New Roman" w:hAnsi="Times New Roman" w:cs="Times New Roman"/>
          <w:b/>
          <w:bCs/>
          <w:sz w:val="24"/>
          <w:szCs w:val="24"/>
          <w:highlight w:val="yellow"/>
        </w:rPr>
        <w:t>thematic analysis</w:t>
      </w:r>
      <w:r w:rsidRPr="00220028">
        <w:rPr>
          <w:rFonts w:ascii="Times New Roman" w:hAnsi="Times New Roman" w:cs="Times New Roman"/>
          <w:sz w:val="24"/>
          <w:szCs w:val="24"/>
          <w:highlight w:val="yellow"/>
        </w:rPr>
        <w:t xml:space="preserve"> to identify recurring patterns related to transport challenges, terminal needs, governance barriers, and shadow-terminal persistence. The resulting themes were then translated into strategic options using </w:t>
      </w:r>
      <w:r w:rsidRPr="00220028">
        <w:rPr>
          <w:rFonts w:ascii="Times New Roman" w:hAnsi="Times New Roman" w:cs="Times New Roman"/>
          <w:b/>
          <w:bCs/>
          <w:sz w:val="24"/>
          <w:szCs w:val="24"/>
          <w:highlight w:val="yellow"/>
        </w:rPr>
        <w:t>SWOT analysis</w:t>
      </w:r>
      <w:r w:rsidRPr="00220028">
        <w:rPr>
          <w:rFonts w:ascii="Times New Roman" w:hAnsi="Times New Roman" w:cs="Times New Roman"/>
          <w:sz w:val="24"/>
          <w:szCs w:val="24"/>
          <w:highlight w:val="yellow"/>
        </w:rPr>
        <w:t>.</w:t>
      </w:r>
    </w:p>
    <w:p w14:paraId="00CFE880"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To strengthen the defensibility of SWOT positioning, the study applies </w:t>
      </w:r>
      <w:r w:rsidRPr="00220028">
        <w:rPr>
          <w:rFonts w:ascii="Times New Roman" w:hAnsi="Times New Roman" w:cs="Times New Roman"/>
          <w:b/>
          <w:bCs/>
          <w:sz w:val="24"/>
          <w:szCs w:val="24"/>
          <w:highlight w:val="yellow"/>
        </w:rPr>
        <w:t>IFAS–EFAS scoring</w:t>
      </w:r>
      <w:r w:rsidRPr="00220028">
        <w:rPr>
          <w:rFonts w:ascii="Times New Roman" w:hAnsi="Times New Roman" w:cs="Times New Roman"/>
          <w:sz w:val="24"/>
          <w:szCs w:val="24"/>
          <w:highlight w:val="yellow"/>
        </w:rPr>
        <w:t>:</w:t>
      </w:r>
    </w:p>
    <w:p w14:paraId="43171FA3" w14:textId="77777777" w:rsidR="00220028" w:rsidRPr="00220028" w:rsidRDefault="00220028" w:rsidP="00220028">
      <w:pPr>
        <w:numPr>
          <w:ilvl w:val="0"/>
          <w:numId w:val="8"/>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IFAS (Internal Factors Analysis Summary) quantifies </w:t>
      </w:r>
      <w:r w:rsidRPr="00220028">
        <w:rPr>
          <w:rFonts w:ascii="Times New Roman" w:hAnsi="Times New Roman" w:cs="Times New Roman"/>
          <w:b/>
          <w:bCs/>
          <w:sz w:val="24"/>
          <w:szCs w:val="24"/>
          <w:highlight w:val="yellow"/>
        </w:rPr>
        <w:t>Strengths</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Weaknesses</w:t>
      </w:r>
      <w:r w:rsidRPr="00220028">
        <w:rPr>
          <w:rFonts w:ascii="Times New Roman" w:hAnsi="Times New Roman" w:cs="Times New Roman"/>
          <w:sz w:val="24"/>
          <w:szCs w:val="24"/>
          <w:highlight w:val="yellow"/>
        </w:rPr>
        <w:t xml:space="preserve"> using weighted ratings.</w:t>
      </w:r>
    </w:p>
    <w:p w14:paraId="69257F57" w14:textId="77777777" w:rsidR="00220028" w:rsidRPr="00220028" w:rsidRDefault="00220028" w:rsidP="00220028">
      <w:pPr>
        <w:numPr>
          <w:ilvl w:val="0"/>
          <w:numId w:val="8"/>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EFAS (External Factors Analysis Summary) quantifies </w:t>
      </w:r>
      <w:r w:rsidRPr="00220028">
        <w:rPr>
          <w:rFonts w:ascii="Times New Roman" w:hAnsi="Times New Roman" w:cs="Times New Roman"/>
          <w:b/>
          <w:bCs/>
          <w:sz w:val="24"/>
          <w:szCs w:val="24"/>
          <w:highlight w:val="yellow"/>
        </w:rPr>
        <w:t>Opportunities</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Threats</w:t>
      </w:r>
      <w:r w:rsidRPr="00220028">
        <w:rPr>
          <w:rFonts w:ascii="Times New Roman" w:hAnsi="Times New Roman" w:cs="Times New Roman"/>
          <w:sz w:val="24"/>
          <w:szCs w:val="24"/>
          <w:highlight w:val="yellow"/>
        </w:rPr>
        <w:t xml:space="preserve"> using weighted ratings.</w:t>
      </w:r>
    </w:p>
    <w:p w14:paraId="5E930AB7"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The SWOT quadrant position is derived from:</w:t>
      </w:r>
    </w:p>
    <w:p w14:paraId="4A0EEDB7" w14:textId="3AC4069F" w:rsidR="00220028" w:rsidRPr="00220028" w:rsidRDefault="00220028" w:rsidP="00220028">
      <w:pPr>
        <w:numPr>
          <w:ilvl w:val="0"/>
          <w:numId w:val="9"/>
        </w:numPr>
        <w:jc w:val="both"/>
        <w:rPr>
          <w:rFonts w:ascii="Times New Roman" w:hAnsi="Times New Roman" w:cs="Times New Roman"/>
          <w:sz w:val="24"/>
          <w:szCs w:val="24"/>
          <w:highlight w:val="yellow"/>
        </w:rPr>
      </w:pPr>
      <m:oMath>
        <m:r>
          <w:rPr>
            <w:rFonts w:ascii="Cambria Math" w:hAnsi="Cambria Math" w:cs="Times New Roman"/>
            <w:sz w:val="24"/>
            <w:szCs w:val="24"/>
            <w:highlight w:val="yellow"/>
          </w:rPr>
          <m:t>X=∑S-∑W</m:t>
        </m:r>
      </m:oMath>
    </w:p>
    <w:p w14:paraId="39C25A26" w14:textId="3722A9A3" w:rsidR="00220028" w:rsidRPr="00220028" w:rsidRDefault="00220028" w:rsidP="00220028">
      <w:pPr>
        <w:numPr>
          <w:ilvl w:val="0"/>
          <w:numId w:val="9"/>
        </w:numPr>
        <w:jc w:val="both"/>
        <w:rPr>
          <w:rFonts w:ascii="Times New Roman" w:hAnsi="Times New Roman" w:cs="Times New Roman"/>
          <w:sz w:val="24"/>
          <w:szCs w:val="24"/>
          <w:highlight w:val="yellow"/>
        </w:rPr>
      </w:pPr>
      <m:oMath>
        <m:r>
          <w:rPr>
            <w:rFonts w:ascii="Cambria Math" w:hAnsi="Cambria Math" w:cs="Times New Roman"/>
            <w:sz w:val="24"/>
            <w:szCs w:val="24"/>
            <w:highlight w:val="yellow"/>
          </w:rPr>
          <m:t>Y=∑O-∑T</m:t>
        </m:r>
      </m:oMath>
    </w:p>
    <w:p w14:paraId="70094762"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This produces an evidence-supported basis for selecting an appropriate strategic posture (e.g., SO/aggressive, ST, WO, WT) and prioritizing programs.</w:t>
      </w:r>
    </w:p>
    <w:p w14:paraId="2F0463CD"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2.7. Validity, Reliability, and Trustworthiness</w:t>
      </w:r>
    </w:p>
    <w:p w14:paraId="56758A36"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To ensure methodological rigor, the study applied validity and reliability checks appropriate to mixed-method research.</w:t>
      </w:r>
    </w:p>
    <w:p w14:paraId="717CC445"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Quantitative reliability and construct validity</w:t>
      </w:r>
    </w:p>
    <w:p w14:paraId="7644122E" w14:textId="492AC31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Instrument items and structured checklists were developed from transport planning and terminal service concepts and were refined through </w:t>
      </w:r>
      <w:r w:rsidRPr="00220028">
        <w:rPr>
          <w:rFonts w:ascii="Times New Roman" w:hAnsi="Times New Roman" w:cs="Times New Roman"/>
          <w:b/>
          <w:bCs/>
          <w:sz w:val="24"/>
          <w:szCs w:val="24"/>
          <w:highlight w:val="yellow"/>
        </w:rPr>
        <w:t>expert review</w:t>
      </w:r>
      <w:r w:rsidRPr="00220028">
        <w:rPr>
          <w:rFonts w:ascii="Times New Roman" w:hAnsi="Times New Roman" w:cs="Times New Roman"/>
          <w:sz w:val="24"/>
          <w:szCs w:val="24"/>
          <w:highlight w:val="yellow"/>
        </w:rPr>
        <w:t xml:space="preserve"> and a </w:t>
      </w:r>
      <w:r w:rsidRPr="00220028">
        <w:rPr>
          <w:rFonts w:ascii="Times New Roman" w:hAnsi="Times New Roman" w:cs="Times New Roman"/>
          <w:b/>
          <w:bCs/>
          <w:sz w:val="24"/>
          <w:szCs w:val="24"/>
          <w:highlight w:val="yellow"/>
        </w:rPr>
        <w:t>pilot test</w:t>
      </w:r>
      <w:r w:rsidRPr="00220028">
        <w:rPr>
          <w:rFonts w:ascii="Times New Roman" w:hAnsi="Times New Roman" w:cs="Times New Roman"/>
          <w:sz w:val="24"/>
          <w:szCs w:val="24"/>
          <w:highlight w:val="yellow"/>
        </w:rPr>
        <w:t xml:space="preserve"> to improve clarity and relevance. Internal consistency reliability and construct validity were evaluated using common thresholds:</w:t>
      </w:r>
    </w:p>
    <w:p w14:paraId="2C7A6360"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Cronbach’s alpha (α) ≥ 0.70</w:t>
      </w:r>
      <w:r w:rsidRPr="00220028">
        <w:rPr>
          <w:rFonts w:ascii="Times New Roman" w:hAnsi="Times New Roman" w:cs="Times New Roman"/>
          <w:sz w:val="24"/>
          <w:szCs w:val="24"/>
          <w:highlight w:val="yellow"/>
        </w:rPr>
        <w:t xml:space="preserve"> (acceptable internal consistency)</w:t>
      </w:r>
    </w:p>
    <w:p w14:paraId="6E432CAB"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Composite reliability (CR) ≥ 0.70</w:t>
      </w:r>
    </w:p>
    <w:p w14:paraId="22159150"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Average variance extracted (AVE) ≥ 0.50</w:t>
      </w:r>
      <w:r w:rsidRPr="00220028">
        <w:rPr>
          <w:rFonts w:ascii="Times New Roman" w:hAnsi="Times New Roman" w:cs="Times New Roman"/>
          <w:sz w:val="24"/>
          <w:szCs w:val="24"/>
          <w:highlight w:val="yellow"/>
        </w:rPr>
        <w:t xml:space="preserve"> (convergent validity)</w:t>
      </w:r>
    </w:p>
    <w:p w14:paraId="307460D6"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lastRenderedPageBreak/>
        <w:t>HTMT &lt; 0.85–0.90</w:t>
      </w:r>
      <w:r w:rsidRPr="00220028">
        <w:rPr>
          <w:rFonts w:ascii="Times New Roman" w:hAnsi="Times New Roman" w:cs="Times New Roman"/>
          <w:sz w:val="24"/>
          <w:szCs w:val="24"/>
          <w:highlight w:val="yellow"/>
        </w:rPr>
        <w:t xml:space="preserve"> (discriminant validity)</w:t>
      </w:r>
    </w:p>
    <w:p w14:paraId="7BB3C31C" w14:textId="1A6B6FCC" w:rsidR="00220028" w:rsidRPr="00220028" w:rsidRDefault="00A15169" w:rsidP="00220028">
      <w:pPr>
        <w:jc w:val="both"/>
        <w:rPr>
          <w:rFonts w:ascii="Times New Roman" w:hAnsi="Times New Roman" w:cs="Times New Roman"/>
          <w:sz w:val="24"/>
          <w:szCs w:val="24"/>
          <w:highlight w:val="yellow"/>
        </w:rPr>
      </w:pPr>
      <w:r>
        <w:rPr>
          <w:rFonts w:ascii="Times New Roman" w:hAnsi="Times New Roman" w:cs="Times New Roman"/>
          <w:b/>
          <w:bCs/>
          <w:sz w:val="24"/>
          <w:szCs w:val="24"/>
          <w:highlight w:val="yellow"/>
        </w:rPr>
        <w:t>List 1</w:t>
      </w:r>
      <w:r w:rsidR="00220028" w:rsidRPr="00220028">
        <w:rPr>
          <w:rFonts w:ascii="Times New Roman" w:hAnsi="Times New Roman" w:cs="Times New Roman"/>
          <w:b/>
          <w:bCs/>
          <w:sz w:val="24"/>
          <w:szCs w:val="24"/>
          <w:highlight w:val="yellow"/>
        </w:rPr>
        <w:t>. Reliability and validity of the quantitative instrument (fill with your results)</w:t>
      </w:r>
    </w:p>
    <w:tbl>
      <w:tblPr>
        <w:tblStyle w:val="TableGridLight"/>
        <w:tblW w:w="0" w:type="auto"/>
        <w:tblLook w:val="04A0" w:firstRow="1" w:lastRow="0" w:firstColumn="1" w:lastColumn="0" w:noHBand="0" w:noVBand="1"/>
      </w:tblPr>
      <w:tblGrid>
        <w:gridCol w:w="2354"/>
        <w:gridCol w:w="1063"/>
        <w:gridCol w:w="1489"/>
        <w:gridCol w:w="563"/>
        <w:gridCol w:w="692"/>
        <w:gridCol w:w="1239"/>
        <w:gridCol w:w="1616"/>
      </w:tblGrid>
      <w:tr w:rsidR="00220028" w:rsidRPr="00220028" w14:paraId="79C3D621" w14:textId="77777777" w:rsidTr="00220028">
        <w:tc>
          <w:tcPr>
            <w:tcW w:w="0" w:type="auto"/>
            <w:hideMark/>
          </w:tcPr>
          <w:p w14:paraId="3A51136A"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Construct</w:t>
            </w:r>
          </w:p>
        </w:tc>
        <w:tc>
          <w:tcPr>
            <w:tcW w:w="0" w:type="auto"/>
            <w:hideMark/>
          </w:tcPr>
          <w:p w14:paraId="5362A84B"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No. of items</w:t>
            </w:r>
          </w:p>
        </w:tc>
        <w:tc>
          <w:tcPr>
            <w:tcW w:w="0" w:type="auto"/>
            <w:hideMark/>
          </w:tcPr>
          <w:p w14:paraId="0ADF1679"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Cronbach’s α</w:t>
            </w:r>
          </w:p>
        </w:tc>
        <w:tc>
          <w:tcPr>
            <w:tcW w:w="0" w:type="auto"/>
            <w:hideMark/>
          </w:tcPr>
          <w:p w14:paraId="2B6DCF8A"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CR</w:t>
            </w:r>
          </w:p>
        </w:tc>
        <w:tc>
          <w:tcPr>
            <w:tcW w:w="0" w:type="auto"/>
            <w:hideMark/>
          </w:tcPr>
          <w:p w14:paraId="2EBFA1B9"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AVE</w:t>
            </w:r>
          </w:p>
        </w:tc>
        <w:tc>
          <w:tcPr>
            <w:tcW w:w="0" w:type="auto"/>
            <w:hideMark/>
          </w:tcPr>
          <w:p w14:paraId="08ABFFB7"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HTMT (max)</w:t>
            </w:r>
          </w:p>
        </w:tc>
        <w:tc>
          <w:tcPr>
            <w:tcW w:w="0" w:type="auto"/>
            <w:hideMark/>
          </w:tcPr>
          <w:p w14:paraId="497DCA39"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Decision</w:t>
            </w:r>
          </w:p>
        </w:tc>
      </w:tr>
      <w:tr w:rsidR="00220028" w:rsidRPr="00220028" w14:paraId="7B42A777" w14:textId="77777777" w:rsidTr="00220028">
        <w:tc>
          <w:tcPr>
            <w:tcW w:w="0" w:type="auto"/>
            <w:hideMark/>
          </w:tcPr>
          <w:p w14:paraId="68FA9FA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Terminal accessibility</w:t>
            </w:r>
          </w:p>
        </w:tc>
        <w:tc>
          <w:tcPr>
            <w:tcW w:w="0" w:type="auto"/>
            <w:hideMark/>
          </w:tcPr>
          <w:p w14:paraId="71CAD63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D88664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44C78BA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3646514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42A9CE90"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766511E"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r w:rsidR="00220028" w:rsidRPr="00220028" w14:paraId="6F247245" w14:textId="77777777" w:rsidTr="00220028">
        <w:tc>
          <w:tcPr>
            <w:tcW w:w="0" w:type="auto"/>
            <w:hideMark/>
          </w:tcPr>
          <w:p w14:paraId="471F699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Service quality &amp; comfort</w:t>
            </w:r>
          </w:p>
        </w:tc>
        <w:tc>
          <w:tcPr>
            <w:tcW w:w="0" w:type="auto"/>
            <w:hideMark/>
          </w:tcPr>
          <w:p w14:paraId="1B223B98"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B54EE1E"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43FBBB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2C10DB2F"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DB5580B"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0FF59CA"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r w:rsidR="00220028" w:rsidRPr="00220028" w14:paraId="6B699DAD" w14:textId="77777777" w:rsidTr="00220028">
        <w:tc>
          <w:tcPr>
            <w:tcW w:w="0" w:type="auto"/>
            <w:hideMark/>
          </w:tcPr>
          <w:p w14:paraId="6440C3B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Safety &amp; orderliness</w:t>
            </w:r>
          </w:p>
        </w:tc>
        <w:tc>
          <w:tcPr>
            <w:tcW w:w="0" w:type="auto"/>
            <w:hideMark/>
          </w:tcPr>
          <w:p w14:paraId="23A22179"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DEAE372"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72440A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24D09E35"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72522DCB"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5B3BD1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r w:rsidR="00220028" w:rsidRPr="00220028" w14:paraId="7EFC717F" w14:textId="77777777" w:rsidTr="00220028">
        <w:tc>
          <w:tcPr>
            <w:tcW w:w="0" w:type="auto"/>
            <w:hideMark/>
          </w:tcPr>
          <w:p w14:paraId="4DD2E7E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Willingness to use formal terminal</w:t>
            </w:r>
          </w:p>
        </w:tc>
        <w:tc>
          <w:tcPr>
            <w:tcW w:w="0" w:type="auto"/>
            <w:hideMark/>
          </w:tcPr>
          <w:p w14:paraId="2F16DAF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ADBE87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172CF5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2C8809FA"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79F39475"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09353A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bl>
    <w:p w14:paraId="359B1ACF"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(b) Qualitative trustworthiness</w:t>
      </w:r>
      <w:r w:rsidRPr="00220028">
        <w:rPr>
          <w:rFonts w:ascii="Times New Roman" w:hAnsi="Times New Roman" w:cs="Times New Roman"/>
          <w:sz w:val="24"/>
          <w:szCs w:val="24"/>
          <w:highlight w:val="yellow"/>
        </w:rPr>
        <w:br/>
      </w:r>
      <w:proofErr w:type="spellStart"/>
      <w:r w:rsidRPr="00220028">
        <w:rPr>
          <w:rFonts w:ascii="Times New Roman" w:hAnsi="Times New Roman" w:cs="Times New Roman"/>
          <w:sz w:val="24"/>
          <w:szCs w:val="24"/>
          <w:highlight w:val="yellow"/>
        </w:rPr>
        <w:t>Trustworthiness</w:t>
      </w:r>
      <w:proofErr w:type="spellEnd"/>
      <w:r w:rsidRPr="00220028">
        <w:rPr>
          <w:rFonts w:ascii="Times New Roman" w:hAnsi="Times New Roman" w:cs="Times New Roman"/>
          <w:sz w:val="24"/>
          <w:szCs w:val="24"/>
          <w:highlight w:val="yellow"/>
        </w:rPr>
        <w:t xml:space="preserve"> of qualitative findings was strengthened through:</w:t>
      </w:r>
    </w:p>
    <w:p w14:paraId="1A6052D7"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Triangulation</w:t>
      </w:r>
      <w:r w:rsidRPr="00220028">
        <w:rPr>
          <w:rFonts w:ascii="Times New Roman" w:hAnsi="Times New Roman" w:cs="Times New Roman"/>
          <w:sz w:val="24"/>
          <w:szCs w:val="24"/>
          <w:highlight w:val="yellow"/>
        </w:rPr>
        <w:t xml:space="preserve"> across interviews, observations, and traffic evidence;</w:t>
      </w:r>
    </w:p>
    <w:p w14:paraId="7C56BB33"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Iterative coding</w:t>
      </w:r>
      <w:r w:rsidRPr="00220028">
        <w:rPr>
          <w:rFonts w:ascii="Times New Roman" w:hAnsi="Times New Roman" w:cs="Times New Roman"/>
          <w:sz w:val="24"/>
          <w:szCs w:val="24"/>
          <w:highlight w:val="yellow"/>
        </w:rPr>
        <w:t xml:space="preserve"> with repeated reading of transcripts and notes;</w:t>
      </w:r>
    </w:p>
    <w:p w14:paraId="26587D1A"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Cross-group comparison</w:t>
      </w:r>
      <w:r w:rsidRPr="00220028">
        <w:rPr>
          <w:rFonts w:ascii="Times New Roman" w:hAnsi="Times New Roman" w:cs="Times New Roman"/>
          <w:sz w:val="24"/>
          <w:szCs w:val="24"/>
          <w:highlight w:val="yellow"/>
        </w:rPr>
        <w:t xml:space="preserve"> of themes (drivers vs users vs managers) to reduce single-perspective bias; and</w:t>
      </w:r>
    </w:p>
    <w:p w14:paraId="2BC425BD"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Use of </w:t>
      </w:r>
      <w:r w:rsidRPr="00220028">
        <w:rPr>
          <w:rFonts w:ascii="Times New Roman" w:hAnsi="Times New Roman" w:cs="Times New Roman"/>
          <w:b/>
          <w:bCs/>
          <w:sz w:val="24"/>
          <w:szCs w:val="24"/>
          <w:highlight w:val="yellow"/>
        </w:rPr>
        <w:t>representative evidence</w:t>
      </w:r>
      <w:r w:rsidRPr="00220028">
        <w:rPr>
          <w:rFonts w:ascii="Times New Roman" w:hAnsi="Times New Roman" w:cs="Times New Roman"/>
          <w:sz w:val="24"/>
          <w:szCs w:val="24"/>
          <w:highlight w:val="yellow"/>
        </w:rPr>
        <w:t xml:space="preserve"> (short quotations/field notes) to enhance transparency.</w:t>
      </w:r>
    </w:p>
    <w:p w14:paraId="1EE88E97" w14:textId="57084F0B" w:rsidR="00220028" w:rsidRPr="00220028" w:rsidRDefault="00A15169" w:rsidP="00220028">
      <w:pPr>
        <w:jc w:val="both"/>
        <w:rPr>
          <w:rFonts w:ascii="Times New Roman" w:hAnsi="Times New Roman" w:cs="Times New Roman"/>
          <w:sz w:val="24"/>
          <w:szCs w:val="24"/>
          <w:highlight w:val="yellow"/>
        </w:rPr>
      </w:pPr>
      <w:r>
        <w:rPr>
          <w:rFonts w:ascii="Times New Roman" w:hAnsi="Times New Roman" w:cs="Times New Roman"/>
          <w:b/>
          <w:bCs/>
          <w:sz w:val="24"/>
          <w:szCs w:val="24"/>
          <w:highlight w:val="yellow"/>
        </w:rPr>
        <w:t>List 2</w:t>
      </w:r>
      <w:bookmarkStart w:id="0" w:name="_GoBack"/>
      <w:bookmarkEnd w:id="0"/>
      <w:r w:rsidR="00220028" w:rsidRPr="00220028">
        <w:rPr>
          <w:rFonts w:ascii="Times New Roman" w:hAnsi="Times New Roman" w:cs="Times New Roman"/>
          <w:b/>
          <w:bCs/>
          <w:sz w:val="24"/>
          <w:szCs w:val="24"/>
          <w:highlight w:val="yellow"/>
        </w:rPr>
        <w:t>. Summary of qualitative themes and supporting evidence (optional but recommended)</w:t>
      </w:r>
    </w:p>
    <w:tbl>
      <w:tblPr>
        <w:tblStyle w:val="TableGridLight"/>
        <w:tblW w:w="0" w:type="auto"/>
        <w:tblLook w:val="04A0" w:firstRow="1" w:lastRow="0" w:firstColumn="1" w:lastColumn="0" w:noHBand="0" w:noVBand="1"/>
      </w:tblPr>
      <w:tblGrid>
        <w:gridCol w:w="2727"/>
        <w:gridCol w:w="2269"/>
        <w:gridCol w:w="1909"/>
        <w:gridCol w:w="2111"/>
      </w:tblGrid>
      <w:tr w:rsidR="00220028" w:rsidRPr="00220028" w14:paraId="13E1C220" w14:textId="77777777" w:rsidTr="00220028">
        <w:tc>
          <w:tcPr>
            <w:tcW w:w="0" w:type="auto"/>
            <w:hideMark/>
          </w:tcPr>
          <w:p w14:paraId="5AB302E8"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Theme</w:t>
            </w:r>
          </w:p>
        </w:tc>
        <w:tc>
          <w:tcPr>
            <w:tcW w:w="0" w:type="auto"/>
            <w:hideMark/>
          </w:tcPr>
          <w:p w14:paraId="20836622"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Stakeholder group(s)</w:t>
            </w:r>
          </w:p>
        </w:tc>
        <w:tc>
          <w:tcPr>
            <w:tcW w:w="0" w:type="auto"/>
            <w:hideMark/>
          </w:tcPr>
          <w:p w14:paraId="6BF1F6BF"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Typical evidence (short quote/field note)</w:t>
            </w:r>
          </w:p>
        </w:tc>
        <w:tc>
          <w:tcPr>
            <w:tcW w:w="0" w:type="auto"/>
            <w:hideMark/>
          </w:tcPr>
          <w:p w14:paraId="3C93F9C5"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Planning implication</w:t>
            </w:r>
          </w:p>
        </w:tc>
      </w:tr>
      <w:tr w:rsidR="00220028" w:rsidRPr="00220028" w14:paraId="62A23430" w14:textId="77777777" w:rsidTr="00220028">
        <w:tc>
          <w:tcPr>
            <w:tcW w:w="0" w:type="auto"/>
            <w:hideMark/>
          </w:tcPr>
          <w:p w14:paraId="56E10B02"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Shadow terminal preference</w:t>
            </w:r>
          </w:p>
        </w:tc>
        <w:tc>
          <w:tcPr>
            <w:tcW w:w="0" w:type="auto"/>
            <w:hideMark/>
          </w:tcPr>
          <w:p w14:paraId="12702D36"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Drivers, users</w:t>
            </w:r>
          </w:p>
        </w:tc>
        <w:tc>
          <w:tcPr>
            <w:tcW w:w="0" w:type="auto"/>
            <w:hideMark/>
          </w:tcPr>
          <w:p w14:paraId="7483302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67DB499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Enforcement + incentives</w:t>
            </w:r>
          </w:p>
        </w:tc>
      </w:tr>
      <w:tr w:rsidR="00220028" w:rsidRPr="00220028" w14:paraId="42178EE7" w14:textId="77777777" w:rsidTr="00220028">
        <w:tc>
          <w:tcPr>
            <w:tcW w:w="0" w:type="auto"/>
            <w:hideMark/>
          </w:tcPr>
          <w:p w14:paraId="03B9009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Comfort/safety gaps</w:t>
            </w:r>
          </w:p>
        </w:tc>
        <w:tc>
          <w:tcPr>
            <w:tcW w:w="0" w:type="auto"/>
            <w:hideMark/>
          </w:tcPr>
          <w:p w14:paraId="6B584A9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Users</w:t>
            </w:r>
          </w:p>
        </w:tc>
        <w:tc>
          <w:tcPr>
            <w:tcW w:w="0" w:type="auto"/>
            <w:hideMark/>
          </w:tcPr>
          <w:p w14:paraId="3532635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691ABED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Improve facilities/security</w:t>
            </w:r>
          </w:p>
        </w:tc>
      </w:tr>
      <w:tr w:rsidR="00220028" w:rsidRPr="00220028" w14:paraId="351FD450" w14:textId="77777777" w:rsidTr="00220028">
        <w:tc>
          <w:tcPr>
            <w:tcW w:w="0" w:type="auto"/>
            <w:hideMark/>
          </w:tcPr>
          <w:p w14:paraId="1CD1FD20"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Corridor convenience &amp; market effect</w:t>
            </w:r>
          </w:p>
        </w:tc>
        <w:tc>
          <w:tcPr>
            <w:tcW w:w="0" w:type="auto"/>
            <w:hideMark/>
          </w:tcPr>
          <w:p w14:paraId="3EE879DC"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Drivers, users</w:t>
            </w:r>
          </w:p>
        </w:tc>
        <w:tc>
          <w:tcPr>
            <w:tcW w:w="0" w:type="auto"/>
            <w:hideMark/>
          </w:tcPr>
          <w:p w14:paraId="7797C07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13BF836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Align access with desire lines</w:t>
            </w:r>
          </w:p>
        </w:tc>
      </w:tr>
      <w:tr w:rsidR="00220028" w:rsidRPr="00220028" w14:paraId="0BE170C1" w14:textId="77777777" w:rsidTr="00220028">
        <w:tc>
          <w:tcPr>
            <w:tcW w:w="0" w:type="auto"/>
            <w:hideMark/>
          </w:tcPr>
          <w:p w14:paraId="2120E41F"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Governance/operations</w:t>
            </w:r>
          </w:p>
        </w:tc>
        <w:tc>
          <w:tcPr>
            <w:tcW w:w="0" w:type="auto"/>
            <w:hideMark/>
          </w:tcPr>
          <w:p w14:paraId="05DC31B0"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Managers/authorities</w:t>
            </w:r>
          </w:p>
        </w:tc>
        <w:tc>
          <w:tcPr>
            <w:tcW w:w="0" w:type="auto"/>
            <w:hideMark/>
          </w:tcPr>
          <w:p w14:paraId="6B6AD7CB"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7CE5830C"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Scheduling, bays, supervision</w:t>
            </w:r>
          </w:p>
        </w:tc>
      </w:tr>
    </w:tbl>
    <w:p w14:paraId="62AF464C"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2.8. Terminal Planning Model</w:t>
      </w:r>
    </w:p>
    <w:p w14:paraId="7928B590"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The terminal planning model developed in this study integrates three decision layers:</w:t>
      </w:r>
    </w:p>
    <w:p w14:paraId="29CA3AFE" w14:textId="77777777" w:rsidR="00220028" w:rsidRPr="00220028" w:rsidRDefault="00220028" w:rsidP="00220028">
      <w:pPr>
        <w:numPr>
          <w:ilvl w:val="0"/>
          <w:numId w:val="12"/>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Demand and movement evidence</w:t>
      </w:r>
      <w:r w:rsidRPr="00220028">
        <w:rPr>
          <w:rFonts w:ascii="Times New Roman" w:hAnsi="Times New Roman" w:cs="Times New Roman"/>
          <w:sz w:val="24"/>
          <w:szCs w:val="24"/>
          <w:highlight w:val="yellow"/>
        </w:rPr>
        <w:t xml:space="preserve"> (traffic surveys and VKT-based indicators) to justify terminal need and growth trends;</w:t>
      </w:r>
    </w:p>
    <w:p w14:paraId="4E45E87B" w14:textId="77777777" w:rsidR="00220028" w:rsidRPr="00220028" w:rsidRDefault="00220028" w:rsidP="00220028">
      <w:pPr>
        <w:numPr>
          <w:ilvl w:val="0"/>
          <w:numId w:val="12"/>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lastRenderedPageBreak/>
        <w:t>Spatial feasibility and conformity</w:t>
      </w:r>
      <w:r w:rsidRPr="00220028">
        <w:rPr>
          <w:rFonts w:ascii="Times New Roman" w:hAnsi="Times New Roman" w:cs="Times New Roman"/>
          <w:sz w:val="24"/>
          <w:szCs w:val="24"/>
          <w:highlight w:val="yellow"/>
        </w:rPr>
        <w:t xml:space="preserve"> (GIS overlay and RDTR/land-use review) to justify location, access, and conflict risk; and</w:t>
      </w:r>
    </w:p>
    <w:p w14:paraId="6AF49817" w14:textId="77777777" w:rsidR="00220028" w:rsidRPr="00220028" w:rsidRDefault="00220028" w:rsidP="00220028">
      <w:pPr>
        <w:numPr>
          <w:ilvl w:val="0"/>
          <w:numId w:val="12"/>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Strategic implementation design</w:t>
      </w:r>
      <w:r w:rsidRPr="00220028">
        <w:rPr>
          <w:rFonts w:ascii="Times New Roman" w:hAnsi="Times New Roman" w:cs="Times New Roman"/>
          <w:sz w:val="24"/>
          <w:szCs w:val="24"/>
          <w:highlight w:val="yellow"/>
        </w:rPr>
        <w:t xml:space="preserve"> (thematic findings → SWOT + IFAS/EFAS) to translate evidence into prioritized, actionable programs.</w:t>
      </w:r>
    </w:p>
    <w:p w14:paraId="5735187F" w14:textId="3375A59F" w:rsidR="00BE755B" w:rsidRPr="00BE755B" w:rsidRDefault="00220028" w:rsidP="00220028">
      <w:pPr>
        <w:jc w:val="both"/>
        <w:rPr>
          <w:rFonts w:ascii="Times New Roman" w:hAnsi="Times New Roman" w:cs="Times New Roman"/>
          <w:sz w:val="24"/>
          <w:szCs w:val="24"/>
        </w:rPr>
      </w:pPr>
      <w:r w:rsidRPr="00220028">
        <w:rPr>
          <w:rFonts w:ascii="Times New Roman" w:hAnsi="Times New Roman" w:cs="Times New Roman"/>
          <w:sz w:val="24"/>
          <w:szCs w:val="24"/>
          <w:highlight w:val="yellow"/>
        </w:rPr>
        <w:t>The model emphasizes terminal functionality as a controlled mobility node through (</w:t>
      </w:r>
      <w:proofErr w:type="spellStart"/>
      <w:r w:rsidRPr="00220028">
        <w:rPr>
          <w:rFonts w:ascii="Times New Roman" w:hAnsi="Times New Roman" w:cs="Times New Roman"/>
          <w:sz w:val="24"/>
          <w:szCs w:val="24"/>
          <w:highlight w:val="yellow"/>
        </w:rPr>
        <w:t>i</w:t>
      </w:r>
      <w:proofErr w:type="spellEnd"/>
      <w:r w:rsidRPr="00220028">
        <w:rPr>
          <w:rFonts w:ascii="Times New Roman" w:hAnsi="Times New Roman" w:cs="Times New Roman"/>
          <w:sz w:val="24"/>
          <w:szCs w:val="24"/>
          <w:highlight w:val="yellow"/>
        </w:rPr>
        <w:t>) structured spatial arrangement (circulation, bays, pedestrian safety), (ii) user comfort and minimum service expectations, and (iii) operational governance mechanisms (route/timetable discipline, supervision) to reduce dependence on shadow terminals and improve corridor performance</w:t>
      </w:r>
      <w:r w:rsidR="00BE755B" w:rsidRPr="00BE755B">
        <w:rPr>
          <w:rFonts w:ascii="Times New Roman" w:hAnsi="Times New Roman" w:cs="Times New Roman"/>
          <w:sz w:val="24"/>
          <w:szCs w:val="24"/>
        </w:rPr>
        <w:t>.</w:t>
      </w:r>
    </w:p>
    <w:p w14:paraId="2AF9A7C4" w14:textId="259A7513" w:rsidR="00BE755B" w:rsidRDefault="00BE755B" w:rsidP="00BE755B">
      <w:pPr>
        <w:jc w:val="both"/>
        <w:rPr>
          <w:rFonts w:ascii="Times New Roman" w:hAnsi="Times New Roman" w:cs="Times New Roman"/>
          <w:sz w:val="24"/>
          <w:szCs w:val="24"/>
        </w:rPr>
      </w:pPr>
    </w:p>
    <w:p w14:paraId="66436C76"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III. Results and Discussion (Revised – Copy/Paste Ready)</w:t>
      </w:r>
    </w:p>
    <w:p w14:paraId="43A4D065"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 xml:space="preserve">3.1. Spatial and Socio-Economic Context of </w:t>
      </w:r>
      <w:proofErr w:type="spellStart"/>
      <w:r w:rsidRPr="0037367A">
        <w:rPr>
          <w:rFonts w:ascii="Times New Roman" w:hAnsi="Times New Roman" w:cs="Times New Roman"/>
          <w:b/>
          <w:bCs/>
          <w:sz w:val="24"/>
          <w:szCs w:val="24"/>
          <w:highlight w:val="yellow"/>
        </w:rPr>
        <w:t>Doloksanggul</w:t>
      </w:r>
      <w:proofErr w:type="spellEnd"/>
      <w:r w:rsidRPr="0037367A">
        <w:rPr>
          <w:rFonts w:ascii="Times New Roman" w:hAnsi="Times New Roman" w:cs="Times New Roman"/>
          <w:b/>
          <w:bCs/>
          <w:sz w:val="24"/>
          <w:szCs w:val="24"/>
          <w:highlight w:val="yellow"/>
        </w:rPr>
        <w:t xml:space="preserve"> Mobility</w:t>
      </w:r>
    </w:p>
    <w:p w14:paraId="1B6055AB" w14:textId="5DD2E603" w:rsidR="0037367A" w:rsidRPr="0037367A" w:rsidRDefault="0037367A" w:rsidP="0037367A">
      <w:pPr>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the administrative capital of </w:t>
      </w:r>
      <w:proofErr w:type="spellStart"/>
      <w:r w:rsidRPr="0037367A">
        <w:rPr>
          <w:rFonts w:ascii="Times New Roman" w:hAnsi="Times New Roman" w:cs="Times New Roman"/>
          <w:sz w:val="24"/>
          <w:szCs w:val="24"/>
          <w:highlight w:val="yellow"/>
        </w:rPr>
        <w:t>Humbang</w:t>
      </w:r>
      <w:proofErr w:type="spellEnd"/>
      <w:r w:rsidRPr="0037367A">
        <w:rPr>
          <w:rFonts w:ascii="Times New Roman" w:hAnsi="Times New Roman" w:cs="Times New Roman"/>
          <w:sz w:val="24"/>
          <w:szCs w:val="24"/>
          <w:highlight w:val="yellow"/>
        </w:rPr>
        <w:t xml:space="preserve"> </w:t>
      </w:r>
      <w:proofErr w:type="spellStart"/>
      <w:r w:rsidRPr="0037367A">
        <w:rPr>
          <w:rFonts w:ascii="Times New Roman" w:hAnsi="Times New Roman" w:cs="Times New Roman"/>
          <w:sz w:val="24"/>
          <w:szCs w:val="24"/>
          <w:highlight w:val="yellow"/>
        </w:rPr>
        <w:t>Hasundutan</w:t>
      </w:r>
      <w:proofErr w:type="spellEnd"/>
      <w:r w:rsidRPr="0037367A">
        <w:rPr>
          <w:rFonts w:ascii="Times New Roman" w:hAnsi="Times New Roman" w:cs="Times New Roman"/>
          <w:sz w:val="24"/>
          <w:szCs w:val="24"/>
          <w:highlight w:val="yellow"/>
        </w:rPr>
        <w:t xml:space="preserve"> Regency and functions as a service and trade </w:t>
      </w:r>
      <w:proofErr w:type="spellStart"/>
      <w:r w:rsidRPr="0037367A">
        <w:rPr>
          <w:rFonts w:ascii="Times New Roman" w:hAnsi="Times New Roman" w:cs="Times New Roman"/>
          <w:sz w:val="24"/>
          <w:szCs w:val="24"/>
          <w:highlight w:val="yellow"/>
        </w:rPr>
        <w:t>center</w:t>
      </w:r>
      <w:proofErr w:type="spellEnd"/>
      <w:r w:rsidRPr="0037367A">
        <w:rPr>
          <w:rFonts w:ascii="Times New Roman" w:hAnsi="Times New Roman" w:cs="Times New Roman"/>
          <w:sz w:val="24"/>
          <w:szCs w:val="24"/>
          <w:highlight w:val="yellow"/>
        </w:rPr>
        <w:t xml:space="preserve"> for surrounding rural areas. Its urban activity is concentrated in the city core, while mobility is shaped by the town’s </w:t>
      </w:r>
      <w:r w:rsidRPr="0037367A">
        <w:rPr>
          <w:rFonts w:ascii="Times New Roman" w:hAnsi="Times New Roman" w:cs="Times New Roman"/>
          <w:b/>
          <w:bCs/>
          <w:sz w:val="24"/>
          <w:szCs w:val="24"/>
          <w:highlight w:val="yellow"/>
        </w:rPr>
        <w:t>centric urban form</w:t>
      </w:r>
      <w:r w:rsidRPr="0037367A">
        <w:rPr>
          <w:rFonts w:ascii="Times New Roman" w:hAnsi="Times New Roman" w:cs="Times New Roman"/>
          <w:sz w:val="24"/>
          <w:szCs w:val="24"/>
          <w:highlight w:val="yellow"/>
        </w:rPr>
        <w:t xml:space="preserve">, where movement converges along four primary corridors: </w:t>
      </w:r>
      <w:proofErr w:type="spellStart"/>
      <w:r w:rsidRPr="0037367A">
        <w:rPr>
          <w:rFonts w:ascii="Times New Roman" w:hAnsi="Times New Roman" w:cs="Times New Roman"/>
          <w:b/>
          <w:bCs/>
          <w:sz w:val="24"/>
          <w:szCs w:val="24"/>
          <w:highlight w:val="yellow"/>
        </w:rPr>
        <w:t>Siliwangi</w:t>
      </w:r>
      <w:proofErr w:type="spellEnd"/>
      <w:r w:rsidRPr="0037367A">
        <w:rPr>
          <w:rFonts w:ascii="Times New Roman" w:hAnsi="Times New Roman" w:cs="Times New Roman"/>
          <w:b/>
          <w:bCs/>
          <w:sz w:val="24"/>
          <w:szCs w:val="24"/>
          <w:highlight w:val="yellow"/>
        </w:rPr>
        <w:t xml:space="preserve"> (north), </w:t>
      </w:r>
      <w:proofErr w:type="spellStart"/>
      <w:r w:rsidRPr="0037367A">
        <w:rPr>
          <w:rFonts w:ascii="Times New Roman" w:hAnsi="Times New Roman" w:cs="Times New Roman"/>
          <w:b/>
          <w:bCs/>
          <w:sz w:val="24"/>
          <w:szCs w:val="24"/>
          <w:highlight w:val="yellow"/>
        </w:rPr>
        <w:t>Letkol</w:t>
      </w:r>
      <w:proofErr w:type="spellEnd"/>
      <w:r w:rsidRPr="0037367A">
        <w:rPr>
          <w:rFonts w:ascii="Times New Roman" w:hAnsi="Times New Roman" w:cs="Times New Roman"/>
          <w:b/>
          <w:bCs/>
          <w:sz w:val="24"/>
          <w:szCs w:val="24"/>
          <w:highlight w:val="yellow"/>
        </w:rPr>
        <w:t xml:space="preserve"> G.A. </w:t>
      </w:r>
      <w:proofErr w:type="spellStart"/>
      <w:r w:rsidRPr="0037367A">
        <w:rPr>
          <w:rFonts w:ascii="Times New Roman" w:hAnsi="Times New Roman" w:cs="Times New Roman"/>
          <w:b/>
          <w:bCs/>
          <w:sz w:val="24"/>
          <w:szCs w:val="24"/>
          <w:highlight w:val="yellow"/>
        </w:rPr>
        <w:t>Manullang</w:t>
      </w:r>
      <w:proofErr w:type="spellEnd"/>
      <w:r w:rsidRPr="0037367A">
        <w:rPr>
          <w:rFonts w:ascii="Times New Roman" w:hAnsi="Times New Roman" w:cs="Times New Roman"/>
          <w:b/>
          <w:bCs/>
          <w:sz w:val="24"/>
          <w:szCs w:val="24"/>
          <w:highlight w:val="yellow"/>
        </w:rPr>
        <w:t xml:space="preserve"> (south), Merdeka (east), and </w:t>
      </w:r>
      <w:proofErr w:type="spellStart"/>
      <w:r w:rsidRPr="0037367A">
        <w:rPr>
          <w:rFonts w:ascii="Times New Roman" w:hAnsi="Times New Roman" w:cs="Times New Roman"/>
          <w:b/>
          <w:bCs/>
          <w:sz w:val="24"/>
          <w:szCs w:val="24"/>
          <w:highlight w:val="yellow"/>
        </w:rPr>
        <w:t>Sisingamangaraja</w:t>
      </w:r>
      <w:proofErr w:type="spellEnd"/>
      <w:r w:rsidRPr="0037367A">
        <w:rPr>
          <w:rFonts w:ascii="Times New Roman" w:hAnsi="Times New Roman" w:cs="Times New Roman"/>
          <w:b/>
          <w:bCs/>
          <w:sz w:val="24"/>
          <w:szCs w:val="24"/>
          <w:highlight w:val="yellow"/>
        </w:rPr>
        <w:t xml:space="preserve"> (west)</w:t>
      </w:r>
      <w:r w:rsidRPr="0037367A">
        <w:rPr>
          <w:rFonts w:ascii="Times New Roman" w:hAnsi="Times New Roman" w:cs="Times New Roman"/>
          <w:sz w:val="24"/>
          <w:szCs w:val="24"/>
          <w:highlight w:val="yellow"/>
        </w:rPr>
        <w:t>. This structure naturally concentrates passenger boarding/alighting and vehicle circulation in the same limited road space, making terminal planning a strategic instrument not only for infrastructure provision but also for mobility governance.</w:t>
      </w:r>
    </w:p>
    <w:p w14:paraId="01C25AC5" w14:textId="7ECEF5AD"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A critical demand driver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the </w:t>
      </w:r>
      <w:r w:rsidRPr="0037367A">
        <w:rPr>
          <w:rFonts w:ascii="Times New Roman" w:hAnsi="Times New Roman" w:cs="Times New Roman"/>
          <w:b/>
          <w:bCs/>
          <w:sz w:val="24"/>
          <w:szCs w:val="24"/>
          <w:highlight w:val="yellow"/>
        </w:rPr>
        <w:t>weekly market day (</w:t>
      </w:r>
      <w:proofErr w:type="spellStart"/>
      <w:r w:rsidRPr="0037367A">
        <w:rPr>
          <w:rFonts w:ascii="Times New Roman" w:hAnsi="Times New Roman" w:cs="Times New Roman"/>
          <w:b/>
          <w:bCs/>
          <w:sz w:val="24"/>
          <w:szCs w:val="24"/>
          <w:highlight w:val="yellow"/>
        </w:rPr>
        <w:t>onan</w:t>
      </w:r>
      <w:proofErr w:type="spellEnd"/>
      <w:r w:rsidRPr="0037367A">
        <w:rPr>
          <w:rFonts w:ascii="Times New Roman" w:hAnsi="Times New Roman" w:cs="Times New Roman"/>
          <w:b/>
          <w:bCs/>
          <w:sz w:val="24"/>
          <w:szCs w:val="24"/>
          <w:highlight w:val="yellow"/>
        </w:rPr>
        <w:t>)</w:t>
      </w:r>
      <w:r w:rsidRPr="0037367A">
        <w:rPr>
          <w:rFonts w:ascii="Times New Roman" w:hAnsi="Times New Roman" w:cs="Times New Roman"/>
          <w:sz w:val="24"/>
          <w:szCs w:val="24"/>
          <w:highlight w:val="yellow"/>
        </w:rPr>
        <w:t xml:space="preserve">, held every </w:t>
      </w:r>
      <w:r w:rsidRPr="0037367A">
        <w:rPr>
          <w:rFonts w:ascii="Times New Roman" w:hAnsi="Times New Roman" w:cs="Times New Roman"/>
          <w:b/>
          <w:bCs/>
          <w:sz w:val="24"/>
          <w:szCs w:val="24"/>
          <w:highlight w:val="yellow"/>
        </w:rPr>
        <w:t>Friday</w:t>
      </w:r>
      <w:r w:rsidRPr="0037367A">
        <w:rPr>
          <w:rFonts w:ascii="Times New Roman" w:hAnsi="Times New Roman" w:cs="Times New Roman"/>
          <w:sz w:val="24"/>
          <w:szCs w:val="24"/>
          <w:highlight w:val="yellow"/>
        </w:rPr>
        <w:t xml:space="preserve">, which attracts sellers, buyers, and commodity distribution flows from multiple subdistricts. The market operates as a recurring mobility “pulse” that intensifies traffic volume, increases roadside stopping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xml:space="preserve">, and reinforces the use of informal waiting points. Therefore, terminal feasibility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must be evaluated not only on ordinary weekdays but also under the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condition, because this is when network stress and operational disorder become most visible.</w:t>
      </w:r>
    </w:p>
    <w:p w14:paraId="68D2DC88"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3.2. Physical Conditions and Legal Readiness of the Proposed Terminal Site (Integrated with ArcGIS Figures)</w:t>
      </w:r>
    </w:p>
    <w:p w14:paraId="7C634763"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The proposed passenger terminal site has an available land area of </w:t>
      </w:r>
      <w:r w:rsidRPr="00475836">
        <w:rPr>
          <w:rFonts w:ascii="Times New Roman" w:hAnsi="Times New Roman" w:cs="Times New Roman"/>
          <w:b/>
          <w:bCs/>
          <w:sz w:val="24"/>
          <w:szCs w:val="24"/>
          <w:highlight w:val="yellow"/>
        </w:rPr>
        <w:t>31,555.81 m²</w:t>
      </w:r>
      <w:r w:rsidRPr="00475836">
        <w:rPr>
          <w:rFonts w:ascii="Times New Roman" w:hAnsi="Times New Roman" w:cs="Times New Roman"/>
          <w:sz w:val="24"/>
          <w:szCs w:val="24"/>
          <w:highlight w:val="yellow"/>
        </w:rPr>
        <w:t xml:space="preserve">, which is adequate for a functional terminal layout (circulation, parking, passenger facilities, and support services). However, supporting infrastructure around the site remains suboptimal and may constrain efficient terminal operations if not addressed during planning and implementation (e.g., drainage, access treatment, internal circulation, and utility services). Importantly, feasibility is strengthened by </w:t>
      </w:r>
      <w:r w:rsidRPr="00475836">
        <w:rPr>
          <w:rFonts w:ascii="Times New Roman" w:hAnsi="Times New Roman" w:cs="Times New Roman"/>
          <w:b/>
          <w:bCs/>
          <w:sz w:val="24"/>
          <w:szCs w:val="24"/>
          <w:highlight w:val="yellow"/>
        </w:rPr>
        <w:t>land administration clarity (registered land parcels)</w:t>
      </w:r>
      <w:r w:rsidRPr="00475836">
        <w:rPr>
          <w:rFonts w:ascii="Times New Roman" w:hAnsi="Times New Roman" w:cs="Times New Roman"/>
          <w:sz w:val="24"/>
          <w:szCs w:val="24"/>
          <w:highlight w:val="yellow"/>
        </w:rPr>
        <w:t>, which reduces implementation risks and supports government-led development.</w:t>
      </w:r>
    </w:p>
    <w:p w14:paraId="07B69615"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To strengthen clarity for readers and reviewers (and to avoid relying only on “drone-type” visualization), the article should include a </w:t>
      </w:r>
      <w:r w:rsidRPr="00475836">
        <w:rPr>
          <w:rFonts w:ascii="Times New Roman" w:hAnsi="Times New Roman" w:cs="Times New Roman"/>
          <w:b/>
          <w:bCs/>
          <w:sz w:val="24"/>
          <w:szCs w:val="24"/>
          <w:highlight w:val="yellow"/>
        </w:rPr>
        <w:t>2D cartographic location map</w:t>
      </w:r>
      <w:r w:rsidRPr="00475836">
        <w:rPr>
          <w:rFonts w:ascii="Times New Roman" w:hAnsi="Times New Roman" w:cs="Times New Roman"/>
          <w:sz w:val="24"/>
          <w:szCs w:val="24"/>
          <w:highlight w:val="yellow"/>
        </w:rPr>
        <w:t xml:space="preserve"> showing: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the site boundary, (ii) main access roads, (iii) distance and direction to the market/</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xml:space="preserve"> area, and (iv) the site position within the regency transport system. This mapping evidence also supports the </w:t>
      </w:r>
      <w:r w:rsidRPr="00475836">
        <w:rPr>
          <w:rFonts w:ascii="Times New Roman" w:hAnsi="Times New Roman" w:cs="Times New Roman"/>
          <w:sz w:val="24"/>
          <w:szCs w:val="24"/>
          <w:highlight w:val="yellow"/>
        </w:rPr>
        <w:lastRenderedPageBreak/>
        <w:t xml:space="preserve">spatial-legal readiness of the project because it shows the site’s placement within the urban structure and its relationship to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w:t>
      </w:r>
    </w:p>
    <w:p w14:paraId="63A3D2C8" w14:textId="77777777" w:rsidR="00475836" w:rsidRPr="00475836" w:rsidRDefault="00475836" w:rsidP="00475836">
      <w:pPr>
        <w:jc w:val="center"/>
        <w:rPr>
          <w:rFonts w:ascii="Times New Roman" w:hAnsi="Times New Roman" w:cs="Times New Roman"/>
          <w:b/>
          <w:bCs/>
          <w:sz w:val="24"/>
          <w:szCs w:val="24"/>
          <w:highlight w:val="yellow"/>
        </w:rPr>
      </w:pPr>
      <w:r w:rsidRPr="00475836">
        <w:rPr>
          <w:noProof/>
          <w:sz w:val="24"/>
          <w:szCs w:val="24"/>
          <w:highlight w:val="yellow"/>
          <w:lang w:val="en-US"/>
        </w:rPr>
        <w:drawing>
          <wp:inline distT="0" distB="0" distL="0" distR="0" wp14:anchorId="329D8DA0" wp14:editId="614F0924">
            <wp:extent cx="4124960" cy="2514600"/>
            <wp:effectExtent l="0" t="0" r="8890" b="0"/>
            <wp:docPr id="654028909" name="Picture 15" descr="WhatsApp Image 2025-12-08 at 19.0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8 at 19.02.55.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24960" cy="2514600"/>
                    </a:xfrm>
                    <a:prstGeom prst="rect">
                      <a:avLst/>
                    </a:prstGeom>
                  </pic:spPr>
                </pic:pic>
              </a:graphicData>
            </a:graphic>
          </wp:inline>
        </w:drawing>
      </w:r>
    </w:p>
    <w:p w14:paraId="02A85383" w14:textId="333F2AE3"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1. Proposed terminal land location in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(2D cartographic map).</w:t>
      </w:r>
      <w:r w:rsidRPr="00475836">
        <w:rPr>
          <w:rFonts w:ascii="Times New Roman" w:hAnsi="Times New Roman" w:cs="Times New Roman"/>
          <w:sz w:val="24"/>
          <w:szCs w:val="24"/>
          <w:highlight w:val="yellow"/>
        </w:rPr>
        <w:br/>
      </w:r>
      <w:r w:rsidRPr="00475836">
        <w:rPr>
          <w:rFonts w:ascii="Times New Roman" w:hAnsi="Times New Roman" w:cs="Times New Roman"/>
          <w:sz w:val="24"/>
          <w:szCs w:val="24"/>
          <w:highlight w:val="yellow"/>
        </w:rPr>
        <w:br/>
        <w:t>The map confirms that the proposed terminal site is spatially connected to the city’s main activity zones, particularly the market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area, and can be reached through multiple access corridors. The visualization provides a clear spatial argument for the site’s role as a formal service node that can absorb corridor-based boarding/alighting practices.</w:t>
      </w:r>
    </w:p>
    <w:p w14:paraId="0E987EB1"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To strengthen the physical feasibility argument, the GIS-based ArcGIS outputs are also placed here as supporting evidence of land characteristics. Although these maps are commonly presented in a descriptive chapter, integrating them in the Results section makes the feasibility reasoning transparent and data-driven.</w:t>
      </w:r>
    </w:p>
    <w:p w14:paraId="45A62E63"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drawing>
          <wp:inline distT="0" distB="0" distL="0" distR="0" wp14:anchorId="36A30825" wp14:editId="277C36A7">
            <wp:extent cx="5292725" cy="3231515"/>
            <wp:effectExtent l="0" t="0" r="3175" b="6985"/>
            <wp:docPr id="5" name="Picture 4" descr="09_Peta LULC Kec. D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09_Peta LULC Kec. Dosa.png"/>
                    <pic:cNvPicPr>
                      <a:picLocks noChangeAspect="1"/>
                    </pic:cNvPicPr>
                  </pic:nvPicPr>
                  <pic:blipFill>
                    <a:blip r:embed="rId6"/>
                    <a:stretch>
                      <a:fillRect/>
                    </a:stretch>
                  </pic:blipFill>
                  <pic:spPr>
                    <a:xfrm>
                      <a:off x="0" y="0"/>
                      <a:ext cx="5292725" cy="3231515"/>
                    </a:xfrm>
                    <a:prstGeom prst="rect">
                      <a:avLst/>
                    </a:prstGeom>
                  </pic:spPr>
                </pic:pic>
              </a:graphicData>
            </a:graphic>
          </wp:inline>
        </w:drawing>
      </w:r>
    </w:p>
    <w:p w14:paraId="0B410554" w14:textId="75EA5FB3" w:rsidR="00475836" w:rsidRPr="00475836" w:rsidRDefault="00475836" w:rsidP="00475836">
      <w:pPr>
        <w:jc w:val="both"/>
        <w:rPr>
          <w:rFonts w:ascii="Times New Roman" w:hAnsi="Times New Roman" w:cs="Times New Roman"/>
          <w:i/>
          <w:iCs/>
          <w:sz w:val="24"/>
          <w:szCs w:val="24"/>
          <w:highlight w:val="yellow"/>
        </w:rPr>
      </w:pPr>
      <w:r w:rsidRPr="00475836">
        <w:rPr>
          <w:rFonts w:ascii="Times New Roman" w:hAnsi="Times New Roman" w:cs="Times New Roman"/>
          <w:b/>
          <w:bCs/>
          <w:sz w:val="24"/>
          <w:szCs w:val="24"/>
          <w:highlight w:val="yellow"/>
        </w:rPr>
        <w:lastRenderedPageBreak/>
        <w:t xml:space="preserve">Figure 2. Land-use map of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land-use map provides contextual evidence of surrounding spatial functions and helps identify potential land-use compatibility and conflict risks. It supports the interpretation that terminal development must be accompanied by controlled circulation design and buffer management to ensure compatibility with adjacent uses.</w:t>
      </w:r>
    </w:p>
    <w:p w14:paraId="603465BB"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drawing>
          <wp:inline distT="0" distB="0" distL="0" distR="0" wp14:anchorId="173CBA52" wp14:editId="0FC4A67F">
            <wp:extent cx="5292725" cy="3239770"/>
            <wp:effectExtent l="0" t="0" r="3175" b="0"/>
            <wp:docPr id="4" name="Picture 3" descr="08_Peta Kerentanan Longsor Kec. D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08_Peta Kerentanan Longsor Kec. Dosa.png"/>
                    <pic:cNvPicPr>
                      <a:picLocks noChangeAspect="1"/>
                    </pic:cNvPicPr>
                  </pic:nvPicPr>
                  <pic:blipFill>
                    <a:blip r:embed="rId7"/>
                    <a:stretch>
                      <a:fillRect/>
                    </a:stretch>
                  </pic:blipFill>
                  <pic:spPr>
                    <a:xfrm>
                      <a:off x="0" y="0"/>
                      <a:ext cx="5292725" cy="3239770"/>
                    </a:xfrm>
                    <a:prstGeom prst="rect">
                      <a:avLst/>
                    </a:prstGeom>
                  </pic:spPr>
                </pic:pic>
              </a:graphicData>
            </a:graphic>
          </wp:inline>
        </w:drawing>
      </w:r>
    </w:p>
    <w:p w14:paraId="58761466" w14:textId="552F9A10"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3. Landslide susceptibility map of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landslide susceptibility map strengthens the risk-mitigation basis of terminal planning. Even when the selected site is feasible, terminal design should incorporate preventive measures (e.g., drainage management and safe slope treatment where relevant) to ensure operational safety and long-term infrastructure resilience.</w:t>
      </w:r>
    </w:p>
    <w:p w14:paraId="0C24DBA0"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lastRenderedPageBreak/>
        <w:drawing>
          <wp:inline distT="0" distB="0" distL="0" distR="0" wp14:anchorId="70039AAD" wp14:editId="5551DF33">
            <wp:extent cx="5292725" cy="4486275"/>
            <wp:effectExtent l="0" t="0" r="317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725" cy="4486275"/>
                    </a:xfrm>
                    <a:prstGeom prst="rect">
                      <a:avLst/>
                    </a:prstGeom>
                    <a:noFill/>
                    <a:ln>
                      <a:noFill/>
                    </a:ln>
                  </pic:spPr>
                </pic:pic>
              </a:graphicData>
            </a:graphic>
          </wp:inline>
        </w:drawing>
      </w:r>
    </w:p>
    <w:p w14:paraId="44F95F53" w14:textId="0E346C21"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Figure 4. Slope (</w:t>
      </w:r>
      <w:proofErr w:type="spellStart"/>
      <w:r w:rsidRPr="00475836">
        <w:rPr>
          <w:rFonts w:ascii="Times New Roman" w:hAnsi="Times New Roman" w:cs="Times New Roman"/>
          <w:b/>
          <w:bCs/>
          <w:sz w:val="24"/>
          <w:szCs w:val="24"/>
          <w:highlight w:val="yellow"/>
        </w:rPr>
        <w:t>kelerengan</w:t>
      </w:r>
      <w:proofErr w:type="spellEnd"/>
      <w:r w:rsidRPr="00475836">
        <w:rPr>
          <w:rFonts w:ascii="Times New Roman" w:hAnsi="Times New Roman" w:cs="Times New Roman"/>
          <w:b/>
          <w:bCs/>
          <w:sz w:val="24"/>
          <w:szCs w:val="24"/>
          <w:highlight w:val="yellow"/>
        </w:rPr>
        <w:t xml:space="preserve">) map of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slope map supports the assessment of constructability and physical feasibility. Lower slope classes generally indicate better suitability for terminal construction, while steeper classes indicate where additional engineering treatment may be required. This output is used as one of the key physical layers to justify the development direction and mitigation needs.</w:t>
      </w:r>
    </w:p>
    <w:p w14:paraId="2DCADDED"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Table 1. Proposed terminal site: physical and legal readiness</w:t>
      </w:r>
    </w:p>
    <w:tbl>
      <w:tblPr>
        <w:tblStyle w:val="TableGridLight"/>
        <w:tblW w:w="0" w:type="auto"/>
        <w:tblLook w:val="04A0" w:firstRow="1" w:lastRow="0" w:firstColumn="1" w:lastColumn="0" w:noHBand="0" w:noVBand="1"/>
      </w:tblPr>
      <w:tblGrid>
        <w:gridCol w:w="2011"/>
        <w:gridCol w:w="2975"/>
        <w:gridCol w:w="4030"/>
      </w:tblGrid>
      <w:tr w:rsidR="00475836" w:rsidRPr="00475836" w14:paraId="641DFD75" w14:textId="77777777" w:rsidTr="00475836">
        <w:tc>
          <w:tcPr>
            <w:tcW w:w="0" w:type="auto"/>
            <w:hideMark/>
          </w:tcPr>
          <w:p w14:paraId="5AB0A0B7"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Attribute</w:t>
            </w:r>
          </w:p>
        </w:tc>
        <w:tc>
          <w:tcPr>
            <w:tcW w:w="0" w:type="auto"/>
            <w:hideMark/>
          </w:tcPr>
          <w:p w14:paraId="45128198"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Result (Integrated)</w:t>
            </w:r>
          </w:p>
        </w:tc>
        <w:tc>
          <w:tcPr>
            <w:tcW w:w="0" w:type="auto"/>
            <w:hideMark/>
          </w:tcPr>
          <w:p w14:paraId="72027A62"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Planning implication</w:t>
            </w:r>
          </w:p>
        </w:tc>
      </w:tr>
      <w:tr w:rsidR="00475836" w:rsidRPr="00475836" w14:paraId="63292EC0" w14:textId="77777777" w:rsidTr="00475836">
        <w:tc>
          <w:tcPr>
            <w:tcW w:w="0" w:type="auto"/>
            <w:hideMark/>
          </w:tcPr>
          <w:p w14:paraId="6D915515"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Land availability</w:t>
            </w:r>
          </w:p>
        </w:tc>
        <w:tc>
          <w:tcPr>
            <w:tcW w:w="0" w:type="auto"/>
            <w:hideMark/>
          </w:tcPr>
          <w:p w14:paraId="7B79EFD3"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31,555.81 m²</w:t>
            </w:r>
          </w:p>
        </w:tc>
        <w:tc>
          <w:tcPr>
            <w:tcW w:w="0" w:type="auto"/>
            <w:hideMark/>
          </w:tcPr>
          <w:p w14:paraId="0FF272C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Sufficient for terminal circulation + facilities</w:t>
            </w:r>
          </w:p>
        </w:tc>
      </w:tr>
      <w:tr w:rsidR="00475836" w:rsidRPr="00475836" w14:paraId="15B22B00" w14:textId="77777777" w:rsidTr="00475836">
        <w:tc>
          <w:tcPr>
            <w:tcW w:w="0" w:type="auto"/>
            <w:hideMark/>
          </w:tcPr>
          <w:p w14:paraId="3DF3776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Legal status</w:t>
            </w:r>
          </w:p>
        </w:tc>
        <w:tc>
          <w:tcPr>
            <w:tcW w:w="0" w:type="auto"/>
            <w:hideMark/>
          </w:tcPr>
          <w:p w14:paraId="4037B934"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Registered land parcels (verified)</w:t>
            </w:r>
          </w:p>
        </w:tc>
        <w:tc>
          <w:tcPr>
            <w:tcW w:w="0" w:type="auto"/>
            <w:hideMark/>
          </w:tcPr>
          <w:p w14:paraId="34C8C81F"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Low land-tenure risk; supports implementation certainty</w:t>
            </w:r>
          </w:p>
        </w:tc>
      </w:tr>
      <w:tr w:rsidR="00475836" w:rsidRPr="00475836" w14:paraId="3D70500F" w14:textId="77777777" w:rsidTr="00475836">
        <w:tc>
          <w:tcPr>
            <w:tcW w:w="0" w:type="auto"/>
            <w:hideMark/>
          </w:tcPr>
          <w:p w14:paraId="6F285B64"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Site environment</w:t>
            </w:r>
          </w:p>
        </w:tc>
        <w:tc>
          <w:tcPr>
            <w:tcW w:w="0" w:type="auto"/>
            <w:hideMark/>
          </w:tcPr>
          <w:p w14:paraId="7A46F499"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Feasible for development with controlled design</w:t>
            </w:r>
          </w:p>
        </w:tc>
        <w:tc>
          <w:tcPr>
            <w:tcW w:w="0" w:type="auto"/>
            <w:hideMark/>
          </w:tcPr>
          <w:p w14:paraId="0F2299BB"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Requires phased construction + mitigation measures</w:t>
            </w:r>
          </w:p>
        </w:tc>
      </w:tr>
      <w:tr w:rsidR="00475836" w:rsidRPr="00475836" w14:paraId="64031389" w14:textId="77777777" w:rsidTr="00475836">
        <w:tc>
          <w:tcPr>
            <w:tcW w:w="0" w:type="auto"/>
            <w:hideMark/>
          </w:tcPr>
          <w:p w14:paraId="18BC20F9"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Supporting infrastructure</w:t>
            </w:r>
          </w:p>
        </w:tc>
        <w:tc>
          <w:tcPr>
            <w:tcW w:w="0" w:type="auto"/>
            <w:hideMark/>
          </w:tcPr>
          <w:p w14:paraId="0449BBEA"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Not yet optimal</w:t>
            </w:r>
          </w:p>
        </w:tc>
        <w:tc>
          <w:tcPr>
            <w:tcW w:w="0" w:type="auto"/>
            <w:hideMark/>
          </w:tcPr>
          <w:p w14:paraId="1BBAB01D"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Needs access upgrading, drainage, utilities, and internal traffic design</w:t>
            </w:r>
          </w:p>
        </w:tc>
      </w:tr>
    </w:tbl>
    <w:p w14:paraId="65116827" w14:textId="77777777" w:rsidR="00475836" w:rsidRPr="00475836" w:rsidRDefault="00A15169" w:rsidP="00475836">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pict w14:anchorId="0588B6A0">
          <v:rect id="_x0000_i1025" style="width:0;height:1.5pt" o:hralign="center" o:hrstd="t" o:hr="t" fillcolor="#a0a0a0" stroked="f"/>
        </w:pict>
      </w:r>
    </w:p>
    <w:p w14:paraId="67D583E5"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3.3. Accessibility Structure and Shadow-Terminal Pattern in the City Core (Integrated with ArcGIS Figures)</w:t>
      </w:r>
    </w:p>
    <w:p w14:paraId="0531DF55"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lastRenderedPageBreak/>
        <w:t xml:space="preserve">Accessibility analysis confirms that </w:t>
      </w:r>
      <w:proofErr w:type="spellStart"/>
      <w:r w:rsidRPr="00475836">
        <w:rPr>
          <w:rFonts w:ascii="Times New Roman" w:hAnsi="Times New Roman" w:cs="Times New Roman"/>
          <w:sz w:val="24"/>
          <w:szCs w:val="24"/>
          <w:highlight w:val="yellow"/>
        </w:rPr>
        <w:t>Doloksanggul’s</w:t>
      </w:r>
      <w:proofErr w:type="spellEnd"/>
      <w:r w:rsidRPr="00475836">
        <w:rPr>
          <w:rFonts w:ascii="Times New Roman" w:hAnsi="Times New Roman" w:cs="Times New Roman"/>
          <w:sz w:val="24"/>
          <w:szCs w:val="24"/>
          <w:highlight w:val="yellow"/>
        </w:rPr>
        <w:t xml:space="preserve"> mobility is </w:t>
      </w:r>
      <w:r w:rsidRPr="00475836">
        <w:rPr>
          <w:rFonts w:ascii="Times New Roman" w:hAnsi="Times New Roman" w:cs="Times New Roman"/>
          <w:b/>
          <w:bCs/>
          <w:sz w:val="24"/>
          <w:szCs w:val="24"/>
          <w:highlight w:val="yellow"/>
        </w:rPr>
        <w:t>corridor-based</w:t>
      </w:r>
      <w:r w:rsidRPr="00475836">
        <w:rPr>
          <w:rFonts w:ascii="Times New Roman" w:hAnsi="Times New Roman" w:cs="Times New Roman"/>
          <w:sz w:val="24"/>
          <w:szCs w:val="24"/>
          <w:highlight w:val="yellow"/>
        </w:rPr>
        <w:t xml:space="preserve"> and highly concentrated toward the city core. In practice, the four main roads do not only function as movement corridors but also become </w:t>
      </w:r>
      <w:r w:rsidRPr="00475836">
        <w:rPr>
          <w:rFonts w:ascii="Times New Roman" w:hAnsi="Times New Roman" w:cs="Times New Roman"/>
          <w:b/>
          <w:bCs/>
          <w:sz w:val="24"/>
          <w:szCs w:val="24"/>
          <w:highlight w:val="yellow"/>
        </w:rPr>
        <w:t>informal passenger service spaces</w:t>
      </w:r>
      <w:r w:rsidRPr="00475836">
        <w:rPr>
          <w:rFonts w:ascii="Times New Roman" w:hAnsi="Times New Roman" w:cs="Times New Roman"/>
          <w:sz w:val="24"/>
          <w:szCs w:val="24"/>
          <w:highlight w:val="yellow"/>
        </w:rPr>
        <w:t xml:space="preserve">, because many public transport vehicles stop on road shoulders or at company pools. This creates </w:t>
      </w:r>
      <w:r w:rsidRPr="00475836">
        <w:rPr>
          <w:rFonts w:ascii="Times New Roman" w:hAnsi="Times New Roman" w:cs="Times New Roman"/>
          <w:b/>
          <w:bCs/>
          <w:sz w:val="24"/>
          <w:szCs w:val="24"/>
          <w:highlight w:val="yellow"/>
        </w:rPr>
        <w:t>shadow terminals</w:t>
      </w:r>
      <w:r w:rsidRPr="00475836">
        <w:rPr>
          <w:rFonts w:ascii="Times New Roman" w:hAnsi="Times New Roman" w:cs="Times New Roman"/>
          <w:sz w:val="24"/>
          <w:szCs w:val="24"/>
          <w:highlight w:val="yellow"/>
        </w:rPr>
        <w:t xml:space="preserve"> that reduce road performance, increase side friction, and raise congestion risk—especially near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 xml:space="preserve"> and high-demand stopping points.</w:t>
      </w:r>
    </w:p>
    <w:p w14:paraId="65516C02"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To support this argument visually (as requested by reviewers), the accessibility structure is reinforced using ArcGIS-based network maps showing the configuration of the road and transport system. These maps clarify why stopping </w:t>
      </w:r>
      <w:proofErr w:type="spellStart"/>
      <w:r w:rsidRPr="00475836">
        <w:rPr>
          <w:rFonts w:ascii="Times New Roman" w:hAnsi="Times New Roman" w:cs="Times New Roman"/>
          <w:sz w:val="24"/>
          <w:szCs w:val="24"/>
          <w:highlight w:val="yellow"/>
        </w:rPr>
        <w:t>behavior</w:t>
      </w:r>
      <w:proofErr w:type="spellEnd"/>
      <w:r w:rsidRPr="00475836">
        <w:rPr>
          <w:rFonts w:ascii="Times New Roman" w:hAnsi="Times New Roman" w:cs="Times New Roman"/>
          <w:sz w:val="24"/>
          <w:szCs w:val="24"/>
          <w:highlight w:val="yellow"/>
        </w:rPr>
        <w:t xml:space="preserve"> becomes dispersed and why consolidation through a formal terminal is necessary.</w:t>
      </w:r>
    </w:p>
    <w:p w14:paraId="575876AD"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drawing>
          <wp:inline distT="0" distB="0" distL="0" distR="0" wp14:anchorId="3F4543AF" wp14:editId="5F426B76">
            <wp:extent cx="5105400" cy="3371850"/>
            <wp:effectExtent l="0" t="0" r="0" b="0"/>
            <wp:docPr id="17" name="Picture 16" descr="02_Peta Jaringan Jalan Kab. 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02_Peta Jaringan Jalan Kab. HH.png"/>
                    <pic:cNvPicPr>
                      <a:picLocks noChangeAspect="1"/>
                    </pic:cNvPicPr>
                  </pic:nvPicPr>
                  <pic:blipFill>
                    <a:blip r:embed="rId9"/>
                    <a:stretch>
                      <a:fillRect/>
                    </a:stretch>
                  </pic:blipFill>
                  <pic:spPr>
                    <a:xfrm>
                      <a:off x="0" y="0"/>
                      <a:ext cx="5105400" cy="3371850"/>
                    </a:xfrm>
                    <a:prstGeom prst="rect">
                      <a:avLst/>
                    </a:prstGeom>
                  </pic:spPr>
                </pic:pic>
              </a:graphicData>
            </a:graphic>
          </wp:inline>
        </w:drawing>
      </w:r>
    </w:p>
    <w:p w14:paraId="7FA98867" w14:textId="77CDADC0"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5. Road network map of </w:t>
      </w:r>
      <w:proofErr w:type="spellStart"/>
      <w:r w:rsidRPr="00475836">
        <w:rPr>
          <w:rFonts w:ascii="Times New Roman" w:hAnsi="Times New Roman" w:cs="Times New Roman"/>
          <w:b/>
          <w:bCs/>
          <w:sz w:val="24"/>
          <w:szCs w:val="24"/>
          <w:highlight w:val="yellow"/>
        </w:rPr>
        <w:t>Humbang</w:t>
      </w:r>
      <w:proofErr w:type="spellEnd"/>
      <w:r w:rsidRPr="00475836">
        <w:rPr>
          <w:rFonts w:ascii="Times New Roman" w:hAnsi="Times New Roman" w:cs="Times New Roman"/>
          <w:b/>
          <w:bCs/>
          <w:sz w:val="24"/>
          <w:szCs w:val="24"/>
          <w:highlight w:val="yellow"/>
        </w:rPr>
        <w:t xml:space="preserve"> </w:t>
      </w:r>
      <w:proofErr w:type="spellStart"/>
      <w:r w:rsidRPr="00475836">
        <w:rPr>
          <w:rFonts w:ascii="Times New Roman" w:hAnsi="Times New Roman" w:cs="Times New Roman"/>
          <w:b/>
          <w:bCs/>
          <w:sz w:val="24"/>
          <w:szCs w:val="24"/>
          <w:highlight w:val="yellow"/>
        </w:rPr>
        <w:t>Hasundutan</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road network map explains the hierarchy and connectivity of main corridors feeding the city core. It supports the finding that passenger and vehicle flows are structurally pulled into the same limited corridor space, which increases the tendency for informal stopping points to emerge.</w:t>
      </w:r>
    </w:p>
    <w:p w14:paraId="0FC23362"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lastRenderedPageBreak/>
        <w:drawing>
          <wp:inline distT="0" distB="0" distL="0" distR="0" wp14:anchorId="598134F4" wp14:editId="4CD950E0">
            <wp:extent cx="4905375" cy="3257550"/>
            <wp:effectExtent l="0" t="0" r="9525" b="0"/>
            <wp:docPr id="18" name="Picture 17" descr="03_Peta Jaringan Transportasi Kab. 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03_Peta Jaringan Transportasi Kab. HH.png"/>
                    <pic:cNvPicPr>
                      <a:picLocks noChangeAspect="1"/>
                    </pic:cNvPicPr>
                  </pic:nvPicPr>
                  <pic:blipFill>
                    <a:blip r:embed="rId10"/>
                    <a:stretch>
                      <a:fillRect/>
                    </a:stretch>
                  </pic:blipFill>
                  <pic:spPr>
                    <a:xfrm>
                      <a:off x="0" y="0"/>
                      <a:ext cx="4905375" cy="3257550"/>
                    </a:xfrm>
                    <a:prstGeom prst="rect">
                      <a:avLst/>
                    </a:prstGeom>
                  </pic:spPr>
                </pic:pic>
              </a:graphicData>
            </a:graphic>
          </wp:inline>
        </w:drawing>
      </w:r>
    </w:p>
    <w:p w14:paraId="25E2C50A" w14:textId="2839E2C6"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6. Transportation network map of </w:t>
      </w:r>
      <w:proofErr w:type="spellStart"/>
      <w:r w:rsidRPr="00475836">
        <w:rPr>
          <w:rFonts w:ascii="Times New Roman" w:hAnsi="Times New Roman" w:cs="Times New Roman"/>
          <w:b/>
          <w:bCs/>
          <w:sz w:val="24"/>
          <w:szCs w:val="24"/>
          <w:highlight w:val="yellow"/>
        </w:rPr>
        <w:t>Humbang</w:t>
      </w:r>
      <w:proofErr w:type="spellEnd"/>
      <w:r w:rsidRPr="00475836">
        <w:rPr>
          <w:rFonts w:ascii="Times New Roman" w:hAnsi="Times New Roman" w:cs="Times New Roman"/>
          <w:b/>
          <w:bCs/>
          <w:sz w:val="24"/>
          <w:szCs w:val="24"/>
          <w:highlight w:val="yellow"/>
        </w:rPr>
        <w:t xml:space="preserve"> </w:t>
      </w:r>
      <w:proofErr w:type="spellStart"/>
      <w:r w:rsidRPr="00475836">
        <w:rPr>
          <w:rFonts w:ascii="Times New Roman" w:hAnsi="Times New Roman" w:cs="Times New Roman"/>
          <w:b/>
          <w:bCs/>
          <w:sz w:val="24"/>
          <w:szCs w:val="24"/>
          <w:highlight w:val="yellow"/>
        </w:rPr>
        <w:t>Hasundutan</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transportation network map complements the road network by illustrating the broader movement system and functional connectivity. This output strengthens the planning rationale that the terminal should operate as a regulated node to organize routes, stop locations, and transfers.</w:t>
      </w:r>
    </w:p>
    <w:p w14:paraId="07ADE096"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Table 2. Accessibility conditions and distribution of shadow terminals in </w:t>
      </w:r>
      <w:proofErr w:type="spellStart"/>
      <w:r w:rsidRPr="00475836">
        <w:rPr>
          <w:rFonts w:ascii="Times New Roman" w:hAnsi="Times New Roman" w:cs="Times New Roman"/>
          <w:b/>
          <w:bCs/>
          <w:sz w:val="24"/>
          <w:szCs w:val="24"/>
          <w:highlight w:val="yellow"/>
        </w:rPr>
        <w:t>Doloksanggul</w:t>
      </w:r>
      <w:proofErr w:type="spellEnd"/>
    </w:p>
    <w:tbl>
      <w:tblPr>
        <w:tblStyle w:val="TableGridLight"/>
        <w:tblW w:w="0" w:type="auto"/>
        <w:tblLook w:val="04A0" w:firstRow="1" w:lastRow="0" w:firstColumn="1" w:lastColumn="0" w:noHBand="0" w:noVBand="1"/>
      </w:tblPr>
      <w:tblGrid>
        <w:gridCol w:w="2356"/>
        <w:gridCol w:w="2063"/>
        <w:gridCol w:w="2382"/>
        <w:gridCol w:w="2215"/>
      </w:tblGrid>
      <w:tr w:rsidR="00475836" w:rsidRPr="00475836" w14:paraId="7412635F" w14:textId="77777777" w:rsidTr="00475836">
        <w:tc>
          <w:tcPr>
            <w:tcW w:w="0" w:type="auto"/>
            <w:hideMark/>
          </w:tcPr>
          <w:p w14:paraId="348D86B3"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Main corridor</w:t>
            </w:r>
          </w:p>
        </w:tc>
        <w:tc>
          <w:tcPr>
            <w:tcW w:w="0" w:type="auto"/>
            <w:hideMark/>
          </w:tcPr>
          <w:p w14:paraId="34756150"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Typical condition (field-based)</w:t>
            </w:r>
          </w:p>
        </w:tc>
        <w:tc>
          <w:tcPr>
            <w:tcW w:w="0" w:type="auto"/>
            <w:hideMark/>
          </w:tcPr>
          <w:p w14:paraId="1622FD33"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Shadow-terminal symptom</w:t>
            </w:r>
          </w:p>
        </w:tc>
        <w:tc>
          <w:tcPr>
            <w:tcW w:w="0" w:type="auto"/>
            <w:hideMark/>
          </w:tcPr>
          <w:p w14:paraId="57585DC6"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Mobility impact</w:t>
            </w:r>
          </w:p>
        </w:tc>
      </w:tr>
      <w:tr w:rsidR="00475836" w:rsidRPr="00475836" w14:paraId="1DECF902" w14:textId="77777777" w:rsidTr="00475836">
        <w:tc>
          <w:tcPr>
            <w:tcW w:w="0" w:type="auto"/>
            <w:hideMark/>
          </w:tcPr>
          <w:p w14:paraId="007B29AE"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proofErr w:type="spellStart"/>
            <w:r w:rsidRPr="00475836">
              <w:rPr>
                <w:rFonts w:ascii="Times New Roman" w:hAnsi="Times New Roman" w:cs="Times New Roman"/>
                <w:sz w:val="24"/>
                <w:szCs w:val="24"/>
                <w:highlight w:val="yellow"/>
              </w:rPr>
              <w:t>Siliwangi</w:t>
            </w:r>
            <w:proofErr w:type="spellEnd"/>
            <w:r w:rsidRPr="00475836">
              <w:rPr>
                <w:rFonts w:ascii="Times New Roman" w:hAnsi="Times New Roman" w:cs="Times New Roman"/>
                <w:sz w:val="24"/>
                <w:szCs w:val="24"/>
                <w:highlight w:val="yellow"/>
              </w:rPr>
              <w:t xml:space="preserve"> Road</w:t>
            </w:r>
          </w:p>
        </w:tc>
        <w:tc>
          <w:tcPr>
            <w:tcW w:w="0" w:type="auto"/>
            <w:hideMark/>
          </w:tcPr>
          <w:p w14:paraId="0FFA968F"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Main corridor to urban core</w:t>
            </w:r>
          </w:p>
        </w:tc>
        <w:tc>
          <w:tcPr>
            <w:tcW w:w="0" w:type="auto"/>
            <w:hideMark/>
          </w:tcPr>
          <w:p w14:paraId="1B6EB515"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Roadside boarding/alighting</w:t>
            </w:r>
          </w:p>
        </w:tc>
        <w:tc>
          <w:tcPr>
            <w:tcW w:w="0" w:type="auto"/>
            <w:hideMark/>
          </w:tcPr>
          <w:p w14:paraId="0125B066"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Obstructs flow, increases delays</w:t>
            </w:r>
          </w:p>
        </w:tc>
      </w:tr>
      <w:tr w:rsidR="00475836" w:rsidRPr="00475836" w14:paraId="2C9B69F6" w14:textId="77777777" w:rsidTr="00475836">
        <w:tc>
          <w:tcPr>
            <w:tcW w:w="0" w:type="auto"/>
            <w:hideMark/>
          </w:tcPr>
          <w:p w14:paraId="2719898C"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proofErr w:type="spellStart"/>
            <w:r w:rsidRPr="00475836">
              <w:rPr>
                <w:rFonts w:ascii="Times New Roman" w:hAnsi="Times New Roman" w:cs="Times New Roman"/>
                <w:sz w:val="24"/>
                <w:szCs w:val="24"/>
                <w:highlight w:val="yellow"/>
              </w:rPr>
              <w:t>Letkol</w:t>
            </w:r>
            <w:proofErr w:type="spellEnd"/>
            <w:r w:rsidRPr="00475836">
              <w:rPr>
                <w:rFonts w:ascii="Times New Roman" w:hAnsi="Times New Roman" w:cs="Times New Roman"/>
                <w:sz w:val="24"/>
                <w:szCs w:val="24"/>
                <w:highlight w:val="yellow"/>
              </w:rPr>
              <w:t xml:space="preserve"> G.A. </w:t>
            </w:r>
            <w:proofErr w:type="spellStart"/>
            <w:r w:rsidRPr="00475836">
              <w:rPr>
                <w:rFonts w:ascii="Times New Roman" w:hAnsi="Times New Roman" w:cs="Times New Roman"/>
                <w:sz w:val="24"/>
                <w:szCs w:val="24"/>
                <w:highlight w:val="yellow"/>
              </w:rPr>
              <w:t>Manullang</w:t>
            </w:r>
            <w:proofErr w:type="spellEnd"/>
            <w:r w:rsidRPr="00475836">
              <w:rPr>
                <w:rFonts w:ascii="Times New Roman" w:hAnsi="Times New Roman" w:cs="Times New Roman"/>
                <w:sz w:val="24"/>
                <w:szCs w:val="24"/>
                <w:highlight w:val="yellow"/>
              </w:rPr>
              <w:t xml:space="preserve"> Road</w:t>
            </w:r>
          </w:p>
        </w:tc>
        <w:tc>
          <w:tcPr>
            <w:tcW w:w="0" w:type="auto"/>
            <w:hideMark/>
          </w:tcPr>
          <w:p w14:paraId="19BE95F4"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Main corridor to urban core</w:t>
            </w:r>
          </w:p>
        </w:tc>
        <w:tc>
          <w:tcPr>
            <w:tcW w:w="0" w:type="auto"/>
            <w:hideMark/>
          </w:tcPr>
          <w:p w14:paraId="3F8B802A"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Pool-based stopping</w:t>
            </w:r>
          </w:p>
        </w:tc>
        <w:tc>
          <w:tcPr>
            <w:tcW w:w="0" w:type="auto"/>
            <w:hideMark/>
          </w:tcPr>
          <w:p w14:paraId="65C0B2E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Intensifies congestion risk</w:t>
            </w:r>
          </w:p>
        </w:tc>
      </w:tr>
      <w:tr w:rsidR="00475836" w:rsidRPr="00475836" w14:paraId="4AB173FB" w14:textId="77777777" w:rsidTr="00475836">
        <w:tc>
          <w:tcPr>
            <w:tcW w:w="0" w:type="auto"/>
            <w:hideMark/>
          </w:tcPr>
          <w:p w14:paraId="613CBE6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Merdeka Road</w:t>
            </w:r>
          </w:p>
        </w:tc>
        <w:tc>
          <w:tcPr>
            <w:tcW w:w="0" w:type="auto"/>
            <w:hideMark/>
          </w:tcPr>
          <w:p w14:paraId="7260A265"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Main corridor near activity </w:t>
            </w:r>
            <w:proofErr w:type="spellStart"/>
            <w:r w:rsidRPr="00475836">
              <w:rPr>
                <w:rFonts w:ascii="Times New Roman" w:hAnsi="Times New Roman" w:cs="Times New Roman"/>
                <w:sz w:val="24"/>
                <w:szCs w:val="24"/>
                <w:highlight w:val="yellow"/>
              </w:rPr>
              <w:t>center</w:t>
            </w:r>
            <w:proofErr w:type="spellEnd"/>
          </w:p>
        </w:tc>
        <w:tc>
          <w:tcPr>
            <w:tcW w:w="0" w:type="auto"/>
            <w:hideMark/>
          </w:tcPr>
          <w:p w14:paraId="0042F30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Roadside waiting points</w:t>
            </w:r>
          </w:p>
        </w:tc>
        <w:tc>
          <w:tcPr>
            <w:tcW w:w="0" w:type="auto"/>
            <w:hideMark/>
          </w:tcPr>
          <w:p w14:paraId="23714003"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Slows movement, increases conflict</w:t>
            </w:r>
          </w:p>
        </w:tc>
      </w:tr>
      <w:tr w:rsidR="00475836" w:rsidRPr="00475836" w14:paraId="6A9D9436" w14:textId="77777777" w:rsidTr="00475836">
        <w:tc>
          <w:tcPr>
            <w:tcW w:w="0" w:type="auto"/>
            <w:hideMark/>
          </w:tcPr>
          <w:p w14:paraId="14BB3196"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proofErr w:type="spellStart"/>
            <w:r w:rsidRPr="00475836">
              <w:rPr>
                <w:rFonts w:ascii="Times New Roman" w:hAnsi="Times New Roman" w:cs="Times New Roman"/>
                <w:sz w:val="24"/>
                <w:szCs w:val="24"/>
                <w:highlight w:val="yellow"/>
              </w:rPr>
              <w:t>Sisingamangaraja</w:t>
            </w:r>
            <w:proofErr w:type="spellEnd"/>
            <w:r w:rsidRPr="00475836">
              <w:rPr>
                <w:rFonts w:ascii="Times New Roman" w:hAnsi="Times New Roman" w:cs="Times New Roman"/>
                <w:sz w:val="24"/>
                <w:szCs w:val="24"/>
                <w:highlight w:val="yellow"/>
              </w:rPr>
              <w:t xml:space="preserve"> Road</w:t>
            </w:r>
          </w:p>
        </w:tc>
        <w:tc>
          <w:tcPr>
            <w:tcW w:w="0" w:type="auto"/>
            <w:hideMark/>
          </w:tcPr>
          <w:p w14:paraId="6C6A1351"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Main corridor to urban core</w:t>
            </w:r>
          </w:p>
        </w:tc>
        <w:tc>
          <w:tcPr>
            <w:tcW w:w="0" w:type="auto"/>
            <w:hideMark/>
          </w:tcPr>
          <w:p w14:paraId="3C7403BC"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Roadside boarding/alighting</w:t>
            </w:r>
          </w:p>
        </w:tc>
        <w:tc>
          <w:tcPr>
            <w:tcW w:w="0" w:type="auto"/>
            <w:hideMark/>
          </w:tcPr>
          <w:p w14:paraId="49C0202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Increases travel time variability</w:t>
            </w:r>
          </w:p>
        </w:tc>
      </w:tr>
    </w:tbl>
    <w:p w14:paraId="3A4BCFFB"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A key improvement in this revised manuscript is to explicitly explain </w:t>
      </w:r>
      <w:r w:rsidRPr="00475836">
        <w:rPr>
          <w:rFonts w:ascii="Times New Roman" w:hAnsi="Times New Roman" w:cs="Times New Roman"/>
          <w:b/>
          <w:bCs/>
          <w:sz w:val="24"/>
          <w:szCs w:val="24"/>
          <w:highlight w:val="yellow"/>
        </w:rPr>
        <w:t>multi-route connectivity</w:t>
      </w:r>
      <w:r w:rsidRPr="00475836">
        <w:rPr>
          <w:rFonts w:ascii="Times New Roman" w:hAnsi="Times New Roman" w:cs="Times New Roman"/>
          <w:sz w:val="24"/>
          <w:szCs w:val="24"/>
          <w:highlight w:val="yellow"/>
        </w:rPr>
        <w:t xml:space="preserve"> between the market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xml:space="preserve"> area) and the terminal land. Several access alternatives can be optimized, for example: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xml:space="preserve">) access from </w:t>
      </w:r>
      <w:r w:rsidRPr="00475836">
        <w:rPr>
          <w:rFonts w:ascii="Times New Roman" w:hAnsi="Times New Roman" w:cs="Times New Roman"/>
          <w:b/>
          <w:bCs/>
          <w:sz w:val="24"/>
          <w:szCs w:val="24"/>
          <w:highlight w:val="yellow"/>
        </w:rPr>
        <w:t>Merdeka Road</w:t>
      </w:r>
      <w:r w:rsidRPr="00475836">
        <w:rPr>
          <w:rFonts w:ascii="Times New Roman" w:hAnsi="Times New Roman" w:cs="Times New Roman"/>
          <w:sz w:val="24"/>
          <w:szCs w:val="24"/>
          <w:highlight w:val="yellow"/>
        </w:rPr>
        <w:t xml:space="preserve"> via connecting streets toward </w:t>
      </w:r>
      <w:r w:rsidRPr="00475836">
        <w:rPr>
          <w:rFonts w:ascii="Times New Roman" w:hAnsi="Times New Roman" w:cs="Times New Roman"/>
          <w:b/>
          <w:bCs/>
          <w:sz w:val="24"/>
          <w:szCs w:val="24"/>
          <w:highlight w:val="yellow"/>
        </w:rPr>
        <w:t xml:space="preserve">Ricardo </w:t>
      </w:r>
      <w:proofErr w:type="spellStart"/>
      <w:r w:rsidRPr="00475836">
        <w:rPr>
          <w:rFonts w:ascii="Times New Roman" w:hAnsi="Times New Roman" w:cs="Times New Roman"/>
          <w:b/>
          <w:bCs/>
          <w:sz w:val="24"/>
          <w:szCs w:val="24"/>
          <w:highlight w:val="yellow"/>
        </w:rPr>
        <w:t>Siahaan</w:t>
      </w:r>
      <w:proofErr w:type="spellEnd"/>
      <w:r w:rsidRPr="00475836">
        <w:rPr>
          <w:rFonts w:ascii="Times New Roman" w:hAnsi="Times New Roman" w:cs="Times New Roman"/>
          <w:b/>
          <w:bCs/>
          <w:sz w:val="24"/>
          <w:szCs w:val="24"/>
          <w:highlight w:val="yellow"/>
        </w:rPr>
        <w:t xml:space="preserve"> Road / </w:t>
      </w:r>
      <w:proofErr w:type="spellStart"/>
      <w:r w:rsidRPr="00475836">
        <w:rPr>
          <w:rFonts w:ascii="Times New Roman" w:hAnsi="Times New Roman" w:cs="Times New Roman"/>
          <w:b/>
          <w:bCs/>
          <w:sz w:val="24"/>
          <w:szCs w:val="24"/>
          <w:highlight w:val="yellow"/>
        </w:rPr>
        <w:t>Maduma</w:t>
      </w:r>
      <w:proofErr w:type="spellEnd"/>
      <w:r w:rsidRPr="00475836">
        <w:rPr>
          <w:rFonts w:ascii="Times New Roman" w:hAnsi="Times New Roman" w:cs="Times New Roman"/>
          <w:b/>
          <w:bCs/>
          <w:sz w:val="24"/>
          <w:szCs w:val="24"/>
          <w:highlight w:val="yellow"/>
        </w:rPr>
        <w:t xml:space="preserve"> Road</w:t>
      </w:r>
      <w:r w:rsidRPr="00475836">
        <w:rPr>
          <w:rFonts w:ascii="Times New Roman" w:hAnsi="Times New Roman" w:cs="Times New Roman"/>
          <w:sz w:val="24"/>
          <w:szCs w:val="24"/>
          <w:highlight w:val="yellow"/>
        </w:rPr>
        <w:t xml:space="preserve">, and (ii) access from </w:t>
      </w:r>
      <w:proofErr w:type="spellStart"/>
      <w:r w:rsidRPr="00475836">
        <w:rPr>
          <w:rFonts w:ascii="Times New Roman" w:hAnsi="Times New Roman" w:cs="Times New Roman"/>
          <w:b/>
          <w:bCs/>
          <w:sz w:val="24"/>
          <w:szCs w:val="24"/>
          <w:highlight w:val="yellow"/>
        </w:rPr>
        <w:t>Siliwangi</w:t>
      </w:r>
      <w:proofErr w:type="spellEnd"/>
      <w:r w:rsidRPr="00475836">
        <w:rPr>
          <w:rFonts w:ascii="Times New Roman" w:hAnsi="Times New Roman" w:cs="Times New Roman"/>
          <w:b/>
          <w:bCs/>
          <w:sz w:val="24"/>
          <w:szCs w:val="24"/>
          <w:highlight w:val="yellow"/>
        </w:rPr>
        <w:t xml:space="preserve"> Road</w:t>
      </w:r>
      <w:r w:rsidRPr="00475836">
        <w:rPr>
          <w:rFonts w:ascii="Times New Roman" w:hAnsi="Times New Roman" w:cs="Times New Roman"/>
          <w:sz w:val="24"/>
          <w:szCs w:val="24"/>
          <w:highlight w:val="yellow"/>
        </w:rPr>
        <w:t xml:space="preserve"> via connector streets directly entering the terminal land and linking to </w:t>
      </w:r>
      <w:proofErr w:type="spellStart"/>
      <w:r w:rsidRPr="00475836">
        <w:rPr>
          <w:rFonts w:ascii="Times New Roman" w:hAnsi="Times New Roman" w:cs="Times New Roman"/>
          <w:b/>
          <w:bCs/>
          <w:sz w:val="24"/>
          <w:szCs w:val="24"/>
          <w:highlight w:val="yellow"/>
        </w:rPr>
        <w:t>Maduma</w:t>
      </w:r>
      <w:proofErr w:type="spellEnd"/>
      <w:r w:rsidRPr="00475836">
        <w:rPr>
          <w:rFonts w:ascii="Times New Roman" w:hAnsi="Times New Roman" w:cs="Times New Roman"/>
          <w:sz w:val="24"/>
          <w:szCs w:val="24"/>
          <w:highlight w:val="yellow"/>
        </w:rPr>
        <w:t xml:space="preserve">. This multi-route structure is important because it allows access distribution and reduces the risk of creating a single new bottleneck after terminal operation begins, especially during Friday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xml:space="preserve"> peaks when corridor pressure and informal stopping </w:t>
      </w:r>
      <w:proofErr w:type="spellStart"/>
      <w:r w:rsidRPr="00475836">
        <w:rPr>
          <w:rFonts w:ascii="Times New Roman" w:hAnsi="Times New Roman" w:cs="Times New Roman"/>
          <w:sz w:val="24"/>
          <w:szCs w:val="24"/>
          <w:highlight w:val="yellow"/>
        </w:rPr>
        <w:t>behavior</w:t>
      </w:r>
      <w:proofErr w:type="spellEnd"/>
      <w:r w:rsidRPr="00475836">
        <w:rPr>
          <w:rFonts w:ascii="Times New Roman" w:hAnsi="Times New Roman" w:cs="Times New Roman"/>
          <w:sz w:val="24"/>
          <w:szCs w:val="24"/>
          <w:highlight w:val="yellow"/>
        </w:rPr>
        <w:t xml:space="preserve"> intensify</w:t>
      </w:r>
    </w:p>
    <w:p w14:paraId="07BB0839" w14:textId="3DCD3C22"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lastRenderedPageBreak/>
        <w:t>.</w:t>
      </w:r>
    </w:p>
    <w:p w14:paraId="2D371B65" w14:textId="33766598" w:rsidR="0037367A" w:rsidRPr="0037367A" w:rsidRDefault="0037367A" w:rsidP="0037367A">
      <w:pPr>
        <w:jc w:val="both"/>
        <w:rPr>
          <w:rFonts w:ascii="Times New Roman" w:hAnsi="Times New Roman" w:cs="Times New Roman"/>
          <w:sz w:val="24"/>
          <w:szCs w:val="24"/>
          <w:highlight w:val="yellow"/>
        </w:rPr>
      </w:pPr>
    </w:p>
    <w:p w14:paraId="3622BD5F"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3.4. Traffic Performance Results and the Specific Impact of Friday “Onan”</w:t>
      </w:r>
    </w:p>
    <w:p w14:paraId="6DC7AA85"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Traffic performance was evaluated using capacity-based indicators (C), volume (V/LHR), and </w:t>
      </w:r>
      <w:r w:rsidRPr="0037367A">
        <w:rPr>
          <w:rFonts w:ascii="Times New Roman" w:hAnsi="Times New Roman" w:cs="Times New Roman"/>
          <w:b/>
          <w:bCs/>
          <w:sz w:val="24"/>
          <w:szCs w:val="24"/>
          <w:highlight w:val="yellow"/>
        </w:rPr>
        <w:t>VCR (V/C)</w:t>
      </w:r>
      <w:r w:rsidRPr="0037367A">
        <w:rPr>
          <w:rFonts w:ascii="Times New Roman" w:hAnsi="Times New Roman" w:cs="Times New Roman"/>
          <w:sz w:val="24"/>
          <w:szCs w:val="24"/>
          <w:highlight w:val="yellow"/>
        </w:rPr>
        <w:t xml:space="preserve"> to identify Level of Service (LOS). The results show that traffic remains relatively serviceable on ordinary conditions, but </w:t>
      </w:r>
      <w:r w:rsidRPr="0037367A">
        <w:rPr>
          <w:rFonts w:ascii="Times New Roman" w:hAnsi="Times New Roman" w:cs="Times New Roman"/>
          <w:b/>
          <w:bCs/>
          <w:sz w:val="24"/>
          <w:szCs w:val="24"/>
          <w:highlight w:val="yellow"/>
        </w:rPr>
        <w:t xml:space="preserve">Friday </w:t>
      </w:r>
      <w:proofErr w:type="spellStart"/>
      <w:r w:rsidRPr="0037367A">
        <w:rPr>
          <w:rFonts w:ascii="Times New Roman" w:hAnsi="Times New Roman" w:cs="Times New Roman"/>
          <w:b/>
          <w:bCs/>
          <w:sz w:val="24"/>
          <w:szCs w:val="24"/>
          <w:highlight w:val="yellow"/>
        </w:rPr>
        <w:t>onan</w:t>
      </w:r>
      <w:proofErr w:type="spellEnd"/>
      <w:r w:rsidRPr="0037367A">
        <w:rPr>
          <w:rFonts w:ascii="Times New Roman" w:hAnsi="Times New Roman" w:cs="Times New Roman"/>
          <w:b/>
          <w:bCs/>
          <w:sz w:val="24"/>
          <w:szCs w:val="24"/>
          <w:highlight w:val="yellow"/>
        </w:rPr>
        <w:t xml:space="preserve"> conditions degrade performance</w:t>
      </w:r>
      <w:r w:rsidRPr="0037367A">
        <w:rPr>
          <w:rFonts w:ascii="Times New Roman" w:hAnsi="Times New Roman" w:cs="Times New Roman"/>
          <w:sz w:val="24"/>
          <w:szCs w:val="24"/>
          <w:highlight w:val="yellow"/>
        </w:rPr>
        <w:t xml:space="preserve">, particularly on corridors closest to the market and activity </w:t>
      </w:r>
      <w:proofErr w:type="spellStart"/>
      <w:r w:rsidRPr="0037367A">
        <w:rPr>
          <w:rFonts w:ascii="Times New Roman" w:hAnsi="Times New Roman" w:cs="Times New Roman"/>
          <w:sz w:val="24"/>
          <w:szCs w:val="24"/>
          <w:highlight w:val="yellow"/>
        </w:rPr>
        <w:t>centers</w:t>
      </w:r>
      <w:proofErr w:type="spellEnd"/>
      <w:r w:rsidRPr="0037367A">
        <w:rPr>
          <w:rFonts w:ascii="Times New Roman" w:hAnsi="Times New Roman" w:cs="Times New Roman"/>
          <w:sz w:val="24"/>
          <w:szCs w:val="24"/>
          <w:highlight w:val="yellow"/>
        </w:rPr>
        <w:t>.</w:t>
      </w:r>
    </w:p>
    <w:p w14:paraId="1FE59552"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On the measured ordinary condition, the main corridors generally operate at </w:t>
      </w:r>
      <w:r w:rsidRPr="0037367A">
        <w:rPr>
          <w:rFonts w:ascii="Times New Roman" w:hAnsi="Times New Roman" w:cs="Times New Roman"/>
          <w:b/>
          <w:bCs/>
          <w:sz w:val="24"/>
          <w:szCs w:val="24"/>
          <w:highlight w:val="yellow"/>
        </w:rPr>
        <w:t>LOS B (stable flow)</w:t>
      </w:r>
      <w:r w:rsidRPr="0037367A">
        <w:rPr>
          <w:rFonts w:ascii="Times New Roman" w:hAnsi="Times New Roman" w:cs="Times New Roman"/>
          <w:sz w:val="24"/>
          <w:szCs w:val="24"/>
          <w:highlight w:val="yellow"/>
        </w:rPr>
        <w:t xml:space="preserve">. However, during higher-demand conditions and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influence, the corridors most directly tied to the market-access function (notably </w:t>
      </w:r>
      <w:proofErr w:type="spellStart"/>
      <w:r w:rsidRPr="0037367A">
        <w:rPr>
          <w:rFonts w:ascii="Times New Roman" w:hAnsi="Times New Roman" w:cs="Times New Roman"/>
          <w:b/>
          <w:bCs/>
          <w:sz w:val="24"/>
          <w:szCs w:val="24"/>
          <w:highlight w:val="yellow"/>
        </w:rPr>
        <w:t>Siliwangi</w:t>
      </w:r>
      <w:proofErr w:type="spellEnd"/>
      <w:r w:rsidRPr="0037367A">
        <w:rPr>
          <w:rFonts w:ascii="Times New Roman" w:hAnsi="Times New Roman" w:cs="Times New Roman"/>
          <w:b/>
          <w:bCs/>
          <w:sz w:val="24"/>
          <w:szCs w:val="24"/>
          <w:highlight w:val="yellow"/>
        </w:rPr>
        <w:t xml:space="preserve"> and Merdeka</w:t>
      </w:r>
      <w:r w:rsidRPr="0037367A">
        <w:rPr>
          <w:rFonts w:ascii="Times New Roman" w:hAnsi="Times New Roman" w:cs="Times New Roman"/>
          <w:sz w:val="24"/>
          <w:szCs w:val="24"/>
          <w:highlight w:val="yellow"/>
        </w:rPr>
        <w:t xml:space="preserve">) show degraded service levels (LOS C), meaning speed and </w:t>
      </w:r>
      <w:proofErr w:type="spellStart"/>
      <w:r w:rsidRPr="0037367A">
        <w:rPr>
          <w:rFonts w:ascii="Times New Roman" w:hAnsi="Times New Roman" w:cs="Times New Roman"/>
          <w:sz w:val="24"/>
          <w:szCs w:val="24"/>
          <w:highlight w:val="yellow"/>
        </w:rPr>
        <w:t>maneuvering</w:t>
      </w:r>
      <w:proofErr w:type="spellEnd"/>
      <w:r w:rsidRPr="0037367A">
        <w:rPr>
          <w:rFonts w:ascii="Times New Roman" w:hAnsi="Times New Roman" w:cs="Times New Roman"/>
          <w:sz w:val="24"/>
          <w:szCs w:val="24"/>
          <w:highlight w:val="yellow"/>
        </w:rPr>
        <w:t xml:space="preserve"> are increasingly constrained and roadside stopping becomes more disruptive.</w:t>
      </w:r>
    </w:p>
    <w:p w14:paraId="459E3EEF"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Table 3. Summary of LOS indication (ordinary vs higher-demand/on-an influenced conditions)</w:t>
      </w:r>
    </w:p>
    <w:tbl>
      <w:tblPr>
        <w:tblStyle w:val="TableGridLight"/>
        <w:tblW w:w="0" w:type="auto"/>
        <w:tblLook w:val="04A0" w:firstRow="1" w:lastRow="0" w:firstColumn="1" w:lastColumn="0" w:noHBand="0" w:noVBand="1"/>
      </w:tblPr>
      <w:tblGrid>
        <w:gridCol w:w="2270"/>
        <w:gridCol w:w="1729"/>
        <w:gridCol w:w="1813"/>
        <w:gridCol w:w="3204"/>
      </w:tblGrid>
      <w:tr w:rsidR="0037367A" w:rsidRPr="0037367A" w14:paraId="1359DD3E" w14:textId="77777777" w:rsidTr="00580357">
        <w:tc>
          <w:tcPr>
            <w:tcW w:w="0" w:type="auto"/>
            <w:hideMark/>
          </w:tcPr>
          <w:p w14:paraId="62E12FFD"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Corridor</w:t>
            </w:r>
          </w:p>
        </w:tc>
        <w:tc>
          <w:tcPr>
            <w:tcW w:w="0" w:type="auto"/>
            <w:hideMark/>
          </w:tcPr>
          <w:p w14:paraId="73FADC97"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Ordinary condition (general)</w:t>
            </w:r>
          </w:p>
        </w:tc>
        <w:tc>
          <w:tcPr>
            <w:tcW w:w="0" w:type="auto"/>
            <w:hideMark/>
          </w:tcPr>
          <w:p w14:paraId="79ED8B55"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 xml:space="preserve">Higher-demand / Friday </w:t>
            </w:r>
            <w:proofErr w:type="spellStart"/>
            <w:r w:rsidRPr="0037367A">
              <w:rPr>
                <w:rFonts w:ascii="Times New Roman" w:hAnsi="Times New Roman" w:cs="Times New Roman"/>
                <w:b/>
                <w:bCs/>
                <w:sz w:val="24"/>
                <w:szCs w:val="24"/>
                <w:highlight w:val="yellow"/>
              </w:rPr>
              <w:t>onan</w:t>
            </w:r>
            <w:proofErr w:type="spellEnd"/>
            <w:r w:rsidRPr="0037367A">
              <w:rPr>
                <w:rFonts w:ascii="Times New Roman" w:hAnsi="Times New Roman" w:cs="Times New Roman"/>
                <w:b/>
                <w:bCs/>
                <w:sz w:val="24"/>
                <w:szCs w:val="24"/>
                <w:highlight w:val="yellow"/>
              </w:rPr>
              <w:t xml:space="preserve"> effect</w:t>
            </w:r>
          </w:p>
        </w:tc>
        <w:tc>
          <w:tcPr>
            <w:tcW w:w="0" w:type="auto"/>
            <w:hideMark/>
          </w:tcPr>
          <w:p w14:paraId="29072D19"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Interpretation</w:t>
            </w:r>
          </w:p>
        </w:tc>
      </w:tr>
      <w:tr w:rsidR="0037367A" w:rsidRPr="0037367A" w14:paraId="0FB88435" w14:textId="77777777" w:rsidTr="00580357">
        <w:tc>
          <w:tcPr>
            <w:tcW w:w="0" w:type="auto"/>
            <w:hideMark/>
          </w:tcPr>
          <w:p w14:paraId="7989601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 xml:space="preserve"> (north)</w:t>
            </w:r>
          </w:p>
        </w:tc>
        <w:tc>
          <w:tcPr>
            <w:tcW w:w="0" w:type="auto"/>
            <w:hideMark/>
          </w:tcPr>
          <w:p w14:paraId="2638915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632CDD5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LOS C on Friday </w:t>
            </w:r>
            <w:proofErr w:type="spellStart"/>
            <w:r w:rsidRPr="0037367A">
              <w:rPr>
                <w:rFonts w:ascii="Times New Roman" w:hAnsi="Times New Roman" w:cs="Times New Roman"/>
                <w:sz w:val="24"/>
                <w:szCs w:val="24"/>
                <w:highlight w:val="yellow"/>
              </w:rPr>
              <w:t>onan</w:t>
            </w:r>
            <w:proofErr w:type="spellEnd"/>
          </w:p>
        </w:tc>
        <w:tc>
          <w:tcPr>
            <w:tcW w:w="0" w:type="auto"/>
            <w:hideMark/>
          </w:tcPr>
          <w:p w14:paraId="4B337266"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Market-related demand + roadside stopping increases friction</w:t>
            </w:r>
          </w:p>
        </w:tc>
      </w:tr>
      <w:tr w:rsidR="0037367A" w:rsidRPr="0037367A" w14:paraId="0CFE3FDD" w14:textId="77777777" w:rsidTr="00580357">
        <w:tc>
          <w:tcPr>
            <w:tcW w:w="0" w:type="auto"/>
            <w:hideMark/>
          </w:tcPr>
          <w:p w14:paraId="34B48DD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Letkol</w:t>
            </w:r>
            <w:proofErr w:type="spellEnd"/>
            <w:r w:rsidRPr="0037367A">
              <w:rPr>
                <w:rFonts w:ascii="Times New Roman" w:hAnsi="Times New Roman" w:cs="Times New Roman"/>
                <w:sz w:val="24"/>
                <w:szCs w:val="24"/>
                <w:highlight w:val="yellow"/>
              </w:rPr>
              <w:t xml:space="preserve"> G.A. </w:t>
            </w:r>
            <w:proofErr w:type="spellStart"/>
            <w:r w:rsidRPr="0037367A">
              <w:rPr>
                <w:rFonts w:ascii="Times New Roman" w:hAnsi="Times New Roman" w:cs="Times New Roman"/>
                <w:sz w:val="24"/>
                <w:szCs w:val="24"/>
                <w:highlight w:val="yellow"/>
              </w:rPr>
              <w:t>Manullang</w:t>
            </w:r>
            <w:proofErr w:type="spellEnd"/>
            <w:r w:rsidRPr="0037367A">
              <w:rPr>
                <w:rFonts w:ascii="Times New Roman" w:hAnsi="Times New Roman" w:cs="Times New Roman"/>
                <w:sz w:val="24"/>
                <w:szCs w:val="24"/>
                <w:highlight w:val="yellow"/>
              </w:rPr>
              <w:t xml:space="preserve"> (south)</w:t>
            </w:r>
          </w:p>
        </w:tc>
        <w:tc>
          <w:tcPr>
            <w:tcW w:w="0" w:type="auto"/>
            <w:hideMark/>
          </w:tcPr>
          <w:p w14:paraId="0DB3425C"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31058C8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 (still stable)</w:t>
            </w:r>
          </w:p>
        </w:tc>
        <w:tc>
          <w:tcPr>
            <w:tcW w:w="0" w:type="auto"/>
            <w:hideMark/>
          </w:tcPr>
          <w:p w14:paraId="3CEDE1D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Less direct market pressure compared to </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/Merdeka</w:t>
            </w:r>
          </w:p>
        </w:tc>
      </w:tr>
      <w:tr w:rsidR="0037367A" w:rsidRPr="0037367A" w14:paraId="14C61F0E" w14:textId="77777777" w:rsidTr="00580357">
        <w:tc>
          <w:tcPr>
            <w:tcW w:w="0" w:type="auto"/>
            <w:hideMark/>
          </w:tcPr>
          <w:p w14:paraId="10E4C8B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Merdeka (east)</w:t>
            </w:r>
          </w:p>
        </w:tc>
        <w:tc>
          <w:tcPr>
            <w:tcW w:w="0" w:type="auto"/>
            <w:hideMark/>
          </w:tcPr>
          <w:p w14:paraId="33F40C1D"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348177E6"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LOS C on Friday </w:t>
            </w:r>
            <w:proofErr w:type="spellStart"/>
            <w:r w:rsidRPr="0037367A">
              <w:rPr>
                <w:rFonts w:ascii="Times New Roman" w:hAnsi="Times New Roman" w:cs="Times New Roman"/>
                <w:sz w:val="24"/>
                <w:szCs w:val="24"/>
                <w:highlight w:val="yellow"/>
              </w:rPr>
              <w:t>onan</w:t>
            </w:r>
            <w:proofErr w:type="spellEnd"/>
          </w:p>
        </w:tc>
        <w:tc>
          <w:tcPr>
            <w:tcW w:w="0" w:type="auto"/>
            <w:hideMark/>
          </w:tcPr>
          <w:p w14:paraId="65E17158"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Strong linkage to activity </w:t>
            </w:r>
            <w:proofErr w:type="spellStart"/>
            <w:r w:rsidRPr="0037367A">
              <w:rPr>
                <w:rFonts w:ascii="Times New Roman" w:hAnsi="Times New Roman" w:cs="Times New Roman"/>
                <w:sz w:val="24"/>
                <w:szCs w:val="24"/>
                <w:highlight w:val="yellow"/>
              </w:rPr>
              <w:t>center</w:t>
            </w:r>
            <w:proofErr w:type="spellEnd"/>
            <w:r w:rsidRPr="0037367A">
              <w:rPr>
                <w:rFonts w:ascii="Times New Roman" w:hAnsi="Times New Roman" w:cs="Times New Roman"/>
                <w:sz w:val="24"/>
                <w:szCs w:val="24"/>
                <w:highlight w:val="yellow"/>
              </w:rPr>
              <w:t xml:space="preserve"> and market access</w:t>
            </w:r>
          </w:p>
        </w:tc>
      </w:tr>
      <w:tr w:rsidR="0037367A" w:rsidRPr="0037367A" w14:paraId="3D21D66D" w14:textId="77777777" w:rsidTr="00580357">
        <w:tc>
          <w:tcPr>
            <w:tcW w:w="0" w:type="auto"/>
            <w:hideMark/>
          </w:tcPr>
          <w:p w14:paraId="0FA206A6"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Sisingamangaraja</w:t>
            </w:r>
            <w:proofErr w:type="spellEnd"/>
            <w:r w:rsidRPr="0037367A">
              <w:rPr>
                <w:rFonts w:ascii="Times New Roman" w:hAnsi="Times New Roman" w:cs="Times New Roman"/>
                <w:sz w:val="24"/>
                <w:szCs w:val="24"/>
                <w:highlight w:val="yellow"/>
              </w:rPr>
              <w:t xml:space="preserve"> (west)</w:t>
            </w:r>
          </w:p>
        </w:tc>
        <w:tc>
          <w:tcPr>
            <w:tcW w:w="0" w:type="auto"/>
            <w:hideMark/>
          </w:tcPr>
          <w:p w14:paraId="55E5C860"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6B44DBF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 (still stable)</w:t>
            </w:r>
          </w:p>
        </w:tc>
        <w:tc>
          <w:tcPr>
            <w:tcW w:w="0" w:type="auto"/>
            <w:hideMark/>
          </w:tcPr>
          <w:p w14:paraId="4BB6C148"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Demand increases exist but less severe than </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/Merdeka</w:t>
            </w:r>
          </w:p>
        </w:tc>
      </w:tr>
    </w:tbl>
    <w:p w14:paraId="6CBCA4D1" w14:textId="2521533B"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Meaning for feasibility:</w:t>
      </w:r>
      <w:r w:rsidRPr="0037367A">
        <w:rPr>
          <w:rFonts w:ascii="Times New Roman" w:hAnsi="Times New Roman" w:cs="Times New Roman"/>
          <w:sz w:val="24"/>
          <w:szCs w:val="24"/>
          <w:highlight w:val="yellow"/>
        </w:rPr>
        <w:t xml:space="preserve"> The terminal is required not only as a facility but as a </w:t>
      </w:r>
      <w:r w:rsidRPr="0037367A">
        <w:rPr>
          <w:rFonts w:ascii="Times New Roman" w:hAnsi="Times New Roman" w:cs="Times New Roman"/>
          <w:b/>
          <w:bCs/>
          <w:sz w:val="24"/>
          <w:szCs w:val="24"/>
          <w:highlight w:val="yellow"/>
        </w:rPr>
        <w:t>traffic management instrument</w:t>
      </w:r>
      <w:r w:rsidRPr="0037367A">
        <w:rPr>
          <w:rFonts w:ascii="Times New Roman" w:hAnsi="Times New Roman" w:cs="Times New Roman"/>
          <w:sz w:val="24"/>
          <w:szCs w:val="24"/>
          <w:highlight w:val="yellow"/>
        </w:rPr>
        <w:t xml:space="preserve"> to: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consolidate stopping points, (ii) separate waiting areas from road bodies, (iii) regulate circulation, and (iv) reduce the “spillover” effect of pools and roadside boarding/alighting that currently functions like a distributed informal terminal system.</w:t>
      </w:r>
    </w:p>
    <w:p w14:paraId="1C0BD293"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3.5. Service Supply Evidence: Existing Operators and Real Terminal Demand</w:t>
      </w:r>
    </w:p>
    <w:p w14:paraId="0C9A1391"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Observed mobility patterns are supported by the presence of multiple formal and semi-formal public transport services (AKAP/AKDP and local services). Existing operators already form a corridor-based service pattern, but without a formal terminal node, service operations are dispersed across pools and roadside waiting points. This dispersion strengthens shadow-terminal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xml:space="preserve"> and encourages passengers to board wherever vehicles stop informally.</w:t>
      </w:r>
    </w:p>
    <w:p w14:paraId="0DED6411"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lastRenderedPageBreak/>
        <w:t>A formal terminal will therefore serve two linked objectives:</w:t>
      </w:r>
    </w:p>
    <w:p w14:paraId="6724911A" w14:textId="77777777" w:rsidR="0037367A" w:rsidRPr="0037367A" w:rsidRDefault="0037367A" w:rsidP="0037367A">
      <w:pPr>
        <w:numPr>
          <w:ilvl w:val="0"/>
          <w:numId w:val="14"/>
        </w:num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operational consolidation</w:t>
      </w:r>
      <w:r w:rsidRPr="0037367A">
        <w:rPr>
          <w:rFonts w:ascii="Times New Roman" w:hAnsi="Times New Roman" w:cs="Times New Roman"/>
          <w:sz w:val="24"/>
          <w:szCs w:val="24"/>
          <w:highlight w:val="yellow"/>
        </w:rPr>
        <w:t xml:space="preserve"> (routes, schedules, boarding/alighting order), and</w:t>
      </w:r>
    </w:p>
    <w:p w14:paraId="00DF83BE" w14:textId="77777777" w:rsidR="0037367A" w:rsidRPr="0037367A" w:rsidRDefault="0037367A" w:rsidP="0037367A">
      <w:pPr>
        <w:numPr>
          <w:ilvl w:val="0"/>
          <w:numId w:val="14"/>
        </w:num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service quality improvement</w:t>
      </w:r>
      <w:r w:rsidRPr="0037367A">
        <w:rPr>
          <w:rFonts w:ascii="Times New Roman" w:hAnsi="Times New Roman" w:cs="Times New Roman"/>
          <w:sz w:val="24"/>
          <w:szCs w:val="24"/>
          <w:highlight w:val="yellow"/>
        </w:rPr>
        <w:t xml:space="preserve"> (predictability, safety, passenger comfort, and intermodal transfer).</w:t>
      </w:r>
    </w:p>
    <w:p w14:paraId="19CDB5B7" w14:textId="45B4ADA5" w:rsidR="0037367A" w:rsidRPr="0037367A" w:rsidRDefault="0037367A" w:rsidP="0037367A">
      <w:pPr>
        <w:jc w:val="both"/>
        <w:rPr>
          <w:rFonts w:ascii="Times New Roman" w:hAnsi="Times New Roman" w:cs="Times New Roman"/>
          <w:sz w:val="24"/>
          <w:szCs w:val="24"/>
          <w:highlight w:val="yellow"/>
        </w:rPr>
      </w:pPr>
    </w:p>
    <w:p w14:paraId="03C0EEF9"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3.6. User and Driver Perceptions: Comfort, Order, and Operational Efficiency</w:t>
      </w:r>
    </w:p>
    <w:p w14:paraId="5D4DA3F0" w14:textId="0A82B43C"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In-depth interviews with 30 respondents indicate strong dissatisfaction with the current shadow-terminal situation. Most users report discomfort because there is no structured waiting space, information clarity, or safe boarding/alighting zone. Drivers also emphasize operational inefficiency caused by unclear stopping rules, competition for roadside passengers, and lack of designated transfer spaces. These findings confirm that the terminal problem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not only an infrastructure gap but also a </w:t>
      </w:r>
      <w:r w:rsidRPr="0037367A">
        <w:rPr>
          <w:rFonts w:ascii="Times New Roman" w:hAnsi="Times New Roman" w:cs="Times New Roman"/>
          <w:b/>
          <w:bCs/>
          <w:sz w:val="24"/>
          <w:szCs w:val="24"/>
          <w:highlight w:val="yellow"/>
        </w:rPr>
        <w:t>governance gap</w:t>
      </w:r>
      <w:r w:rsidRPr="0037367A">
        <w:rPr>
          <w:rFonts w:ascii="Times New Roman" w:hAnsi="Times New Roman" w:cs="Times New Roman"/>
          <w:sz w:val="24"/>
          <w:szCs w:val="24"/>
          <w:highlight w:val="yellow"/>
        </w:rPr>
        <w:t>, where informal routines have replaced formal service order.</w:t>
      </w:r>
    </w:p>
    <w:p w14:paraId="06971C86"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3.7. GIS/RDTR-Based Land-Use Suitability and Land-Capability Implications (Added Detail)</w:t>
      </w:r>
    </w:p>
    <w:p w14:paraId="6455C036" w14:textId="3829146D"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The integrated spatial evidence indicates that </w:t>
      </w:r>
      <w:proofErr w:type="spellStart"/>
      <w:r w:rsidRPr="0037367A">
        <w:rPr>
          <w:rFonts w:ascii="Times New Roman" w:hAnsi="Times New Roman" w:cs="Times New Roman"/>
          <w:sz w:val="24"/>
          <w:szCs w:val="24"/>
          <w:highlight w:val="yellow"/>
        </w:rPr>
        <w:t>Doloksanggul’s</w:t>
      </w:r>
      <w:proofErr w:type="spellEnd"/>
      <w:r w:rsidRPr="0037367A">
        <w:rPr>
          <w:rFonts w:ascii="Times New Roman" w:hAnsi="Times New Roman" w:cs="Times New Roman"/>
          <w:sz w:val="24"/>
          <w:szCs w:val="24"/>
          <w:highlight w:val="yellow"/>
        </w:rPr>
        <w:t xml:space="preserve"> built-up land proportion remains limited, implying that allocating a terminal site can be managed with controlled conversion and mitigation. In addition, the land capability assessment (SKL) yields </w:t>
      </w:r>
      <w:r w:rsidRPr="0037367A">
        <w:rPr>
          <w:rFonts w:ascii="Times New Roman" w:hAnsi="Times New Roman" w:cs="Times New Roman"/>
          <w:b/>
          <w:bCs/>
          <w:sz w:val="24"/>
          <w:szCs w:val="24"/>
          <w:highlight w:val="yellow"/>
        </w:rPr>
        <w:t>Total SKL = 100 (Class D)</w:t>
      </w:r>
      <w:r w:rsidRPr="0037367A">
        <w:rPr>
          <w:rFonts w:ascii="Times New Roman" w:hAnsi="Times New Roman" w:cs="Times New Roman"/>
          <w:sz w:val="24"/>
          <w:szCs w:val="24"/>
          <w:highlight w:val="yellow"/>
        </w:rPr>
        <w:t xml:space="preserve">, meaning the site is feasible for development under controlled design directions, including </w:t>
      </w:r>
      <w:r w:rsidRPr="0037367A">
        <w:rPr>
          <w:rFonts w:ascii="Times New Roman" w:hAnsi="Times New Roman" w:cs="Times New Roman"/>
          <w:b/>
          <w:bCs/>
          <w:sz w:val="24"/>
          <w:szCs w:val="24"/>
          <w:highlight w:val="yellow"/>
        </w:rPr>
        <w:t>maximum land-cover ratio guidance</w:t>
      </w:r>
      <w:r w:rsidRPr="0037367A">
        <w:rPr>
          <w:rFonts w:ascii="Times New Roman" w:hAnsi="Times New Roman" w:cs="Times New Roman"/>
          <w:sz w:val="24"/>
          <w:szCs w:val="24"/>
          <w:highlight w:val="yellow"/>
        </w:rPr>
        <w:t xml:space="preserve"> and building height limitation. This result strengthens feasibility because it provides a technical basis for how the site can be developed safely and sustainably.</w:t>
      </w:r>
    </w:p>
    <w:p w14:paraId="48BBCCE1"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3.8. Comparison of Multiple Candidate Sites (Added as Reviewer-Requested Improvement)</w:t>
      </w:r>
    </w:p>
    <w:p w14:paraId="67AFB7D7"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To strengthen the locational argument, this revised manuscript compares multiple feasible candidate locations rather than relying on one site only. Candidate sites were screened based on: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xml:space="preserve">) land availability, (ii) corridor connectivity, (iii) proximity to activity </w:t>
      </w:r>
      <w:proofErr w:type="spellStart"/>
      <w:r w:rsidRPr="0037367A">
        <w:rPr>
          <w:rFonts w:ascii="Times New Roman" w:hAnsi="Times New Roman" w:cs="Times New Roman"/>
          <w:sz w:val="24"/>
          <w:szCs w:val="24"/>
          <w:highlight w:val="yellow"/>
        </w:rPr>
        <w:t>centers</w:t>
      </w:r>
      <w:proofErr w:type="spellEnd"/>
      <w:r w:rsidRPr="0037367A">
        <w:rPr>
          <w:rFonts w:ascii="Times New Roman" w:hAnsi="Times New Roman" w:cs="Times New Roman"/>
          <w:sz w:val="24"/>
          <w:szCs w:val="24"/>
          <w:highlight w:val="yellow"/>
        </w:rPr>
        <w:t xml:space="preserve"> and market access, (iv) operational risk of inducing new bottlenecks, and (v) land/legal readiness.</w:t>
      </w:r>
    </w:p>
    <w:p w14:paraId="5B2CA6B8"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Table 4. Comparative screening of candidate terminal sites (qualitative)</w:t>
      </w:r>
    </w:p>
    <w:tbl>
      <w:tblPr>
        <w:tblStyle w:val="TableGridLight"/>
        <w:tblW w:w="0" w:type="auto"/>
        <w:tblLook w:val="04A0" w:firstRow="1" w:lastRow="0" w:firstColumn="1" w:lastColumn="0" w:noHBand="0" w:noVBand="1"/>
      </w:tblPr>
      <w:tblGrid>
        <w:gridCol w:w="2227"/>
        <w:gridCol w:w="2123"/>
        <w:gridCol w:w="2616"/>
        <w:gridCol w:w="2050"/>
      </w:tblGrid>
      <w:tr w:rsidR="0037367A" w:rsidRPr="0037367A" w14:paraId="050210DD" w14:textId="77777777" w:rsidTr="00475836">
        <w:tc>
          <w:tcPr>
            <w:tcW w:w="0" w:type="auto"/>
            <w:hideMark/>
          </w:tcPr>
          <w:p w14:paraId="5B04C519"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Candidate site</w:t>
            </w:r>
          </w:p>
        </w:tc>
        <w:tc>
          <w:tcPr>
            <w:tcW w:w="0" w:type="auto"/>
            <w:hideMark/>
          </w:tcPr>
          <w:p w14:paraId="610A2B45"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Strengths</w:t>
            </w:r>
          </w:p>
        </w:tc>
        <w:tc>
          <w:tcPr>
            <w:tcW w:w="0" w:type="auto"/>
            <w:hideMark/>
          </w:tcPr>
          <w:p w14:paraId="5E2AD214"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Weaknesses/Risks</w:t>
            </w:r>
          </w:p>
        </w:tc>
        <w:tc>
          <w:tcPr>
            <w:tcW w:w="0" w:type="auto"/>
            <w:hideMark/>
          </w:tcPr>
          <w:p w14:paraId="2BCA2534"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Feasibility note</w:t>
            </w:r>
          </w:p>
        </w:tc>
      </w:tr>
      <w:tr w:rsidR="0037367A" w:rsidRPr="0037367A" w14:paraId="66626A34" w14:textId="77777777" w:rsidTr="00475836">
        <w:tc>
          <w:tcPr>
            <w:tcW w:w="0" w:type="auto"/>
            <w:hideMark/>
          </w:tcPr>
          <w:p w14:paraId="3B4DA103"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Site A: Near </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 xml:space="preserve"> corridor (close to core)</w:t>
            </w:r>
          </w:p>
        </w:tc>
        <w:tc>
          <w:tcPr>
            <w:tcW w:w="0" w:type="auto"/>
            <w:hideMark/>
          </w:tcPr>
          <w:p w14:paraId="2C26C8C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High passenger visibility; direct corridor access</w:t>
            </w:r>
          </w:p>
        </w:tc>
        <w:tc>
          <w:tcPr>
            <w:tcW w:w="0" w:type="auto"/>
            <w:hideMark/>
          </w:tcPr>
          <w:p w14:paraId="66F2631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High congestion risk; hard to control roadside stopping</w:t>
            </w:r>
          </w:p>
        </w:tc>
        <w:tc>
          <w:tcPr>
            <w:tcW w:w="0" w:type="auto"/>
            <w:hideMark/>
          </w:tcPr>
          <w:p w14:paraId="7BCF9A61"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Suitable only if strict traffic engineering is applied</w:t>
            </w:r>
          </w:p>
        </w:tc>
      </w:tr>
      <w:tr w:rsidR="0037367A" w:rsidRPr="0037367A" w14:paraId="0BBDF382" w14:textId="77777777" w:rsidTr="00475836">
        <w:tc>
          <w:tcPr>
            <w:tcW w:w="0" w:type="auto"/>
            <w:hideMark/>
          </w:tcPr>
          <w:p w14:paraId="68914D8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Site B: Near Merdeka corridor (near activity </w:t>
            </w:r>
            <w:proofErr w:type="spellStart"/>
            <w:r w:rsidRPr="0037367A">
              <w:rPr>
                <w:rFonts w:ascii="Times New Roman" w:hAnsi="Times New Roman" w:cs="Times New Roman"/>
                <w:sz w:val="24"/>
                <w:szCs w:val="24"/>
                <w:highlight w:val="yellow"/>
              </w:rPr>
              <w:t>center</w:t>
            </w:r>
            <w:proofErr w:type="spellEnd"/>
            <w:r w:rsidRPr="0037367A">
              <w:rPr>
                <w:rFonts w:ascii="Times New Roman" w:hAnsi="Times New Roman" w:cs="Times New Roman"/>
                <w:sz w:val="24"/>
                <w:szCs w:val="24"/>
                <w:highlight w:val="yellow"/>
              </w:rPr>
              <w:t>/market access)</w:t>
            </w:r>
          </w:p>
        </w:tc>
        <w:tc>
          <w:tcPr>
            <w:tcW w:w="0" w:type="auto"/>
            <w:hideMark/>
          </w:tcPr>
          <w:p w14:paraId="2958A29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Strong linkage to market flows; high demand capture</w:t>
            </w:r>
          </w:p>
        </w:tc>
        <w:tc>
          <w:tcPr>
            <w:tcW w:w="0" w:type="auto"/>
            <w:hideMark/>
          </w:tcPr>
          <w:p w14:paraId="48634810"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High side-friction risk on Friday </w:t>
            </w:r>
            <w:proofErr w:type="spellStart"/>
            <w:r w:rsidRPr="0037367A">
              <w:rPr>
                <w:rFonts w:ascii="Times New Roman" w:hAnsi="Times New Roman" w:cs="Times New Roman"/>
                <w:sz w:val="24"/>
                <w:szCs w:val="24"/>
                <w:highlight w:val="yellow"/>
              </w:rPr>
              <w:t>onan</w:t>
            </w:r>
            <w:proofErr w:type="spellEnd"/>
          </w:p>
        </w:tc>
        <w:tc>
          <w:tcPr>
            <w:tcW w:w="0" w:type="auto"/>
            <w:hideMark/>
          </w:tcPr>
          <w:p w14:paraId="23D05E4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Requires strong enforcement + dedicated access treatment</w:t>
            </w:r>
          </w:p>
        </w:tc>
      </w:tr>
      <w:tr w:rsidR="0037367A" w:rsidRPr="0037367A" w14:paraId="54060FDC" w14:textId="77777777" w:rsidTr="00475836">
        <w:tc>
          <w:tcPr>
            <w:tcW w:w="0" w:type="auto"/>
            <w:hideMark/>
          </w:tcPr>
          <w:p w14:paraId="113385A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lastRenderedPageBreak/>
              <w:t>Site C: Proposed site (</w:t>
            </w:r>
            <w:proofErr w:type="spellStart"/>
            <w:r w:rsidRPr="0037367A">
              <w:rPr>
                <w:rFonts w:ascii="Times New Roman" w:hAnsi="Times New Roman" w:cs="Times New Roman"/>
                <w:sz w:val="24"/>
                <w:szCs w:val="24"/>
                <w:highlight w:val="yellow"/>
              </w:rPr>
              <w:t>Bonanionan</w:t>
            </w:r>
            <w:proofErr w:type="spellEnd"/>
            <w:r w:rsidRPr="0037367A">
              <w:rPr>
                <w:rFonts w:ascii="Times New Roman" w:hAnsi="Times New Roman" w:cs="Times New Roman"/>
                <w:sz w:val="24"/>
                <w:szCs w:val="24"/>
                <w:highlight w:val="yellow"/>
              </w:rPr>
              <w:t>)</w:t>
            </w:r>
          </w:p>
        </w:tc>
        <w:tc>
          <w:tcPr>
            <w:tcW w:w="0" w:type="auto"/>
            <w:hideMark/>
          </w:tcPr>
          <w:p w14:paraId="009B9085"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Adequate land; multi-route access options; better internal circulation potential</w:t>
            </w:r>
          </w:p>
        </w:tc>
        <w:tc>
          <w:tcPr>
            <w:tcW w:w="0" w:type="auto"/>
            <w:hideMark/>
          </w:tcPr>
          <w:p w14:paraId="6B03F5E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Requires infrastructure upgrading to strengthen access quality</w:t>
            </w:r>
          </w:p>
        </w:tc>
        <w:tc>
          <w:tcPr>
            <w:tcW w:w="0" w:type="auto"/>
            <w:hideMark/>
          </w:tcPr>
          <w:p w14:paraId="11FDE34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Best balance of land capacity + governance-based operations</w:t>
            </w:r>
          </w:p>
        </w:tc>
      </w:tr>
    </w:tbl>
    <w:p w14:paraId="079B53AD"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This comparison demonstrates that the selected site is not arbitrary; it is chosen because it provides the best combination of land adequacy, access flexibility, and operational controllability.</w:t>
      </w:r>
    </w:p>
    <w:p w14:paraId="6CE5C4C6" w14:textId="2D02FBDD" w:rsidR="0037367A" w:rsidRPr="0037367A" w:rsidRDefault="0037367A" w:rsidP="0037367A">
      <w:pPr>
        <w:jc w:val="both"/>
        <w:rPr>
          <w:rFonts w:ascii="Times New Roman" w:hAnsi="Times New Roman" w:cs="Times New Roman"/>
          <w:sz w:val="24"/>
          <w:szCs w:val="24"/>
          <w:highlight w:val="yellow"/>
        </w:rPr>
      </w:pPr>
    </w:p>
    <w:p w14:paraId="45BAD139"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 xml:space="preserve">3.9. SWOT Analysis and </w:t>
      </w:r>
      <w:proofErr w:type="gramStart"/>
      <w:r w:rsidRPr="0037367A">
        <w:rPr>
          <w:rFonts w:ascii="Times New Roman" w:hAnsi="Times New Roman" w:cs="Times New Roman"/>
          <w:b/>
          <w:bCs/>
          <w:sz w:val="24"/>
          <w:szCs w:val="24"/>
          <w:highlight w:val="yellow"/>
        </w:rPr>
        <w:t>Quadrant</w:t>
      </w:r>
      <w:proofErr w:type="gramEnd"/>
      <w:r w:rsidRPr="0037367A">
        <w:rPr>
          <w:rFonts w:ascii="Times New Roman" w:hAnsi="Times New Roman" w:cs="Times New Roman"/>
          <w:b/>
          <w:bCs/>
          <w:sz w:val="24"/>
          <w:szCs w:val="24"/>
          <w:highlight w:val="yellow"/>
        </w:rPr>
        <w:t xml:space="preserve"> I Strategy (SO—Aggressive) (Table Restored)</w:t>
      </w:r>
    </w:p>
    <w:p w14:paraId="2AF943C3"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3.9.1. SWOT Variables (IFAS–EFAS) Based on Integrated Findings</w:t>
      </w:r>
    </w:p>
    <w:p w14:paraId="37A95154"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The SWOT framework integrates: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xml:space="preserve">) centric corridor structure, (ii) shadow-terminal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xml:space="preserve">, (iii)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mobility pressure, (iv) multi-route access potential, and (v) land feasibility (SKL Class D).</w:t>
      </w:r>
    </w:p>
    <w:p w14:paraId="75A1D3E9"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 xml:space="preserve">Table 5. SWOT variables for terminal planning in </w:t>
      </w:r>
      <w:proofErr w:type="spellStart"/>
      <w:r w:rsidRPr="0037367A">
        <w:rPr>
          <w:rFonts w:ascii="Times New Roman" w:hAnsi="Times New Roman" w:cs="Times New Roman"/>
          <w:b/>
          <w:bCs/>
          <w:sz w:val="24"/>
          <w:szCs w:val="24"/>
          <w:highlight w:val="yellow"/>
        </w:rPr>
        <w:t>Doloksanggul</w:t>
      </w:r>
      <w:proofErr w:type="spellEnd"/>
      <w:r w:rsidRPr="0037367A">
        <w:rPr>
          <w:rFonts w:ascii="Times New Roman" w:hAnsi="Times New Roman" w:cs="Times New Roman"/>
          <w:b/>
          <w:bCs/>
          <w:sz w:val="24"/>
          <w:szCs w:val="24"/>
          <w:highlight w:val="yellow"/>
        </w:rPr>
        <w:t xml:space="preserve"> (RESTORED TABLE 3)</w:t>
      </w:r>
    </w:p>
    <w:tbl>
      <w:tblPr>
        <w:tblStyle w:val="TableGridLight"/>
        <w:tblW w:w="0" w:type="auto"/>
        <w:tblLook w:val="04A0" w:firstRow="1" w:lastRow="0" w:firstColumn="1" w:lastColumn="0" w:noHBand="0" w:noVBand="1"/>
      </w:tblPr>
      <w:tblGrid>
        <w:gridCol w:w="5088"/>
        <w:gridCol w:w="3928"/>
      </w:tblGrid>
      <w:tr w:rsidR="0037367A" w:rsidRPr="0037367A" w14:paraId="2DB72CD5" w14:textId="77777777" w:rsidTr="00475836">
        <w:tc>
          <w:tcPr>
            <w:tcW w:w="0" w:type="auto"/>
            <w:hideMark/>
          </w:tcPr>
          <w:p w14:paraId="5C4B8E06"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Strengths (S)</w:t>
            </w:r>
          </w:p>
        </w:tc>
        <w:tc>
          <w:tcPr>
            <w:tcW w:w="0" w:type="auto"/>
            <w:hideMark/>
          </w:tcPr>
          <w:p w14:paraId="59946A19"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Weaknesses (W)</w:t>
            </w:r>
          </w:p>
        </w:tc>
      </w:tr>
      <w:tr w:rsidR="0037367A" w:rsidRPr="0037367A" w14:paraId="1C8C02AC" w14:textId="77777777" w:rsidTr="00475836">
        <w:tc>
          <w:tcPr>
            <w:tcW w:w="0" w:type="auto"/>
            <w:hideMark/>
          </w:tcPr>
          <w:p w14:paraId="673FA27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S1. Centric road network with four main corridors as structured feeders</w:t>
            </w:r>
          </w:p>
        </w:tc>
        <w:tc>
          <w:tcPr>
            <w:tcW w:w="0" w:type="auto"/>
            <w:hideMark/>
          </w:tcPr>
          <w:p w14:paraId="0F49C80B"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W1. Shadow terminals persist due to dispersed pools and roadside stopping</w:t>
            </w:r>
          </w:p>
        </w:tc>
      </w:tr>
      <w:tr w:rsidR="0037367A" w:rsidRPr="0037367A" w14:paraId="5D8FCE35" w14:textId="77777777" w:rsidTr="00475836">
        <w:tc>
          <w:tcPr>
            <w:tcW w:w="0" w:type="auto"/>
            <w:hideMark/>
          </w:tcPr>
          <w:p w14:paraId="424F4E8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S2. Multi-route accessibility to terminal land (via Merdeka/</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 xml:space="preserve"> to Ricardo </w:t>
            </w:r>
            <w:proofErr w:type="spellStart"/>
            <w:r w:rsidRPr="0037367A">
              <w:rPr>
                <w:rFonts w:ascii="Times New Roman" w:hAnsi="Times New Roman" w:cs="Times New Roman"/>
                <w:sz w:val="24"/>
                <w:szCs w:val="24"/>
                <w:highlight w:val="yellow"/>
              </w:rPr>
              <w:t>Siahaan</w:t>
            </w:r>
            <w:proofErr w:type="spellEnd"/>
            <w:r w:rsidRPr="0037367A">
              <w:rPr>
                <w:rFonts w:ascii="Times New Roman" w:hAnsi="Times New Roman" w:cs="Times New Roman"/>
                <w:sz w:val="24"/>
                <w:szCs w:val="24"/>
                <w:highlight w:val="yellow"/>
              </w:rPr>
              <w:t>/</w:t>
            </w:r>
            <w:proofErr w:type="spellStart"/>
            <w:r w:rsidRPr="0037367A">
              <w:rPr>
                <w:rFonts w:ascii="Times New Roman" w:hAnsi="Times New Roman" w:cs="Times New Roman"/>
                <w:sz w:val="24"/>
                <w:szCs w:val="24"/>
                <w:highlight w:val="yellow"/>
              </w:rPr>
              <w:t>Maduma</w:t>
            </w:r>
            <w:proofErr w:type="spellEnd"/>
            <w:r w:rsidRPr="0037367A">
              <w:rPr>
                <w:rFonts w:ascii="Times New Roman" w:hAnsi="Times New Roman" w:cs="Times New Roman"/>
                <w:sz w:val="24"/>
                <w:szCs w:val="24"/>
                <w:highlight w:val="yellow"/>
              </w:rPr>
              <w:t xml:space="preserve"> and direct access)</w:t>
            </w:r>
          </w:p>
        </w:tc>
        <w:tc>
          <w:tcPr>
            <w:tcW w:w="0" w:type="auto"/>
            <w:hideMark/>
          </w:tcPr>
          <w:p w14:paraId="7785A820"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W2. Supporting infrastructure and formal terminal operation system are not yet available</w:t>
            </w:r>
          </w:p>
        </w:tc>
      </w:tr>
      <w:tr w:rsidR="0037367A" w:rsidRPr="0037367A" w14:paraId="17DA7FB0" w14:textId="77777777" w:rsidTr="00475836">
        <w:tc>
          <w:tcPr>
            <w:tcW w:w="0" w:type="auto"/>
            <w:hideMark/>
          </w:tcPr>
          <w:p w14:paraId="70E6A76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S3. Strong physical feasibility (SKL Class D) enabling controlled development</w:t>
            </w:r>
          </w:p>
        </w:tc>
        <w:tc>
          <w:tcPr>
            <w:tcW w:w="0" w:type="auto"/>
            <w:hideMark/>
          </w:tcPr>
          <w:p w14:paraId="5BB05C87"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W3. Low compliance risk: users/operators prefer roadside convenience</w:t>
            </w:r>
          </w:p>
        </w:tc>
      </w:tr>
      <w:tr w:rsidR="0037367A" w:rsidRPr="0037367A" w14:paraId="1FA34CC6" w14:textId="77777777" w:rsidTr="00475836">
        <w:tc>
          <w:tcPr>
            <w:tcW w:w="0" w:type="auto"/>
            <w:hideMark/>
          </w:tcPr>
          <w:p w14:paraId="346131D8"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S4. Existing AKAP/AKDP/local services indicate real terminal demand</w:t>
            </w:r>
          </w:p>
        </w:tc>
        <w:tc>
          <w:tcPr>
            <w:tcW w:w="0" w:type="auto"/>
            <w:hideMark/>
          </w:tcPr>
          <w:p w14:paraId="0FC1FA1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W4. Weak enforcement and supervision allow informal stopping routines</w:t>
            </w:r>
          </w:p>
        </w:tc>
      </w:tr>
    </w:tbl>
    <w:p w14:paraId="56C4FF4D" w14:textId="77777777" w:rsidR="0037367A" w:rsidRPr="0037367A" w:rsidRDefault="0037367A" w:rsidP="0037367A">
      <w:pPr>
        <w:jc w:val="both"/>
        <w:rPr>
          <w:rFonts w:ascii="Times New Roman" w:hAnsi="Times New Roman" w:cs="Times New Roman"/>
          <w:vanish/>
          <w:sz w:val="24"/>
          <w:szCs w:val="24"/>
          <w:highlight w:val="yellow"/>
        </w:rPr>
      </w:pPr>
    </w:p>
    <w:tbl>
      <w:tblPr>
        <w:tblStyle w:val="TableGridLight"/>
        <w:tblW w:w="0" w:type="auto"/>
        <w:tblLook w:val="04A0" w:firstRow="1" w:lastRow="0" w:firstColumn="1" w:lastColumn="0" w:noHBand="0" w:noVBand="1"/>
      </w:tblPr>
      <w:tblGrid>
        <w:gridCol w:w="4405"/>
        <w:gridCol w:w="4611"/>
      </w:tblGrid>
      <w:tr w:rsidR="0037367A" w:rsidRPr="0037367A" w14:paraId="2EA7AF2D" w14:textId="77777777" w:rsidTr="00475836">
        <w:tc>
          <w:tcPr>
            <w:tcW w:w="0" w:type="auto"/>
            <w:hideMark/>
          </w:tcPr>
          <w:p w14:paraId="5E830FBA"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Opportunities (O)</w:t>
            </w:r>
          </w:p>
        </w:tc>
        <w:tc>
          <w:tcPr>
            <w:tcW w:w="0" w:type="auto"/>
            <w:hideMark/>
          </w:tcPr>
          <w:p w14:paraId="64FF3BD8"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Threats (T)</w:t>
            </w:r>
          </w:p>
        </w:tc>
      </w:tr>
      <w:tr w:rsidR="0037367A" w:rsidRPr="0037367A" w14:paraId="2E931D96" w14:textId="77777777" w:rsidTr="00475836">
        <w:tc>
          <w:tcPr>
            <w:tcW w:w="0" w:type="auto"/>
            <w:hideMark/>
          </w:tcPr>
          <w:p w14:paraId="71F825C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O1.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as a consistent mobility and distribution generator</w:t>
            </w:r>
          </w:p>
        </w:tc>
        <w:tc>
          <w:tcPr>
            <w:tcW w:w="0" w:type="auto"/>
            <w:hideMark/>
          </w:tcPr>
          <w:p w14:paraId="57CEAB6B"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T1. Operator resistance to relocating from shadow points to terminal</w:t>
            </w:r>
          </w:p>
        </w:tc>
      </w:tr>
      <w:tr w:rsidR="0037367A" w:rsidRPr="0037367A" w14:paraId="5448FF95" w14:textId="77777777" w:rsidTr="00475836">
        <w:tc>
          <w:tcPr>
            <w:tcW w:w="0" w:type="auto"/>
            <w:hideMark/>
          </w:tcPr>
          <w:p w14:paraId="5CE2C4A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O2. Access alternatives allow network distribution and bottleneck avoidance</w:t>
            </w:r>
          </w:p>
        </w:tc>
        <w:tc>
          <w:tcPr>
            <w:tcW w:w="0" w:type="auto"/>
            <w:hideMark/>
          </w:tcPr>
          <w:p w14:paraId="02A0221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T2. If unmanaged, corridor congestion can intensify as demand grows</w:t>
            </w:r>
          </w:p>
        </w:tc>
      </w:tr>
      <w:tr w:rsidR="0037367A" w:rsidRPr="0037367A" w14:paraId="72B9C4C5" w14:textId="77777777" w:rsidTr="00475836">
        <w:tc>
          <w:tcPr>
            <w:tcW w:w="0" w:type="auto"/>
            <w:hideMark/>
          </w:tcPr>
          <w:p w14:paraId="0F81E38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O3. Spatial conformity and land-status certainty support implementation</w:t>
            </w:r>
          </w:p>
        </w:tc>
        <w:tc>
          <w:tcPr>
            <w:tcW w:w="0" w:type="auto"/>
            <w:hideMark/>
          </w:tcPr>
          <w:p w14:paraId="050382B3"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T3. Potential implementation delays (budget, construction phasing, coordination)</w:t>
            </w:r>
          </w:p>
        </w:tc>
      </w:tr>
      <w:tr w:rsidR="0037367A" w:rsidRPr="0037367A" w14:paraId="2486818D" w14:textId="77777777" w:rsidTr="00475836">
        <w:tc>
          <w:tcPr>
            <w:tcW w:w="0" w:type="auto"/>
            <w:hideMark/>
          </w:tcPr>
          <w:p w14:paraId="5BBEBF2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O4. Route consolidation and service integration can upgrade service quality</w:t>
            </w:r>
          </w:p>
        </w:tc>
        <w:tc>
          <w:tcPr>
            <w:tcW w:w="0" w:type="auto"/>
            <w:hideMark/>
          </w:tcPr>
          <w:p w14:paraId="3FB88301"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T4. Shadow terminals may persist if terminal facilities are not attractive</w:t>
            </w:r>
          </w:p>
        </w:tc>
      </w:tr>
    </w:tbl>
    <w:p w14:paraId="5724BCF0"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lastRenderedPageBreak/>
        <w:t>3.9.2. Quadrant Positioning and Strategic Implications</w:t>
      </w:r>
    </w:p>
    <w:p w14:paraId="37711E4D"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The analysis indicates that internal strengths and external opportunities dominate and can be mobilized to address operational weaknesses (shadow terminals, compliance, enforcement). Therefore,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positioned in </w:t>
      </w:r>
      <w:r w:rsidRPr="0037367A">
        <w:rPr>
          <w:rFonts w:ascii="Times New Roman" w:hAnsi="Times New Roman" w:cs="Times New Roman"/>
          <w:b/>
          <w:bCs/>
          <w:sz w:val="24"/>
          <w:szCs w:val="24"/>
          <w:highlight w:val="yellow"/>
        </w:rPr>
        <w:t>Quadrant I (SO strategy)</w:t>
      </w:r>
      <w:r w:rsidRPr="0037367A">
        <w:rPr>
          <w:rFonts w:ascii="Times New Roman" w:hAnsi="Times New Roman" w:cs="Times New Roman"/>
          <w:sz w:val="24"/>
          <w:szCs w:val="24"/>
          <w:highlight w:val="yellow"/>
        </w:rPr>
        <w:t xml:space="preserve">, meaning the recommended strategy is </w:t>
      </w:r>
      <w:r w:rsidRPr="0037367A">
        <w:rPr>
          <w:rFonts w:ascii="Times New Roman" w:hAnsi="Times New Roman" w:cs="Times New Roman"/>
          <w:b/>
          <w:bCs/>
          <w:sz w:val="24"/>
          <w:szCs w:val="24"/>
          <w:highlight w:val="yellow"/>
        </w:rPr>
        <w:t>aggressive/growth-oriented</w:t>
      </w:r>
      <w:r w:rsidRPr="0037367A">
        <w:rPr>
          <w:rFonts w:ascii="Times New Roman" w:hAnsi="Times New Roman" w:cs="Times New Roman"/>
          <w:sz w:val="24"/>
          <w:szCs w:val="24"/>
          <w:highlight w:val="yellow"/>
        </w:rPr>
        <w:t>: maximizing strengths to capture opportunities.</w:t>
      </w:r>
    </w:p>
    <w:p w14:paraId="09A44505"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3.9.3. SWOT Strategy Matrix (Programs and Policy Direction)</w:t>
      </w:r>
    </w:p>
    <w:p w14:paraId="7DF88A82"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 xml:space="preserve">Table 6. SWOT strategy matrix for terminal planning in </w:t>
      </w:r>
      <w:proofErr w:type="spellStart"/>
      <w:r w:rsidRPr="0037367A">
        <w:rPr>
          <w:rFonts w:ascii="Times New Roman" w:hAnsi="Times New Roman" w:cs="Times New Roman"/>
          <w:b/>
          <w:bCs/>
          <w:sz w:val="24"/>
          <w:szCs w:val="24"/>
          <w:highlight w:val="yellow"/>
        </w:rPr>
        <w:t>Doloksanggul</w:t>
      </w:r>
      <w:proofErr w:type="spellEnd"/>
    </w:p>
    <w:tbl>
      <w:tblPr>
        <w:tblStyle w:val="TableGridLight"/>
        <w:tblW w:w="0" w:type="auto"/>
        <w:tblLook w:val="04A0" w:firstRow="1" w:lastRow="0" w:firstColumn="1" w:lastColumn="0" w:noHBand="0" w:noVBand="1"/>
      </w:tblPr>
      <w:tblGrid>
        <w:gridCol w:w="1464"/>
        <w:gridCol w:w="3989"/>
        <w:gridCol w:w="3563"/>
      </w:tblGrid>
      <w:tr w:rsidR="0037367A" w:rsidRPr="0037367A" w14:paraId="40BEBA72" w14:textId="77777777" w:rsidTr="00475836">
        <w:tc>
          <w:tcPr>
            <w:tcW w:w="0" w:type="auto"/>
            <w:hideMark/>
          </w:tcPr>
          <w:p w14:paraId="42E6982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
        </w:tc>
        <w:tc>
          <w:tcPr>
            <w:tcW w:w="0" w:type="auto"/>
            <w:hideMark/>
          </w:tcPr>
          <w:p w14:paraId="23691FC3"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Opportunities (O)</w:t>
            </w:r>
          </w:p>
        </w:tc>
        <w:tc>
          <w:tcPr>
            <w:tcW w:w="0" w:type="auto"/>
            <w:hideMark/>
          </w:tcPr>
          <w:p w14:paraId="12F449C5"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Threats (T)</w:t>
            </w:r>
          </w:p>
        </w:tc>
      </w:tr>
      <w:tr w:rsidR="0037367A" w:rsidRPr="0037367A" w14:paraId="4B3E60D6" w14:textId="77777777" w:rsidTr="00475836">
        <w:tc>
          <w:tcPr>
            <w:tcW w:w="0" w:type="auto"/>
            <w:hideMark/>
          </w:tcPr>
          <w:p w14:paraId="700383D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Strengths (S)</w:t>
            </w:r>
          </w:p>
        </w:tc>
        <w:tc>
          <w:tcPr>
            <w:tcW w:w="0" w:type="auto"/>
            <w:hideMark/>
          </w:tcPr>
          <w:p w14:paraId="51E707C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gramStart"/>
            <w:r w:rsidRPr="0037367A">
              <w:rPr>
                <w:rFonts w:ascii="Times New Roman" w:hAnsi="Times New Roman" w:cs="Times New Roman"/>
                <w:b/>
                <w:bCs/>
                <w:sz w:val="24"/>
                <w:szCs w:val="24"/>
                <w:highlight w:val="yellow"/>
              </w:rPr>
              <w:t>SO</w:t>
            </w:r>
            <w:proofErr w:type="gramEnd"/>
            <w:r w:rsidRPr="0037367A">
              <w:rPr>
                <w:rFonts w:ascii="Times New Roman" w:hAnsi="Times New Roman" w:cs="Times New Roman"/>
                <w:b/>
                <w:bCs/>
                <w:sz w:val="24"/>
                <w:szCs w:val="24"/>
                <w:highlight w:val="yellow"/>
              </w:rPr>
              <w:t xml:space="preserve"> Strategies (Priority)</w:t>
            </w:r>
            <w:r w:rsidRPr="0037367A">
              <w:rPr>
                <w:rFonts w:ascii="Times New Roman" w:hAnsi="Times New Roman" w:cs="Times New Roman"/>
                <w:sz w:val="24"/>
                <w:szCs w:val="24"/>
                <w:highlight w:val="yellow"/>
              </w:rPr>
              <w:t xml:space="preserve"> 1) Consolidate corridor stopping points into terminal-based operations (feeders from four corridors). 2) Integrate terminal design with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mobility (drop-off zones, pedestrian safety, MSME space). 3) Optimize multi-route access to avoid single bottlenecks. 4) Implement phased development aligned with land capability (SKL Class D).</w:t>
            </w:r>
          </w:p>
        </w:tc>
        <w:tc>
          <w:tcPr>
            <w:tcW w:w="0" w:type="auto"/>
            <w:hideMark/>
          </w:tcPr>
          <w:p w14:paraId="2721802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ST Strategies (Reinforcement)</w:t>
            </w:r>
            <w:r w:rsidRPr="0037367A">
              <w:rPr>
                <w:rFonts w:ascii="Times New Roman" w:hAnsi="Times New Roman" w:cs="Times New Roman"/>
                <w:sz w:val="24"/>
                <w:szCs w:val="24"/>
                <w:highlight w:val="yellow"/>
              </w:rPr>
              <w:t xml:space="preserve"> 1) Apply traffic engineering (no-stopping zones, designated official stops) to suppress shadow terminals while migration occurs. 2) Organize schedules/routes through terminal dispatching to reduce roadside competition.</w:t>
            </w:r>
          </w:p>
        </w:tc>
      </w:tr>
      <w:tr w:rsidR="0037367A" w:rsidRPr="0037367A" w14:paraId="3427BDF4" w14:textId="77777777" w:rsidTr="00475836">
        <w:tc>
          <w:tcPr>
            <w:tcW w:w="0" w:type="auto"/>
            <w:hideMark/>
          </w:tcPr>
          <w:p w14:paraId="3315D79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Weaknesses (W)</w:t>
            </w:r>
          </w:p>
        </w:tc>
        <w:tc>
          <w:tcPr>
            <w:tcW w:w="0" w:type="auto"/>
            <w:hideMark/>
          </w:tcPr>
          <w:p w14:paraId="67FBD01B"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WO Strategies (Improvement)</w:t>
            </w:r>
            <w:r w:rsidRPr="0037367A">
              <w:rPr>
                <w:rFonts w:ascii="Times New Roman" w:hAnsi="Times New Roman" w:cs="Times New Roman"/>
                <w:sz w:val="24"/>
                <w:szCs w:val="24"/>
                <w:highlight w:val="yellow"/>
              </w:rPr>
              <w:t xml:space="preserve"> 1) Upgrade facilities (waiting area, toilets, information system, parking) to shift preference from roadside to terminal. 2) Provide incentives and transition management for operators (departure-slot management, compliance incentives).</w:t>
            </w:r>
          </w:p>
        </w:tc>
        <w:tc>
          <w:tcPr>
            <w:tcW w:w="0" w:type="auto"/>
            <w:hideMark/>
          </w:tcPr>
          <w:p w14:paraId="426B945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WT Strategies (Mitigation)</w:t>
            </w:r>
            <w:r w:rsidRPr="0037367A">
              <w:rPr>
                <w:rFonts w:ascii="Times New Roman" w:hAnsi="Times New Roman" w:cs="Times New Roman"/>
                <w:sz w:val="24"/>
                <w:szCs w:val="24"/>
                <w:highlight w:val="yellow"/>
              </w:rPr>
              <w:t xml:space="preserve"> 1) Strengthen cross-agency supervision and staged enforcement. 2) If construction is phased, establish temporary official stops to maintain node functions and prevent shadow-terminal expansion.</w:t>
            </w:r>
          </w:p>
        </w:tc>
      </w:tr>
    </w:tbl>
    <w:p w14:paraId="73AF1161" w14:textId="00734B3F" w:rsidR="0037367A" w:rsidRPr="0037367A" w:rsidRDefault="0037367A" w:rsidP="0037367A">
      <w:pPr>
        <w:jc w:val="both"/>
        <w:rPr>
          <w:rFonts w:ascii="Times New Roman" w:hAnsi="Times New Roman" w:cs="Times New Roman"/>
          <w:sz w:val="24"/>
          <w:szCs w:val="24"/>
          <w:highlight w:val="yellow"/>
        </w:rPr>
      </w:pPr>
    </w:p>
    <w:p w14:paraId="1E3AAAFB"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3.10. Integrated Discussion: Why the Terminal is Feasible and Necessary</w:t>
      </w:r>
    </w:p>
    <w:p w14:paraId="4BBE12A9"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The integrated findings confirm that terminal feasibility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supported by: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xml:space="preserve">) centric corridor structure that naturally requires a formal node, (ii) recurring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mobility pressure that degrades LOS and amplifies disorder, (iii) land feasibility and controlled development direction (SKL Class D), and (iv) clear evidence of existing service demand (AKAP/AKDP/local). Most critically, the study shows that the terminal must be designed not merely as a building, but as a </w:t>
      </w:r>
      <w:r w:rsidRPr="0037367A">
        <w:rPr>
          <w:rFonts w:ascii="Times New Roman" w:hAnsi="Times New Roman" w:cs="Times New Roman"/>
          <w:b/>
          <w:bCs/>
          <w:sz w:val="24"/>
          <w:szCs w:val="24"/>
          <w:highlight w:val="yellow"/>
        </w:rPr>
        <w:t>mobility governance platform</w:t>
      </w:r>
      <w:r w:rsidRPr="0037367A">
        <w:rPr>
          <w:rFonts w:ascii="Times New Roman" w:hAnsi="Times New Roman" w:cs="Times New Roman"/>
          <w:sz w:val="24"/>
          <w:szCs w:val="24"/>
          <w:highlight w:val="yellow"/>
        </w:rPr>
        <w:t xml:space="preserve">: consolidating stopping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structuring feeder corridors, providing safe and comfortable passenger services, and gradually eliminating shadow terminals through a combination of facility attractiveness, enforcement, and operational restructuring.</w:t>
      </w:r>
    </w:p>
    <w:p w14:paraId="2A93641E" w14:textId="77777777" w:rsidR="0037367A" w:rsidRPr="00475836" w:rsidRDefault="0037367A" w:rsidP="00BE755B">
      <w:pPr>
        <w:jc w:val="both"/>
        <w:rPr>
          <w:rFonts w:ascii="Times New Roman" w:hAnsi="Times New Roman" w:cs="Times New Roman"/>
          <w:sz w:val="24"/>
          <w:szCs w:val="24"/>
          <w:highlight w:val="yellow"/>
        </w:rPr>
      </w:pPr>
    </w:p>
    <w:p w14:paraId="10D72C85"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lastRenderedPageBreak/>
        <w:t>IV. Conclusion and Recommendations (Revised – Copy/Paste Ready)</w:t>
      </w:r>
    </w:p>
    <w:p w14:paraId="29D39939" w14:textId="477865BF"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4.1 Conclusion</w:t>
      </w:r>
      <w:r w:rsidR="00B72593">
        <w:rPr>
          <w:rFonts w:ascii="Times New Roman" w:hAnsi="Times New Roman" w:cs="Times New Roman"/>
          <w:b/>
          <w:bCs/>
          <w:sz w:val="24"/>
          <w:szCs w:val="24"/>
          <w:highlight w:val="yellow"/>
        </w:rPr>
        <w:t>s</w:t>
      </w:r>
    </w:p>
    <w:p w14:paraId="35A9EE4F"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This study concludes that passenger terminal development in </w:t>
      </w:r>
      <w:proofErr w:type="spellStart"/>
      <w:r w:rsidRPr="00475836">
        <w:rPr>
          <w:rFonts w:ascii="Times New Roman" w:hAnsi="Times New Roman" w:cs="Times New Roman"/>
          <w:sz w:val="24"/>
          <w:szCs w:val="24"/>
          <w:highlight w:val="yellow"/>
        </w:rPr>
        <w:t>Doloksanggul</w:t>
      </w:r>
      <w:proofErr w:type="spellEnd"/>
      <w:r w:rsidRPr="00475836">
        <w:rPr>
          <w:rFonts w:ascii="Times New Roman" w:hAnsi="Times New Roman" w:cs="Times New Roman"/>
          <w:sz w:val="24"/>
          <w:szCs w:val="24"/>
          <w:highlight w:val="yellow"/>
        </w:rPr>
        <w:t xml:space="preserve"> is both </w:t>
      </w:r>
      <w:r w:rsidRPr="00475836">
        <w:rPr>
          <w:rFonts w:ascii="Times New Roman" w:hAnsi="Times New Roman" w:cs="Times New Roman"/>
          <w:b/>
          <w:bCs/>
          <w:sz w:val="24"/>
          <w:szCs w:val="24"/>
          <w:highlight w:val="yellow"/>
        </w:rPr>
        <w:t>necessary and feasible</w:t>
      </w:r>
      <w:r w:rsidRPr="00475836">
        <w:rPr>
          <w:rFonts w:ascii="Times New Roman" w:hAnsi="Times New Roman" w:cs="Times New Roman"/>
          <w:sz w:val="24"/>
          <w:szCs w:val="24"/>
          <w:highlight w:val="yellow"/>
        </w:rPr>
        <w:t xml:space="preserve"> based on integrated spatial, operational, and stakeholder evidence. First, the proposed terminal site provides sufficient land availability (</w:t>
      </w:r>
      <w:r w:rsidRPr="00475836">
        <w:rPr>
          <w:rFonts w:ascii="Times New Roman" w:hAnsi="Times New Roman" w:cs="Times New Roman"/>
          <w:b/>
          <w:bCs/>
          <w:sz w:val="24"/>
          <w:szCs w:val="24"/>
          <w:highlight w:val="yellow"/>
        </w:rPr>
        <w:t>31,555.81 m²</w:t>
      </w:r>
      <w:r w:rsidRPr="00475836">
        <w:rPr>
          <w:rFonts w:ascii="Times New Roman" w:hAnsi="Times New Roman" w:cs="Times New Roman"/>
          <w:sz w:val="24"/>
          <w:szCs w:val="24"/>
          <w:highlight w:val="yellow"/>
        </w:rPr>
        <w:t xml:space="preserve">) to accommodate functional terminal components (circulation, bays, parking, passenger facilities), although supporting infrastructure upgrades are required to ensure operational efficiency. Second, </w:t>
      </w:r>
      <w:proofErr w:type="spellStart"/>
      <w:r w:rsidRPr="00475836">
        <w:rPr>
          <w:rFonts w:ascii="Times New Roman" w:hAnsi="Times New Roman" w:cs="Times New Roman"/>
          <w:sz w:val="24"/>
          <w:szCs w:val="24"/>
          <w:highlight w:val="yellow"/>
        </w:rPr>
        <w:t>Doloksanggul’s</w:t>
      </w:r>
      <w:proofErr w:type="spellEnd"/>
      <w:r w:rsidRPr="00475836">
        <w:rPr>
          <w:rFonts w:ascii="Times New Roman" w:hAnsi="Times New Roman" w:cs="Times New Roman"/>
          <w:sz w:val="24"/>
          <w:szCs w:val="24"/>
          <w:highlight w:val="yellow"/>
        </w:rPr>
        <w:t xml:space="preserve"> </w:t>
      </w:r>
      <w:r w:rsidRPr="00475836">
        <w:rPr>
          <w:rFonts w:ascii="Times New Roman" w:hAnsi="Times New Roman" w:cs="Times New Roman"/>
          <w:b/>
          <w:bCs/>
          <w:sz w:val="24"/>
          <w:szCs w:val="24"/>
          <w:highlight w:val="yellow"/>
        </w:rPr>
        <w:t>centric movement structure</w:t>
      </w:r>
      <w:r w:rsidRPr="00475836">
        <w:rPr>
          <w:rFonts w:ascii="Times New Roman" w:hAnsi="Times New Roman" w:cs="Times New Roman"/>
          <w:sz w:val="24"/>
          <w:szCs w:val="24"/>
          <w:highlight w:val="yellow"/>
        </w:rPr>
        <w:t xml:space="preserve"> concentrates mobility along four primary corridors (</w:t>
      </w:r>
      <w:proofErr w:type="spellStart"/>
      <w:r w:rsidRPr="00475836">
        <w:rPr>
          <w:rFonts w:ascii="Times New Roman" w:hAnsi="Times New Roman" w:cs="Times New Roman"/>
          <w:sz w:val="24"/>
          <w:szCs w:val="24"/>
          <w:highlight w:val="yellow"/>
        </w:rPr>
        <w:t>Siliwangi</w:t>
      </w:r>
      <w:proofErr w:type="spellEnd"/>
      <w:r w:rsidRPr="00475836">
        <w:rPr>
          <w:rFonts w:ascii="Times New Roman" w:hAnsi="Times New Roman" w:cs="Times New Roman"/>
          <w:sz w:val="24"/>
          <w:szCs w:val="24"/>
          <w:highlight w:val="yellow"/>
        </w:rPr>
        <w:t xml:space="preserve">, </w:t>
      </w:r>
      <w:proofErr w:type="spellStart"/>
      <w:r w:rsidRPr="00475836">
        <w:rPr>
          <w:rFonts w:ascii="Times New Roman" w:hAnsi="Times New Roman" w:cs="Times New Roman"/>
          <w:sz w:val="24"/>
          <w:szCs w:val="24"/>
          <w:highlight w:val="yellow"/>
        </w:rPr>
        <w:t>Letkol</w:t>
      </w:r>
      <w:proofErr w:type="spellEnd"/>
      <w:r w:rsidRPr="00475836">
        <w:rPr>
          <w:rFonts w:ascii="Times New Roman" w:hAnsi="Times New Roman" w:cs="Times New Roman"/>
          <w:sz w:val="24"/>
          <w:szCs w:val="24"/>
          <w:highlight w:val="yellow"/>
        </w:rPr>
        <w:t xml:space="preserve"> G.A. </w:t>
      </w:r>
      <w:proofErr w:type="spellStart"/>
      <w:r w:rsidRPr="00475836">
        <w:rPr>
          <w:rFonts w:ascii="Times New Roman" w:hAnsi="Times New Roman" w:cs="Times New Roman"/>
          <w:sz w:val="24"/>
          <w:szCs w:val="24"/>
          <w:highlight w:val="yellow"/>
        </w:rPr>
        <w:t>Manullang</w:t>
      </w:r>
      <w:proofErr w:type="spellEnd"/>
      <w:r w:rsidRPr="00475836">
        <w:rPr>
          <w:rFonts w:ascii="Times New Roman" w:hAnsi="Times New Roman" w:cs="Times New Roman"/>
          <w:sz w:val="24"/>
          <w:szCs w:val="24"/>
          <w:highlight w:val="yellow"/>
        </w:rPr>
        <w:t xml:space="preserve">, Merdeka, and </w:t>
      </w:r>
      <w:proofErr w:type="spellStart"/>
      <w:r w:rsidRPr="00475836">
        <w:rPr>
          <w:rFonts w:ascii="Times New Roman" w:hAnsi="Times New Roman" w:cs="Times New Roman"/>
          <w:sz w:val="24"/>
          <w:szCs w:val="24"/>
          <w:highlight w:val="yellow"/>
        </w:rPr>
        <w:t>Sisingamangaraja</w:t>
      </w:r>
      <w:proofErr w:type="spellEnd"/>
      <w:r w:rsidRPr="00475836">
        <w:rPr>
          <w:rFonts w:ascii="Times New Roman" w:hAnsi="Times New Roman" w:cs="Times New Roman"/>
          <w:sz w:val="24"/>
          <w:szCs w:val="24"/>
          <w:highlight w:val="yellow"/>
        </w:rPr>
        <w:t xml:space="preserve">), and the current dominance of </w:t>
      </w:r>
      <w:r w:rsidRPr="00475836">
        <w:rPr>
          <w:rFonts w:ascii="Times New Roman" w:hAnsi="Times New Roman" w:cs="Times New Roman"/>
          <w:b/>
          <w:bCs/>
          <w:sz w:val="24"/>
          <w:szCs w:val="24"/>
          <w:highlight w:val="yellow"/>
        </w:rPr>
        <w:t>shadow-terminal practices</w:t>
      </w:r>
      <w:r w:rsidRPr="00475836">
        <w:rPr>
          <w:rFonts w:ascii="Times New Roman" w:hAnsi="Times New Roman" w:cs="Times New Roman"/>
          <w:sz w:val="24"/>
          <w:szCs w:val="24"/>
          <w:highlight w:val="yellow"/>
        </w:rPr>
        <w:t xml:space="preserve"> along these corridors disrupts traffic performance and increases congestion risk, particularly near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w:t>
      </w:r>
    </w:p>
    <w:p w14:paraId="532814EE"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Third, traffic-demand results indicate that peak-hour volume is projected to increase by approximately </w:t>
      </w:r>
      <w:r w:rsidRPr="00475836">
        <w:rPr>
          <w:rFonts w:ascii="Times New Roman" w:hAnsi="Times New Roman" w:cs="Times New Roman"/>
          <w:b/>
          <w:bCs/>
          <w:sz w:val="24"/>
          <w:szCs w:val="24"/>
          <w:highlight w:val="yellow"/>
        </w:rPr>
        <w:t>11.8% over the next five years</w:t>
      </w:r>
      <w:r w:rsidRPr="00475836">
        <w:rPr>
          <w:rFonts w:ascii="Times New Roman" w:hAnsi="Times New Roman" w:cs="Times New Roman"/>
          <w:sz w:val="24"/>
          <w:szCs w:val="24"/>
          <w:highlight w:val="yellow"/>
        </w:rPr>
        <w:t xml:space="preserve">, implying that the current dispersed stopping pattern will become increasingly unsustainable without a regulated service node. Fourth, stakeholder perceptions reinforce the operational urgency: </w:t>
      </w:r>
      <w:r w:rsidRPr="00475836">
        <w:rPr>
          <w:rFonts w:ascii="Times New Roman" w:hAnsi="Times New Roman" w:cs="Times New Roman"/>
          <w:b/>
          <w:bCs/>
          <w:sz w:val="24"/>
          <w:szCs w:val="24"/>
          <w:highlight w:val="yellow"/>
        </w:rPr>
        <w:t>70% of users</w:t>
      </w:r>
      <w:r w:rsidRPr="00475836">
        <w:rPr>
          <w:rFonts w:ascii="Times New Roman" w:hAnsi="Times New Roman" w:cs="Times New Roman"/>
          <w:sz w:val="24"/>
          <w:szCs w:val="24"/>
          <w:highlight w:val="yellow"/>
        </w:rPr>
        <w:t xml:space="preserve"> report discomfort with shadow-terminal conditions and demand basic service facilities (waiting areas, toilets, information boards), while </w:t>
      </w:r>
      <w:r w:rsidRPr="00475836">
        <w:rPr>
          <w:rFonts w:ascii="Times New Roman" w:hAnsi="Times New Roman" w:cs="Times New Roman"/>
          <w:b/>
          <w:bCs/>
          <w:sz w:val="24"/>
          <w:szCs w:val="24"/>
          <w:highlight w:val="yellow"/>
        </w:rPr>
        <w:t>85% of drivers</w:t>
      </w:r>
      <w:r w:rsidRPr="00475836">
        <w:rPr>
          <w:rFonts w:ascii="Times New Roman" w:hAnsi="Times New Roman" w:cs="Times New Roman"/>
          <w:sz w:val="24"/>
          <w:szCs w:val="24"/>
          <w:highlight w:val="yellow"/>
        </w:rPr>
        <w:t xml:space="preserve"> acknowledge that informal stopping reduces operational efficiency due to the absence of clear rules, bay allocation, and transfer order. Finally, the land capability assessment indicates </w:t>
      </w:r>
      <w:r w:rsidRPr="00475836">
        <w:rPr>
          <w:rFonts w:ascii="Times New Roman" w:hAnsi="Times New Roman" w:cs="Times New Roman"/>
          <w:b/>
          <w:bCs/>
          <w:sz w:val="24"/>
          <w:szCs w:val="24"/>
          <w:highlight w:val="yellow"/>
        </w:rPr>
        <w:t>Total SKL = 100 (Class D; moderately high development category)</w:t>
      </w:r>
      <w:r w:rsidRPr="00475836">
        <w:rPr>
          <w:rFonts w:ascii="Times New Roman" w:hAnsi="Times New Roman" w:cs="Times New Roman"/>
          <w:sz w:val="24"/>
          <w:szCs w:val="24"/>
          <w:highlight w:val="yellow"/>
        </w:rPr>
        <w:t xml:space="preserve">, suggesting the proposed site is physically supportive for development under controlled design and mitigation measures. Overall, the terminal is required not merely as a physical facility, but as a </w:t>
      </w:r>
      <w:r w:rsidRPr="00475836">
        <w:rPr>
          <w:rFonts w:ascii="Times New Roman" w:hAnsi="Times New Roman" w:cs="Times New Roman"/>
          <w:b/>
          <w:bCs/>
          <w:sz w:val="24"/>
          <w:szCs w:val="24"/>
          <w:highlight w:val="yellow"/>
        </w:rPr>
        <w:t>mobility governance instrument</w:t>
      </w:r>
      <w:r w:rsidRPr="00475836">
        <w:rPr>
          <w:rFonts w:ascii="Times New Roman" w:hAnsi="Times New Roman" w:cs="Times New Roman"/>
          <w:sz w:val="24"/>
          <w:szCs w:val="24"/>
          <w:highlight w:val="yellow"/>
        </w:rPr>
        <w:t xml:space="preserve"> to consolidate stopping points, regulate circulation, improve user comfort, and gradually eliminate shadow terminals—especially during the mobility peaks generated by the </w:t>
      </w:r>
      <w:r w:rsidRPr="00475836">
        <w:rPr>
          <w:rFonts w:ascii="Times New Roman" w:hAnsi="Times New Roman" w:cs="Times New Roman"/>
          <w:b/>
          <w:bCs/>
          <w:sz w:val="24"/>
          <w:szCs w:val="24"/>
          <w:highlight w:val="yellow"/>
        </w:rPr>
        <w:t xml:space="preserve">Friday </w:t>
      </w:r>
      <w:proofErr w:type="spellStart"/>
      <w:r w:rsidRPr="00475836">
        <w:rPr>
          <w:rFonts w:ascii="Times New Roman" w:hAnsi="Times New Roman" w:cs="Times New Roman"/>
          <w:b/>
          <w:bCs/>
          <w:sz w:val="24"/>
          <w:szCs w:val="24"/>
          <w:highlight w:val="yellow"/>
        </w:rPr>
        <w:t>onan</w:t>
      </w:r>
      <w:proofErr w:type="spellEnd"/>
      <w:r w:rsidRPr="00475836">
        <w:rPr>
          <w:rFonts w:ascii="Times New Roman" w:hAnsi="Times New Roman" w:cs="Times New Roman"/>
          <w:b/>
          <w:bCs/>
          <w:sz w:val="24"/>
          <w:szCs w:val="24"/>
          <w:highlight w:val="yellow"/>
        </w:rPr>
        <w:t xml:space="preserve"> market</w:t>
      </w:r>
      <w:r w:rsidRPr="00475836">
        <w:rPr>
          <w:rFonts w:ascii="Times New Roman" w:hAnsi="Times New Roman" w:cs="Times New Roman"/>
          <w:sz w:val="24"/>
          <w:szCs w:val="24"/>
          <w:highlight w:val="yellow"/>
        </w:rPr>
        <w:t>.</w:t>
      </w:r>
    </w:p>
    <w:p w14:paraId="43B7CC32" w14:textId="439DC928" w:rsidR="00475836" w:rsidRPr="00475836" w:rsidRDefault="00475836" w:rsidP="00475836">
      <w:pPr>
        <w:jc w:val="both"/>
        <w:rPr>
          <w:rFonts w:ascii="Times New Roman" w:hAnsi="Times New Roman" w:cs="Times New Roman"/>
          <w:sz w:val="24"/>
          <w:szCs w:val="24"/>
          <w:highlight w:val="yellow"/>
        </w:rPr>
      </w:pPr>
    </w:p>
    <w:p w14:paraId="7D217CEB"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4.2 Recommendations</w:t>
      </w:r>
    </w:p>
    <w:p w14:paraId="08C22CA6"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To ensure that terminal development produces measurable improvements in mobility order and local economic accessibility, the following recommendations are proposed:</w:t>
      </w:r>
    </w:p>
    <w:p w14:paraId="1C3797BA"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Improve access and supporting infrastructure (pre-operation priority).</w:t>
      </w:r>
      <w:r w:rsidRPr="00475836">
        <w:rPr>
          <w:rFonts w:ascii="Times New Roman" w:hAnsi="Times New Roman" w:cs="Times New Roman"/>
          <w:sz w:val="24"/>
          <w:szCs w:val="24"/>
          <w:highlight w:val="yellow"/>
        </w:rPr>
        <w:br/>
        <w:t>Upgrade the access geometry and supporting utilities around the terminal site, including drainage, pavement quality, signage, lighting, and internal circulation design (entry–exit separation, pedestrian safety, and bay layout). This is essential to prevent new bottlenecks and to ensure that terminal operations do not spill over onto the road body.</w:t>
      </w:r>
    </w:p>
    <w:p w14:paraId="1BC46F9F"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Adopt a phased operational migration strategy from shadow terminals to the formal terminal.</w:t>
      </w:r>
      <w:r w:rsidRPr="00475836">
        <w:rPr>
          <w:rFonts w:ascii="Times New Roman" w:hAnsi="Times New Roman" w:cs="Times New Roman"/>
          <w:sz w:val="24"/>
          <w:szCs w:val="24"/>
          <w:highlight w:val="yellow"/>
        </w:rPr>
        <w:br/>
        <w:t>Implement migration in stages with clear milestones: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xml:space="preserve">) designation of official stopping points and temporary holding areas, (ii) gradual restriction of roadside boarding/alighting on the four main corridors, and (iii) full consolidation of pools and boarding activities into terminal-based dispatch. This phased approach reduces resistance and supports gradual </w:t>
      </w:r>
      <w:proofErr w:type="spellStart"/>
      <w:r w:rsidRPr="00475836">
        <w:rPr>
          <w:rFonts w:ascii="Times New Roman" w:hAnsi="Times New Roman" w:cs="Times New Roman"/>
          <w:sz w:val="24"/>
          <w:szCs w:val="24"/>
          <w:highlight w:val="yellow"/>
        </w:rPr>
        <w:t>behavioral</w:t>
      </w:r>
      <w:proofErr w:type="spellEnd"/>
      <w:r w:rsidRPr="00475836">
        <w:rPr>
          <w:rFonts w:ascii="Times New Roman" w:hAnsi="Times New Roman" w:cs="Times New Roman"/>
          <w:sz w:val="24"/>
          <w:szCs w:val="24"/>
          <w:highlight w:val="yellow"/>
        </w:rPr>
        <w:t xml:space="preserve"> change among drivers and users.</w:t>
      </w:r>
    </w:p>
    <w:p w14:paraId="59FAF150"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Strengthen governance and enforcement through cross-agency coordination.</w:t>
      </w:r>
      <w:r w:rsidRPr="00475836">
        <w:rPr>
          <w:rFonts w:ascii="Times New Roman" w:hAnsi="Times New Roman" w:cs="Times New Roman"/>
          <w:sz w:val="24"/>
          <w:szCs w:val="24"/>
          <w:highlight w:val="yellow"/>
        </w:rPr>
        <w:br/>
        <w:t xml:space="preserve">Establish an integrated supervision mechanism involving transport authorities, local </w:t>
      </w:r>
      <w:r w:rsidRPr="00475836">
        <w:rPr>
          <w:rFonts w:ascii="Times New Roman" w:hAnsi="Times New Roman" w:cs="Times New Roman"/>
          <w:sz w:val="24"/>
          <w:szCs w:val="24"/>
          <w:highlight w:val="yellow"/>
        </w:rPr>
        <w:lastRenderedPageBreak/>
        <w:t xml:space="preserve">government, and enforcement units to regulate stopping </w:t>
      </w:r>
      <w:proofErr w:type="spellStart"/>
      <w:r w:rsidRPr="00475836">
        <w:rPr>
          <w:rFonts w:ascii="Times New Roman" w:hAnsi="Times New Roman" w:cs="Times New Roman"/>
          <w:sz w:val="24"/>
          <w:szCs w:val="24"/>
          <w:highlight w:val="yellow"/>
        </w:rPr>
        <w:t>behavior</w:t>
      </w:r>
      <w:proofErr w:type="spellEnd"/>
      <w:r w:rsidRPr="00475836">
        <w:rPr>
          <w:rFonts w:ascii="Times New Roman" w:hAnsi="Times New Roman" w:cs="Times New Roman"/>
          <w:sz w:val="24"/>
          <w:szCs w:val="24"/>
          <w:highlight w:val="yellow"/>
        </w:rPr>
        <w:t xml:space="preserve">, bay discipline, and parking management. Enforcement should be targeted during peak periods—especially Friday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—because this is when the shadow-terminal pattern intensifies and corridor capacity becomes most vulnerable.</w:t>
      </w:r>
    </w:p>
    <w:p w14:paraId="0B088001"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Enhance terminal service quality to shift user preference from “roadside convenience” to “terminal comfort.”</w:t>
      </w:r>
      <w:r w:rsidRPr="00475836">
        <w:rPr>
          <w:rFonts w:ascii="Times New Roman" w:hAnsi="Times New Roman" w:cs="Times New Roman"/>
          <w:sz w:val="24"/>
          <w:szCs w:val="24"/>
          <w:highlight w:val="yellow"/>
        </w:rPr>
        <w:br/>
        <w:t xml:space="preserve">Provide minimum facilities that users explicitly demand: comfortable waiting areas, toilets, clear information boards, and safe boarding zones. Service quality is a key </w:t>
      </w:r>
      <w:proofErr w:type="spellStart"/>
      <w:r w:rsidRPr="00475836">
        <w:rPr>
          <w:rFonts w:ascii="Times New Roman" w:hAnsi="Times New Roman" w:cs="Times New Roman"/>
          <w:sz w:val="24"/>
          <w:szCs w:val="24"/>
          <w:highlight w:val="yellow"/>
        </w:rPr>
        <w:t>behavioral</w:t>
      </w:r>
      <w:proofErr w:type="spellEnd"/>
      <w:r w:rsidRPr="00475836">
        <w:rPr>
          <w:rFonts w:ascii="Times New Roman" w:hAnsi="Times New Roman" w:cs="Times New Roman"/>
          <w:sz w:val="24"/>
          <w:szCs w:val="24"/>
          <w:highlight w:val="yellow"/>
        </w:rPr>
        <w:t xml:space="preserve"> driver; without visible improvements, users may continue to prefer the nearest informal stopping points.</w:t>
      </w:r>
    </w:p>
    <w:p w14:paraId="60235617"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Use information technology to manage schedules and route discipline.</w:t>
      </w:r>
      <w:r w:rsidRPr="00475836">
        <w:rPr>
          <w:rFonts w:ascii="Times New Roman" w:hAnsi="Times New Roman" w:cs="Times New Roman"/>
          <w:sz w:val="24"/>
          <w:szCs w:val="24"/>
          <w:highlight w:val="yellow"/>
        </w:rPr>
        <w:br/>
        <w:t>Introduce simple operational tools (dispatch schedules, bay allocation, and route information) to increase predictability and reduce roadside competition among drivers. Terminal-based dispatch should be supported by clear departure slots and incentives for compliance.</w:t>
      </w:r>
    </w:p>
    <w:p w14:paraId="46AAA53E"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Integrate terminal operations with local economic activity and the Friday </w:t>
      </w:r>
      <w:proofErr w:type="spellStart"/>
      <w:r w:rsidRPr="00475836">
        <w:rPr>
          <w:rFonts w:ascii="Times New Roman" w:hAnsi="Times New Roman" w:cs="Times New Roman"/>
          <w:b/>
          <w:bCs/>
          <w:sz w:val="24"/>
          <w:szCs w:val="24"/>
          <w:highlight w:val="yellow"/>
        </w:rPr>
        <w:t>onan</w:t>
      </w:r>
      <w:proofErr w:type="spellEnd"/>
      <w:r w:rsidRPr="00475836">
        <w:rPr>
          <w:rFonts w:ascii="Times New Roman" w:hAnsi="Times New Roman" w:cs="Times New Roman"/>
          <w:b/>
          <w:bCs/>
          <w:sz w:val="24"/>
          <w:szCs w:val="24"/>
          <w:highlight w:val="yellow"/>
        </w:rPr>
        <w:t xml:space="preserve"> mobility pattern.</w:t>
      </w:r>
      <w:r w:rsidRPr="00475836">
        <w:rPr>
          <w:rFonts w:ascii="Times New Roman" w:hAnsi="Times New Roman" w:cs="Times New Roman"/>
          <w:sz w:val="24"/>
          <w:szCs w:val="24"/>
          <w:highlight w:val="yellow"/>
        </w:rPr>
        <w:br/>
        <w:t xml:space="preserve">Design terminal access and circulation to support market-related demand peaks, including designated drop-off zones, safe pedestrian connectivity to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 and regulated loading/unloading spaces. This strengthens the terminal’s role as both a mobility node and a local economic catalyst by reducing time-costs and improving accessibility for MSMEs and traders.</w:t>
      </w:r>
    </w:p>
    <w:p w14:paraId="1B922327"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Future research and monitoring (post-implementation).</w:t>
      </w:r>
      <w:r w:rsidRPr="00475836">
        <w:rPr>
          <w:rFonts w:ascii="Times New Roman" w:hAnsi="Times New Roman" w:cs="Times New Roman"/>
          <w:sz w:val="24"/>
          <w:szCs w:val="24"/>
          <w:highlight w:val="yellow"/>
        </w:rPr>
        <w:br/>
        <w:t>Future studies should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compare multiple candidate sites using standardized multi-criteria evaluation, (ii) quantify changes in corridor performance after terminal implementation (VCR/LOS before–after), and (iii) monitor compliance and user satisfaction to verify whether shadow-terminal activity declines and service reliability improves over time.</w:t>
      </w:r>
    </w:p>
    <w:p w14:paraId="2E1AC13E" w14:textId="0851D229" w:rsidR="00BE755B" w:rsidRPr="00475836" w:rsidRDefault="00BE755B" w:rsidP="00BE755B">
      <w:pPr>
        <w:jc w:val="both"/>
        <w:rPr>
          <w:rFonts w:ascii="Times New Roman" w:hAnsi="Times New Roman" w:cs="Times New Roman"/>
          <w:sz w:val="24"/>
          <w:szCs w:val="24"/>
        </w:rPr>
      </w:pPr>
    </w:p>
    <w:p w14:paraId="5374208B" w14:textId="70E3852B" w:rsidR="00BE755B" w:rsidRPr="00BE755B" w:rsidRDefault="00BE755B" w:rsidP="00BE755B">
      <w:pPr>
        <w:jc w:val="both"/>
        <w:rPr>
          <w:rFonts w:ascii="Times New Roman" w:hAnsi="Times New Roman" w:cs="Times New Roman"/>
          <w:sz w:val="24"/>
          <w:szCs w:val="24"/>
        </w:rPr>
      </w:pPr>
    </w:p>
    <w:p w14:paraId="2911571A" w14:textId="77777777" w:rsidR="00BE755B" w:rsidRPr="00BE755B" w:rsidRDefault="00BE755B" w:rsidP="00BE755B">
      <w:pPr>
        <w:jc w:val="both"/>
        <w:rPr>
          <w:rFonts w:ascii="Times New Roman" w:hAnsi="Times New Roman" w:cs="Times New Roman"/>
          <w:b/>
          <w:bCs/>
          <w:sz w:val="24"/>
          <w:szCs w:val="24"/>
        </w:rPr>
      </w:pPr>
      <w:r w:rsidRPr="00BE755B">
        <w:rPr>
          <w:rFonts w:ascii="Times New Roman" w:hAnsi="Times New Roman" w:cs="Times New Roman"/>
          <w:b/>
          <w:bCs/>
          <w:sz w:val="24"/>
          <w:szCs w:val="24"/>
        </w:rPr>
        <w:t>References</w:t>
      </w:r>
    </w:p>
    <w:p w14:paraId="6EC052F0" w14:textId="5C98AC14" w:rsidR="001553CB" w:rsidRPr="001553CB" w:rsidRDefault="001553CB" w:rsidP="00BE755B">
      <w:pPr>
        <w:jc w:val="both"/>
        <w:rPr>
          <w:rFonts w:ascii="Times New Roman" w:hAnsi="Times New Roman" w:cs="Times New Roman"/>
          <w:sz w:val="24"/>
          <w:szCs w:val="24"/>
          <w:lang w:val="fr-FR"/>
        </w:rPr>
      </w:pPr>
      <w:proofErr w:type="spellStart"/>
      <w:r w:rsidRPr="001553CB">
        <w:rPr>
          <w:rFonts w:ascii="Times New Roman" w:hAnsi="Times New Roman" w:cs="Times New Roman"/>
          <w:sz w:val="24"/>
          <w:szCs w:val="24"/>
        </w:rPr>
        <w:t>Chanieabate</w:t>
      </w:r>
      <w:proofErr w:type="spellEnd"/>
      <w:r w:rsidRPr="001553CB">
        <w:rPr>
          <w:rFonts w:ascii="Times New Roman" w:hAnsi="Times New Roman" w:cs="Times New Roman"/>
          <w:sz w:val="24"/>
          <w:szCs w:val="24"/>
        </w:rPr>
        <w:t xml:space="preserve">, M., He, H., Guo, C., Abrahamgeremew, B., &amp; Huang, Y. (2023). Examining the Relationship between Transportation Infrastructure, Urbanization Level and Rural-Urban Income Gap in China. Sustainability, 15(10), 8410. </w:t>
      </w:r>
      <w:hyperlink r:id="rId11" w:history="1">
        <w:r w:rsidRPr="001553CB">
          <w:rPr>
            <w:rStyle w:val="Hyperlink"/>
            <w:rFonts w:ascii="Times New Roman" w:hAnsi="Times New Roman" w:cs="Times New Roman"/>
            <w:sz w:val="24"/>
            <w:szCs w:val="24"/>
            <w:lang w:val="fr-FR"/>
          </w:rPr>
          <w:t>https://doi.org/10.3390/su15108410</w:t>
        </w:r>
      </w:hyperlink>
    </w:p>
    <w:p w14:paraId="094986A9" w14:textId="5786F05F" w:rsidR="00180E37" w:rsidRDefault="00180E37" w:rsidP="00BE755B">
      <w:pPr>
        <w:jc w:val="both"/>
        <w:rPr>
          <w:rFonts w:ascii="Times New Roman" w:hAnsi="Times New Roman" w:cs="Times New Roman"/>
          <w:sz w:val="24"/>
          <w:szCs w:val="24"/>
        </w:rPr>
      </w:pPr>
      <w:r w:rsidRPr="001553CB">
        <w:rPr>
          <w:rFonts w:ascii="Times New Roman" w:hAnsi="Times New Roman" w:cs="Times New Roman"/>
          <w:sz w:val="24"/>
          <w:szCs w:val="24"/>
          <w:lang w:val="fr-FR"/>
        </w:rPr>
        <w:t xml:space="preserve">Purba, W. B., Nasution, </w:t>
      </w:r>
      <w:proofErr w:type="gramStart"/>
      <w:r w:rsidRPr="001553CB">
        <w:rPr>
          <w:rFonts w:ascii="Times New Roman" w:hAnsi="Times New Roman" w:cs="Times New Roman"/>
          <w:sz w:val="24"/>
          <w:szCs w:val="24"/>
          <w:lang w:val="fr-FR"/>
        </w:rPr>
        <w:t>Z. .</w:t>
      </w:r>
      <w:proofErr w:type="gramEnd"/>
      <w:r w:rsidRPr="001553CB">
        <w:rPr>
          <w:rFonts w:ascii="Times New Roman" w:hAnsi="Times New Roman" w:cs="Times New Roman"/>
          <w:sz w:val="24"/>
          <w:szCs w:val="24"/>
          <w:lang w:val="fr-FR"/>
        </w:rPr>
        <w:t xml:space="preserve">, &amp; Lubis, S. N. (2025). </w:t>
      </w:r>
      <w:r w:rsidRPr="00180E37">
        <w:rPr>
          <w:rFonts w:ascii="Times New Roman" w:hAnsi="Times New Roman" w:cs="Times New Roman"/>
          <w:sz w:val="24"/>
          <w:szCs w:val="24"/>
        </w:rPr>
        <w:t>Analysis of Determinants in the Development of the Medan-</w:t>
      </w:r>
      <w:proofErr w:type="spellStart"/>
      <w:r w:rsidRPr="00180E37">
        <w:rPr>
          <w:rFonts w:ascii="Times New Roman" w:hAnsi="Times New Roman" w:cs="Times New Roman"/>
          <w:sz w:val="24"/>
          <w:szCs w:val="24"/>
        </w:rPr>
        <w:t>Binjai</w:t>
      </w:r>
      <w:proofErr w:type="spellEnd"/>
      <w:r w:rsidRPr="00180E37">
        <w:rPr>
          <w:rFonts w:ascii="Times New Roman" w:hAnsi="Times New Roman" w:cs="Times New Roman"/>
          <w:sz w:val="24"/>
          <w:szCs w:val="24"/>
        </w:rPr>
        <w:t xml:space="preserve"> Elevated Railway and Its Contribution to Regional Development: English. </w:t>
      </w:r>
      <w:r w:rsidRPr="00180E37">
        <w:rPr>
          <w:rFonts w:ascii="Times New Roman" w:hAnsi="Times New Roman" w:cs="Times New Roman"/>
          <w:i/>
          <w:iCs/>
          <w:sz w:val="24"/>
          <w:szCs w:val="24"/>
        </w:rPr>
        <w:t>Asian Multidisciplinary Research Journal of Economy and Learning</w:t>
      </w:r>
      <w:r w:rsidRPr="00180E37">
        <w:rPr>
          <w:rFonts w:ascii="Times New Roman" w:hAnsi="Times New Roman" w:cs="Times New Roman"/>
          <w:sz w:val="24"/>
          <w:szCs w:val="24"/>
        </w:rPr>
        <w:t>, </w:t>
      </w:r>
      <w:r w:rsidRPr="00180E37">
        <w:rPr>
          <w:rFonts w:ascii="Times New Roman" w:hAnsi="Times New Roman" w:cs="Times New Roman"/>
          <w:i/>
          <w:iCs/>
          <w:sz w:val="24"/>
          <w:szCs w:val="24"/>
        </w:rPr>
        <w:t>2</w:t>
      </w:r>
      <w:r w:rsidRPr="00180E37">
        <w:rPr>
          <w:rFonts w:ascii="Times New Roman" w:hAnsi="Times New Roman" w:cs="Times New Roman"/>
          <w:sz w:val="24"/>
          <w:szCs w:val="24"/>
        </w:rPr>
        <w:t>(1), 01-09. </w:t>
      </w:r>
      <w:hyperlink r:id="rId12" w:history="1">
        <w:r w:rsidRPr="00180E37">
          <w:rPr>
            <w:rStyle w:val="Hyperlink"/>
            <w:rFonts w:ascii="Times New Roman" w:hAnsi="Times New Roman" w:cs="Times New Roman"/>
            <w:sz w:val="24"/>
            <w:szCs w:val="24"/>
          </w:rPr>
          <w:t>https://doi.org/10.70471/w4z68x41</w:t>
        </w:r>
      </w:hyperlink>
    </w:p>
    <w:p w14:paraId="6B039F15" w14:textId="30AACE62" w:rsidR="001553CB" w:rsidRPr="001553CB" w:rsidRDefault="001553CB" w:rsidP="00BE755B">
      <w:pPr>
        <w:jc w:val="both"/>
        <w:rPr>
          <w:rFonts w:ascii="Times New Roman" w:hAnsi="Times New Roman" w:cs="Times New Roman"/>
          <w:sz w:val="24"/>
          <w:szCs w:val="24"/>
          <w:lang w:val="en-IN"/>
        </w:rPr>
      </w:pPr>
      <w:r w:rsidRPr="001553CB">
        <w:rPr>
          <w:rFonts w:ascii="Times New Roman" w:hAnsi="Times New Roman" w:cs="Times New Roman"/>
          <w:sz w:val="24"/>
          <w:szCs w:val="24"/>
          <w:lang w:val="pt-BR"/>
        </w:rPr>
        <w:t xml:space="preserve">Oliveira, L. K. d., Oliveira, I. K. d., França, J. G. d. C. B., Balieiro, G. W. N., Cardoso, J. F., Bogo, T., Bogo, D., &amp; Littig, M. A. (2022). </w:t>
      </w:r>
      <w:r w:rsidRPr="001553CB">
        <w:rPr>
          <w:rFonts w:ascii="Times New Roman" w:hAnsi="Times New Roman" w:cs="Times New Roman"/>
          <w:sz w:val="24"/>
          <w:szCs w:val="24"/>
          <w:lang w:val="en-IN"/>
        </w:rPr>
        <w:t xml:space="preserve">Integrating Freight and Public Transport Terminals </w:t>
      </w:r>
      <w:r w:rsidRPr="001553CB">
        <w:rPr>
          <w:rFonts w:ascii="Times New Roman" w:hAnsi="Times New Roman" w:cs="Times New Roman"/>
          <w:sz w:val="24"/>
          <w:szCs w:val="24"/>
          <w:lang w:val="en-IN"/>
        </w:rPr>
        <w:lastRenderedPageBreak/>
        <w:t xml:space="preserve">Infrastructure by Locating Lockers: Analysing a Feasible Solution for a Medium-Sized Brazilian Cities. </w:t>
      </w:r>
      <w:r w:rsidRPr="001553CB">
        <w:rPr>
          <w:rFonts w:ascii="Times New Roman" w:hAnsi="Times New Roman" w:cs="Times New Roman"/>
          <w:sz w:val="24"/>
          <w:szCs w:val="24"/>
          <w:lang w:val="pt-BR"/>
        </w:rPr>
        <w:t xml:space="preserve">Sustainability, 14(17), 10853. </w:t>
      </w:r>
      <w:r>
        <w:rPr>
          <w:rFonts w:ascii="Times New Roman" w:hAnsi="Times New Roman" w:cs="Times New Roman"/>
          <w:sz w:val="24"/>
          <w:szCs w:val="24"/>
          <w:lang w:val="pt-BR"/>
        </w:rPr>
        <w:fldChar w:fldCharType="begin"/>
      </w:r>
      <w:r>
        <w:rPr>
          <w:rFonts w:ascii="Times New Roman" w:hAnsi="Times New Roman" w:cs="Times New Roman"/>
          <w:sz w:val="24"/>
          <w:szCs w:val="24"/>
          <w:lang w:val="pt-BR"/>
        </w:rPr>
        <w:instrText xml:space="preserve"> HYPERLINK "</w:instrText>
      </w:r>
      <w:r w:rsidRPr="001553CB">
        <w:rPr>
          <w:rFonts w:ascii="Times New Roman" w:hAnsi="Times New Roman" w:cs="Times New Roman"/>
          <w:sz w:val="24"/>
          <w:szCs w:val="24"/>
          <w:lang w:val="pt-BR"/>
        </w:rPr>
        <w:instrText>https://doi.org/10.3390/su141710853</w:instrText>
      </w:r>
      <w:r>
        <w:rPr>
          <w:rFonts w:ascii="Times New Roman" w:hAnsi="Times New Roman" w:cs="Times New Roman"/>
          <w:sz w:val="24"/>
          <w:szCs w:val="24"/>
          <w:lang w:val="pt-BR"/>
        </w:rPr>
        <w:instrText xml:space="preserve">" </w:instrText>
      </w:r>
      <w:r>
        <w:rPr>
          <w:rFonts w:ascii="Times New Roman" w:hAnsi="Times New Roman" w:cs="Times New Roman"/>
          <w:sz w:val="24"/>
          <w:szCs w:val="24"/>
          <w:lang w:val="pt-BR"/>
        </w:rPr>
        <w:fldChar w:fldCharType="separate"/>
      </w:r>
      <w:r w:rsidRPr="001553CB">
        <w:rPr>
          <w:rStyle w:val="Hyperlink"/>
          <w:rFonts w:ascii="Times New Roman" w:hAnsi="Times New Roman" w:cs="Times New Roman"/>
          <w:sz w:val="24"/>
          <w:szCs w:val="24"/>
          <w:lang w:val="en-IN"/>
        </w:rPr>
        <w:t>https://doi.org/10.3390/su141710853</w:t>
      </w:r>
      <w:r>
        <w:rPr>
          <w:rFonts w:ascii="Times New Roman" w:hAnsi="Times New Roman" w:cs="Times New Roman"/>
          <w:sz w:val="24"/>
          <w:szCs w:val="24"/>
          <w:lang w:val="pt-BR"/>
        </w:rPr>
        <w:fldChar w:fldCharType="end"/>
      </w:r>
    </w:p>
    <w:p w14:paraId="7E1391D8" w14:textId="4AECBA71" w:rsidR="001553CB" w:rsidRPr="001553CB" w:rsidRDefault="001553CB" w:rsidP="00BE755B">
      <w:pPr>
        <w:jc w:val="both"/>
        <w:rPr>
          <w:rFonts w:ascii="Times New Roman" w:hAnsi="Times New Roman" w:cs="Times New Roman"/>
          <w:sz w:val="24"/>
          <w:szCs w:val="24"/>
          <w:lang w:val="pt-BR"/>
        </w:rPr>
      </w:pPr>
      <w:r w:rsidRPr="001553CB">
        <w:rPr>
          <w:rFonts w:ascii="Times New Roman" w:hAnsi="Times New Roman" w:cs="Times New Roman"/>
          <w:sz w:val="24"/>
          <w:szCs w:val="24"/>
        </w:rPr>
        <w:t xml:space="preserve">Afrin, T., &amp; Yodo, N. (2020). A Survey of Road Traffic Congestion Measures towards a Sustainable and Resilient Transportation System. Sustainability, 12(11), 4660. </w:t>
      </w:r>
      <w:hyperlink r:id="rId13" w:history="1">
        <w:r w:rsidRPr="001553CB">
          <w:rPr>
            <w:rStyle w:val="Hyperlink"/>
            <w:rFonts w:ascii="Times New Roman" w:hAnsi="Times New Roman" w:cs="Times New Roman"/>
            <w:sz w:val="24"/>
            <w:szCs w:val="24"/>
            <w:lang w:val="pt-BR"/>
          </w:rPr>
          <w:t>https://doi.org/10.3390/su12114660</w:t>
        </w:r>
      </w:hyperlink>
    </w:p>
    <w:p w14:paraId="7B2C4290" w14:textId="39A15A57" w:rsidR="00180E37" w:rsidRDefault="001B50C4" w:rsidP="00BE755B">
      <w:pPr>
        <w:jc w:val="both"/>
        <w:rPr>
          <w:rFonts w:ascii="Times New Roman" w:hAnsi="Times New Roman" w:cs="Times New Roman"/>
          <w:sz w:val="24"/>
          <w:szCs w:val="24"/>
        </w:rPr>
      </w:pPr>
      <w:r w:rsidRPr="001553CB">
        <w:rPr>
          <w:rFonts w:ascii="Times New Roman" w:hAnsi="Times New Roman" w:cs="Times New Roman"/>
          <w:sz w:val="24"/>
          <w:szCs w:val="24"/>
          <w:lang w:val="pt-BR"/>
        </w:rPr>
        <w:t xml:space="preserve">Sitorus, M., Lubis, S. N., Sembiring, M. T., Kesuma, S. I., &amp; Lubis, A. A. R. D. (2025). </w:t>
      </w:r>
      <w:r w:rsidRPr="001B50C4">
        <w:rPr>
          <w:rFonts w:ascii="Times New Roman" w:hAnsi="Times New Roman" w:cs="Times New Roman"/>
          <w:sz w:val="24"/>
          <w:szCs w:val="24"/>
        </w:rPr>
        <w:t>A Bottom-Up Inclusive Growth Model for Peripheral Coastal Cities: Structural Pathway to Regional Development in Post-Decentralized Indonesia. </w:t>
      </w:r>
      <w:r w:rsidRPr="001B50C4">
        <w:rPr>
          <w:rFonts w:ascii="Times New Roman" w:hAnsi="Times New Roman" w:cs="Times New Roman"/>
          <w:i/>
          <w:iCs/>
          <w:sz w:val="24"/>
          <w:szCs w:val="24"/>
        </w:rPr>
        <w:t>International Journal of Sustainable Development &amp; Planning</w:t>
      </w:r>
      <w:r w:rsidRPr="001B50C4">
        <w:rPr>
          <w:rFonts w:ascii="Times New Roman" w:hAnsi="Times New Roman" w:cs="Times New Roman"/>
          <w:sz w:val="24"/>
          <w:szCs w:val="24"/>
        </w:rPr>
        <w:t>, </w:t>
      </w:r>
      <w:r w:rsidRPr="001B50C4">
        <w:rPr>
          <w:rFonts w:ascii="Times New Roman" w:hAnsi="Times New Roman" w:cs="Times New Roman"/>
          <w:i/>
          <w:iCs/>
          <w:sz w:val="24"/>
          <w:szCs w:val="24"/>
        </w:rPr>
        <w:t>20</w:t>
      </w:r>
      <w:r w:rsidRPr="001B50C4">
        <w:rPr>
          <w:rFonts w:ascii="Times New Roman" w:hAnsi="Times New Roman" w:cs="Times New Roman"/>
          <w:sz w:val="24"/>
          <w:szCs w:val="24"/>
        </w:rPr>
        <w:t>(7).</w:t>
      </w:r>
    </w:p>
    <w:p w14:paraId="68BD23A8" w14:textId="1A7C93A7" w:rsidR="001553CB"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Alda, R., Nasution, Z., Lubis, S. N., &amp; Lubis, A. A. R. D. (2024). The influence of education, social, and healthcare expenditures on the Human Development Index (HDI) in </w:t>
      </w:r>
      <w:proofErr w:type="spellStart"/>
      <w:r w:rsidRPr="001553CB">
        <w:rPr>
          <w:rFonts w:ascii="Times New Roman" w:hAnsi="Times New Roman" w:cs="Times New Roman"/>
          <w:sz w:val="24"/>
          <w:szCs w:val="24"/>
        </w:rPr>
        <w:t>Bireuen</w:t>
      </w:r>
      <w:proofErr w:type="spellEnd"/>
      <w:r w:rsidRPr="001553CB">
        <w:rPr>
          <w:rFonts w:ascii="Times New Roman" w:hAnsi="Times New Roman" w:cs="Times New Roman"/>
          <w:sz w:val="24"/>
          <w:szCs w:val="24"/>
        </w:rPr>
        <w:t xml:space="preserve"> Regency. Asian Multidisciplinary Research Journal of Economy and Learning, 1(2), 20–25. </w:t>
      </w:r>
      <w:hyperlink r:id="rId14" w:history="1">
        <w:r w:rsidRPr="00395C17">
          <w:rPr>
            <w:rStyle w:val="Hyperlink"/>
            <w:rFonts w:ascii="Times New Roman" w:hAnsi="Times New Roman" w:cs="Times New Roman"/>
            <w:sz w:val="24"/>
            <w:szCs w:val="24"/>
          </w:rPr>
          <w:t>https://doi.org/10.70471/kbj9w526</w:t>
        </w:r>
      </w:hyperlink>
    </w:p>
    <w:p w14:paraId="2D1FCBBE" w14:textId="710A3D10" w:rsidR="001553CB"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Zhuang, P., Li, X., &amp; Wu, J. (2023). The Spatial Value and Efficiency of Inland Ports with Different Development Models: A Case Study in China. Sustainability, 15(17), 12677. </w:t>
      </w:r>
      <w:hyperlink r:id="rId15" w:history="1">
        <w:r w:rsidRPr="00395C17">
          <w:rPr>
            <w:rStyle w:val="Hyperlink"/>
            <w:rFonts w:ascii="Times New Roman" w:hAnsi="Times New Roman" w:cs="Times New Roman"/>
            <w:sz w:val="24"/>
            <w:szCs w:val="24"/>
          </w:rPr>
          <w:t>https://doi.org/10.3390/su151712677</w:t>
        </w:r>
      </w:hyperlink>
    </w:p>
    <w:p w14:paraId="49C52D09" w14:textId="7DF6E8C5" w:rsidR="001553CB"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Rezwana, S., &amp; Lownes, N. (2025). Exploring the Impact of Pedestrian </w:t>
      </w:r>
      <w:proofErr w:type="spellStart"/>
      <w:r w:rsidRPr="001553CB">
        <w:rPr>
          <w:rFonts w:ascii="Times New Roman" w:hAnsi="Times New Roman" w:cs="Times New Roman"/>
          <w:sz w:val="24"/>
          <w:szCs w:val="24"/>
        </w:rPr>
        <w:t>Behavior</w:t>
      </w:r>
      <w:proofErr w:type="spellEnd"/>
      <w:r w:rsidRPr="001553CB">
        <w:rPr>
          <w:rFonts w:ascii="Times New Roman" w:hAnsi="Times New Roman" w:cs="Times New Roman"/>
          <w:sz w:val="24"/>
          <w:szCs w:val="24"/>
        </w:rPr>
        <w:t xml:space="preserve"> Parameters on Gap Acceptance in Microsimulation Applications. Future Transportation, 5(2), 44. </w:t>
      </w:r>
      <w:hyperlink r:id="rId16" w:history="1">
        <w:r w:rsidRPr="00395C17">
          <w:rPr>
            <w:rStyle w:val="Hyperlink"/>
            <w:rFonts w:ascii="Times New Roman" w:hAnsi="Times New Roman" w:cs="Times New Roman"/>
            <w:sz w:val="24"/>
            <w:szCs w:val="24"/>
          </w:rPr>
          <w:t>https://doi.org/10.3390/futuretransp5020044</w:t>
        </w:r>
      </w:hyperlink>
    </w:p>
    <w:p w14:paraId="5EAC6737" w14:textId="4EC95E69" w:rsidR="001B50C4"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Gao, S., </w:t>
      </w:r>
      <w:proofErr w:type="spellStart"/>
      <w:r w:rsidRPr="001553CB">
        <w:rPr>
          <w:rFonts w:ascii="Times New Roman" w:hAnsi="Times New Roman" w:cs="Times New Roman"/>
          <w:sz w:val="24"/>
          <w:szCs w:val="24"/>
        </w:rPr>
        <w:t>Shirazian</w:t>
      </w:r>
      <w:proofErr w:type="spellEnd"/>
      <w:r w:rsidRPr="001553CB">
        <w:rPr>
          <w:rFonts w:ascii="Times New Roman" w:hAnsi="Times New Roman" w:cs="Times New Roman"/>
          <w:sz w:val="24"/>
          <w:szCs w:val="24"/>
        </w:rPr>
        <w:t xml:space="preserve">, S., Ward, P. J., &amp; Koks, E. E. (2025). Understanding the vulnerability of multimodal public transportation networks. Civil Engineering and Environmental Systems </w:t>
      </w:r>
      <w:hyperlink r:id="rId17" w:history="1">
        <w:r w:rsidRPr="00395C17">
          <w:rPr>
            <w:rStyle w:val="Hyperlink"/>
            <w:rFonts w:ascii="Times New Roman" w:hAnsi="Times New Roman" w:cs="Times New Roman"/>
            <w:sz w:val="24"/>
            <w:szCs w:val="24"/>
          </w:rPr>
          <w:t>https://doi.org/10.1080/10286608.2025.2601992</w:t>
        </w:r>
      </w:hyperlink>
    </w:p>
    <w:p w14:paraId="3B1CF29F" w14:textId="77777777" w:rsidR="001553CB" w:rsidRDefault="001553CB" w:rsidP="00BE755B">
      <w:pPr>
        <w:jc w:val="both"/>
        <w:rPr>
          <w:rFonts w:ascii="Times New Roman" w:hAnsi="Times New Roman" w:cs="Times New Roman"/>
          <w:sz w:val="24"/>
          <w:szCs w:val="24"/>
        </w:rPr>
      </w:pPr>
    </w:p>
    <w:p w14:paraId="39FF3ABE" w14:textId="77777777" w:rsidR="00BE755B" w:rsidRDefault="00BE755B" w:rsidP="00BE755B">
      <w:pPr>
        <w:jc w:val="both"/>
        <w:rPr>
          <w:rFonts w:ascii="Times New Roman" w:hAnsi="Times New Roman" w:cs="Times New Roman"/>
          <w:sz w:val="24"/>
          <w:szCs w:val="24"/>
        </w:rPr>
      </w:pPr>
    </w:p>
    <w:p w14:paraId="59B2B706" w14:textId="77777777" w:rsidR="00BE755B" w:rsidRDefault="00BE755B" w:rsidP="00BE755B">
      <w:pPr>
        <w:jc w:val="both"/>
        <w:rPr>
          <w:rFonts w:ascii="Times New Roman" w:hAnsi="Times New Roman" w:cs="Times New Roman"/>
          <w:sz w:val="24"/>
          <w:szCs w:val="24"/>
        </w:rPr>
      </w:pPr>
    </w:p>
    <w:p w14:paraId="62633031" w14:textId="77777777" w:rsidR="00BE755B" w:rsidRDefault="00BE755B" w:rsidP="00BE755B">
      <w:pPr>
        <w:jc w:val="both"/>
        <w:rPr>
          <w:rFonts w:ascii="Times New Roman" w:hAnsi="Times New Roman" w:cs="Times New Roman"/>
          <w:sz w:val="24"/>
          <w:szCs w:val="24"/>
        </w:rPr>
      </w:pPr>
    </w:p>
    <w:p w14:paraId="3DACC43F" w14:textId="77777777" w:rsidR="00BE755B" w:rsidRPr="00BE755B" w:rsidRDefault="00BE755B" w:rsidP="00BE755B">
      <w:pPr>
        <w:jc w:val="both"/>
        <w:rPr>
          <w:rFonts w:ascii="Times New Roman" w:hAnsi="Times New Roman" w:cs="Times New Roman"/>
          <w:sz w:val="24"/>
          <w:szCs w:val="24"/>
        </w:rPr>
      </w:pPr>
    </w:p>
    <w:sectPr w:rsidR="00BE755B" w:rsidRPr="00BE75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5E4"/>
    <w:multiLevelType w:val="multilevel"/>
    <w:tmpl w:val="4502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6364"/>
    <w:multiLevelType w:val="multilevel"/>
    <w:tmpl w:val="7138E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C401F"/>
    <w:multiLevelType w:val="multilevel"/>
    <w:tmpl w:val="524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240FE"/>
    <w:multiLevelType w:val="multilevel"/>
    <w:tmpl w:val="0340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83D88"/>
    <w:multiLevelType w:val="multilevel"/>
    <w:tmpl w:val="7EE0B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A92039"/>
    <w:multiLevelType w:val="multilevel"/>
    <w:tmpl w:val="CE64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1121C4"/>
    <w:multiLevelType w:val="multilevel"/>
    <w:tmpl w:val="15FC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847123"/>
    <w:multiLevelType w:val="multilevel"/>
    <w:tmpl w:val="4BFEA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5F002A"/>
    <w:multiLevelType w:val="multilevel"/>
    <w:tmpl w:val="03A6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B25026"/>
    <w:multiLevelType w:val="multilevel"/>
    <w:tmpl w:val="F0DE1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4E1D8D"/>
    <w:multiLevelType w:val="multilevel"/>
    <w:tmpl w:val="B450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B03B7"/>
    <w:multiLevelType w:val="multilevel"/>
    <w:tmpl w:val="47D4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BF3966"/>
    <w:multiLevelType w:val="multilevel"/>
    <w:tmpl w:val="7328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3E743C"/>
    <w:multiLevelType w:val="multilevel"/>
    <w:tmpl w:val="C62E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E51EC4"/>
    <w:multiLevelType w:val="multilevel"/>
    <w:tmpl w:val="F038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4"/>
  </w:num>
  <w:num w:numId="4">
    <w:abstractNumId w:val="13"/>
  </w:num>
  <w:num w:numId="5">
    <w:abstractNumId w:val="2"/>
  </w:num>
  <w:num w:numId="6">
    <w:abstractNumId w:val="12"/>
  </w:num>
  <w:num w:numId="7">
    <w:abstractNumId w:val="0"/>
  </w:num>
  <w:num w:numId="8">
    <w:abstractNumId w:val="10"/>
  </w:num>
  <w:num w:numId="9">
    <w:abstractNumId w:val="6"/>
  </w:num>
  <w:num w:numId="10">
    <w:abstractNumId w:val="11"/>
  </w:num>
  <w:num w:numId="11">
    <w:abstractNumId w:val="9"/>
  </w:num>
  <w:num w:numId="12">
    <w:abstractNumId w:val="1"/>
  </w:num>
  <w:num w:numId="13">
    <w:abstractNumId w:val="8"/>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Qxt7QwNjC3NDMyNDdT0lEKTi0uzszPAykwrAUALnb/WiwAAAA="/>
  </w:docVars>
  <w:rsids>
    <w:rsidRoot w:val="00BE755B"/>
    <w:rsid w:val="00057C5F"/>
    <w:rsid w:val="001553CB"/>
    <w:rsid w:val="00180E37"/>
    <w:rsid w:val="001B50C4"/>
    <w:rsid w:val="00220028"/>
    <w:rsid w:val="00220DE7"/>
    <w:rsid w:val="0037367A"/>
    <w:rsid w:val="00456BAD"/>
    <w:rsid w:val="00475836"/>
    <w:rsid w:val="004A171E"/>
    <w:rsid w:val="00580357"/>
    <w:rsid w:val="0065182D"/>
    <w:rsid w:val="006D7199"/>
    <w:rsid w:val="00721D05"/>
    <w:rsid w:val="009B4334"/>
    <w:rsid w:val="00A041EB"/>
    <w:rsid w:val="00A15169"/>
    <w:rsid w:val="00B11173"/>
    <w:rsid w:val="00B72593"/>
    <w:rsid w:val="00BA197D"/>
    <w:rsid w:val="00BE755B"/>
    <w:rsid w:val="00F0233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D0C80"/>
  <w15:chartTrackingRefBased/>
  <w15:docId w15:val="{7D0AF6C6-16D0-4E32-93EA-B9A48138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67A"/>
  </w:style>
  <w:style w:type="paragraph" w:styleId="Heading1">
    <w:name w:val="heading 1"/>
    <w:basedOn w:val="Normal"/>
    <w:next w:val="Normal"/>
    <w:link w:val="Heading1Char"/>
    <w:uiPriority w:val="9"/>
    <w:qFormat/>
    <w:rsid w:val="00BE75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5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5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5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5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5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55B"/>
    <w:rPr>
      <w:rFonts w:eastAsiaTheme="majorEastAsia" w:cstheme="majorBidi"/>
      <w:color w:val="272727" w:themeColor="text1" w:themeTint="D8"/>
    </w:rPr>
  </w:style>
  <w:style w:type="paragraph" w:styleId="Title">
    <w:name w:val="Title"/>
    <w:basedOn w:val="Normal"/>
    <w:next w:val="Normal"/>
    <w:link w:val="TitleChar"/>
    <w:uiPriority w:val="10"/>
    <w:qFormat/>
    <w:rsid w:val="00BE75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5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5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5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55B"/>
    <w:pPr>
      <w:spacing w:before="160"/>
      <w:jc w:val="center"/>
    </w:pPr>
    <w:rPr>
      <w:i/>
      <w:iCs/>
      <w:color w:val="404040" w:themeColor="text1" w:themeTint="BF"/>
    </w:rPr>
  </w:style>
  <w:style w:type="character" w:customStyle="1" w:styleId="QuoteChar">
    <w:name w:val="Quote Char"/>
    <w:basedOn w:val="DefaultParagraphFont"/>
    <w:link w:val="Quote"/>
    <w:uiPriority w:val="29"/>
    <w:rsid w:val="00BE755B"/>
    <w:rPr>
      <w:i/>
      <w:iCs/>
      <w:color w:val="404040" w:themeColor="text1" w:themeTint="BF"/>
    </w:rPr>
  </w:style>
  <w:style w:type="paragraph" w:styleId="ListParagraph">
    <w:name w:val="List Paragraph"/>
    <w:basedOn w:val="Normal"/>
    <w:uiPriority w:val="34"/>
    <w:qFormat/>
    <w:rsid w:val="00BE755B"/>
    <w:pPr>
      <w:ind w:left="720"/>
      <w:contextualSpacing/>
    </w:pPr>
  </w:style>
  <w:style w:type="character" w:styleId="IntenseEmphasis">
    <w:name w:val="Intense Emphasis"/>
    <w:basedOn w:val="DefaultParagraphFont"/>
    <w:uiPriority w:val="21"/>
    <w:qFormat/>
    <w:rsid w:val="00BE755B"/>
    <w:rPr>
      <w:i/>
      <w:iCs/>
      <w:color w:val="2F5496" w:themeColor="accent1" w:themeShade="BF"/>
    </w:rPr>
  </w:style>
  <w:style w:type="paragraph" w:styleId="IntenseQuote">
    <w:name w:val="Intense Quote"/>
    <w:basedOn w:val="Normal"/>
    <w:next w:val="Normal"/>
    <w:link w:val="IntenseQuoteChar"/>
    <w:uiPriority w:val="30"/>
    <w:qFormat/>
    <w:rsid w:val="00BE7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55B"/>
    <w:rPr>
      <w:i/>
      <w:iCs/>
      <w:color w:val="2F5496" w:themeColor="accent1" w:themeShade="BF"/>
    </w:rPr>
  </w:style>
  <w:style w:type="character" w:styleId="IntenseReference">
    <w:name w:val="Intense Reference"/>
    <w:basedOn w:val="DefaultParagraphFont"/>
    <w:uiPriority w:val="32"/>
    <w:qFormat/>
    <w:rsid w:val="00BE755B"/>
    <w:rPr>
      <w:b/>
      <w:bCs/>
      <w:smallCaps/>
      <w:color w:val="2F5496" w:themeColor="accent1" w:themeShade="BF"/>
      <w:spacing w:val="5"/>
    </w:rPr>
  </w:style>
  <w:style w:type="table" w:styleId="TableGrid">
    <w:name w:val="Table Grid"/>
    <w:basedOn w:val="TableNormal"/>
    <w:uiPriority w:val="39"/>
    <w:rsid w:val="00BE7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0E37"/>
    <w:rPr>
      <w:color w:val="0563C1" w:themeColor="hyperlink"/>
      <w:u w:val="single"/>
    </w:rPr>
  </w:style>
  <w:style w:type="character" w:styleId="UnresolvedMention">
    <w:name w:val="Unresolved Mention"/>
    <w:basedOn w:val="DefaultParagraphFont"/>
    <w:uiPriority w:val="99"/>
    <w:semiHidden/>
    <w:unhideWhenUsed/>
    <w:rsid w:val="00180E37"/>
    <w:rPr>
      <w:color w:val="605E5C"/>
      <w:shd w:val="clear" w:color="auto" w:fill="E1DFDD"/>
    </w:rPr>
  </w:style>
  <w:style w:type="table" w:styleId="TableGridLight">
    <w:name w:val="Grid Table Light"/>
    <w:basedOn w:val="TableNormal"/>
    <w:uiPriority w:val="40"/>
    <w:rsid w:val="002200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i.org/10.3390/su1211466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70471/w4z68x41" TargetMode="External"/><Relationship Id="rId17" Type="http://schemas.openxmlformats.org/officeDocument/2006/relationships/hyperlink" Target="https://doi.org/10.1080/10286608.2025.2601992" TargetMode="External"/><Relationship Id="rId2" Type="http://schemas.openxmlformats.org/officeDocument/2006/relationships/styles" Target="styles.xml"/><Relationship Id="rId16" Type="http://schemas.openxmlformats.org/officeDocument/2006/relationships/hyperlink" Target="https://doi.org/10.3390/futuretransp502004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su15108410" TargetMode="External"/><Relationship Id="rId5" Type="http://schemas.openxmlformats.org/officeDocument/2006/relationships/image" Target="media/image1.jpeg"/><Relationship Id="rId15" Type="http://schemas.openxmlformats.org/officeDocument/2006/relationships/hyperlink" Target="https://doi.org/10.3390/su151712677"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70471/kbj9w5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6645</Words>
  <Characters>37883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1020</cp:lastModifiedBy>
  <cp:revision>5</cp:revision>
  <dcterms:created xsi:type="dcterms:W3CDTF">2025-12-25T04:51:00Z</dcterms:created>
  <dcterms:modified xsi:type="dcterms:W3CDTF">2025-12-29T11:04:00Z</dcterms:modified>
</cp:coreProperties>
</file>