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AC63CFB" w14:textId="3E0248B1" w:rsidR="006B097C" w:rsidRPr="00361FFF" w:rsidRDefault="00361FFF" w:rsidP="009A7E20">
      <w:pPr>
        <w:jc w:val="center"/>
        <w:rPr>
          <w:rFonts w:ascii="Times New Roman" w:hAnsi="Times New Roman" w:cs="Times New Roman"/>
          <w:b/>
          <w:bCs/>
          <w:sz w:val="28"/>
          <w:szCs w:val="28"/>
        </w:rPr>
      </w:pPr>
      <w:bookmarkStart w:id="0" w:name="_GoBack"/>
      <w:bookmarkEnd w:id="0"/>
      <w:r w:rsidRPr="00361FFF">
        <w:rPr>
          <w:rFonts w:ascii="Times New Roman" w:hAnsi="Times New Roman" w:cs="Times New Roman"/>
          <w:b/>
          <w:bCs/>
          <w:sz w:val="28"/>
          <w:szCs w:val="28"/>
        </w:rPr>
        <w:t>ANALYSIS OF THE VILLAGE FOOD SECURITY PROGRAM STRATEGY IN REALISING A FOOD SELF-SUFFICIENT AREA IN BATUMBULAN BARU VILLAGE, BABUSSALAM SUB-DISTRICT</w:t>
      </w:r>
    </w:p>
    <w:p w14:paraId="4D82AE6F" w14:textId="0AEE68AE" w:rsidR="00361FFF" w:rsidRDefault="00361FFF" w:rsidP="00361FFF">
      <w:pPr>
        <w:jc w:val="both"/>
        <w:rPr>
          <w:rFonts w:ascii="Times New Roman" w:hAnsi="Times New Roman" w:cs="Times New Roman"/>
          <w:b/>
          <w:bCs/>
        </w:rPr>
      </w:pPr>
    </w:p>
    <w:p w14:paraId="77328697" w14:textId="77777777" w:rsidR="004B4570" w:rsidRDefault="004B4570" w:rsidP="00361FFF">
      <w:pPr>
        <w:jc w:val="both"/>
        <w:rPr>
          <w:rFonts w:ascii="Times New Roman" w:hAnsi="Times New Roman" w:cs="Times New Roman"/>
          <w:b/>
          <w:bCs/>
        </w:rPr>
      </w:pPr>
    </w:p>
    <w:p w14:paraId="0BE0E6E1" w14:textId="77777777" w:rsidR="00361FFF" w:rsidRDefault="00361FFF" w:rsidP="00361FFF">
      <w:pPr>
        <w:jc w:val="center"/>
        <w:rPr>
          <w:rFonts w:ascii="Times New Roman" w:hAnsi="Times New Roman" w:cs="Times New Roman"/>
          <w:b/>
          <w:bCs/>
        </w:rPr>
      </w:pPr>
      <w:r w:rsidRPr="00361FFF">
        <w:rPr>
          <w:rFonts w:ascii="Times New Roman" w:hAnsi="Times New Roman" w:cs="Times New Roman"/>
          <w:b/>
          <w:bCs/>
        </w:rPr>
        <w:t>Abstract</w:t>
      </w:r>
    </w:p>
    <w:p w14:paraId="3A9F882C" w14:textId="3EDC3054" w:rsidR="00361FFF" w:rsidRPr="00361FFF" w:rsidRDefault="008815EC" w:rsidP="00361FFF">
      <w:pPr>
        <w:jc w:val="both"/>
        <w:rPr>
          <w:rFonts w:ascii="Times New Roman" w:hAnsi="Times New Roman" w:cs="Times New Roman"/>
        </w:rPr>
      </w:pPr>
      <w:r w:rsidRPr="008815EC">
        <w:rPr>
          <w:rFonts w:ascii="Times New Roman" w:hAnsi="Times New Roman" w:cs="Times New Roman"/>
          <w:highlight w:val="yellow"/>
        </w:rPr>
        <w:t xml:space="preserve">Village food security remains a decisive foundation for inclusive rural development, especially in areas where agricultural production is constrained by limited infrastructure and weak farmer institutions. This study evaluates the village food-security program strategy in </w:t>
      </w:r>
      <w:proofErr w:type="spellStart"/>
      <w:r w:rsidRPr="008815EC">
        <w:rPr>
          <w:rFonts w:ascii="Times New Roman" w:hAnsi="Times New Roman" w:cs="Times New Roman"/>
          <w:highlight w:val="yellow"/>
        </w:rPr>
        <w:t>Batumbulan</w:t>
      </w:r>
      <w:proofErr w:type="spellEnd"/>
      <w:r w:rsidRPr="008815EC">
        <w:rPr>
          <w:rFonts w:ascii="Times New Roman" w:hAnsi="Times New Roman" w:cs="Times New Roman"/>
          <w:highlight w:val="yellow"/>
        </w:rPr>
        <w:t xml:space="preserve"> </w:t>
      </w:r>
      <w:proofErr w:type="spellStart"/>
      <w:r w:rsidRPr="008815EC">
        <w:rPr>
          <w:rFonts w:ascii="Times New Roman" w:hAnsi="Times New Roman" w:cs="Times New Roman"/>
          <w:highlight w:val="yellow"/>
        </w:rPr>
        <w:t>Baru</w:t>
      </w:r>
      <w:proofErr w:type="spellEnd"/>
      <w:r w:rsidRPr="008815EC">
        <w:rPr>
          <w:rFonts w:ascii="Times New Roman" w:hAnsi="Times New Roman" w:cs="Times New Roman"/>
          <w:highlight w:val="yellow"/>
        </w:rPr>
        <w:t xml:space="preserve"> Village (</w:t>
      </w:r>
      <w:proofErr w:type="spellStart"/>
      <w:r w:rsidRPr="008815EC">
        <w:rPr>
          <w:rFonts w:ascii="Times New Roman" w:hAnsi="Times New Roman" w:cs="Times New Roman"/>
          <w:highlight w:val="yellow"/>
        </w:rPr>
        <w:t>Babussalam</w:t>
      </w:r>
      <w:proofErr w:type="spellEnd"/>
      <w:r w:rsidRPr="008815EC">
        <w:rPr>
          <w:rFonts w:ascii="Times New Roman" w:hAnsi="Times New Roman" w:cs="Times New Roman"/>
          <w:highlight w:val="yellow"/>
        </w:rPr>
        <w:t xml:space="preserve"> Sub-District, Southeast Aceh, Indonesia) by integrating two complementary decision-support approaches. First, we model the relationships among Village Fund </w:t>
      </w:r>
      <w:proofErr w:type="spellStart"/>
      <w:r w:rsidRPr="008815EC">
        <w:rPr>
          <w:rFonts w:ascii="Times New Roman" w:hAnsi="Times New Roman" w:cs="Times New Roman"/>
          <w:highlight w:val="yellow"/>
        </w:rPr>
        <w:t>utilisation</w:t>
      </w:r>
      <w:proofErr w:type="spellEnd"/>
      <w:r w:rsidRPr="008815EC">
        <w:rPr>
          <w:rFonts w:ascii="Times New Roman" w:hAnsi="Times New Roman" w:cs="Times New Roman"/>
          <w:highlight w:val="yellow"/>
        </w:rPr>
        <w:t xml:space="preserve">, agricultural infrastructure, farmers’ institutional capacity, and village food security using Partial Least Squares Structural Equation Modelling (PLS-SEM) based on a household survey (n = 60). Second, we </w:t>
      </w:r>
      <w:proofErr w:type="spellStart"/>
      <w:r w:rsidRPr="008815EC">
        <w:rPr>
          <w:rFonts w:ascii="Times New Roman" w:hAnsi="Times New Roman" w:cs="Times New Roman"/>
          <w:highlight w:val="yellow"/>
        </w:rPr>
        <w:t>prioritise</w:t>
      </w:r>
      <w:proofErr w:type="spellEnd"/>
      <w:r w:rsidRPr="008815EC">
        <w:rPr>
          <w:rFonts w:ascii="Times New Roman" w:hAnsi="Times New Roman" w:cs="Times New Roman"/>
          <w:highlight w:val="yellow"/>
        </w:rPr>
        <w:t xml:space="preserve"> development interventions using the Analytic Hierarchy Process (AHP) through pairwise comparisons with local stakeholders to translate empirical findings into implementable policy priorities. The SEM-PLS results indicate that stronger agricultural infrastructure and farmer institutions are associated with improved village food security, while Village Funds contribute through targeted strengthening of these enabling factors. AHP results consistently place irrigation improvement, post-harvest facilities, capacity-building (e.g., Good Agricultural Practices training), and </w:t>
      </w:r>
      <w:proofErr w:type="spellStart"/>
      <w:r w:rsidRPr="008815EC">
        <w:rPr>
          <w:rFonts w:ascii="Times New Roman" w:hAnsi="Times New Roman" w:cs="Times New Roman"/>
          <w:highlight w:val="yellow"/>
        </w:rPr>
        <w:t>revitalisation</w:t>
      </w:r>
      <w:proofErr w:type="spellEnd"/>
      <w:r w:rsidRPr="008815EC">
        <w:rPr>
          <w:rFonts w:ascii="Times New Roman" w:hAnsi="Times New Roman" w:cs="Times New Roman"/>
          <w:highlight w:val="yellow"/>
        </w:rPr>
        <w:t xml:space="preserve"> of farmer groups/co-operatives as the most urgent priorities. Practically, the combined SEM-PLS–AHP framework offers a replicable pathway for village governments to align Village Fund planning with evidence-based food-security strategies that can be adapted for other rural villages facing similar constraints</w:t>
      </w:r>
      <w:r w:rsidR="00361FFF" w:rsidRPr="008815EC">
        <w:rPr>
          <w:rFonts w:ascii="Times New Roman" w:hAnsi="Times New Roman" w:cs="Times New Roman"/>
          <w:highlight w:val="yellow"/>
        </w:rPr>
        <w:t>.</w:t>
      </w:r>
    </w:p>
    <w:p w14:paraId="1537D7F4" w14:textId="77777777" w:rsidR="00361FFF" w:rsidRPr="00361FFF" w:rsidRDefault="00361FFF" w:rsidP="00361FFF">
      <w:pPr>
        <w:jc w:val="both"/>
        <w:rPr>
          <w:rFonts w:ascii="Times New Roman" w:hAnsi="Times New Roman" w:cs="Times New Roman"/>
        </w:rPr>
      </w:pPr>
      <w:r w:rsidRPr="00361FFF">
        <w:rPr>
          <w:rFonts w:ascii="Times New Roman" w:hAnsi="Times New Roman" w:cs="Times New Roman"/>
          <w:b/>
          <w:bCs/>
        </w:rPr>
        <w:t xml:space="preserve">Keywords: </w:t>
      </w:r>
      <w:r w:rsidRPr="00361FFF">
        <w:rPr>
          <w:rFonts w:ascii="Times New Roman" w:hAnsi="Times New Roman" w:cs="Times New Roman"/>
        </w:rPr>
        <w:t>Village Food Security, Food Self-Sufficiency, Village Funds, Agricultural Infrastructure, Farmers’ Institutions, SEM, AHP, Southeast Aceh.</w:t>
      </w:r>
    </w:p>
    <w:p w14:paraId="707884E1" w14:textId="77777777" w:rsidR="00361FFF" w:rsidRPr="00361FFF" w:rsidRDefault="00361FFF" w:rsidP="00361FFF">
      <w:pPr>
        <w:jc w:val="both"/>
        <w:rPr>
          <w:rFonts w:ascii="Times New Roman" w:hAnsi="Times New Roman" w:cs="Times New Roman"/>
          <w:b/>
          <w:bCs/>
          <w:sz w:val="28"/>
          <w:szCs w:val="28"/>
        </w:rPr>
      </w:pPr>
      <w:r w:rsidRPr="00361FFF">
        <w:rPr>
          <w:rFonts w:ascii="Times New Roman" w:hAnsi="Times New Roman" w:cs="Times New Roman"/>
          <w:b/>
          <w:bCs/>
          <w:sz w:val="28"/>
          <w:szCs w:val="28"/>
        </w:rPr>
        <w:t>I. Introduction</w:t>
      </w:r>
    </w:p>
    <w:p w14:paraId="1A64688F" w14:textId="2F9F8E9C" w:rsidR="00361FFF" w:rsidRPr="00361FFF" w:rsidRDefault="00361FFF" w:rsidP="00361FFF">
      <w:pPr>
        <w:jc w:val="both"/>
        <w:rPr>
          <w:rFonts w:ascii="Times New Roman" w:hAnsi="Times New Roman" w:cs="Times New Roman"/>
        </w:rPr>
      </w:pPr>
      <w:r w:rsidRPr="00361FFF">
        <w:rPr>
          <w:rFonts w:ascii="Times New Roman" w:hAnsi="Times New Roman" w:cs="Times New Roman"/>
        </w:rPr>
        <w:t xml:space="preserve">Food security is a strategic issue that shapes the sustainability of development, particularly at the local level. In the Indonesian context, food security carries major importance because rural areas remain the primary base of food production. At the village level, food security depends not only on food availability but also on accessibility and the </w:t>
      </w:r>
      <w:proofErr w:type="spellStart"/>
      <w:r w:rsidRPr="00361FFF">
        <w:rPr>
          <w:rFonts w:ascii="Times New Roman" w:hAnsi="Times New Roman" w:cs="Times New Roman"/>
        </w:rPr>
        <w:t>utilisation</w:t>
      </w:r>
      <w:proofErr w:type="spellEnd"/>
      <w:r w:rsidRPr="00361FFF">
        <w:rPr>
          <w:rFonts w:ascii="Times New Roman" w:hAnsi="Times New Roman" w:cs="Times New Roman"/>
        </w:rPr>
        <w:t xml:space="preserve"> of nutritious food. </w:t>
      </w:r>
      <w:proofErr w:type="spellStart"/>
      <w:r w:rsidRPr="00361FFF">
        <w:rPr>
          <w:rFonts w:ascii="Times New Roman" w:hAnsi="Times New Roman" w:cs="Times New Roman"/>
        </w:rPr>
        <w:t>Batumbulan</w:t>
      </w:r>
      <w:proofErr w:type="spellEnd"/>
      <w:r w:rsidRPr="00361FFF">
        <w:rPr>
          <w:rFonts w:ascii="Times New Roman" w:hAnsi="Times New Roman" w:cs="Times New Roman"/>
        </w:rPr>
        <w:t xml:space="preserve"> </w:t>
      </w:r>
      <w:proofErr w:type="spellStart"/>
      <w:r w:rsidRPr="00361FFF">
        <w:rPr>
          <w:rFonts w:ascii="Times New Roman" w:hAnsi="Times New Roman" w:cs="Times New Roman"/>
        </w:rPr>
        <w:t>Baru</w:t>
      </w:r>
      <w:proofErr w:type="spellEnd"/>
      <w:r w:rsidRPr="00361FFF">
        <w:rPr>
          <w:rFonts w:ascii="Times New Roman" w:hAnsi="Times New Roman" w:cs="Times New Roman"/>
        </w:rPr>
        <w:t xml:space="preserve"> Village, located in </w:t>
      </w:r>
      <w:proofErr w:type="spellStart"/>
      <w:r w:rsidRPr="00361FFF">
        <w:rPr>
          <w:rFonts w:ascii="Times New Roman" w:hAnsi="Times New Roman" w:cs="Times New Roman"/>
        </w:rPr>
        <w:t>Babussalam</w:t>
      </w:r>
      <w:proofErr w:type="spellEnd"/>
      <w:r w:rsidRPr="00361FFF">
        <w:rPr>
          <w:rFonts w:ascii="Times New Roman" w:hAnsi="Times New Roman" w:cs="Times New Roman"/>
        </w:rPr>
        <w:t xml:space="preserve"> Sub-District, Southeast Aceh, has strong agrarian potential; however, the use of Village Funds to strengthen the local food system has not been optimal (</w:t>
      </w:r>
      <w:proofErr w:type="spellStart"/>
      <w:r w:rsidR="00441EE3">
        <w:rPr>
          <w:rFonts w:ascii="Times New Roman" w:hAnsi="Times New Roman" w:cs="Times New Roman"/>
        </w:rPr>
        <w:t>Wijatmoko</w:t>
      </w:r>
      <w:proofErr w:type="spellEnd"/>
      <w:r w:rsidRPr="00361FFF">
        <w:rPr>
          <w:rFonts w:ascii="Times New Roman" w:hAnsi="Times New Roman" w:cs="Times New Roman"/>
        </w:rPr>
        <w:t>, 2023).</w:t>
      </w:r>
    </w:p>
    <w:p w14:paraId="190C0347" w14:textId="5DFE2A59" w:rsidR="00361FFF" w:rsidRPr="00361FFF" w:rsidRDefault="00361FFF" w:rsidP="00361FFF">
      <w:pPr>
        <w:jc w:val="both"/>
        <w:rPr>
          <w:rFonts w:ascii="Times New Roman" w:hAnsi="Times New Roman" w:cs="Times New Roman"/>
        </w:rPr>
      </w:pPr>
      <w:r w:rsidRPr="00361FFF">
        <w:rPr>
          <w:rFonts w:ascii="Times New Roman" w:hAnsi="Times New Roman" w:cs="Times New Roman"/>
        </w:rPr>
        <w:t xml:space="preserve">Improving village food security requires a comprehensive development strategy that does not focus solely on production, but also addresses distribution and food consumption. To achieve food self-sufficiency at the village level, integrated and evidence-based policies are needed. Therefore, </w:t>
      </w:r>
      <w:r w:rsidRPr="00361FFF">
        <w:rPr>
          <w:rFonts w:ascii="Times New Roman" w:hAnsi="Times New Roman" w:cs="Times New Roman"/>
        </w:rPr>
        <w:lastRenderedPageBreak/>
        <w:t>this study combines Structural Equation Modeling (SEM) and the Analytic Hierarchy Process (AHP) to provide deeper insight into the relationships among factors influencing village food security (</w:t>
      </w:r>
      <w:r w:rsidR="00441EE3">
        <w:rPr>
          <w:rFonts w:ascii="Times New Roman" w:hAnsi="Times New Roman" w:cs="Times New Roman"/>
        </w:rPr>
        <w:t>Chen</w:t>
      </w:r>
      <w:r w:rsidRPr="00361FFF">
        <w:rPr>
          <w:rFonts w:ascii="Times New Roman" w:hAnsi="Times New Roman" w:cs="Times New Roman"/>
        </w:rPr>
        <w:t>, 202</w:t>
      </w:r>
      <w:r w:rsidR="00441EE3">
        <w:rPr>
          <w:rFonts w:ascii="Times New Roman" w:hAnsi="Times New Roman" w:cs="Times New Roman"/>
        </w:rPr>
        <w:t>2</w:t>
      </w:r>
      <w:r w:rsidRPr="00361FFF">
        <w:rPr>
          <w:rFonts w:ascii="Times New Roman" w:hAnsi="Times New Roman" w:cs="Times New Roman"/>
        </w:rPr>
        <w:t>).</w:t>
      </w:r>
    </w:p>
    <w:p w14:paraId="7CE67FA6" w14:textId="27CD9BC0" w:rsidR="00361FFF" w:rsidRPr="00361FFF" w:rsidRDefault="00361FFF" w:rsidP="00361FFF">
      <w:pPr>
        <w:jc w:val="both"/>
        <w:rPr>
          <w:rFonts w:ascii="Times New Roman" w:hAnsi="Times New Roman" w:cs="Times New Roman"/>
        </w:rPr>
      </w:pPr>
      <w:r w:rsidRPr="00361FFF">
        <w:rPr>
          <w:rFonts w:ascii="Times New Roman" w:hAnsi="Times New Roman" w:cs="Times New Roman"/>
        </w:rPr>
        <w:t>Formulating an effective food security strategy requires a data-driven approach capable of capturing the dynamics among key variables</w:t>
      </w:r>
      <w:r w:rsidR="00441EE3">
        <w:rPr>
          <w:rFonts w:ascii="Times New Roman" w:hAnsi="Times New Roman" w:cs="Times New Roman"/>
        </w:rPr>
        <w:t xml:space="preserve"> (</w:t>
      </w:r>
      <w:proofErr w:type="spellStart"/>
      <w:r w:rsidR="00441EE3">
        <w:rPr>
          <w:rFonts w:ascii="Times New Roman" w:hAnsi="Times New Roman" w:cs="Times New Roman"/>
        </w:rPr>
        <w:t>vanany</w:t>
      </w:r>
      <w:proofErr w:type="spellEnd"/>
      <w:r w:rsidR="00441EE3">
        <w:rPr>
          <w:rFonts w:ascii="Times New Roman" w:hAnsi="Times New Roman" w:cs="Times New Roman"/>
        </w:rPr>
        <w:t>, 2021)</w:t>
      </w:r>
      <w:r w:rsidRPr="00361FFF">
        <w:rPr>
          <w:rFonts w:ascii="Times New Roman" w:hAnsi="Times New Roman" w:cs="Times New Roman"/>
        </w:rPr>
        <w:t xml:space="preserve">. In </w:t>
      </w:r>
      <w:proofErr w:type="spellStart"/>
      <w:r w:rsidRPr="00361FFF">
        <w:rPr>
          <w:rFonts w:ascii="Times New Roman" w:hAnsi="Times New Roman" w:cs="Times New Roman"/>
        </w:rPr>
        <w:t>Batumbulan</w:t>
      </w:r>
      <w:proofErr w:type="spellEnd"/>
      <w:r w:rsidRPr="00361FFF">
        <w:rPr>
          <w:rFonts w:ascii="Times New Roman" w:hAnsi="Times New Roman" w:cs="Times New Roman"/>
        </w:rPr>
        <w:t xml:space="preserve"> </w:t>
      </w:r>
      <w:proofErr w:type="spellStart"/>
      <w:r w:rsidRPr="00361FFF">
        <w:rPr>
          <w:rFonts w:ascii="Times New Roman" w:hAnsi="Times New Roman" w:cs="Times New Roman"/>
        </w:rPr>
        <w:t>Baru</w:t>
      </w:r>
      <w:proofErr w:type="spellEnd"/>
      <w:r w:rsidRPr="00361FFF">
        <w:rPr>
          <w:rFonts w:ascii="Times New Roman" w:hAnsi="Times New Roman" w:cs="Times New Roman"/>
        </w:rPr>
        <w:t xml:space="preserve"> Village, the central problem is the suboptimal </w:t>
      </w:r>
      <w:proofErr w:type="spellStart"/>
      <w:r w:rsidRPr="00361FFF">
        <w:rPr>
          <w:rFonts w:ascii="Times New Roman" w:hAnsi="Times New Roman" w:cs="Times New Roman"/>
        </w:rPr>
        <w:t>utilisation</w:t>
      </w:r>
      <w:proofErr w:type="spellEnd"/>
      <w:r w:rsidRPr="00361FFF">
        <w:rPr>
          <w:rFonts w:ascii="Times New Roman" w:hAnsi="Times New Roman" w:cs="Times New Roman"/>
        </w:rPr>
        <w:t xml:space="preserve"> of Village Funds to support food security development. This is driven by an implementation gap between planning and execution, where development policies have not sufficiently targeted basic needs such as irrigation infrastructure, farmers’ institutions, and market distribution systems. Consequently, a more systematic analysis is required to formulate development priorities grounded in Village Fund planning.</w:t>
      </w:r>
    </w:p>
    <w:p w14:paraId="31BC00BC" w14:textId="683A6E59" w:rsidR="00361FFF" w:rsidRPr="00361FFF" w:rsidRDefault="00361FFF" w:rsidP="00361FFF">
      <w:pPr>
        <w:jc w:val="both"/>
        <w:rPr>
          <w:rFonts w:ascii="Times New Roman" w:hAnsi="Times New Roman" w:cs="Times New Roman"/>
        </w:rPr>
      </w:pPr>
      <w:r w:rsidRPr="00361FFF">
        <w:rPr>
          <w:rFonts w:ascii="Times New Roman" w:hAnsi="Times New Roman" w:cs="Times New Roman"/>
        </w:rPr>
        <w:t>Beyond infrastructure, farmers’ institutions constitute an important component influencing village food security</w:t>
      </w:r>
      <w:r w:rsidR="00441EE3">
        <w:rPr>
          <w:rFonts w:ascii="Times New Roman" w:hAnsi="Times New Roman" w:cs="Times New Roman"/>
        </w:rPr>
        <w:t xml:space="preserve"> (</w:t>
      </w:r>
      <w:proofErr w:type="spellStart"/>
      <w:r w:rsidR="00441EE3">
        <w:rPr>
          <w:rFonts w:ascii="Times New Roman" w:hAnsi="Times New Roman" w:cs="Times New Roman"/>
        </w:rPr>
        <w:t>Nontu</w:t>
      </w:r>
      <w:proofErr w:type="spellEnd"/>
      <w:r w:rsidR="00441EE3">
        <w:rPr>
          <w:rFonts w:ascii="Times New Roman" w:hAnsi="Times New Roman" w:cs="Times New Roman"/>
        </w:rPr>
        <w:t>, 2024)</w:t>
      </w:r>
      <w:r w:rsidRPr="00361FFF">
        <w:rPr>
          <w:rFonts w:ascii="Times New Roman" w:hAnsi="Times New Roman" w:cs="Times New Roman"/>
        </w:rPr>
        <w:t xml:space="preserve">. Weak institutions can worsen the distribution of agricultural outputs and reduce the competitiveness of food products. </w:t>
      </w:r>
      <w:r w:rsidR="002F6B90">
        <w:rPr>
          <w:rFonts w:ascii="Times New Roman" w:hAnsi="Times New Roman" w:cs="Times New Roman"/>
        </w:rPr>
        <w:t>(</w:t>
      </w:r>
      <w:proofErr w:type="spellStart"/>
      <w:r w:rsidR="00441EE3">
        <w:rPr>
          <w:rFonts w:ascii="Times New Roman" w:hAnsi="Times New Roman" w:cs="Times New Roman"/>
        </w:rPr>
        <w:t>Anggraeni</w:t>
      </w:r>
      <w:proofErr w:type="spellEnd"/>
      <w:r w:rsidR="002F6B90">
        <w:rPr>
          <w:rFonts w:ascii="Times New Roman" w:hAnsi="Times New Roman" w:cs="Times New Roman"/>
        </w:rPr>
        <w:t>, 2022)</w:t>
      </w:r>
      <w:r w:rsidRPr="00361FFF">
        <w:rPr>
          <w:rFonts w:ascii="Times New Roman" w:hAnsi="Times New Roman" w:cs="Times New Roman"/>
        </w:rPr>
        <w:t xml:space="preserve"> show that strengthening farmers’ institutions through active cooperatives and farmer groups can improve coordination within the food distribution system. This institutional strengthening becomes a key priority within the food security strategy of </w:t>
      </w:r>
      <w:proofErr w:type="spellStart"/>
      <w:r w:rsidRPr="00361FFF">
        <w:rPr>
          <w:rFonts w:ascii="Times New Roman" w:hAnsi="Times New Roman" w:cs="Times New Roman"/>
        </w:rPr>
        <w:t>Batumbulan</w:t>
      </w:r>
      <w:proofErr w:type="spellEnd"/>
      <w:r w:rsidRPr="00361FFF">
        <w:rPr>
          <w:rFonts w:ascii="Times New Roman" w:hAnsi="Times New Roman" w:cs="Times New Roman"/>
        </w:rPr>
        <w:t xml:space="preserve"> </w:t>
      </w:r>
      <w:proofErr w:type="spellStart"/>
      <w:r w:rsidRPr="00361FFF">
        <w:rPr>
          <w:rFonts w:ascii="Times New Roman" w:hAnsi="Times New Roman" w:cs="Times New Roman"/>
        </w:rPr>
        <w:t>Baru</w:t>
      </w:r>
      <w:proofErr w:type="spellEnd"/>
      <w:r w:rsidRPr="00361FFF">
        <w:rPr>
          <w:rFonts w:ascii="Times New Roman" w:hAnsi="Times New Roman" w:cs="Times New Roman"/>
        </w:rPr>
        <w:t xml:space="preserve"> Village.</w:t>
      </w:r>
    </w:p>
    <w:p w14:paraId="147508D6" w14:textId="025EBC46" w:rsidR="00361FFF" w:rsidRPr="00361FFF" w:rsidRDefault="00361FFF" w:rsidP="00361FFF">
      <w:pPr>
        <w:jc w:val="both"/>
        <w:rPr>
          <w:rFonts w:ascii="Times New Roman" w:hAnsi="Times New Roman" w:cs="Times New Roman"/>
        </w:rPr>
      </w:pPr>
      <w:r w:rsidRPr="00361FFF">
        <w:rPr>
          <w:rFonts w:ascii="Times New Roman" w:hAnsi="Times New Roman" w:cs="Times New Roman"/>
        </w:rPr>
        <w:t xml:space="preserve">Adequate infrastructure—such as reliable irrigation networks and efficient post-harvest facilities—is a prerequisite for sustainable food availability. Although </w:t>
      </w:r>
      <w:proofErr w:type="spellStart"/>
      <w:r w:rsidRPr="00361FFF">
        <w:rPr>
          <w:rFonts w:ascii="Times New Roman" w:hAnsi="Times New Roman" w:cs="Times New Roman"/>
        </w:rPr>
        <w:t>Batumbulan</w:t>
      </w:r>
      <w:proofErr w:type="spellEnd"/>
      <w:r w:rsidRPr="00361FFF">
        <w:rPr>
          <w:rFonts w:ascii="Times New Roman" w:hAnsi="Times New Roman" w:cs="Times New Roman"/>
        </w:rPr>
        <w:t xml:space="preserve"> </w:t>
      </w:r>
      <w:proofErr w:type="spellStart"/>
      <w:r w:rsidRPr="00361FFF">
        <w:rPr>
          <w:rFonts w:ascii="Times New Roman" w:hAnsi="Times New Roman" w:cs="Times New Roman"/>
        </w:rPr>
        <w:t>Baru</w:t>
      </w:r>
      <w:proofErr w:type="spellEnd"/>
      <w:r w:rsidRPr="00361FFF">
        <w:rPr>
          <w:rFonts w:ascii="Times New Roman" w:hAnsi="Times New Roman" w:cs="Times New Roman"/>
        </w:rPr>
        <w:t xml:space="preserve"> Village has substantial agrarian potential, it faces major constraints in agricultural infrastructure, especially in water management for irrigation. Given the importance of irrigation to support food production, strengthening irrigation infrastructure is an urgent strategic priority (</w:t>
      </w:r>
      <w:proofErr w:type="spellStart"/>
      <w:r w:rsidR="002F6B90">
        <w:rPr>
          <w:rFonts w:ascii="Times New Roman" w:hAnsi="Times New Roman" w:cs="Times New Roman"/>
        </w:rPr>
        <w:t>Tirtalistyani</w:t>
      </w:r>
      <w:proofErr w:type="spellEnd"/>
      <w:r w:rsidRPr="00361FFF">
        <w:rPr>
          <w:rFonts w:ascii="Times New Roman" w:hAnsi="Times New Roman" w:cs="Times New Roman"/>
        </w:rPr>
        <w:t>, 202</w:t>
      </w:r>
      <w:r w:rsidR="002F6B90">
        <w:rPr>
          <w:rFonts w:ascii="Times New Roman" w:hAnsi="Times New Roman" w:cs="Times New Roman"/>
        </w:rPr>
        <w:t>2</w:t>
      </w:r>
      <w:r w:rsidRPr="00361FFF">
        <w:rPr>
          <w:rFonts w:ascii="Times New Roman" w:hAnsi="Times New Roman" w:cs="Times New Roman"/>
        </w:rPr>
        <w:t>).</w:t>
      </w:r>
    </w:p>
    <w:p w14:paraId="68E0B9BB" w14:textId="6A7347B9" w:rsidR="00361FFF" w:rsidRPr="00361FFF" w:rsidRDefault="00361FFF" w:rsidP="00361FFF">
      <w:pPr>
        <w:jc w:val="both"/>
        <w:rPr>
          <w:rFonts w:ascii="Times New Roman" w:hAnsi="Times New Roman" w:cs="Times New Roman"/>
        </w:rPr>
      </w:pPr>
      <w:r w:rsidRPr="00361FFF">
        <w:rPr>
          <w:rFonts w:ascii="Times New Roman" w:hAnsi="Times New Roman" w:cs="Times New Roman"/>
        </w:rPr>
        <w:t>In addition, strengthening farmers’ capacity through training and agricultural education based on Good Agricultural Practices (GAP) is essential</w:t>
      </w:r>
      <w:r w:rsidR="002F6B90">
        <w:rPr>
          <w:rFonts w:ascii="Times New Roman" w:hAnsi="Times New Roman" w:cs="Times New Roman"/>
        </w:rPr>
        <w:t xml:space="preserve"> (Mohd, 2023)</w:t>
      </w:r>
      <w:r w:rsidRPr="00361FFF">
        <w:rPr>
          <w:rFonts w:ascii="Times New Roman" w:hAnsi="Times New Roman" w:cs="Times New Roman"/>
        </w:rPr>
        <w:t>. Such capacity building aims to improve efficiency and productivity, while also enhancing farmers’ ability to manage agricultural outputs. GAP-based training can improve product quality, which in turn strengthens food security at the village level.</w:t>
      </w:r>
    </w:p>
    <w:p w14:paraId="1042196C" w14:textId="287A957A" w:rsidR="00361FFF" w:rsidRPr="00361FFF" w:rsidRDefault="00361FFF" w:rsidP="00361FFF">
      <w:pPr>
        <w:jc w:val="both"/>
        <w:rPr>
          <w:rFonts w:ascii="Times New Roman" w:hAnsi="Times New Roman" w:cs="Times New Roman"/>
        </w:rPr>
      </w:pPr>
      <w:r w:rsidRPr="00361FFF">
        <w:rPr>
          <w:rFonts w:ascii="Times New Roman" w:hAnsi="Times New Roman" w:cs="Times New Roman"/>
        </w:rPr>
        <w:t xml:space="preserve">Village Funds, as a key financing source available to villages, also play a crucial role in improving food security. However, in practice, Village Fund </w:t>
      </w:r>
      <w:proofErr w:type="spellStart"/>
      <w:r w:rsidRPr="00361FFF">
        <w:rPr>
          <w:rFonts w:ascii="Times New Roman" w:hAnsi="Times New Roman" w:cs="Times New Roman"/>
        </w:rPr>
        <w:t>utilisation</w:t>
      </w:r>
      <w:proofErr w:type="spellEnd"/>
      <w:r w:rsidRPr="00361FFF">
        <w:rPr>
          <w:rFonts w:ascii="Times New Roman" w:hAnsi="Times New Roman" w:cs="Times New Roman"/>
        </w:rPr>
        <w:t xml:space="preserve"> for food security is often less effective due to the absence of planning based on robust data and measurable strategic analysis. In this study, SEM is used to map relationships among Village Funds, infrastructure, institutions, and village food security in order to generate more targeted recommendations for effective village resource allocation (</w:t>
      </w:r>
      <w:proofErr w:type="spellStart"/>
      <w:r w:rsidR="002F6B90">
        <w:rPr>
          <w:rFonts w:ascii="Times New Roman" w:hAnsi="Times New Roman" w:cs="Times New Roman"/>
        </w:rPr>
        <w:t>Permatasari</w:t>
      </w:r>
      <w:proofErr w:type="spellEnd"/>
      <w:r w:rsidRPr="00361FFF">
        <w:rPr>
          <w:rFonts w:ascii="Times New Roman" w:hAnsi="Times New Roman" w:cs="Times New Roman"/>
        </w:rPr>
        <w:t>, 202</w:t>
      </w:r>
      <w:r w:rsidR="002F6B90">
        <w:rPr>
          <w:rFonts w:ascii="Times New Roman" w:hAnsi="Times New Roman" w:cs="Times New Roman"/>
        </w:rPr>
        <w:t>1</w:t>
      </w:r>
      <w:r w:rsidRPr="00361FFF">
        <w:rPr>
          <w:rFonts w:ascii="Times New Roman" w:hAnsi="Times New Roman" w:cs="Times New Roman"/>
        </w:rPr>
        <w:t>).</w:t>
      </w:r>
    </w:p>
    <w:p w14:paraId="52D5F995" w14:textId="6C6E044C" w:rsidR="00361FFF" w:rsidRPr="00361FFF" w:rsidRDefault="00361FFF" w:rsidP="00361FFF">
      <w:pPr>
        <w:jc w:val="both"/>
        <w:rPr>
          <w:rFonts w:ascii="Times New Roman" w:hAnsi="Times New Roman" w:cs="Times New Roman"/>
        </w:rPr>
      </w:pPr>
      <w:r w:rsidRPr="00361FFF">
        <w:rPr>
          <w:rFonts w:ascii="Times New Roman" w:hAnsi="Times New Roman" w:cs="Times New Roman"/>
        </w:rPr>
        <w:t xml:space="preserve">Meanwhile, AHP is used to establish a priority scale for development interventions based on inputs from local stakeholders. Through AHP, the proposed development policies can be aligned with real needs in the field, ensuring that Village Fund allocations generate maximum impact on food security outcomes. According to </w:t>
      </w:r>
      <w:r w:rsidR="002F6B90">
        <w:rPr>
          <w:rFonts w:ascii="Times New Roman" w:hAnsi="Times New Roman" w:cs="Times New Roman"/>
        </w:rPr>
        <w:t xml:space="preserve">Widodo </w:t>
      </w:r>
      <w:r w:rsidRPr="00361FFF">
        <w:rPr>
          <w:rFonts w:ascii="Times New Roman" w:hAnsi="Times New Roman" w:cs="Times New Roman"/>
        </w:rPr>
        <w:t>(202</w:t>
      </w:r>
      <w:r w:rsidR="002F6B90">
        <w:rPr>
          <w:rFonts w:ascii="Times New Roman" w:hAnsi="Times New Roman" w:cs="Times New Roman"/>
        </w:rPr>
        <w:t>1</w:t>
      </w:r>
      <w:r w:rsidRPr="00361FFF">
        <w:rPr>
          <w:rFonts w:ascii="Times New Roman" w:hAnsi="Times New Roman" w:cs="Times New Roman"/>
        </w:rPr>
        <w:t>), participatory approaches of this kind can improve policy implementation because they directly involve communities in decision-making.</w:t>
      </w:r>
    </w:p>
    <w:p w14:paraId="75D4AF8E" w14:textId="390EBFE6" w:rsidR="00361FFF" w:rsidRPr="00361FFF" w:rsidRDefault="00361FFF" w:rsidP="00361FFF">
      <w:pPr>
        <w:jc w:val="both"/>
        <w:rPr>
          <w:rFonts w:ascii="Times New Roman" w:hAnsi="Times New Roman" w:cs="Times New Roman"/>
        </w:rPr>
      </w:pPr>
      <w:r w:rsidRPr="00361FFF">
        <w:rPr>
          <w:rFonts w:ascii="Times New Roman" w:hAnsi="Times New Roman" w:cs="Times New Roman"/>
        </w:rPr>
        <w:lastRenderedPageBreak/>
        <w:t xml:space="preserve">A commodity-based regional development strategy is a relevant model for </w:t>
      </w:r>
      <w:proofErr w:type="spellStart"/>
      <w:r w:rsidRPr="00361FFF">
        <w:rPr>
          <w:rFonts w:ascii="Times New Roman" w:hAnsi="Times New Roman" w:cs="Times New Roman"/>
        </w:rPr>
        <w:t>Batumbulan</w:t>
      </w:r>
      <w:proofErr w:type="spellEnd"/>
      <w:r w:rsidRPr="00361FFF">
        <w:rPr>
          <w:rFonts w:ascii="Times New Roman" w:hAnsi="Times New Roman" w:cs="Times New Roman"/>
        </w:rPr>
        <w:t xml:space="preserve"> </w:t>
      </w:r>
      <w:proofErr w:type="spellStart"/>
      <w:r w:rsidRPr="00361FFF">
        <w:rPr>
          <w:rFonts w:ascii="Times New Roman" w:hAnsi="Times New Roman" w:cs="Times New Roman"/>
        </w:rPr>
        <w:t>Baru</w:t>
      </w:r>
      <w:proofErr w:type="spellEnd"/>
      <w:r w:rsidRPr="00361FFF">
        <w:rPr>
          <w:rFonts w:ascii="Times New Roman" w:hAnsi="Times New Roman" w:cs="Times New Roman"/>
        </w:rPr>
        <w:t xml:space="preserve"> Village. As an agrarian village, </w:t>
      </w:r>
      <w:proofErr w:type="spellStart"/>
      <w:r w:rsidRPr="00361FFF">
        <w:rPr>
          <w:rFonts w:ascii="Times New Roman" w:hAnsi="Times New Roman" w:cs="Times New Roman"/>
        </w:rPr>
        <w:t>Batumbulan</w:t>
      </w:r>
      <w:proofErr w:type="spellEnd"/>
      <w:r w:rsidRPr="00361FFF">
        <w:rPr>
          <w:rFonts w:ascii="Times New Roman" w:hAnsi="Times New Roman" w:cs="Times New Roman"/>
        </w:rPr>
        <w:t xml:space="preserve"> </w:t>
      </w:r>
      <w:proofErr w:type="spellStart"/>
      <w:r w:rsidRPr="00361FFF">
        <w:rPr>
          <w:rFonts w:ascii="Times New Roman" w:hAnsi="Times New Roman" w:cs="Times New Roman"/>
        </w:rPr>
        <w:t>Baru</w:t>
      </w:r>
      <w:proofErr w:type="spellEnd"/>
      <w:r w:rsidRPr="00361FFF">
        <w:rPr>
          <w:rFonts w:ascii="Times New Roman" w:hAnsi="Times New Roman" w:cs="Times New Roman"/>
        </w:rPr>
        <w:t xml:space="preserve"> has leading commodities in horticulture that can be leveraged to strengthen local food security. </w:t>
      </w:r>
      <w:r w:rsidR="002F6B90">
        <w:rPr>
          <w:rFonts w:ascii="Times New Roman" w:hAnsi="Times New Roman" w:cs="Times New Roman"/>
        </w:rPr>
        <w:t>C</w:t>
      </w:r>
      <w:r w:rsidRPr="00361FFF">
        <w:rPr>
          <w:rFonts w:ascii="Times New Roman" w:hAnsi="Times New Roman" w:cs="Times New Roman"/>
        </w:rPr>
        <w:t>ommodity-based area development, supported by appropriate policy instruments, can improve productivity and competitiveness of village food commodities. Accordingly, horticulture is positioned as a key focus in the village’s food security development agenda.</w:t>
      </w:r>
    </w:p>
    <w:p w14:paraId="7B5FC009" w14:textId="05E4A6C3" w:rsidR="00361FFF" w:rsidRPr="00361FFF" w:rsidRDefault="00361FFF" w:rsidP="00361FFF">
      <w:pPr>
        <w:jc w:val="both"/>
        <w:rPr>
          <w:rFonts w:ascii="Times New Roman" w:hAnsi="Times New Roman" w:cs="Times New Roman"/>
        </w:rPr>
      </w:pPr>
      <w:r w:rsidRPr="00361FFF">
        <w:rPr>
          <w:rFonts w:ascii="Times New Roman" w:hAnsi="Times New Roman" w:cs="Times New Roman"/>
        </w:rPr>
        <w:t xml:space="preserve">In this context, it is important to </w:t>
      </w:r>
      <w:proofErr w:type="spellStart"/>
      <w:r w:rsidRPr="00361FFF">
        <w:rPr>
          <w:rFonts w:ascii="Times New Roman" w:hAnsi="Times New Roman" w:cs="Times New Roman"/>
        </w:rPr>
        <w:t>recognise</w:t>
      </w:r>
      <w:proofErr w:type="spellEnd"/>
      <w:r w:rsidRPr="00361FFF">
        <w:rPr>
          <w:rFonts w:ascii="Times New Roman" w:hAnsi="Times New Roman" w:cs="Times New Roman"/>
        </w:rPr>
        <w:t xml:space="preserve"> that village food security does not depend solely on production, but also on distribution systems and market access. Despite strong horticultural potential, </w:t>
      </w:r>
      <w:proofErr w:type="spellStart"/>
      <w:r w:rsidRPr="00361FFF">
        <w:rPr>
          <w:rFonts w:ascii="Times New Roman" w:hAnsi="Times New Roman" w:cs="Times New Roman"/>
        </w:rPr>
        <w:t>Batumbulan</w:t>
      </w:r>
      <w:proofErr w:type="spellEnd"/>
      <w:r w:rsidRPr="00361FFF">
        <w:rPr>
          <w:rFonts w:ascii="Times New Roman" w:hAnsi="Times New Roman" w:cs="Times New Roman"/>
        </w:rPr>
        <w:t xml:space="preserve"> </w:t>
      </w:r>
      <w:proofErr w:type="spellStart"/>
      <w:r w:rsidRPr="00361FFF">
        <w:rPr>
          <w:rFonts w:ascii="Times New Roman" w:hAnsi="Times New Roman" w:cs="Times New Roman"/>
        </w:rPr>
        <w:t>Baru</w:t>
      </w:r>
      <w:proofErr w:type="spellEnd"/>
      <w:r w:rsidRPr="00361FFF">
        <w:rPr>
          <w:rFonts w:ascii="Times New Roman" w:hAnsi="Times New Roman" w:cs="Times New Roman"/>
        </w:rPr>
        <w:t xml:space="preserve"> Village continues to experience marketing difficulties. The lack of a permanent village market and an active cooperative constrains distribution, weakens farmers’ bargaining power, and ultimately affects households’ purchasing capacity for local food products. Therefore, the development of a permanent village market becomes a priority within the village food security strategy.</w:t>
      </w:r>
    </w:p>
    <w:p w14:paraId="23571760" w14:textId="77777777" w:rsidR="00361FFF" w:rsidRPr="00361FFF" w:rsidRDefault="00361FFF" w:rsidP="00361FFF">
      <w:pPr>
        <w:jc w:val="both"/>
        <w:rPr>
          <w:rFonts w:ascii="Times New Roman" w:hAnsi="Times New Roman" w:cs="Times New Roman"/>
        </w:rPr>
      </w:pPr>
      <w:r w:rsidRPr="00361FFF">
        <w:rPr>
          <w:rFonts w:ascii="Times New Roman" w:hAnsi="Times New Roman" w:cs="Times New Roman"/>
        </w:rPr>
        <w:t xml:space="preserve">Finally, this study aims to provide a clearer account of how factors such as infrastructure, institutional capacity, and Village Fund </w:t>
      </w:r>
      <w:proofErr w:type="spellStart"/>
      <w:r w:rsidRPr="00361FFF">
        <w:rPr>
          <w:rFonts w:ascii="Times New Roman" w:hAnsi="Times New Roman" w:cs="Times New Roman"/>
        </w:rPr>
        <w:t>utilisation</w:t>
      </w:r>
      <w:proofErr w:type="spellEnd"/>
      <w:r w:rsidRPr="00361FFF">
        <w:rPr>
          <w:rFonts w:ascii="Times New Roman" w:hAnsi="Times New Roman" w:cs="Times New Roman"/>
        </w:rPr>
        <w:t xml:space="preserve"> interact to support village food security. By integrating SEM and AHP, the study not only offers an in-depth analysis of inter-variable relationships but also formulates implementable strategic priorities to </w:t>
      </w:r>
      <w:proofErr w:type="spellStart"/>
      <w:r w:rsidRPr="00361FFF">
        <w:rPr>
          <w:rFonts w:ascii="Times New Roman" w:hAnsi="Times New Roman" w:cs="Times New Roman"/>
        </w:rPr>
        <w:t>realise</w:t>
      </w:r>
      <w:proofErr w:type="spellEnd"/>
      <w:r w:rsidRPr="00361FFF">
        <w:rPr>
          <w:rFonts w:ascii="Times New Roman" w:hAnsi="Times New Roman" w:cs="Times New Roman"/>
        </w:rPr>
        <w:t xml:space="preserve"> an inclusive and sustainable food self-sufficient area in </w:t>
      </w:r>
      <w:proofErr w:type="spellStart"/>
      <w:r w:rsidRPr="00361FFF">
        <w:rPr>
          <w:rFonts w:ascii="Times New Roman" w:hAnsi="Times New Roman" w:cs="Times New Roman"/>
        </w:rPr>
        <w:t>Batumbulan</w:t>
      </w:r>
      <w:proofErr w:type="spellEnd"/>
      <w:r w:rsidRPr="00361FFF">
        <w:rPr>
          <w:rFonts w:ascii="Times New Roman" w:hAnsi="Times New Roman" w:cs="Times New Roman"/>
        </w:rPr>
        <w:t xml:space="preserve"> </w:t>
      </w:r>
      <w:proofErr w:type="spellStart"/>
      <w:r w:rsidRPr="00361FFF">
        <w:rPr>
          <w:rFonts w:ascii="Times New Roman" w:hAnsi="Times New Roman" w:cs="Times New Roman"/>
        </w:rPr>
        <w:t>Baru</w:t>
      </w:r>
      <w:proofErr w:type="spellEnd"/>
      <w:r w:rsidRPr="00361FFF">
        <w:rPr>
          <w:rFonts w:ascii="Times New Roman" w:hAnsi="Times New Roman" w:cs="Times New Roman"/>
        </w:rPr>
        <w:t xml:space="preserve"> Village. With strengthened institutions, improved infrastructure, and enhanced community participation, the strategy is expected to serve as a model for food security development in other Indonesian villages with similar characteristics (Helmi et al., 2021).</w:t>
      </w:r>
    </w:p>
    <w:p w14:paraId="1FA5A22E" w14:textId="357C212C" w:rsidR="00361FFF" w:rsidRDefault="00361FFF" w:rsidP="00361FFF">
      <w:pPr>
        <w:jc w:val="both"/>
        <w:rPr>
          <w:rFonts w:ascii="Times New Roman" w:hAnsi="Times New Roman" w:cs="Times New Roman"/>
          <w:b/>
          <w:bCs/>
        </w:rPr>
      </w:pPr>
      <w:r>
        <w:rPr>
          <w:rFonts w:ascii="Times New Roman" w:hAnsi="Times New Roman" w:cs="Times New Roman"/>
          <w:b/>
          <w:bCs/>
        </w:rPr>
        <w:t xml:space="preserve">II. </w:t>
      </w:r>
      <w:r w:rsidRPr="00361FFF">
        <w:rPr>
          <w:rFonts w:ascii="Times New Roman" w:hAnsi="Times New Roman" w:cs="Times New Roman"/>
          <w:b/>
          <w:bCs/>
        </w:rPr>
        <w:t>Research Methods</w:t>
      </w:r>
    </w:p>
    <w:p w14:paraId="59824D72" w14:textId="5E0BBFA9" w:rsidR="008815EC" w:rsidRPr="00361FFF" w:rsidRDefault="00361FFF" w:rsidP="00361FFF">
      <w:pPr>
        <w:jc w:val="both"/>
        <w:rPr>
          <w:rFonts w:ascii="Times New Roman" w:hAnsi="Times New Roman" w:cs="Times New Roman"/>
        </w:rPr>
      </w:pPr>
      <w:r w:rsidRPr="00361FFF">
        <w:rPr>
          <w:rFonts w:ascii="Times New Roman" w:hAnsi="Times New Roman" w:cs="Times New Roman"/>
        </w:rPr>
        <w:t xml:space="preserve">This study employs a quantitative approach with descriptive and explanatory research types. The quantitative approach is selected because the primary objective is to objectively measure relationships among variables influencing village food security, including Village Fund </w:t>
      </w:r>
      <w:proofErr w:type="spellStart"/>
      <w:r w:rsidRPr="00361FFF">
        <w:rPr>
          <w:rFonts w:ascii="Times New Roman" w:hAnsi="Times New Roman" w:cs="Times New Roman"/>
        </w:rPr>
        <w:t>utilisation</w:t>
      </w:r>
      <w:proofErr w:type="spellEnd"/>
      <w:r w:rsidRPr="00361FFF">
        <w:rPr>
          <w:rFonts w:ascii="Times New Roman" w:hAnsi="Times New Roman" w:cs="Times New Roman"/>
        </w:rPr>
        <w:t xml:space="preserve">, the quality of agricultural infrastructure, farmers’ institutional capacity, and horticultural food production. The descriptive component is used to portray the current factual conditions of </w:t>
      </w:r>
      <w:proofErr w:type="spellStart"/>
      <w:r w:rsidRPr="00361FFF">
        <w:rPr>
          <w:rFonts w:ascii="Times New Roman" w:hAnsi="Times New Roman" w:cs="Times New Roman"/>
        </w:rPr>
        <w:t>Batumbulan</w:t>
      </w:r>
      <w:proofErr w:type="spellEnd"/>
      <w:r w:rsidRPr="00361FFF">
        <w:rPr>
          <w:rFonts w:ascii="Times New Roman" w:hAnsi="Times New Roman" w:cs="Times New Roman"/>
        </w:rPr>
        <w:t xml:space="preserve"> </w:t>
      </w:r>
      <w:proofErr w:type="spellStart"/>
      <w:r w:rsidRPr="00361FFF">
        <w:rPr>
          <w:rFonts w:ascii="Times New Roman" w:hAnsi="Times New Roman" w:cs="Times New Roman"/>
        </w:rPr>
        <w:t>Baru</w:t>
      </w:r>
      <w:proofErr w:type="spellEnd"/>
      <w:r w:rsidRPr="00361FFF">
        <w:rPr>
          <w:rFonts w:ascii="Times New Roman" w:hAnsi="Times New Roman" w:cs="Times New Roman"/>
        </w:rPr>
        <w:t xml:space="preserve"> Village with regard to its food security system, while the explanatory component is intended to test causal relationships among variables using Structural Equation Modeling (SEM).</w:t>
      </w:r>
    </w:p>
    <w:p w14:paraId="11D3347F" w14:textId="762F274A" w:rsidR="00361FFF" w:rsidRPr="00361FFF" w:rsidRDefault="00361FFF" w:rsidP="00361FFF">
      <w:pPr>
        <w:jc w:val="both"/>
        <w:rPr>
          <w:rFonts w:ascii="Times New Roman" w:hAnsi="Times New Roman" w:cs="Times New Roman"/>
          <w:b/>
          <w:bCs/>
        </w:rPr>
      </w:pPr>
      <w:r>
        <w:rPr>
          <w:rFonts w:ascii="Times New Roman" w:hAnsi="Times New Roman" w:cs="Times New Roman"/>
          <w:b/>
          <w:bCs/>
        </w:rPr>
        <w:t>2</w:t>
      </w:r>
      <w:r w:rsidRPr="00361FFF">
        <w:rPr>
          <w:rFonts w:ascii="Times New Roman" w:hAnsi="Times New Roman" w:cs="Times New Roman"/>
          <w:b/>
          <w:bCs/>
        </w:rPr>
        <w:t>.1 Research Approach and Type</w:t>
      </w:r>
    </w:p>
    <w:p w14:paraId="319C2CD0" w14:textId="6E91ACA6" w:rsidR="00361FFF" w:rsidRPr="00361FFF" w:rsidRDefault="00361FFF" w:rsidP="00361FFF">
      <w:pPr>
        <w:jc w:val="both"/>
        <w:rPr>
          <w:rFonts w:ascii="Times New Roman" w:hAnsi="Times New Roman" w:cs="Times New Roman"/>
        </w:rPr>
      </w:pPr>
      <w:r w:rsidRPr="00361FFF">
        <w:rPr>
          <w:rFonts w:ascii="Times New Roman" w:hAnsi="Times New Roman" w:cs="Times New Roman"/>
        </w:rPr>
        <w:t xml:space="preserve">This study adopts two analytical methods—Structural Equation Modeling (SEM) and the Analytic Hierarchy Process (AHP)—applied in combination to provide a comprehensive understanding of village food security. SEM is chosen due to its capability to model causal relationships between latent variables and their indicators. SEM also enables testing of direct and indirect effects among key factors, such as Village Fund </w:t>
      </w:r>
      <w:proofErr w:type="spellStart"/>
      <w:r w:rsidRPr="00361FFF">
        <w:rPr>
          <w:rFonts w:ascii="Times New Roman" w:hAnsi="Times New Roman" w:cs="Times New Roman"/>
        </w:rPr>
        <w:t>utilisation</w:t>
      </w:r>
      <w:proofErr w:type="spellEnd"/>
      <w:r w:rsidRPr="00361FFF">
        <w:rPr>
          <w:rFonts w:ascii="Times New Roman" w:hAnsi="Times New Roman" w:cs="Times New Roman"/>
        </w:rPr>
        <w:t>, agricultural infrastructure, and institutional capacity, in relation to village food security.</w:t>
      </w:r>
    </w:p>
    <w:p w14:paraId="4F6FE72D" w14:textId="77777777" w:rsidR="00361FFF" w:rsidRPr="00361FFF" w:rsidRDefault="00361FFF" w:rsidP="00361FFF">
      <w:pPr>
        <w:jc w:val="both"/>
        <w:rPr>
          <w:rFonts w:ascii="Times New Roman" w:hAnsi="Times New Roman" w:cs="Times New Roman"/>
        </w:rPr>
      </w:pPr>
      <w:r w:rsidRPr="00361FFF">
        <w:rPr>
          <w:rFonts w:ascii="Times New Roman" w:hAnsi="Times New Roman" w:cs="Times New Roman"/>
        </w:rPr>
        <w:lastRenderedPageBreak/>
        <w:t>AHP is used to construct policy or development strategy priorities for food security based on inputs from various local stakeholders. This approach is particularly suitable for village-based research because it incorporates community participation in decision-making by comparing and weighting criteria and sub-criteria perceived as important by stakeholders.</w:t>
      </w:r>
    </w:p>
    <w:p w14:paraId="4400C11E" w14:textId="3A97F154" w:rsidR="00361FFF" w:rsidRPr="00361FFF" w:rsidRDefault="00361FFF" w:rsidP="00361FFF">
      <w:pPr>
        <w:jc w:val="both"/>
        <w:rPr>
          <w:rFonts w:ascii="Times New Roman" w:hAnsi="Times New Roman" w:cs="Times New Roman"/>
          <w:b/>
          <w:bCs/>
        </w:rPr>
      </w:pPr>
      <w:r>
        <w:rPr>
          <w:rFonts w:ascii="Times New Roman" w:hAnsi="Times New Roman" w:cs="Times New Roman"/>
          <w:b/>
          <w:bCs/>
        </w:rPr>
        <w:t>2</w:t>
      </w:r>
      <w:r w:rsidRPr="00361FFF">
        <w:rPr>
          <w:rFonts w:ascii="Times New Roman" w:hAnsi="Times New Roman" w:cs="Times New Roman"/>
          <w:b/>
          <w:bCs/>
        </w:rPr>
        <w:t>.2 Research Location</w:t>
      </w:r>
    </w:p>
    <w:p w14:paraId="13048B5B" w14:textId="6BFD84F2" w:rsidR="00361FFF" w:rsidRPr="00361FFF" w:rsidRDefault="00361FFF" w:rsidP="00361FFF">
      <w:pPr>
        <w:jc w:val="both"/>
        <w:rPr>
          <w:rFonts w:ascii="Times New Roman" w:hAnsi="Times New Roman" w:cs="Times New Roman"/>
        </w:rPr>
      </w:pPr>
      <w:r w:rsidRPr="00361FFF">
        <w:rPr>
          <w:rFonts w:ascii="Times New Roman" w:hAnsi="Times New Roman" w:cs="Times New Roman"/>
        </w:rPr>
        <w:t xml:space="preserve">This research was conducted in </w:t>
      </w:r>
      <w:proofErr w:type="spellStart"/>
      <w:r w:rsidRPr="00361FFF">
        <w:rPr>
          <w:rFonts w:ascii="Times New Roman" w:hAnsi="Times New Roman" w:cs="Times New Roman"/>
        </w:rPr>
        <w:t>Batumbulan</w:t>
      </w:r>
      <w:proofErr w:type="spellEnd"/>
      <w:r w:rsidRPr="00361FFF">
        <w:rPr>
          <w:rFonts w:ascii="Times New Roman" w:hAnsi="Times New Roman" w:cs="Times New Roman"/>
        </w:rPr>
        <w:t xml:space="preserve"> </w:t>
      </w:r>
      <w:proofErr w:type="spellStart"/>
      <w:r w:rsidRPr="00361FFF">
        <w:rPr>
          <w:rFonts w:ascii="Times New Roman" w:hAnsi="Times New Roman" w:cs="Times New Roman"/>
        </w:rPr>
        <w:t>Baru</w:t>
      </w:r>
      <w:proofErr w:type="spellEnd"/>
      <w:r w:rsidRPr="00361FFF">
        <w:rPr>
          <w:rFonts w:ascii="Times New Roman" w:hAnsi="Times New Roman" w:cs="Times New Roman"/>
        </w:rPr>
        <w:t xml:space="preserve"> Village, </w:t>
      </w:r>
      <w:proofErr w:type="spellStart"/>
      <w:r w:rsidRPr="00361FFF">
        <w:rPr>
          <w:rFonts w:ascii="Times New Roman" w:hAnsi="Times New Roman" w:cs="Times New Roman"/>
        </w:rPr>
        <w:t>Babussalam</w:t>
      </w:r>
      <w:proofErr w:type="spellEnd"/>
      <w:r w:rsidRPr="00361FFF">
        <w:rPr>
          <w:rFonts w:ascii="Times New Roman" w:hAnsi="Times New Roman" w:cs="Times New Roman"/>
        </w:rPr>
        <w:t xml:space="preserve"> Sub-District, Southeast Aceh Regency. The site was selected because it exhibits strong agrarian characteristics and possesses leading commodities such as horticulture. Nevertheless, the village faces challenges in natural resource management, food distribution, and the suboptimal </w:t>
      </w:r>
      <w:proofErr w:type="spellStart"/>
      <w:r w:rsidRPr="00361FFF">
        <w:rPr>
          <w:rFonts w:ascii="Times New Roman" w:hAnsi="Times New Roman" w:cs="Times New Roman"/>
        </w:rPr>
        <w:t>utilisation</w:t>
      </w:r>
      <w:proofErr w:type="spellEnd"/>
      <w:r w:rsidRPr="00361FFF">
        <w:rPr>
          <w:rFonts w:ascii="Times New Roman" w:hAnsi="Times New Roman" w:cs="Times New Roman"/>
        </w:rPr>
        <w:t xml:space="preserve"> of Village Funds. The location is also empirically relevant for examining village-level food self-sufficiency strategies and for applying a commodity-based area development approach.</w:t>
      </w:r>
    </w:p>
    <w:p w14:paraId="3A9B7F26" w14:textId="359C0FF7" w:rsidR="00361FFF" w:rsidRPr="00361FFF" w:rsidRDefault="00361FFF" w:rsidP="00361FFF">
      <w:pPr>
        <w:jc w:val="both"/>
        <w:rPr>
          <w:rFonts w:ascii="Times New Roman" w:hAnsi="Times New Roman" w:cs="Times New Roman"/>
          <w:b/>
          <w:bCs/>
        </w:rPr>
      </w:pPr>
      <w:r>
        <w:rPr>
          <w:rFonts w:ascii="Times New Roman" w:hAnsi="Times New Roman" w:cs="Times New Roman"/>
          <w:b/>
          <w:bCs/>
        </w:rPr>
        <w:t>2</w:t>
      </w:r>
      <w:r w:rsidRPr="00361FFF">
        <w:rPr>
          <w:rFonts w:ascii="Times New Roman" w:hAnsi="Times New Roman" w:cs="Times New Roman"/>
          <w:b/>
          <w:bCs/>
        </w:rPr>
        <w:t>.3 Population and Sample</w:t>
      </w:r>
    </w:p>
    <w:p w14:paraId="3062EC04" w14:textId="7A69A965" w:rsidR="00361FFF" w:rsidRPr="00361FFF" w:rsidRDefault="00361FFF" w:rsidP="00361FFF">
      <w:pPr>
        <w:jc w:val="both"/>
        <w:rPr>
          <w:rFonts w:ascii="Times New Roman" w:hAnsi="Times New Roman" w:cs="Times New Roman"/>
        </w:rPr>
      </w:pPr>
      <w:r w:rsidRPr="00361FFF">
        <w:rPr>
          <w:rFonts w:ascii="Times New Roman" w:hAnsi="Times New Roman" w:cs="Times New Roman"/>
        </w:rPr>
        <w:t xml:space="preserve">The population of this study comprises all horticultural farmers who are members of active farmer groups in </w:t>
      </w:r>
      <w:proofErr w:type="spellStart"/>
      <w:r w:rsidRPr="00361FFF">
        <w:rPr>
          <w:rFonts w:ascii="Times New Roman" w:hAnsi="Times New Roman" w:cs="Times New Roman"/>
        </w:rPr>
        <w:t>Batumbulan</w:t>
      </w:r>
      <w:proofErr w:type="spellEnd"/>
      <w:r w:rsidRPr="00361FFF">
        <w:rPr>
          <w:rFonts w:ascii="Times New Roman" w:hAnsi="Times New Roman" w:cs="Times New Roman"/>
        </w:rPr>
        <w:t xml:space="preserve"> </w:t>
      </w:r>
      <w:proofErr w:type="spellStart"/>
      <w:r w:rsidRPr="00361FFF">
        <w:rPr>
          <w:rFonts w:ascii="Times New Roman" w:hAnsi="Times New Roman" w:cs="Times New Roman"/>
        </w:rPr>
        <w:t>Baru</w:t>
      </w:r>
      <w:proofErr w:type="spellEnd"/>
      <w:r w:rsidRPr="00361FFF">
        <w:rPr>
          <w:rFonts w:ascii="Times New Roman" w:hAnsi="Times New Roman" w:cs="Times New Roman"/>
        </w:rPr>
        <w:t xml:space="preserve"> Village, </w:t>
      </w:r>
      <w:proofErr w:type="spellStart"/>
      <w:r w:rsidRPr="00361FFF">
        <w:rPr>
          <w:rFonts w:ascii="Times New Roman" w:hAnsi="Times New Roman" w:cs="Times New Roman"/>
        </w:rPr>
        <w:t>Babussalam</w:t>
      </w:r>
      <w:proofErr w:type="spellEnd"/>
      <w:r w:rsidRPr="00361FFF">
        <w:rPr>
          <w:rFonts w:ascii="Times New Roman" w:hAnsi="Times New Roman" w:cs="Times New Roman"/>
        </w:rPr>
        <w:t xml:space="preserve"> Sub-District, Southeast Aceh Regency. The village has four active farmer groups with a total membership of 113. The study sample was determined using stratified random sampling, dividing the population into two principal strata: (1) farmers’ domicile locations across different hamlets, and (2) farmers’ activity status within farmer groups. This technique ensures representation across the village area and </w:t>
      </w:r>
      <w:proofErr w:type="spellStart"/>
      <w:r w:rsidRPr="00361FFF">
        <w:rPr>
          <w:rFonts w:ascii="Times New Roman" w:hAnsi="Times New Roman" w:cs="Times New Roman"/>
        </w:rPr>
        <w:t>minimises</w:t>
      </w:r>
      <w:proofErr w:type="spellEnd"/>
      <w:r w:rsidRPr="00361FFF">
        <w:rPr>
          <w:rFonts w:ascii="Times New Roman" w:hAnsi="Times New Roman" w:cs="Times New Roman"/>
        </w:rPr>
        <w:t xml:space="preserve"> geographic and social bias in sample selection.</w:t>
      </w:r>
    </w:p>
    <w:p w14:paraId="5E0513A4" w14:textId="77777777" w:rsidR="00361FFF" w:rsidRPr="00361FFF" w:rsidRDefault="00361FFF" w:rsidP="00361FFF">
      <w:pPr>
        <w:jc w:val="both"/>
        <w:rPr>
          <w:rFonts w:ascii="Times New Roman" w:hAnsi="Times New Roman" w:cs="Times New Roman"/>
        </w:rPr>
      </w:pPr>
      <w:r w:rsidRPr="00361FFF">
        <w:rPr>
          <w:rFonts w:ascii="Times New Roman" w:hAnsi="Times New Roman" w:cs="Times New Roman"/>
        </w:rPr>
        <w:t>The sample size in this study is 60 respondents, calculated using Slovin’s formula with a 10% margin of error (e = 0.10). This sample size is used to support statistical estimation in SEM and to strengthen the reliability of findings within the model’s constraints. The selected respondents represent farmers active in the last two planting seasons, thereby reflecting actual on-the-ground conditions.</w:t>
      </w:r>
    </w:p>
    <w:p w14:paraId="57988914" w14:textId="6371F9A8" w:rsidR="00361FFF" w:rsidRPr="00361FFF" w:rsidRDefault="00361FFF" w:rsidP="00361FFF">
      <w:pPr>
        <w:jc w:val="both"/>
        <w:rPr>
          <w:rFonts w:ascii="Times New Roman" w:hAnsi="Times New Roman" w:cs="Times New Roman"/>
          <w:b/>
          <w:bCs/>
        </w:rPr>
      </w:pPr>
      <w:r>
        <w:rPr>
          <w:rFonts w:ascii="Times New Roman" w:hAnsi="Times New Roman" w:cs="Times New Roman"/>
          <w:b/>
          <w:bCs/>
        </w:rPr>
        <w:t>2</w:t>
      </w:r>
      <w:r w:rsidRPr="00361FFF">
        <w:rPr>
          <w:rFonts w:ascii="Times New Roman" w:hAnsi="Times New Roman" w:cs="Times New Roman"/>
          <w:b/>
          <w:bCs/>
        </w:rPr>
        <w:t>.4 Types and Sources of Data</w:t>
      </w:r>
    </w:p>
    <w:p w14:paraId="03CF71A5" w14:textId="11CF9EA2" w:rsidR="00361FFF" w:rsidRPr="00361FFF" w:rsidRDefault="00361FFF" w:rsidP="00361FFF">
      <w:pPr>
        <w:jc w:val="both"/>
        <w:rPr>
          <w:rFonts w:ascii="Times New Roman" w:hAnsi="Times New Roman" w:cs="Times New Roman"/>
        </w:rPr>
      </w:pPr>
      <w:r w:rsidRPr="00361FFF">
        <w:rPr>
          <w:rFonts w:ascii="Times New Roman" w:hAnsi="Times New Roman" w:cs="Times New Roman"/>
        </w:rPr>
        <w:t>The data used in this study consist of primary and secondary data that complement each other in building a comprehensive understanding of village food security based on leading commodities.</w:t>
      </w:r>
    </w:p>
    <w:p w14:paraId="48476C1B" w14:textId="77777777" w:rsidR="00361FFF" w:rsidRPr="00361FFF" w:rsidRDefault="00361FFF" w:rsidP="00361FFF">
      <w:pPr>
        <w:numPr>
          <w:ilvl w:val="0"/>
          <w:numId w:val="1"/>
        </w:numPr>
        <w:jc w:val="both"/>
        <w:rPr>
          <w:rFonts w:ascii="Times New Roman" w:hAnsi="Times New Roman" w:cs="Times New Roman"/>
        </w:rPr>
      </w:pPr>
      <w:r w:rsidRPr="00361FFF">
        <w:rPr>
          <w:rFonts w:ascii="Times New Roman" w:hAnsi="Times New Roman" w:cs="Times New Roman"/>
        </w:rPr>
        <w:t>Primary Data: Primary data were collected directly from the field through three main techniques:</w:t>
      </w:r>
      <w:r w:rsidRPr="00361FFF">
        <w:rPr>
          <w:rFonts w:ascii="Times New Roman" w:hAnsi="Times New Roman" w:cs="Times New Roman"/>
        </w:rPr>
        <w:br/>
        <w:t xml:space="preserve">o Questionnaire Distribution: Questionnaires were administered to respondents to measure their perceptions of quantitative variables, including Village Fund </w:t>
      </w:r>
      <w:proofErr w:type="spellStart"/>
      <w:r w:rsidRPr="00361FFF">
        <w:rPr>
          <w:rFonts w:ascii="Times New Roman" w:hAnsi="Times New Roman" w:cs="Times New Roman"/>
        </w:rPr>
        <w:t>utilisation</w:t>
      </w:r>
      <w:proofErr w:type="spellEnd"/>
      <w:r w:rsidRPr="00361FFF">
        <w:rPr>
          <w:rFonts w:ascii="Times New Roman" w:hAnsi="Times New Roman" w:cs="Times New Roman"/>
        </w:rPr>
        <w:t>, the quality of agricultural infrastructure, farmers’ institutional capacity, and food security conditions.</w:t>
      </w:r>
      <w:r w:rsidRPr="00361FFF">
        <w:rPr>
          <w:rFonts w:ascii="Times New Roman" w:hAnsi="Times New Roman" w:cs="Times New Roman"/>
        </w:rPr>
        <w:br/>
        <w:t>o In-Depth Interviews: Interviews were conducted with key informants such as the village head, farmer group leaders, agricultural extension officers, and community leaders to obtain deeper insights into food security conditions and Village Fund use.</w:t>
      </w:r>
      <w:r w:rsidRPr="00361FFF">
        <w:rPr>
          <w:rFonts w:ascii="Times New Roman" w:hAnsi="Times New Roman" w:cs="Times New Roman"/>
        </w:rPr>
        <w:br/>
        <w:t xml:space="preserve">o Focus Group Discussion (FGD): FGDs were conducted to formulate development </w:t>
      </w:r>
      <w:r w:rsidRPr="00361FFF">
        <w:rPr>
          <w:rFonts w:ascii="Times New Roman" w:hAnsi="Times New Roman" w:cs="Times New Roman"/>
        </w:rPr>
        <w:lastRenderedPageBreak/>
        <w:t>priority criteria through AHP. These discussions involved farmers, village officials, and agricultural extension officers who actively participate in village planning processes.</w:t>
      </w:r>
    </w:p>
    <w:p w14:paraId="770B253E" w14:textId="77777777" w:rsidR="00361FFF" w:rsidRPr="00361FFF" w:rsidRDefault="00361FFF" w:rsidP="00361FFF">
      <w:pPr>
        <w:numPr>
          <w:ilvl w:val="0"/>
          <w:numId w:val="1"/>
        </w:numPr>
        <w:jc w:val="both"/>
        <w:rPr>
          <w:rFonts w:ascii="Times New Roman" w:hAnsi="Times New Roman" w:cs="Times New Roman"/>
        </w:rPr>
      </w:pPr>
      <w:r w:rsidRPr="00361FFF">
        <w:rPr>
          <w:rFonts w:ascii="Times New Roman" w:hAnsi="Times New Roman" w:cs="Times New Roman"/>
        </w:rPr>
        <w:t>Secondary Data: Secondary data were used to support the description of regional conditions and enrich the analysis. Secondary data were obtained from:</w:t>
      </w:r>
      <w:r w:rsidRPr="00361FFF">
        <w:rPr>
          <w:rFonts w:ascii="Times New Roman" w:hAnsi="Times New Roman" w:cs="Times New Roman"/>
        </w:rPr>
        <w:br/>
        <w:t xml:space="preserve">o Statistics Indonesia (BPS) of Southeast Aceh Regency, providing demographic and leading commodity data for </w:t>
      </w:r>
      <w:proofErr w:type="spellStart"/>
      <w:r w:rsidRPr="00361FFF">
        <w:rPr>
          <w:rFonts w:ascii="Times New Roman" w:hAnsi="Times New Roman" w:cs="Times New Roman"/>
        </w:rPr>
        <w:t>Babussalam</w:t>
      </w:r>
      <w:proofErr w:type="spellEnd"/>
      <w:r w:rsidRPr="00361FFF">
        <w:rPr>
          <w:rFonts w:ascii="Times New Roman" w:hAnsi="Times New Roman" w:cs="Times New Roman"/>
        </w:rPr>
        <w:t xml:space="preserve"> Sub-District.</w:t>
      </w:r>
      <w:r w:rsidRPr="00361FFF">
        <w:rPr>
          <w:rFonts w:ascii="Times New Roman" w:hAnsi="Times New Roman" w:cs="Times New Roman"/>
        </w:rPr>
        <w:br/>
        <w:t xml:space="preserve">o Official Village Documents: Documents such as Village Fund </w:t>
      </w:r>
      <w:proofErr w:type="spellStart"/>
      <w:r w:rsidRPr="00361FFF">
        <w:rPr>
          <w:rFonts w:ascii="Times New Roman" w:hAnsi="Times New Roman" w:cs="Times New Roman"/>
        </w:rPr>
        <w:t>utilisation</w:t>
      </w:r>
      <w:proofErr w:type="spellEnd"/>
      <w:r w:rsidRPr="00361FFF">
        <w:rPr>
          <w:rFonts w:ascii="Times New Roman" w:hAnsi="Times New Roman" w:cs="Times New Roman"/>
        </w:rPr>
        <w:t xml:space="preserve"> reports, </w:t>
      </w:r>
      <w:proofErr w:type="spellStart"/>
      <w:r w:rsidRPr="00361FFF">
        <w:rPr>
          <w:rFonts w:ascii="Times New Roman" w:hAnsi="Times New Roman" w:cs="Times New Roman"/>
        </w:rPr>
        <w:t>APBDes</w:t>
      </w:r>
      <w:proofErr w:type="spellEnd"/>
      <w:r w:rsidRPr="00361FFF">
        <w:rPr>
          <w:rFonts w:ascii="Times New Roman" w:hAnsi="Times New Roman" w:cs="Times New Roman"/>
        </w:rPr>
        <w:t xml:space="preserve"> financial reports, and the Village Medium-Term Development Plan (</w:t>
      </w:r>
      <w:proofErr w:type="spellStart"/>
      <w:r w:rsidRPr="00361FFF">
        <w:rPr>
          <w:rFonts w:ascii="Times New Roman" w:hAnsi="Times New Roman" w:cs="Times New Roman"/>
        </w:rPr>
        <w:t>RPJMDes</w:t>
      </w:r>
      <w:proofErr w:type="spellEnd"/>
      <w:r w:rsidRPr="00361FFF">
        <w:rPr>
          <w:rFonts w:ascii="Times New Roman" w:hAnsi="Times New Roman" w:cs="Times New Roman"/>
        </w:rPr>
        <w:t>).</w:t>
      </w:r>
      <w:r w:rsidRPr="00361FFF">
        <w:rPr>
          <w:rFonts w:ascii="Times New Roman" w:hAnsi="Times New Roman" w:cs="Times New Roman"/>
        </w:rPr>
        <w:br/>
        <w:t>o Scientific Literature: Relevant national and international journal articles and previous research related to food security, rural development, and the application of SEM and AHP in regional and village development contexts.</w:t>
      </w:r>
    </w:p>
    <w:p w14:paraId="3A1D47C2" w14:textId="193E6DF4" w:rsidR="00CE496D" w:rsidRPr="00CE496D" w:rsidRDefault="00CE496D" w:rsidP="00CE496D">
      <w:pPr>
        <w:rPr>
          <w:highlight w:val="yellow"/>
        </w:rPr>
      </w:pPr>
      <w:r w:rsidRPr="00CE496D">
        <w:rPr>
          <w:highlight w:val="yellow"/>
        </w:rPr>
        <w:t>2.6 PLS-SEM procedure and model evaluation</w:t>
      </w:r>
    </w:p>
    <w:p w14:paraId="1056A14A" w14:textId="77777777" w:rsidR="00CE496D" w:rsidRDefault="00CE496D" w:rsidP="00CE496D">
      <w:pPr>
        <w:rPr>
          <w:highlight w:val="yellow"/>
        </w:rPr>
      </w:pPr>
      <w:r w:rsidRPr="00CE496D">
        <w:rPr>
          <w:highlight w:val="yellow"/>
        </w:rPr>
        <w:t xml:space="preserve">PLS-SEM analysis was conducted in </w:t>
      </w:r>
      <w:proofErr w:type="spellStart"/>
      <w:r w:rsidRPr="00CE496D">
        <w:rPr>
          <w:highlight w:val="yellow"/>
        </w:rPr>
        <w:t>SmartPLS</w:t>
      </w:r>
      <w:proofErr w:type="spellEnd"/>
      <w:r w:rsidRPr="00CE496D">
        <w:rPr>
          <w:highlight w:val="yellow"/>
        </w:rPr>
        <w:t>. The measurement model was assessed using indicator loadings, Cronbach’s alpha and composite reliability, AVE for convergent validity, and HTMT for discriminant validity. The structural model was assessed using path coefficients, bootstrapped t-statistics/p-values, R², Q², and effect sizes (f²). For model fit in PLS-SEM we report SRMR and NFI (Ringle et al., 2023).</w:t>
      </w:r>
    </w:p>
    <w:p w14:paraId="11CFF191" w14:textId="77777777" w:rsidR="00CE496D" w:rsidRDefault="00CE496D" w:rsidP="00CE496D">
      <w:r>
        <w:rPr>
          <w:noProof/>
        </w:rPr>
        <w:drawing>
          <wp:inline distT="0" distB="0" distL="0" distR="0" wp14:anchorId="640B4DF9" wp14:editId="16D294FF">
            <wp:extent cx="5066665" cy="1447589"/>
            <wp:effectExtent l="0" t="0" r="635" b="635"/>
            <wp:docPr id="905334661" name="Picture 905334661" descr="A diagram of a proces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5334661" name="Picture 905334661" descr="A diagram of a process&#10;&#10;AI-generated content may be incorrect."/>
                    <pic:cNvPicPr/>
                  </pic:nvPicPr>
                  <pic:blipFill rotWithShape="1">
                    <a:blip r:embed="rId7"/>
                    <a:srcRect l="10097" t="10172" r="4640" b="27990"/>
                    <a:stretch>
                      <a:fillRect/>
                    </a:stretch>
                  </pic:blipFill>
                  <pic:spPr bwMode="auto">
                    <a:xfrm>
                      <a:off x="0" y="0"/>
                      <a:ext cx="5067675" cy="1447878"/>
                    </a:xfrm>
                    <a:prstGeom prst="rect">
                      <a:avLst/>
                    </a:prstGeom>
                    <a:ln>
                      <a:noFill/>
                    </a:ln>
                    <a:extLst>
                      <a:ext uri="{53640926-AAD7-44D8-BBD7-CCE9431645EC}">
                        <a14:shadowObscured xmlns:a14="http://schemas.microsoft.com/office/drawing/2010/main"/>
                      </a:ext>
                    </a:extLst>
                  </pic:spPr>
                </pic:pic>
              </a:graphicData>
            </a:graphic>
          </wp:inline>
        </w:drawing>
      </w:r>
    </w:p>
    <w:p w14:paraId="71730171" w14:textId="77777777" w:rsidR="00CE496D" w:rsidRDefault="00CE496D" w:rsidP="00CE496D">
      <w:pPr>
        <w:jc w:val="center"/>
      </w:pPr>
      <w:bookmarkStart w:id="1" w:name="_Hlk217481567"/>
      <w:r w:rsidRPr="00CE496D">
        <w:rPr>
          <w:b/>
          <w:bCs/>
        </w:rPr>
        <w:t>Figure 1</w:t>
      </w:r>
      <w:r>
        <w:t>. Conceptual framework of the SEM-PLS model.</w:t>
      </w:r>
    </w:p>
    <w:bookmarkEnd w:id="1"/>
    <w:p w14:paraId="6B680D37" w14:textId="77777777" w:rsidR="00CE496D" w:rsidRPr="00CE496D" w:rsidRDefault="00CE496D" w:rsidP="00CE496D">
      <w:pPr>
        <w:rPr>
          <w:highlight w:val="yellow"/>
        </w:rPr>
      </w:pPr>
    </w:p>
    <w:p w14:paraId="6676561E" w14:textId="77777777" w:rsidR="00CE496D" w:rsidRPr="00CE496D" w:rsidRDefault="00CE496D" w:rsidP="00CE496D">
      <w:pPr>
        <w:rPr>
          <w:highlight w:val="yellow"/>
        </w:rPr>
      </w:pPr>
      <w:r w:rsidRPr="00CE496D">
        <w:rPr>
          <w:highlight w:val="yellow"/>
        </w:rPr>
        <w:t>2.7 Mediation testing (indirect effects)</w:t>
      </w:r>
    </w:p>
    <w:p w14:paraId="64D2AC9D" w14:textId="77777777" w:rsidR="00CE496D" w:rsidRPr="00CE496D" w:rsidRDefault="00CE496D" w:rsidP="00CE496D">
      <w:pPr>
        <w:jc w:val="both"/>
        <w:rPr>
          <w:highlight w:val="yellow"/>
        </w:rPr>
      </w:pPr>
      <w:r w:rsidRPr="00CE496D">
        <w:rPr>
          <w:highlight w:val="yellow"/>
        </w:rPr>
        <w:t xml:space="preserve">Indirect effects were tested to assess whether Agricultural Infrastructure (Z1) and Farmers’ Institutional Capacity (Z2) mediate the relationship between Village Fund </w:t>
      </w:r>
      <w:proofErr w:type="spellStart"/>
      <w:r w:rsidRPr="00CE496D">
        <w:rPr>
          <w:highlight w:val="yellow"/>
        </w:rPr>
        <w:t>utilisation</w:t>
      </w:r>
      <w:proofErr w:type="spellEnd"/>
      <w:r w:rsidRPr="00CE496D">
        <w:rPr>
          <w:highlight w:val="yellow"/>
        </w:rPr>
        <w:t xml:space="preserve"> (X) and Village Food Security (Y). We used non-parametric bootstrapping with 5,000 subsamples and bias-corrected confidence intervals. Mediation is supported when the confidence interval does not include zero.</w:t>
      </w:r>
    </w:p>
    <w:p w14:paraId="0134FC93" w14:textId="77777777" w:rsidR="00CE496D" w:rsidRPr="00CE496D" w:rsidRDefault="00CE496D" w:rsidP="00CE496D">
      <w:pPr>
        <w:rPr>
          <w:highlight w:val="yellow"/>
        </w:rPr>
      </w:pPr>
      <w:r w:rsidRPr="00CE496D">
        <w:rPr>
          <w:highlight w:val="yellow"/>
        </w:rPr>
        <w:t xml:space="preserve">2.8 AHP procedure for strategy </w:t>
      </w:r>
      <w:proofErr w:type="spellStart"/>
      <w:r w:rsidRPr="00CE496D">
        <w:rPr>
          <w:highlight w:val="yellow"/>
        </w:rPr>
        <w:t>prioritisation</w:t>
      </w:r>
      <w:proofErr w:type="spellEnd"/>
    </w:p>
    <w:p w14:paraId="5FB26BDC" w14:textId="68CA3857" w:rsidR="00361FFF" w:rsidRPr="00361FFF" w:rsidRDefault="00CE496D" w:rsidP="00CE496D">
      <w:pPr>
        <w:jc w:val="both"/>
        <w:rPr>
          <w:rFonts w:ascii="Times New Roman" w:hAnsi="Times New Roman" w:cs="Times New Roman"/>
        </w:rPr>
      </w:pPr>
      <w:r w:rsidRPr="00CE496D">
        <w:rPr>
          <w:highlight w:val="yellow"/>
        </w:rPr>
        <w:lastRenderedPageBreak/>
        <w:t xml:space="preserve">AHP was used to </w:t>
      </w:r>
      <w:proofErr w:type="spellStart"/>
      <w:r w:rsidRPr="00CE496D">
        <w:rPr>
          <w:highlight w:val="yellow"/>
        </w:rPr>
        <w:t>prioritise</w:t>
      </w:r>
      <w:proofErr w:type="spellEnd"/>
      <w:r w:rsidRPr="00CE496D">
        <w:rPr>
          <w:highlight w:val="yellow"/>
        </w:rPr>
        <w:t xml:space="preserve"> village food-security strategies based on stakeholder judgements. The hierarchy included the overall goal, criteria, and alternative interventions. Pairwise comparisons used Saaty’s 1–9 scale; matrices were </w:t>
      </w:r>
      <w:proofErr w:type="spellStart"/>
      <w:r w:rsidRPr="00CE496D">
        <w:rPr>
          <w:highlight w:val="yellow"/>
        </w:rPr>
        <w:t>normalised</w:t>
      </w:r>
      <w:proofErr w:type="spellEnd"/>
      <w:r w:rsidRPr="00CE496D">
        <w:rPr>
          <w:highlight w:val="yellow"/>
        </w:rPr>
        <w:t xml:space="preserve"> to obtain priority weights. Consistency was evaluated using CI = (</w:t>
      </w:r>
      <w:proofErr w:type="spellStart"/>
      <w:r w:rsidRPr="00CE496D">
        <w:rPr>
          <w:highlight w:val="yellow"/>
        </w:rPr>
        <w:t>λ_max</w:t>
      </w:r>
      <w:proofErr w:type="spellEnd"/>
      <w:r w:rsidRPr="00CE496D">
        <w:rPr>
          <w:highlight w:val="yellow"/>
        </w:rPr>
        <w:t xml:space="preserve"> − n)</w:t>
      </w:r>
      <w:proofErr w:type="gramStart"/>
      <w:r w:rsidRPr="00CE496D">
        <w:rPr>
          <w:highlight w:val="yellow"/>
        </w:rPr>
        <w:t>/(</w:t>
      </w:r>
      <w:proofErr w:type="gramEnd"/>
      <w:r w:rsidRPr="00CE496D">
        <w:rPr>
          <w:highlight w:val="yellow"/>
        </w:rPr>
        <w:t>n − 1) and CR = CI/RI, with CR ≤ 0.10 indicating acceptable consistency</w:t>
      </w:r>
      <w:r w:rsidR="00361FFF" w:rsidRPr="00CE496D">
        <w:rPr>
          <w:rFonts w:ascii="Times New Roman" w:hAnsi="Times New Roman" w:cs="Times New Roman"/>
          <w:highlight w:val="yellow"/>
        </w:rPr>
        <w:t>.</w:t>
      </w:r>
    </w:p>
    <w:p w14:paraId="5FA2FFB8" w14:textId="77777777" w:rsidR="00361FFF" w:rsidRDefault="00361FFF" w:rsidP="00361FFF">
      <w:pPr>
        <w:jc w:val="both"/>
        <w:rPr>
          <w:rFonts w:ascii="Times New Roman" w:hAnsi="Times New Roman" w:cs="Times New Roman"/>
        </w:rPr>
      </w:pPr>
      <w:r>
        <w:rPr>
          <w:rFonts w:ascii="Times New Roman" w:hAnsi="Times New Roman" w:cs="Times New Roman"/>
          <w:b/>
          <w:bCs/>
        </w:rPr>
        <w:t xml:space="preserve">III. </w:t>
      </w:r>
      <w:r w:rsidRPr="00361FFF">
        <w:rPr>
          <w:rFonts w:ascii="Times New Roman" w:hAnsi="Times New Roman" w:cs="Times New Roman"/>
          <w:b/>
          <w:bCs/>
        </w:rPr>
        <w:t>Results and Discussion</w:t>
      </w:r>
    </w:p>
    <w:p w14:paraId="77B38F4F" w14:textId="77777777" w:rsidR="00E4355A" w:rsidRPr="00E4355A" w:rsidRDefault="00E4355A" w:rsidP="00E4355A">
      <w:pPr>
        <w:jc w:val="both"/>
        <w:rPr>
          <w:rFonts w:ascii="Times New Roman" w:hAnsi="Times New Roman" w:cs="Times New Roman"/>
          <w:b/>
          <w:bCs/>
        </w:rPr>
      </w:pPr>
      <w:r w:rsidRPr="00E4355A">
        <w:rPr>
          <w:rFonts w:ascii="Times New Roman" w:hAnsi="Times New Roman" w:cs="Times New Roman"/>
        </w:rPr>
        <w:t>3.1 Socio-economic characteristics of respondents</w:t>
      </w:r>
    </w:p>
    <w:p w14:paraId="3E8DCE06" w14:textId="77777777" w:rsidR="00E4355A" w:rsidRPr="00E4355A" w:rsidRDefault="00E4355A" w:rsidP="00E4355A">
      <w:pPr>
        <w:jc w:val="both"/>
        <w:rPr>
          <w:rFonts w:ascii="Times New Roman" w:hAnsi="Times New Roman" w:cs="Times New Roman"/>
        </w:rPr>
      </w:pPr>
      <w:r w:rsidRPr="00E4355A">
        <w:rPr>
          <w:rFonts w:ascii="Times New Roman" w:hAnsi="Times New Roman" w:cs="Times New Roman"/>
        </w:rPr>
        <w:t xml:space="preserve">A total of 60 respondents participated in the household survey. Respondents were selected from active farming households and agricultural actors in </w:t>
      </w:r>
      <w:proofErr w:type="spellStart"/>
      <w:r w:rsidRPr="00E4355A">
        <w:rPr>
          <w:rFonts w:ascii="Times New Roman" w:hAnsi="Times New Roman" w:cs="Times New Roman"/>
        </w:rPr>
        <w:t>Batumbulan</w:t>
      </w:r>
      <w:proofErr w:type="spellEnd"/>
      <w:r w:rsidRPr="00E4355A">
        <w:rPr>
          <w:rFonts w:ascii="Times New Roman" w:hAnsi="Times New Roman" w:cs="Times New Roman"/>
        </w:rPr>
        <w:t xml:space="preserve"> </w:t>
      </w:r>
      <w:proofErr w:type="spellStart"/>
      <w:r w:rsidRPr="00E4355A">
        <w:rPr>
          <w:rFonts w:ascii="Times New Roman" w:hAnsi="Times New Roman" w:cs="Times New Roman"/>
        </w:rPr>
        <w:t>Baru</w:t>
      </w:r>
      <w:proofErr w:type="spellEnd"/>
      <w:r w:rsidRPr="00E4355A">
        <w:rPr>
          <w:rFonts w:ascii="Times New Roman" w:hAnsi="Times New Roman" w:cs="Times New Roman"/>
        </w:rPr>
        <w:t xml:space="preserve"> Village to capture perceptions of Village Fund </w:t>
      </w:r>
      <w:proofErr w:type="spellStart"/>
      <w:r w:rsidRPr="00E4355A">
        <w:rPr>
          <w:rFonts w:ascii="Times New Roman" w:hAnsi="Times New Roman" w:cs="Times New Roman"/>
        </w:rPr>
        <w:t>utilisation</w:t>
      </w:r>
      <w:proofErr w:type="spellEnd"/>
      <w:r w:rsidRPr="00E4355A">
        <w:rPr>
          <w:rFonts w:ascii="Times New Roman" w:hAnsi="Times New Roman" w:cs="Times New Roman"/>
        </w:rPr>
        <w:t>, infrastructure conditions, institutional capacity, and food-security outcomes at the village level.</w:t>
      </w:r>
    </w:p>
    <w:p w14:paraId="61258DA0" w14:textId="77777777" w:rsidR="00E4355A" w:rsidRPr="00E4355A" w:rsidRDefault="00E4355A" w:rsidP="00E4355A">
      <w:pPr>
        <w:jc w:val="both"/>
        <w:rPr>
          <w:rFonts w:ascii="Times New Roman" w:hAnsi="Times New Roman" w:cs="Times New Roman"/>
        </w:rPr>
      </w:pPr>
      <w:r w:rsidRPr="00E4355A">
        <w:rPr>
          <w:rFonts w:ascii="Times New Roman" w:hAnsi="Times New Roman" w:cs="Times New Roman"/>
        </w:rPr>
        <w:t xml:space="preserve">Table 1 </w:t>
      </w:r>
      <w:proofErr w:type="spellStart"/>
      <w:r w:rsidRPr="00E4355A">
        <w:rPr>
          <w:rFonts w:ascii="Times New Roman" w:hAnsi="Times New Roman" w:cs="Times New Roman"/>
        </w:rPr>
        <w:t>summarises</w:t>
      </w:r>
      <w:proofErr w:type="spellEnd"/>
      <w:r w:rsidRPr="00E4355A">
        <w:rPr>
          <w:rFonts w:ascii="Times New Roman" w:hAnsi="Times New Roman" w:cs="Times New Roman"/>
        </w:rPr>
        <w:t xml:space="preserve"> the socio-economic profile of respondents (age, gender, and education). This profile is important because food-security perceptions and institutional participation can vary across demographic groups.</w:t>
      </w:r>
    </w:p>
    <w:p w14:paraId="78B71DF8" w14:textId="77777777" w:rsidR="00E4355A" w:rsidRPr="00E4355A" w:rsidRDefault="00E4355A" w:rsidP="00E4355A">
      <w:pPr>
        <w:jc w:val="center"/>
        <w:rPr>
          <w:rFonts w:ascii="Times New Roman" w:hAnsi="Times New Roman" w:cs="Times New Roman"/>
        </w:rPr>
      </w:pPr>
      <w:r w:rsidRPr="00E4355A">
        <w:rPr>
          <w:rFonts w:ascii="Times New Roman" w:hAnsi="Times New Roman" w:cs="Times New Roman"/>
        </w:rPr>
        <w:t>Table 1 Respondent Characteristics</w:t>
      </w:r>
    </w:p>
    <w:tbl>
      <w:tblPr>
        <w:tblStyle w:val="TableGrid"/>
        <w:tblW w:w="0" w:type="auto"/>
        <w:tblLook w:val="04A0" w:firstRow="1" w:lastRow="0" w:firstColumn="1" w:lastColumn="0" w:noHBand="0" w:noVBand="1"/>
      </w:tblPr>
      <w:tblGrid>
        <w:gridCol w:w="3050"/>
        <w:gridCol w:w="3542"/>
        <w:gridCol w:w="1805"/>
      </w:tblGrid>
      <w:tr w:rsidR="00E4355A" w:rsidRPr="00E4355A" w14:paraId="6542A800" w14:textId="77777777" w:rsidTr="009F785D">
        <w:tc>
          <w:tcPr>
            <w:tcW w:w="0" w:type="auto"/>
            <w:hideMark/>
          </w:tcPr>
          <w:p w14:paraId="2405B40C" w14:textId="77777777" w:rsidR="00E4355A" w:rsidRPr="00E4355A" w:rsidRDefault="00E4355A" w:rsidP="009F785D">
            <w:pPr>
              <w:spacing w:after="160" w:line="278" w:lineRule="auto"/>
              <w:jc w:val="both"/>
              <w:rPr>
                <w:rFonts w:ascii="Times New Roman" w:hAnsi="Times New Roman" w:cs="Times New Roman"/>
                <w:b/>
                <w:bCs/>
              </w:rPr>
            </w:pPr>
            <w:r w:rsidRPr="00E4355A">
              <w:rPr>
                <w:rFonts w:ascii="Times New Roman" w:hAnsi="Times New Roman" w:cs="Times New Roman"/>
                <w:b/>
                <w:bCs/>
              </w:rPr>
              <w:t>Respondent Characteristics</w:t>
            </w:r>
          </w:p>
        </w:tc>
        <w:tc>
          <w:tcPr>
            <w:tcW w:w="0" w:type="auto"/>
            <w:hideMark/>
          </w:tcPr>
          <w:p w14:paraId="09D8FB11" w14:textId="77777777" w:rsidR="00E4355A" w:rsidRPr="00E4355A" w:rsidRDefault="00E4355A" w:rsidP="009F785D">
            <w:pPr>
              <w:spacing w:after="160" w:line="278" w:lineRule="auto"/>
              <w:jc w:val="both"/>
              <w:rPr>
                <w:rFonts w:ascii="Times New Roman" w:hAnsi="Times New Roman" w:cs="Times New Roman"/>
                <w:b/>
                <w:bCs/>
              </w:rPr>
            </w:pPr>
            <w:r w:rsidRPr="00E4355A">
              <w:rPr>
                <w:rFonts w:ascii="Times New Roman" w:hAnsi="Times New Roman" w:cs="Times New Roman"/>
                <w:b/>
                <w:bCs/>
              </w:rPr>
              <w:t>Number of Respondents (n = 60)</w:t>
            </w:r>
          </w:p>
        </w:tc>
        <w:tc>
          <w:tcPr>
            <w:tcW w:w="0" w:type="auto"/>
            <w:hideMark/>
          </w:tcPr>
          <w:p w14:paraId="64247252" w14:textId="77777777" w:rsidR="00E4355A" w:rsidRPr="00E4355A" w:rsidRDefault="00E4355A" w:rsidP="009F785D">
            <w:pPr>
              <w:spacing w:after="160" w:line="278" w:lineRule="auto"/>
              <w:jc w:val="both"/>
              <w:rPr>
                <w:rFonts w:ascii="Times New Roman" w:hAnsi="Times New Roman" w:cs="Times New Roman"/>
                <w:b/>
                <w:bCs/>
              </w:rPr>
            </w:pPr>
            <w:r w:rsidRPr="00E4355A">
              <w:rPr>
                <w:rFonts w:ascii="Times New Roman" w:hAnsi="Times New Roman" w:cs="Times New Roman"/>
                <w:b/>
                <w:bCs/>
              </w:rPr>
              <w:t>Percentage (%)</w:t>
            </w:r>
          </w:p>
        </w:tc>
      </w:tr>
      <w:tr w:rsidR="00E4355A" w:rsidRPr="00E4355A" w14:paraId="4C6DD806" w14:textId="77777777" w:rsidTr="009F785D">
        <w:tc>
          <w:tcPr>
            <w:tcW w:w="0" w:type="auto"/>
            <w:hideMark/>
          </w:tcPr>
          <w:p w14:paraId="4933FDA3" w14:textId="77777777" w:rsidR="00E4355A" w:rsidRPr="00E4355A" w:rsidRDefault="00E4355A" w:rsidP="009F785D">
            <w:pPr>
              <w:spacing w:after="160" w:line="278" w:lineRule="auto"/>
              <w:jc w:val="both"/>
              <w:rPr>
                <w:rFonts w:ascii="Times New Roman" w:hAnsi="Times New Roman" w:cs="Times New Roman"/>
              </w:rPr>
            </w:pPr>
            <w:r w:rsidRPr="00E4355A">
              <w:rPr>
                <w:rFonts w:ascii="Times New Roman" w:hAnsi="Times New Roman" w:cs="Times New Roman"/>
              </w:rPr>
              <w:t>Age</w:t>
            </w:r>
          </w:p>
        </w:tc>
        <w:tc>
          <w:tcPr>
            <w:tcW w:w="0" w:type="auto"/>
            <w:hideMark/>
          </w:tcPr>
          <w:p w14:paraId="6A9636CC" w14:textId="77777777" w:rsidR="00E4355A" w:rsidRPr="00E4355A" w:rsidRDefault="00E4355A" w:rsidP="009F785D">
            <w:pPr>
              <w:spacing w:after="160" w:line="278" w:lineRule="auto"/>
              <w:jc w:val="both"/>
              <w:rPr>
                <w:rFonts w:ascii="Times New Roman" w:hAnsi="Times New Roman" w:cs="Times New Roman"/>
              </w:rPr>
            </w:pPr>
          </w:p>
        </w:tc>
        <w:tc>
          <w:tcPr>
            <w:tcW w:w="0" w:type="auto"/>
            <w:hideMark/>
          </w:tcPr>
          <w:p w14:paraId="1FC10F1F" w14:textId="77777777" w:rsidR="00E4355A" w:rsidRPr="00E4355A" w:rsidRDefault="00E4355A" w:rsidP="009F785D">
            <w:pPr>
              <w:spacing w:after="160" w:line="278" w:lineRule="auto"/>
              <w:jc w:val="both"/>
              <w:rPr>
                <w:rFonts w:ascii="Times New Roman" w:hAnsi="Times New Roman" w:cs="Times New Roman"/>
              </w:rPr>
            </w:pPr>
          </w:p>
        </w:tc>
      </w:tr>
      <w:tr w:rsidR="00E4355A" w:rsidRPr="00E4355A" w14:paraId="001AA785" w14:textId="77777777" w:rsidTr="009F785D">
        <w:tc>
          <w:tcPr>
            <w:tcW w:w="0" w:type="auto"/>
            <w:hideMark/>
          </w:tcPr>
          <w:p w14:paraId="2D054E20" w14:textId="77777777" w:rsidR="00E4355A" w:rsidRPr="00E4355A" w:rsidRDefault="00E4355A" w:rsidP="009F785D">
            <w:pPr>
              <w:spacing w:after="160" w:line="278" w:lineRule="auto"/>
              <w:jc w:val="both"/>
              <w:rPr>
                <w:rFonts w:ascii="Times New Roman" w:hAnsi="Times New Roman" w:cs="Times New Roman"/>
              </w:rPr>
            </w:pPr>
            <w:r w:rsidRPr="00E4355A">
              <w:rPr>
                <w:rFonts w:ascii="Times New Roman" w:hAnsi="Times New Roman" w:cs="Times New Roman"/>
              </w:rPr>
              <w:t>&lt; 20 years</w:t>
            </w:r>
          </w:p>
        </w:tc>
        <w:tc>
          <w:tcPr>
            <w:tcW w:w="0" w:type="auto"/>
            <w:hideMark/>
          </w:tcPr>
          <w:p w14:paraId="3F92E356" w14:textId="77777777" w:rsidR="00E4355A" w:rsidRPr="00E4355A" w:rsidRDefault="00E4355A" w:rsidP="009F785D">
            <w:pPr>
              <w:spacing w:after="160" w:line="278" w:lineRule="auto"/>
              <w:jc w:val="both"/>
              <w:rPr>
                <w:rFonts w:ascii="Times New Roman" w:hAnsi="Times New Roman" w:cs="Times New Roman"/>
              </w:rPr>
            </w:pPr>
            <w:r w:rsidRPr="00E4355A">
              <w:rPr>
                <w:rFonts w:ascii="Times New Roman" w:hAnsi="Times New Roman" w:cs="Times New Roman"/>
              </w:rPr>
              <w:t>5</w:t>
            </w:r>
          </w:p>
        </w:tc>
        <w:tc>
          <w:tcPr>
            <w:tcW w:w="0" w:type="auto"/>
            <w:hideMark/>
          </w:tcPr>
          <w:p w14:paraId="01283F8D" w14:textId="77777777" w:rsidR="00E4355A" w:rsidRPr="00E4355A" w:rsidRDefault="00E4355A" w:rsidP="009F785D">
            <w:pPr>
              <w:spacing w:after="160" w:line="278" w:lineRule="auto"/>
              <w:jc w:val="both"/>
              <w:rPr>
                <w:rFonts w:ascii="Times New Roman" w:hAnsi="Times New Roman" w:cs="Times New Roman"/>
              </w:rPr>
            </w:pPr>
            <w:r w:rsidRPr="00E4355A">
              <w:rPr>
                <w:rFonts w:ascii="Times New Roman" w:hAnsi="Times New Roman" w:cs="Times New Roman"/>
              </w:rPr>
              <w:t>8.33</w:t>
            </w:r>
          </w:p>
        </w:tc>
      </w:tr>
      <w:tr w:rsidR="00E4355A" w:rsidRPr="00E4355A" w14:paraId="126C4613" w14:textId="77777777" w:rsidTr="009F785D">
        <w:tc>
          <w:tcPr>
            <w:tcW w:w="0" w:type="auto"/>
            <w:hideMark/>
          </w:tcPr>
          <w:p w14:paraId="19993BA3" w14:textId="77777777" w:rsidR="00E4355A" w:rsidRPr="00E4355A" w:rsidRDefault="00E4355A" w:rsidP="009F785D">
            <w:pPr>
              <w:spacing w:after="160" w:line="278" w:lineRule="auto"/>
              <w:jc w:val="both"/>
              <w:rPr>
                <w:rFonts w:ascii="Times New Roman" w:hAnsi="Times New Roman" w:cs="Times New Roman"/>
              </w:rPr>
            </w:pPr>
            <w:r w:rsidRPr="00E4355A">
              <w:rPr>
                <w:rFonts w:ascii="Times New Roman" w:hAnsi="Times New Roman" w:cs="Times New Roman"/>
              </w:rPr>
              <w:t>21–35 years</w:t>
            </w:r>
          </w:p>
        </w:tc>
        <w:tc>
          <w:tcPr>
            <w:tcW w:w="0" w:type="auto"/>
            <w:hideMark/>
          </w:tcPr>
          <w:p w14:paraId="2691A289" w14:textId="77777777" w:rsidR="00E4355A" w:rsidRPr="00E4355A" w:rsidRDefault="00E4355A" w:rsidP="009F785D">
            <w:pPr>
              <w:spacing w:after="160" w:line="278" w:lineRule="auto"/>
              <w:jc w:val="both"/>
              <w:rPr>
                <w:rFonts w:ascii="Times New Roman" w:hAnsi="Times New Roman" w:cs="Times New Roman"/>
              </w:rPr>
            </w:pPr>
            <w:r w:rsidRPr="00E4355A">
              <w:rPr>
                <w:rFonts w:ascii="Times New Roman" w:hAnsi="Times New Roman" w:cs="Times New Roman"/>
              </w:rPr>
              <w:t>12</w:t>
            </w:r>
          </w:p>
        </w:tc>
        <w:tc>
          <w:tcPr>
            <w:tcW w:w="0" w:type="auto"/>
            <w:hideMark/>
          </w:tcPr>
          <w:p w14:paraId="3C152654" w14:textId="77777777" w:rsidR="00E4355A" w:rsidRPr="00E4355A" w:rsidRDefault="00E4355A" w:rsidP="009F785D">
            <w:pPr>
              <w:spacing w:after="160" w:line="278" w:lineRule="auto"/>
              <w:jc w:val="both"/>
              <w:rPr>
                <w:rFonts w:ascii="Times New Roman" w:hAnsi="Times New Roman" w:cs="Times New Roman"/>
              </w:rPr>
            </w:pPr>
            <w:r w:rsidRPr="00E4355A">
              <w:rPr>
                <w:rFonts w:ascii="Times New Roman" w:hAnsi="Times New Roman" w:cs="Times New Roman"/>
              </w:rPr>
              <w:t>20.00</w:t>
            </w:r>
          </w:p>
        </w:tc>
      </w:tr>
      <w:tr w:rsidR="00E4355A" w:rsidRPr="00E4355A" w14:paraId="63607AFF" w14:textId="77777777" w:rsidTr="009F785D">
        <w:tc>
          <w:tcPr>
            <w:tcW w:w="0" w:type="auto"/>
            <w:hideMark/>
          </w:tcPr>
          <w:p w14:paraId="5EC90D69" w14:textId="77777777" w:rsidR="00E4355A" w:rsidRPr="00E4355A" w:rsidRDefault="00E4355A" w:rsidP="009F785D">
            <w:pPr>
              <w:spacing w:after="160" w:line="278" w:lineRule="auto"/>
              <w:jc w:val="both"/>
              <w:rPr>
                <w:rFonts w:ascii="Times New Roman" w:hAnsi="Times New Roman" w:cs="Times New Roman"/>
              </w:rPr>
            </w:pPr>
            <w:r w:rsidRPr="00E4355A">
              <w:rPr>
                <w:rFonts w:ascii="Times New Roman" w:hAnsi="Times New Roman" w:cs="Times New Roman"/>
              </w:rPr>
              <w:t>36–50 years</w:t>
            </w:r>
          </w:p>
        </w:tc>
        <w:tc>
          <w:tcPr>
            <w:tcW w:w="0" w:type="auto"/>
            <w:hideMark/>
          </w:tcPr>
          <w:p w14:paraId="62144C0F" w14:textId="77777777" w:rsidR="00E4355A" w:rsidRPr="00E4355A" w:rsidRDefault="00E4355A" w:rsidP="009F785D">
            <w:pPr>
              <w:spacing w:after="160" w:line="278" w:lineRule="auto"/>
              <w:jc w:val="both"/>
              <w:rPr>
                <w:rFonts w:ascii="Times New Roman" w:hAnsi="Times New Roman" w:cs="Times New Roman"/>
              </w:rPr>
            </w:pPr>
            <w:r w:rsidRPr="00E4355A">
              <w:rPr>
                <w:rFonts w:ascii="Times New Roman" w:hAnsi="Times New Roman" w:cs="Times New Roman"/>
              </w:rPr>
              <w:t>27</w:t>
            </w:r>
          </w:p>
        </w:tc>
        <w:tc>
          <w:tcPr>
            <w:tcW w:w="0" w:type="auto"/>
            <w:hideMark/>
          </w:tcPr>
          <w:p w14:paraId="3FB6D043" w14:textId="77777777" w:rsidR="00E4355A" w:rsidRPr="00E4355A" w:rsidRDefault="00E4355A" w:rsidP="009F785D">
            <w:pPr>
              <w:spacing w:after="160" w:line="278" w:lineRule="auto"/>
              <w:jc w:val="both"/>
              <w:rPr>
                <w:rFonts w:ascii="Times New Roman" w:hAnsi="Times New Roman" w:cs="Times New Roman"/>
              </w:rPr>
            </w:pPr>
            <w:r w:rsidRPr="00E4355A">
              <w:rPr>
                <w:rFonts w:ascii="Times New Roman" w:hAnsi="Times New Roman" w:cs="Times New Roman"/>
              </w:rPr>
              <w:t>45.00</w:t>
            </w:r>
          </w:p>
        </w:tc>
      </w:tr>
      <w:tr w:rsidR="00E4355A" w:rsidRPr="00E4355A" w14:paraId="58BE38D4" w14:textId="77777777" w:rsidTr="009F785D">
        <w:tc>
          <w:tcPr>
            <w:tcW w:w="0" w:type="auto"/>
            <w:hideMark/>
          </w:tcPr>
          <w:p w14:paraId="075B6E9E" w14:textId="77777777" w:rsidR="00E4355A" w:rsidRPr="00E4355A" w:rsidRDefault="00E4355A" w:rsidP="009F785D">
            <w:pPr>
              <w:spacing w:after="160" w:line="278" w:lineRule="auto"/>
              <w:jc w:val="both"/>
              <w:rPr>
                <w:rFonts w:ascii="Times New Roman" w:hAnsi="Times New Roman" w:cs="Times New Roman"/>
              </w:rPr>
            </w:pPr>
            <w:r w:rsidRPr="00E4355A">
              <w:rPr>
                <w:rFonts w:ascii="Times New Roman" w:hAnsi="Times New Roman" w:cs="Times New Roman"/>
              </w:rPr>
              <w:t>&gt; 50 years</w:t>
            </w:r>
          </w:p>
        </w:tc>
        <w:tc>
          <w:tcPr>
            <w:tcW w:w="0" w:type="auto"/>
            <w:hideMark/>
          </w:tcPr>
          <w:p w14:paraId="59AF5F0A" w14:textId="77777777" w:rsidR="00E4355A" w:rsidRPr="00E4355A" w:rsidRDefault="00E4355A" w:rsidP="009F785D">
            <w:pPr>
              <w:spacing w:after="160" w:line="278" w:lineRule="auto"/>
              <w:jc w:val="both"/>
              <w:rPr>
                <w:rFonts w:ascii="Times New Roman" w:hAnsi="Times New Roman" w:cs="Times New Roman"/>
              </w:rPr>
            </w:pPr>
            <w:r w:rsidRPr="00E4355A">
              <w:rPr>
                <w:rFonts w:ascii="Times New Roman" w:hAnsi="Times New Roman" w:cs="Times New Roman"/>
              </w:rPr>
              <w:t>16</w:t>
            </w:r>
          </w:p>
        </w:tc>
        <w:tc>
          <w:tcPr>
            <w:tcW w:w="0" w:type="auto"/>
            <w:hideMark/>
          </w:tcPr>
          <w:p w14:paraId="37DDF2F3" w14:textId="77777777" w:rsidR="00E4355A" w:rsidRPr="00E4355A" w:rsidRDefault="00E4355A" w:rsidP="009F785D">
            <w:pPr>
              <w:spacing w:after="160" w:line="278" w:lineRule="auto"/>
              <w:jc w:val="both"/>
              <w:rPr>
                <w:rFonts w:ascii="Times New Roman" w:hAnsi="Times New Roman" w:cs="Times New Roman"/>
              </w:rPr>
            </w:pPr>
            <w:r w:rsidRPr="00E4355A">
              <w:rPr>
                <w:rFonts w:ascii="Times New Roman" w:hAnsi="Times New Roman" w:cs="Times New Roman"/>
              </w:rPr>
              <w:t>26.67</w:t>
            </w:r>
          </w:p>
        </w:tc>
      </w:tr>
      <w:tr w:rsidR="00E4355A" w:rsidRPr="00E4355A" w14:paraId="6EBE54F5" w14:textId="77777777" w:rsidTr="009F785D">
        <w:tc>
          <w:tcPr>
            <w:tcW w:w="0" w:type="auto"/>
            <w:hideMark/>
          </w:tcPr>
          <w:p w14:paraId="14971414" w14:textId="77777777" w:rsidR="00E4355A" w:rsidRPr="00E4355A" w:rsidRDefault="00E4355A" w:rsidP="009F785D">
            <w:pPr>
              <w:spacing w:after="160" w:line="278" w:lineRule="auto"/>
              <w:jc w:val="both"/>
              <w:rPr>
                <w:rFonts w:ascii="Times New Roman" w:hAnsi="Times New Roman" w:cs="Times New Roman"/>
              </w:rPr>
            </w:pPr>
            <w:r w:rsidRPr="00E4355A">
              <w:rPr>
                <w:rFonts w:ascii="Times New Roman" w:hAnsi="Times New Roman" w:cs="Times New Roman"/>
              </w:rPr>
              <w:t>Gender</w:t>
            </w:r>
          </w:p>
        </w:tc>
        <w:tc>
          <w:tcPr>
            <w:tcW w:w="0" w:type="auto"/>
            <w:hideMark/>
          </w:tcPr>
          <w:p w14:paraId="02EA0ECC" w14:textId="77777777" w:rsidR="00E4355A" w:rsidRPr="00E4355A" w:rsidRDefault="00E4355A" w:rsidP="009F785D">
            <w:pPr>
              <w:spacing w:after="160" w:line="278" w:lineRule="auto"/>
              <w:jc w:val="both"/>
              <w:rPr>
                <w:rFonts w:ascii="Times New Roman" w:hAnsi="Times New Roman" w:cs="Times New Roman"/>
              </w:rPr>
            </w:pPr>
          </w:p>
        </w:tc>
        <w:tc>
          <w:tcPr>
            <w:tcW w:w="0" w:type="auto"/>
            <w:hideMark/>
          </w:tcPr>
          <w:p w14:paraId="68465F2E" w14:textId="77777777" w:rsidR="00E4355A" w:rsidRPr="00E4355A" w:rsidRDefault="00E4355A" w:rsidP="009F785D">
            <w:pPr>
              <w:spacing w:after="160" w:line="278" w:lineRule="auto"/>
              <w:jc w:val="both"/>
              <w:rPr>
                <w:rFonts w:ascii="Times New Roman" w:hAnsi="Times New Roman" w:cs="Times New Roman"/>
              </w:rPr>
            </w:pPr>
          </w:p>
        </w:tc>
      </w:tr>
      <w:tr w:rsidR="00E4355A" w:rsidRPr="00E4355A" w14:paraId="6F65A0C7" w14:textId="77777777" w:rsidTr="009F785D">
        <w:tc>
          <w:tcPr>
            <w:tcW w:w="0" w:type="auto"/>
            <w:hideMark/>
          </w:tcPr>
          <w:p w14:paraId="16CE2568" w14:textId="77777777" w:rsidR="00E4355A" w:rsidRPr="00E4355A" w:rsidRDefault="00E4355A" w:rsidP="009F785D">
            <w:pPr>
              <w:spacing w:after="160" w:line="278" w:lineRule="auto"/>
              <w:jc w:val="both"/>
              <w:rPr>
                <w:rFonts w:ascii="Times New Roman" w:hAnsi="Times New Roman" w:cs="Times New Roman"/>
              </w:rPr>
            </w:pPr>
            <w:r w:rsidRPr="00E4355A">
              <w:rPr>
                <w:rFonts w:ascii="Times New Roman" w:hAnsi="Times New Roman" w:cs="Times New Roman"/>
              </w:rPr>
              <w:t>Male</w:t>
            </w:r>
          </w:p>
        </w:tc>
        <w:tc>
          <w:tcPr>
            <w:tcW w:w="0" w:type="auto"/>
            <w:hideMark/>
          </w:tcPr>
          <w:p w14:paraId="7D7DB78E" w14:textId="77777777" w:rsidR="00E4355A" w:rsidRPr="00E4355A" w:rsidRDefault="00E4355A" w:rsidP="009F785D">
            <w:pPr>
              <w:spacing w:after="160" w:line="278" w:lineRule="auto"/>
              <w:jc w:val="both"/>
              <w:rPr>
                <w:rFonts w:ascii="Times New Roman" w:hAnsi="Times New Roman" w:cs="Times New Roman"/>
              </w:rPr>
            </w:pPr>
            <w:r w:rsidRPr="00E4355A">
              <w:rPr>
                <w:rFonts w:ascii="Times New Roman" w:hAnsi="Times New Roman" w:cs="Times New Roman"/>
              </w:rPr>
              <w:t>30</w:t>
            </w:r>
          </w:p>
        </w:tc>
        <w:tc>
          <w:tcPr>
            <w:tcW w:w="0" w:type="auto"/>
            <w:hideMark/>
          </w:tcPr>
          <w:p w14:paraId="5AF7CC4E" w14:textId="77777777" w:rsidR="00E4355A" w:rsidRPr="00E4355A" w:rsidRDefault="00E4355A" w:rsidP="009F785D">
            <w:pPr>
              <w:spacing w:after="160" w:line="278" w:lineRule="auto"/>
              <w:jc w:val="both"/>
              <w:rPr>
                <w:rFonts w:ascii="Times New Roman" w:hAnsi="Times New Roman" w:cs="Times New Roman"/>
              </w:rPr>
            </w:pPr>
            <w:r w:rsidRPr="00E4355A">
              <w:rPr>
                <w:rFonts w:ascii="Times New Roman" w:hAnsi="Times New Roman" w:cs="Times New Roman"/>
              </w:rPr>
              <w:t>50.00</w:t>
            </w:r>
          </w:p>
        </w:tc>
      </w:tr>
      <w:tr w:rsidR="00E4355A" w:rsidRPr="00E4355A" w14:paraId="0B9D55A7" w14:textId="77777777" w:rsidTr="009F785D">
        <w:tc>
          <w:tcPr>
            <w:tcW w:w="0" w:type="auto"/>
            <w:hideMark/>
          </w:tcPr>
          <w:p w14:paraId="28D5E755" w14:textId="77777777" w:rsidR="00E4355A" w:rsidRPr="00E4355A" w:rsidRDefault="00E4355A" w:rsidP="009F785D">
            <w:pPr>
              <w:spacing w:after="160" w:line="278" w:lineRule="auto"/>
              <w:jc w:val="both"/>
              <w:rPr>
                <w:rFonts w:ascii="Times New Roman" w:hAnsi="Times New Roman" w:cs="Times New Roman"/>
              </w:rPr>
            </w:pPr>
            <w:r w:rsidRPr="00E4355A">
              <w:rPr>
                <w:rFonts w:ascii="Times New Roman" w:hAnsi="Times New Roman" w:cs="Times New Roman"/>
              </w:rPr>
              <w:t>Female</w:t>
            </w:r>
          </w:p>
        </w:tc>
        <w:tc>
          <w:tcPr>
            <w:tcW w:w="0" w:type="auto"/>
            <w:hideMark/>
          </w:tcPr>
          <w:p w14:paraId="3118773B" w14:textId="77777777" w:rsidR="00E4355A" w:rsidRPr="00E4355A" w:rsidRDefault="00E4355A" w:rsidP="009F785D">
            <w:pPr>
              <w:spacing w:after="160" w:line="278" w:lineRule="auto"/>
              <w:jc w:val="both"/>
              <w:rPr>
                <w:rFonts w:ascii="Times New Roman" w:hAnsi="Times New Roman" w:cs="Times New Roman"/>
              </w:rPr>
            </w:pPr>
            <w:r w:rsidRPr="00E4355A">
              <w:rPr>
                <w:rFonts w:ascii="Times New Roman" w:hAnsi="Times New Roman" w:cs="Times New Roman"/>
              </w:rPr>
              <w:t>30</w:t>
            </w:r>
          </w:p>
        </w:tc>
        <w:tc>
          <w:tcPr>
            <w:tcW w:w="0" w:type="auto"/>
            <w:hideMark/>
          </w:tcPr>
          <w:p w14:paraId="12A2D3A0" w14:textId="77777777" w:rsidR="00E4355A" w:rsidRPr="00E4355A" w:rsidRDefault="00E4355A" w:rsidP="009F785D">
            <w:pPr>
              <w:spacing w:after="160" w:line="278" w:lineRule="auto"/>
              <w:jc w:val="both"/>
              <w:rPr>
                <w:rFonts w:ascii="Times New Roman" w:hAnsi="Times New Roman" w:cs="Times New Roman"/>
              </w:rPr>
            </w:pPr>
            <w:r w:rsidRPr="00E4355A">
              <w:rPr>
                <w:rFonts w:ascii="Times New Roman" w:hAnsi="Times New Roman" w:cs="Times New Roman"/>
              </w:rPr>
              <w:t>50.00</w:t>
            </w:r>
          </w:p>
        </w:tc>
      </w:tr>
      <w:tr w:rsidR="00E4355A" w:rsidRPr="00E4355A" w14:paraId="15DC1D98" w14:textId="77777777" w:rsidTr="009F785D">
        <w:tc>
          <w:tcPr>
            <w:tcW w:w="0" w:type="auto"/>
            <w:hideMark/>
          </w:tcPr>
          <w:p w14:paraId="2DEBA7CF" w14:textId="77777777" w:rsidR="00E4355A" w:rsidRPr="00E4355A" w:rsidRDefault="00E4355A" w:rsidP="009F785D">
            <w:pPr>
              <w:spacing w:after="160" w:line="278" w:lineRule="auto"/>
              <w:jc w:val="both"/>
              <w:rPr>
                <w:rFonts w:ascii="Times New Roman" w:hAnsi="Times New Roman" w:cs="Times New Roman"/>
              </w:rPr>
            </w:pPr>
            <w:r w:rsidRPr="00E4355A">
              <w:rPr>
                <w:rFonts w:ascii="Times New Roman" w:hAnsi="Times New Roman" w:cs="Times New Roman"/>
              </w:rPr>
              <w:t>Education Level</w:t>
            </w:r>
          </w:p>
        </w:tc>
        <w:tc>
          <w:tcPr>
            <w:tcW w:w="0" w:type="auto"/>
            <w:hideMark/>
          </w:tcPr>
          <w:p w14:paraId="44917642" w14:textId="77777777" w:rsidR="00E4355A" w:rsidRPr="00E4355A" w:rsidRDefault="00E4355A" w:rsidP="009F785D">
            <w:pPr>
              <w:spacing w:after="160" w:line="278" w:lineRule="auto"/>
              <w:jc w:val="both"/>
              <w:rPr>
                <w:rFonts w:ascii="Times New Roman" w:hAnsi="Times New Roman" w:cs="Times New Roman"/>
              </w:rPr>
            </w:pPr>
          </w:p>
        </w:tc>
        <w:tc>
          <w:tcPr>
            <w:tcW w:w="0" w:type="auto"/>
            <w:hideMark/>
          </w:tcPr>
          <w:p w14:paraId="1B729573" w14:textId="77777777" w:rsidR="00E4355A" w:rsidRPr="00E4355A" w:rsidRDefault="00E4355A" w:rsidP="009F785D">
            <w:pPr>
              <w:spacing w:after="160" w:line="278" w:lineRule="auto"/>
              <w:jc w:val="both"/>
              <w:rPr>
                <w:rFonts w:ascii="Times New Roman" w:hAnsi="Times New Roman" w:cs="Times New Roman"/>
              </w:rPr>
            </w:pPr>
          </w:p>
        </w:tc>
      </w:tr>
      <w:tr w:rsidR="00E4355A" w:rsidRPr="00E4355A" w14:paraId="5FFD7A72" w14:textId="77777777" w:rsidTr="009F785D">
        <w:tc>
          <w:tcPr>
            <w:tcW w:w="0" w:type="auto"/>
            <w:hideMark/>
          </w:tcPr>
          <w:p w14:paraId="38680844" w14:textId="77777777" w:rsidR="00E4355A" w:rsidRPr="00E4355A" w:rsidRDefault="00E4355A" w:rsidP="009F785D">
            <w:pPr>
              <w:spacing w:after="160" w:line="278" w:lineRule="auto"/>
              <w:jc w:val="both"/>
              <w:rPr>
                <w:rFonts w:ascii="Times New Roman" w:hAnsi="Times New Roman" w:cs="Times New Roman"/>
              </w:rPr>
            </w:pPr>
            <w:r w:rsidRPr="00E4355A">
              <w:rPr>
                <w:rFonts w:ascii="Times New Roman" w:hAnsi="Times New Roman" w:cs="Times New Roman"/>
              </w:rPr>
              <w:t>Primary/Junior High School</w:t>
            </w:r>
          </w:p>
        </w:tc>
        <w:tc>
          <w:tcPr>
            <w:tcW w:w="0" w:type="auto"/>
            <w:hideMark/>
          </w:tcPr>
          <w:p w14:paraId="0A11ED73" w14:textId="77777777" w:rsidR="00E4355A" w:rsidRPr="00E4355A" w:rsidRDefault="00E4355A" w:rsidP="009F785D">
            <w:pPr>
              <w:spacing w:after="160" w:line="278" w:lineRule="auto"/>
              <w:jc w:val="both"/>
              <w:rPr>
                <w:rFonts w:ascii="Times New Roman" w:hAnsi="Times New Roman" w:cs="Times New Roman"/>
              </w:rPr>
            </w:pPr>
            <w:r w:rsidRPr="00E4355A">
              <w:rPr>
                <w:rFonts w:ascii="Times New Roman" w:hAnsi="Times New Roman" w:cs="Times New Roman"/>
              </w:rPr>
              <w:t>6</w:t>
            </w:r>
          </w:p>
        </w:tc>
        <w:tc>
          <w:tcPr>
            <w:tcW w:w="0" w:type="auto"/>
            <w:hideMark/>
          </w:tcPr>
          <w:p w14:paraId="6CCF18F6" w14:textId="77777777" w:rsidR="00E4355A" w:rsidRPr="00E4355A" w:rsidRDefault="00E4355A" w:rsidP="009F785D">
            <w:pPr>
              <w:spacing w:after="160" w:line="278" w:lineRule="auto"/>
              <w:jc w:val="both"/>
              <w:rPr>
                <w:rFonts w:ascii="Times New Roman" w:hAnsi="Times New Roman" w:cs="Times New Roman"/>
              </w:rPr>
            </w:pPr>
            <w:r w:rsidRPr="00E4355A">
              <w:rPr>
                <w:rFonts w:ascii="Times New Roman" w:hAnsi="Times New Roman" w:cs="Times New Roman"/>
              </w:rPr>
              <w:t>10.00</w:t>
            </w:r>
          </w:p>
        </w:tc>
      </w:tr>
      <w:tr w:rsidR="00E4355A" w:rsidRPr="00E4355A" w14:paraId="54A4ED98" w14:textId="77777777" w:rsidTr="009F785D">
        <w:tc>
          <w:tcPr>
            <w:tcW w:w="0" w:type="auto"/>
            <w:hideMark/>
          </w:tcPr>
          <w:p w14:paraId="1A4F429B" w14:textId="77777777" w:rsidR="00E4355A" w:rsidRPr="00E4355A" w:rsidRDefault="00E4355A" w:rsidP="009F785D">
            <w:pPr>
              <w:spacing w:after="160" w:line="278" w:lineRule="auto"/>
              <w:jc w:val="both"/>
              <w:rPr>
                <w:rFonts w:ascii="Times New Roman" w:hAnsi="Times New Roman" w:cs="Times New Roman"/>
              </w:rPr>
            </w:pPr>
            <w:r w:rsidRPr="00E4355A">
              <w:rPr>
                <w:rFonts w:ascii="Times New Roman" w:hAnsi="Times New Roman" w:cs="Times New Roman"/>
              </w:rPr>
              <w:t>Senior High School</w:t>
            </w:r>
          </w:p>
        </w:tc>
        <w:tc>
          <w:tcPr>
            <w:tcW w:w="0" w:type="auto"/>
            <w:hideMark/>
          </w:tcPr>
          <w:p w14:paraId="6DBAE9F4" w14:textId="77777777" w:rsidR="00E4355A" w:rsidRPr="00E4355A" w:rsidRDefault="00E4355A" w:rsidP="009F785D">
            <w:pPr>
              <w:spacing w:after="160" w:line="278" w:lineRule="auto"/>
              <w:jc w:val="both"/>
              <w:rPr>
                <w:rFonts w:ascii="Times New Roman" w:hAnsi="Times New Roman" w:cs="Times New Roman"/>
              </w:rPr>
            </w:pPr>
            <w:r w:rsidRPr="00E4355A">
              <w:rPr>
                <w:rFonts w:ascii="Times New Roman" w:hAnsi="Times New Roman" w:cs="Times New Roman"/>
              </w:rPr>
              <w:t>30</w:t>
            </w:r>
          </w:p>
        </w:tc>
        <w:tc>
          <w:tcPr>
            <w:tcW w:w="0" w:type="auto"/>
            <w:hideMark/>
          </w:tcPr>
          <w:p w14:paraId="36AE37F1" w14:textId="77777777" w:rsidR="00E4355A" w:rsidRPr="00E4355A" w:rsidRDefault="00E4355A" w:rsidP="009F785D">
            <w:pPr>
              <w:spacing w:after="160" w:line="278" w:lineRule="auto"/>
              <w:jc w:val="both"/>
              <w:rPr>
                <w:rFonts w:ascii="Times New Roman" w:hAnsi="Times New Roman" w:cs="Times New Roman"/>
              </w:rPr>
            </w:pPr>
            <w:r w:rsidRPr="00E4355A">
              <w:rPr>
                <w:rFonts w:ascii="Times New Roman" w:hAnsi="Times New Roman" w:cs="Times New Roman"/>
              </w:rPr>
              <w:t>50.00</w:t>
            </w:r>
          </w:p>
        </w:tc>
      </w:tr>
      <w:tr w:rsidR="00E4355A" w:rsidRPr="00E4355A" w14:paraId="4ECE96B9" w14:textId="77777777" w:rsidTr="009F785D">
        <w:tc>
          <w:tcPr>
            <w:tcW w:w="0" w:type="auto"/>
            <w:hideMark/>
          </w:tcPr>
          <w:p w14:paraId="563BC047" w14:textId="77777777" w:rsidR="00E4355A" w:rsidRPr="00E4355A" w:rsidRDefault="00E4355A" w:rsidP="009F785D">
            <w:pPr>
              <w:spacing w:after="160" w:line="278" w:lineRule="auto"/>
              <w:jc w:val="both"/>
              <w:rPr>
                <w:rFonts w:ascii="Times New Roman" w:hAnsi="Times New Roman" w:cs="Times New Roman"/>
              </w:rPr>
            </w:pPr>
            <w:r w:rsidRPr="00E4355A">
              <w:rPr>
                <w:rFonts w:ascii="Times New Roman" w:hAnsi="Times New Roman" w:cs="Times New Roman"/>
              </w:rPr>
              <w:t>Diploma</w:t>
            </w:r>
          </w:p>
        </w:tc>
        <w:tc>
          <w:tcPr>
            <w:tcW w:w="0" w:type="auto"/>
            <w:hideMark/>
          </w:tcPr>
          <w:p w14:paraId="4D4C3863" w14:textId="77777777" w:rsidR="00E4355A" w:rsidRPr="00E4355A" w:rsidRDefault="00E4355A" w:rsidP="009F785D">
            <w:pPr>
              <w:spacing w:after="160" w:line="278" w:lineRule="auto"/>
              <w:jc w:val="both"/>
              <w:rPr>
                <w:rFonts w:ascii="Times New Roman" w:hAnsi="Times New Roman" w:cs="Times New Roman"/>
              </w:rPr>
            </w:pPr>
            <w:r w:rsidRPr="00E4355A">
              <w:rPr>
                <w:rFonts w:ascii="Times New Roman" w:hAnsi="Times New Roman" w:cs="Times New Roman"/>
              </w:rPr>
              <w:t>12</w:t>
            </w:r>
          </w:p>
        </w:tc>
        <w:tc>
          <w:tcPr>
            <w:tcW w:w="0" w:type="auto"/>
            <w:hideMark/>
          </w:tcPr>
          <w:p w14:paraId="001C0A95" w14:textId="77777777" w:rsidR="00E4355A" w:rsidRPr="00E4355A" w:rsidRDefault="00E4355A" w:rsidP="009F785D">
            <w:pPr>
              <w:spacing w:after="160" w:line="278" w:lineRule="auto"/>
              <w:jc w:val="both"/>
              <w:rPr>
                <w:rFonts w:ascii="Times New Roman" w:hAnsi="Times New Roman" w:cs="Times New Roman"/>
              </w:rPr>
            </w:pPr>
            <w:r w:rsidRPr="00E4355A">
              <w:rPr>
                <w:rFonts w:ascii="Times New Roman" w:hAnsi="Times New Roman" w:cs="Times New Roman"/>
              </w:rPr>
              <w:t>20.00</w:t>
            </w:r>
          </w:p>
        </w:tc>
      </w:tr>
      <w:tr w:rsidR="00E4355A" w:rsidRPr="00E4355A" w14:paraId="54A58D43" w14:textId="77777777" w:rsidTr="009F785D">
        <w:tc>
          <w:tcPr>
            <w:tcW w:w="0" w:type="auto"/>
            <w:hideMark/>
          </w:tcPr>
          <w:p w14:paraId="66791192" w14:textId="77777777" w:rsidR="00E4355A" w:rsidRPr="00E4355A" w:rsidRDefault="00E4355A" w:rsidP="009F785D">
            <w:pPr>
              <w:spacing w:after="160" w:line="278" w:lineRule="auto"/>
              <w:jc w:val="both"/>
              <w:rPr>
                <w:rFonts w:ascii="Times New Roman" w:hAnsi="Times New Roman" w:cs="Times New Roman"/>
              </w:rPr>
            </w:pPr>
            <w:r w:rsidRPr="00E4355A">
              <w:rPr>
                <w:rFonts w:ascii="Times New Roman" w:hAnsi="Times New Roman" w:cs="Times New Roman"/>
              </w:rPr>
              <w:t>Bachelor’s (S1) and above</w:t>
            </w:r>
          </w:p>
        </w:tc>
        <w:tc>
          <w:tcPr>
            <w:tcW w:w="0" w:type="auto"/>
            <w:hideMark/>
          </w:tcPr>
          <w:p w14:paraId="4DA3F883" w14:textId="77777777" w:rsidR="00E4355A" w:rsidRPr="00E4355A" w:rsidRDefault="00E4355A" w:rsidP="009F785D">
            <w:pPr>
              <w:spacing w:after="160" w:line="278" w:lineRule="auto"/>
              <w:jc w:val="both"/>
              <w:rPr>
                <w:rFonts w:ascii="Times New Roman" w:hAnsi="Times New Roman" w:cs="Times New Roman"/>
              </w:rPr>
            </w:pPr>
            <w:r w:rsidRPr="00E4355A">
              <w:rPr>
                <w:rFonts w:ascii="Times New Roman" w:hAnsi="Times New Roman" w:cs="Times New Roman"/>
              </w:rPr>
              <w:t>12</w:t>
            </w:r>
          </w:p>
        </w:tc>
        <w:tc>
          <w:tcPr>
            <w:tcW w:w="0" w:type="auto"/>
            <w:hideMark/>
          </w:tcPr>
          <w:p w14:paraId="268197B4" w14:textId="77777777" w:rsidR="00E4355A" w:rsidRPr="00E4355A" w:rsidRDefault="00E4355A" w:rsidP="009F785D">
            <w:pPr>
              <w:spacing w:after="160" w:line="278" w:lineRule="auto"/>
              <w:jc w:val="both"/>
              <w:rPr>
                <w:rFonts w:ascii="Times New Roman" w:hAnsi="Times New Roman" w:cs="Times New Roman"/>
              </w:rPr>
            </w:pPr>
            <w:r w:rsidRPr="00E4355A">
              <w:rPr>
                <w:rFonts w:ascii="Times New Roman" w:hAnsi="Times New Roman" w:cs="Times New Roman"/>
              </w:rPr>
              <w:t>20.00</w:t>
            </w:r>
          </w:p>
        </w:tc>
      </w:tr>
    </w:tbl>
    <w:p w14:paraId="1BA7922D" w14:textId="77777777" w:rsidR="00E4355A" w:rsidRPr="00E4355A" w:rsidRDefault="00E4355A" w:rsidP="00361FFF">
      <w:pPr>
        <w:jc w:val="both"/>
        <w:rPr>
          <w:rFonts w:ascii="Times New Roman" w:hAnsi="Times New Roman" w:cs="Times New Roman"/>
          <w:b/>
          <w:bCs/>
        </w:rPr>
      </w:pPr>
    </w:p>
    <w:p w14:paraId="1756DF2F" w14:textId="27482EE5" w:rsidR="00441EE3" w:rsidRPr="00441EE3" w:rsidRDefault="00441EE3" w:rsidP="00361FFF">
      <w:pPr>
        <w:jc w:val="both"/>
        <w:rPr>
          <w:rFonts w:ascii="Times New Roman" w:hAnsi="Times New Roman" w:cs="Times New Roman"/>
          <w:b/>
          <w:bCs/>
        </w:rPr>
      </w:pPr>
      <w:r w:rsidRPr="00441EE3">
        <w:rPr>
          <w:rFonts w:ascii="Times New Roman" w:hAnsi="Times New Roman" w:cs="Times New Roman"/>
          <w:b/>
          <w:bCs/>
        </w:rPr>
        <w:t>3.</w:t>
      </w:r>
      <w:r w:rsidR="00E4355A">
        <w:rPr>
          <w:rFonts w:ascii="Times New Roman" w:hAnsi="Times New Roman" w:cs="Times New Roman"/>
          <w:b/>
          <w:bCs/>
        </w:rPr>
        <w:t>2</w:t>
      </w:r>
      <w:r w:rsidR="00361FFF" w:rsidRPr="00361FFF">
        <w:rPr>
          <w:rFonts w:ascii="Times New Roman" w:hAnsi="Times New Roman" w:cs="Times New Roman"/>
          <w:b/>
          <w:bCs/>
        </w:rPr>
        <w:t xml:space="preserve"> Validity and Reliability Testing in SEM-PLS</w:t>
      </w:r>
    </w:p>
    <w:p w14:paraId="048D68D6" w14:textId="5EC14CC3" w:rsidR="00361FFF" w:rsidRPr="00361FFF" w:rsidRDefault="00361FFF" w:rsidP="00361FFF">
      <w:pPr>
        <w:jc w:val="both"/>
        <w:rPr>
          <w:rFonts w:ascii="Times New Roman" w:hAnsi="Times New Roman" w:cs="Times New Roman"/>
        </w:rPr>
      </w:pPr>
      <w:r w:rsidRPr="00361FFF">
        <w:rPr>
          <w:rFonts w:ascii="Times New Roman" w:hAnsi="Times New Roman" w:cs="Times New Roman"/>
        </w:rPr>
        <w:t>Before further analysis, validity and reliability testing were conducted to ensure the quality of the measurement model in SEM-PLS. The validity results show that the indicators demonstrate good construct validity, with outer loading values above 0.60 across constructs, indicating that each indicator reliably measures its intended latent variable. Reliability testing using Cronbach’s Alpha also indicates consistent results, with values above 0.70 for all variables, confirming acceptable internal consistency. Composite reliability values further support measurement reliability, indicating stable construct measurement within the model.</w:t>
      </w:r>
    </w:p>
    <w:p w14:paraId="3FFB7CE3" w14:textId="087A69B0" w:rsidR="00361FFF" w:rsidRPr="00361FFF" w:rsidRDefault="00361FFF" w:rsidP="00441EE3">
      <w:pPr>
        <w:jc w:val="center"/>
        <w:rPr>
          <w:rFonts w:ascii="Times New Roman" w:hAnsi="Times New Roman" w:cs="Times New Roman"/>
        </w:rPr>
      </w:pPr>
      <w:r w:rsidRPr="00361FFF">
        <w:rPr>
          <w:rFonts w:ascii="Times New Roman" w:hAnsi="Times New Roman" w:cs="Times New Roman"/>
        </w:rPr>
        <w:t>Table</w:t>
      </w:r>
      <w:r w:rsidR="00441EE3">
        <w:rPr>
          <w:rFonts w:ascii="Times New Roman" w:hAnsi="Times New Roman" w:cs="Times New Roman"/>
        </w:rPr>
        <w:t xml:space="preserve"> </w:t>
      </w:r>
      <w:r w:rsidRPr="00361FFF">
        <w:rPr>
          <w:rFonts w:ascii="Times New Roman" w:hAnsi="Times New Roman" w:cs="Times New Roman"/>
        </w:rPr>
        <w:t>2 Validity and Reliability Testing in SEM-PLS</w:t>
      </w:r>
    </w:p>
    <w:tbl>
      <w:tblPr>
        <w:tblStyle w:val="TableGrid"/>
        <w:tblW w:w="0" w:type="auto"/>
        <w:tblLook w:val="04A0" w:firstRow="1" w:lastRow="0" w:firstColumn="1" w:lastColumn="0" w:noHBand="0" w:noVBand="1"/>
      </w:tblPr>
      <w:tblGrid>
        <w:gridCol w:w="2066"/>
        <w:gridCol w:w="2409"/>
        <w:gridCol w:w="1366"/>
        <w:gridCol w:w="1701"/>
        <w:gridCol w:w="1808"/>
      </w:tblGrid>
      <w:tr w:rsidR="00361FFF" w:rsidRPr="00361FFF" w14:paraId="03A6EB33" w14:textId="77777777" w:rsidTr="00441EE3">
        <w:tc>
          <w:tcPr>
            <w:tcW w:w="0" w:type="auto"/>
            <w:hideMark/>
          </w:tcPr>
          <w:p w14:paraId="2DF2E234" w14:textId="77777777" w:rsidR="00361FFF" w:rsidRPr="00361FFF" w:rsidRDefault="00361FFF" w:rsidP="00361FFF">
            <w:pPr>
              <w:spacing w:after="160" w:line="278" w:lineRule="auto"/>
              <w:jc w:val="both"/>
              <w:rPr>
                <w:rFonts w:ascii="Times New Roman" w:hAnsi="Times New Roman" w:cs="Times New Roman"/>
                <w:b/>
                <w:bCs/>
              </w:rPr>
            </w:pPr>
            <w:r w:rsidRPr="00361FFF">
              <w:rPr>
                <w:rFonts w:ascii="Times New Roman" w:hAnsi="Times New Roman" w:cs="Times New Roman"/>
                <w:b/>
                <w:bCs/>
              </w:rPr>
              <w:t>Variable</w:t>
            </w:r>
          </w:p>
        </w:tc>
        <w:tc>
          <w:tcPr>
            <w:tcW w:w="0" w:type="auto"/>
            <w:hideMark/>
          </w:tcPr>
          <w:p w14:paraId="59DCB5F6" w14:textId="77777777" w:rsidR="00361FFF" w:rsidRPr="00361FFF" w:rsidRDefault="00361FFF" w:rsidP="00361FFF">
            <w:pPr>
              <w:spacing w:after="160" w:line="278" w:lineRule="auto"/>
              <w:jc w:val="both"/>
              <w:rPr>
                <w:rFonts w:ascii="Times New Roman" w:hAnsi="Times New Roman" w:cs="Times New Roman"/>
                <w:b/>
                <w:bCs/>
              </w:rPr>
            </w:pPr>
            <w:r w:rsidRPr="00361FFF">
              <w:rPr>
                <w:rFonts w:ascii="Times New Roman" w:hAnsi="Times New Roman" w:cs="Times New Roman"/>
                <w:b/>
                <w:bCs/>
              </w:rPr>
              <w:t>Indicator</w:t>
            </w:r>
          </w:p>
        </w:tc>
        <w:tc>
          <w:tcPr>
            <w:tcW w:w="0" w:type="auto"/>
            <w:hideMark/>
          </w:tcPr>
          <w:p w14:paraId="033D8CBE" w14:textId="77777777" w:rsidR="00361FFF" w:rsidRPr="00361FFF" w:rsidRDefault="00361FFF" w:rsidP="00361FFF">
            <w:pPr>
              <w:spacing w:after="160" w:line="278" w:lineRule="auto"/>
              <w:jc w:val="both"/>
              <w:rPr>
                <w:rFonts w:ascii="Times New Roman" w:hAnsi="Times New Roman" w:cs="Times New Roman"/>
                <w:b/>
                <w:bCs/>
              </w:rPr>
            </w:pPr>
            <w:r w:rsidRPr="00361FFF">
              <w:rPr>
                <w:rFonts w:ascii="Times New Roman" w:hAnsi="Times New Roman" w:cs="Times New Roman"/>
                <w:b/>
                <w:bCs/>
              </w:rPr>
              <w:t>Outer Loading</w:t>
            </w:r>
          </w:p>
        </w:tc>
        <w:tc>
          <w:tcPr>
            <w:tcW w:w="0" w:type="auto"/>
            <w:hideMark/>
          </w:tcPr>
          <w:p w14:paraId="6B4CF77D" w14:textId="77777777" w:rsidR="00361FFF" w:rsidRPr="00361FFF" w:rsidRDefault="00361FFF" w:rsidP="00361FFF">
            <w:pPr>
              <w:spacing w:after="160" w:line="278" w:lineRule="auto"/>
              <w:jc w:val="both"/>
              <w:rPr>
                <w:rFonts w:ascii="Times New Roman" w:hAnsi="Times New Roman" w:cs="Times New Roman"/>
                <w:b/>
                <w:bCs/>
              </w:rPr>
            </w:pPr>
            <w:r w:rsidRPr="00361FFF">
              <w:rPr>
                <w:rFonts w:ascii="Times New Roman" w:hAnsi="Times New Roman" w:cs="Times New Roman"/>
                <w:b/>
                <w:bCs/>
              </w:rPr>
              <w:t>Cronbach’s Alpha</w:t>
            </w:r>
          </w:p>
        </w:tc>
        <w:tc>
          <w:tcPr>
            <w:tcW w:w="0" w:type="auto"/>
            <w:hideMark/>
          </w:tcPr>
          <w:p w14:paraId="02BF6589" w14:textId="77777777" w:rsidR="00361FFF" w:rsidRPr="00361FFF" w:rsidRDefault="00361FFF" w:rsidP="00361FFF">
            <w:pPr>
              <w:spacing w:after="160" w:line="278" w:lineRule="auto"/>
              <w:jc w:val="both"/>
              <w:rPr>
                <w:rFonts w:ascii="Times New Roman" w:hAnsi="Times New Roman" w:cs="Times New Roman"/>
                <w:b/>
                <w:bCs/>
              </w:rPr>
            </w:pPr>
            <w:r w:rsidRPr="00361FFF">
              <w:rPr>
                <w:rFonts w:ascii="Times New Roman" w:hAnsi="Times New Roman" w:cs="Times New Roman"/>
                <w:b/>
                <w:bCs/>
              </w:rPr>
              <w:t>Composite Reliability</w:t>
            </w:r>
          </w:p>
        </w:tc>
      </w:tr>
      <w:tr w:rsidR="00361FFF" w:rsidRPr="00361FFF" w14:paraId="7D7D5584" w14:textId="77777777" w:rsidTr="00441EE3">
        <w:tc>
          <w:tcPr>
            <w:tcW w:w="0" w:type="auto"/>
            <w:hideMark/>
          </w:tcPr>
          <w:p w14:paraId="3599C05F" w14:textId="77777777" w:rsidR="00361FFF" w:rsidRPr="00361FFF" w:rsidRDefault="00361FFF" w:rsidP="00361FFF">
            <w:pPr>
              <w:spacing w:after="160" w:line="278" w:lineRule="auto"/>
              <w:jc w:val="both"/>
              <w:rPr>
                <w:rFonts w:ascii="Times New Roman" w:hAnsi="Times New Roman" w:cs="Times New Roman"/>
              </w:rPr>
            </w:pPr>
            <w:r w:rsidRPr="00361FFF">
              <w:rPr>
                <w:rFonts w:ascii="Times New Roman" w:hAnsi="Times New Roman" w:cs="Times New Roman"/>
              </w:rPr>
              <w:t>Agricultural Infrastructure</w:t>
            </w:r>
          </w:p>
        </w:tc>
        <w:tc>
          <w:tcPr>
            <w:tcW w:w="0" w:type="auto"/>
            <w:hideMark/>
          </w:tcPr>
          <w:p w14:paraId="6675D9DC" w14:textId="77777777" w:rsidR="00361FFF" w:rsidRPr="00361FFF" w:rsidRDefault="00361FFF" w:rsidP="00361FFF">
            <w:pPr>
              <w:spacing w:after="160" w:line="278" w:lineRule="auto"/>
              <w:jc w:val="both"/>
              <w:rPr>
                <w:rFonts w:ascii="Times New Roman" w:hAnsi="Times New Roman" w:cs="Times New Roman"/>
              </w:rPr>
            </w:pPr>
            <w:r w:rsidRPr="00361FFF">
              <w:rPr>
                <w:rFonts w:ascii="Times New Roman" w:hAnsi="Times New Roman" w:cs="Times New Roman"/>
              </w:rPr>
              <w:t>Irrigation Quality</w:t>
            </w:r>
          </w:p>
        </w:tc>
        <w:tc>
          <w:tcPr>
            <w:tcW w:w="0" w:type="auto"/>
            <w:hideMark/>
          </w:tcPr>
          <w:p w14:paraId="5233CA47" w14:textId="77777777" w:rsidR="00361FFF" w:rsidRPr="00361FFF" w:rsidRDefault="00361FFF" w:rsidP="00361FFF">
            <w:pPr>
              <w:spacing w:after="160" w:line="278" w:lineRule="auto"/>
              <w:jc w:val="both"/>
              <w:rPr>
                <w:rFonts w:ascii="Times New Roman" w:hAnsi="Times New Roman" w:cs="Times New Roman"/>
              </w:rPr>
            </w:pPr>
            <w:r w:rsidRPr="00361FFF">
              <w:rPr>
                <w:rFonts w:ascii="Times New Roman" w:hAnsi="Times New Roman" w:cs="Times New Roman"/>
              </w:rPr>
              <w:t>0.84</w:t>
            </w:r>
          </w:p>
        </w:tc>
        <w:tc>
          <w:tcPr>
            <w:tcW w:w="0" w:type="auto"/>
            <w:hideMark/>
          </w:tcPr>
          <w:p w14:paraId="27E3DB37" w14:textId="77777777" w:rsidR="00361FFF" w:rsidRPr="00361FFF" w:rsidRDefault="00361FFF" w:rsidP="00361FFF">
            <w:pPr>
              <w:spacing w:after="160" w:line="278" w:lineRule="auto"/>
              <w:jc w:val="both"/>
              <w:rPr>
                <w:rFonts w:ascii="Times New Roman" w:hAnsi="Times New Roman" w:cs="Times New Roman"/>
              </w:rPr>
            </w:pPr>
            <w:r w:rsidRPr="00361FFF">
              <w:rPr>
                <w:rFonts w:ascii="Times New Roman" w:hAnsi="Times New Roman" w:cs="Times New Roman"/>
              </w:rPr>
              <w:t>0.78</w:t>
            </w:r>
          </w:p>
        </w:tc>
        <w:tc>
          <w:tcPr>
            <w:tcW w:w="0" w:type="auto"/>
            <w:hideMark/>
          </w:tcPr>
          <w:p w14:paraId="6B5D8327" w14:textId="77777777" w:rsidR="00361FFF" w:rsidRPr="00361FFF" w:rsidRDefault="00361FFF" w:rsidP="00361FFF">
            <w:pPr>
              <w:spacing w:after="160" w:line="278" w:lineRule="auto"/>
              <w:jc w:val="both"/>
              <w:rPr>
                <w:rFonts w:ascii="Times New Roman" w:hAnsi="Times New Roman" w:cs="Times New Roman"/>
              </w:rPr>
            </w:pPr>
            <w:r w:rsidRPr="00361FFF">
              <w:rPr>
                <w:rFonts w:ascii="Times New Roman" w:hAnsi="Times New Roman" w:cs="Times New Roman"/>
              </w:rPr>
              <w:t>0.89</w:t>
            </w:r>
          </w:p>
        </w:tc>
      </w:tr>
      <w:tr w:rsidR="00361FFF" w:rsidRPr="00361FFF" w14:paraId="2064604A" w14:textId="77777777" w:rsidTr="00441EE3">
        <w:tc>
          <w:tcPr>
            <w:tcW w:w="0" w:type="auto"/>
            <w:hideMark/>
          </w:tcPr>
          <w:p w14:paraId="4C46ADF3" w14:textId="77777777" w:rsidR="00361FFF" w:rsidRPr="00361FFF" w:rsidRDefault="00361FFF" w:rsidP="00361FFF">
            <w:pPr>
              <w:spacing w:after="160" w:line="278" w:lineRule="auto"/>
              <w:jc w:val="both"/>
              <w:rPr>
                <w:rFonts w:ascii="Times New Roman" w:hAnsi="Times New Roman" w:cs="Times New Roman"/>
              </w:rPr>
            </w:pPr>
          </w:p>
        </w:tc>
        <w:tc>
          <w:tcPr>
            <w:tcW w:w="0" w:type="auto"/>
            <w:hideMark/>
          </w:tcPr>
          <w:p w14:paraId="4E8C2D00" w14:textId="77777777" w:rsidR="00361FFF" w:rsidRPr="00361FFF" w:rsidRDefault="00361FFF" w:rsidP="00361FFF">
            <w:pPr>
              <w:spacing w:after="160" w:line="278" w:lineRule="auto"/>
              <w:jc w:val="both"/>
              <w:rPr>
                <w:rFonts w:ascii="Times New Roman" w:hAnsi="Times New Roman" w:cs="Times New Roman"/>
              </w:rPr>
            </w:pPr>
            <w:r w:rsidRPr="00361FFF">
              <w:rPr>
                <w:rFonts w:ascii="Times New Roman" w:hAnsi="Times New Roman" w:cs="Times New Roman"/>
              </w:rPr>
              <w:t>Farm Road Access</w:t>
            </w:r>
          </w:p>
        </w:tc>
        <w:tc>
          <w:tcPr>
            <w:tcW w:w="0" w:type="auto"/>
            <w:hideMark/>
          </w:tcPr>
          <w:p w14:paraId="72A73E27" w14:textId="77777777" w:rsidR="00361FFF" w:rsidRPr="00361FFF" w:rsidRDefault="00361FFF" w:rsidP="00361FFF">
            <w:pPr>
              <w:spacing w:after="160" w:line="278" w:lineRule="auto"/>
              <w:jc w:val="both"/>
              <w:rPr>
                <w:rFonts w:ascii="Times New Roman" w:hAnsi="Times New Roman" w:cs="Times New Roman"/>
              </w:rPr>
            </w:pPr>
            <w:r w:rsidRPr="00361FFF">
              <w:rPr>
                <w:rFonts w:ascii="Times New Roman" w:hAnsi="Times New Roman" w:cs="Times New Roman"/>
              </w:rPr>
              <w:t>0.81</w:t>
            </w:r>
          </w:p>
        </w:tc>
        <w:tc>
          <w:tcPr>
            <w:tcW w:w="0" w:type="auto"/>
            <w:hideMark/>
          </w:tcPr>
          <w:p w14:paraId="15084041" w14:textId="77777777" w:rsidR="00361FFF" w:rsidRPr="00361FFF" w:rsidRDefault="00361FFF" w:rsidP="00361FFF">
            <w:pPr>
              <w:spacing w:after="160" w:line="278" w:lineRule="auto"/>
              <w:jc w:val="both"/>
              <w:rPr>
                <w:rFonts w:ascii="Times New Roman" w:hAnsi="Times New Roman" w:cs="Times New Roman"/>
              </w:rPr>
            </w:pPr>
          </w:p>
        </w:tc>
        <w:tc>
          <w:tcPr>
            <w:tcW w:w="0" w:type="auto"/>
            <w:hideMark/>
          </w:tcPr>
          <w:p w14:paraId="7895A83F" w14:textId="77777777" w:rsidR="00361FFF" w:rsidRPr="00361FFF" w:rsidRDefault="00361FFF" w:rsidP="00361FFF">
            <w:pPr>
              <w:spacing w:after="160" w:line="278" w:lineRule="auto"/>
              <w:jc w:val="both"/>
              <w:rPr>
                <w:rFonts w:ascii="Times New Roman" w:hAnsi="Times New Roman" w:cs="Times New Roman"/>
              </w:rPr>
            </w:pPr>
          </w:p>
        </w:tc>
      </w:tr>
      <w:tr w:rsidR="00361FFF" w:rsidRPr="00361FFF" w14:paraId="1124185F" w14:textId="77777777" w:rsidTr="00441EE3">
        <w:tc>
          <w:tcPr>
            <w:tcW w:w="0" w:type="auto"/>
            <w:hideMark/>
          </w:tcPr>
          <w:p w14:paraId="45CEC3D6" w14:textId="77777777" w:rsidR="00361FFF" w:rsidRPr="00361FFF" w:rsidRDefault="00361FFF" w:rsidP="00361FFF">
            <w:pPr>
              <w:spacing w:after="160" w:line="278" w:lineRule="auto"/>
              <w:jc w:val="both"/>
              <w:rPr>
                <w:rFonts w:ascii="Times New Roman" w:hAnsi="Times New Roman" w:cs="Times New Roman"/>
              </w:rPr>
            </w:pPr>
          </w:p>
        </w:tc>
        <w:tc>
          <w:tcPr>
            <w:tcW w:w="0" w:type="auto"/>
            <w:hideMark/>
          </w:tcPr>
          <w:p w14:paraId="283BB120" w14:textId="77777777" w:rsidR="00361FFF" w:rsidRPr="00361FFF" w:rsidRDefault="00361FFF" w:rsidP="00361FFF">
            <w:pPr>
              <w:spacing w:after="160" w:line="278" w:lineRule="auto"/>
              <w:jc w:val="both"/>
              <w:rPr>
                <w:rFonts w:ascii="Times New Roman" w:hAnsi="Times New Roman" w:cs="Times New Roman"/>
              </w:rPr>
            </w:pPr>
            <w:r w:rsidRPr="00361FFF">
              <w:rPr>
                <w:rFonts w:ascii="Times New Roman" w:hAnsi="Times New Roman" w:cs="Times New Roman"/>
              </w:rPr>
              <w:t>Post-Harvest Facilities</w:t>
            </w:r>
          </w:p>
        </w:tc>
        <w:tc>
          <w:tcPr>
            <w:tcW w:w="0" w:type="auto"/>
            <w:hideMark/>
          </w:tcPr>
          <w:p w14:paraId="1506DDF0" w14:textId="77777777" w:rsidR="00361FFF" w:rsidRPr="00361FFF" w:rsidRDefault="00361FFF" w:rsidP="00361FFF">
            <w:pPr>
              <w:spacing w:after="160" w:line="278" w:lineRule="auto"/>
              <w:jc w:val="both"/>
              <w:rPr>
                <w:rFonts w:ascii="Times New Roman" w:hAnsi="Times New Roman" w:cs="Times New Roman"/>
              </w:rPr>
            </w:pPr>
            <w:r w:rsidRPr="00361FFF">
              <w:rPr>
                <w:rFonts w:ascii="Times New Roman" w:hAnsi="Times New Roman" w:cs="Times New Roman"/>
              </w:rPr>
              <w:t>0.79</w:t>
            </w:r>
          </w:p>
        </w:tc>
        <w:tc>
          <w:tcPr>
            <w:tcW w:w="0" w:type="auto"/>
            <w:hideMark/>
          </w:tcPr>
          <w:p w14:paraId="437CF456" w14:textId="77777777" w:rsidR="00361FFF" w:rsidRPr="00361FFF" w:rsidRDefault="00361FFF" w:rsidP="00361FFF">
            <w:pPr>
              <w:spacing w:after="160" w:line="278" w:lineRule="auto"/>
              <w:jc w:val="both"/>
              <w:rPr>
                <w:rFonts w:ascii="Times New Roman" w:hAnsi="Times New Roman" w:cs="Times New Roman"/>
              </w:rPr>
            </w:pPr>
          </w:p>
        </w:tc>
        <w:tc>
          <w:tcPr>
            <w:tcW w:w="0" w:type="auto"/>
            <w:hideMark/>
          </w:tcPr>
          <w:p w14:paraId="2BB67144" w14:textId="77777777" w:rsidR="00361FFF" w:rsidRPr="00361FFF" w:rsidRDefault="00361FFF" w:rsidP="00361FFF">
            <w:pPr>
              <w:spacing w:after="160" w:line="278" w:lineRule="auto"/>
              <w:jc w:val="both"/>
              <w:rPr>
                <w:rFonts w:ascii="Times New Roman" w:hAnsi="Times New Roman" w:cs="Times New Roman"/>
              </w:rPr>
            </w:pPr>
          </w:p>
        </w:tc>
      </w:tr>
      <w:tr w:rsidR="00361FFF" w:rsidRPr="00361FFF" w14:paraId="62DED047" w14:textId="77777777" w:rsidTr="00441EE3">
        <w:tc>
          <w:tcPr>
            <w:tcW w:w="0" w:type="auto"/>
            <w:hideMark/>
          </w:tcPr>
          <w:p w14:paraId="30C79FBF" w14:textId="77777777" w:rsidR="00361FFF" w:rsidRPr="00361FFF" w:rsidRDefault="00361FFF" w:rsidP="00361FFF">
            <w:pPr>
              <w:spacing w:after="160" w:line="278" w:lineRule="auto"/>
              <w:jc w:val="both"/>
              <w:rPr>
                <w:rFonts w:ascii="Times New Roman" w:hAnsi="Times New Roman" w:cs="Times New Roman"/>
              </w:rPr>
            </w:pPr>
            <w:r w:rsidRPr="00361FFF">
              <w:rPr>
                <w:rFonts w:ascii="Times New Roman" w:hAnsi="Times New Roman" w:cs="Times New Roman"/>
              </w:rPr>
              <w:t>Institutional Capacity</w:t>
            </w:r>
          </w:p>
        </w:tc>
        <w:tc>
          <w:tcPr>
            <w:tcW w:w="0" w:type="auto"/>
            <w:hideMark/>
          </w:tcPr>
          <w:p w14:paraId="754834CE" w14:textId="77777777" w:rsidR="00361FFF" w:rsidRPr="00361FFF" w:rsidRDefault="00361FFF" w:rsidP="00361FFF">
            <w:pPr>
              <w:spacing w:after="160" w:line="278" w:lineRule="auto"/>
              <w:jc w:val="both"/>
              <w:rPr>
                <w:rFonts w:ascii="Times New Roman" w:hAnsi="Times New Roman" w:cs="Times New Roman"/>
              </w:rPr>
            </w:pPr>
            <w:r w:rsidRPr="00361FFF">
              <w:rPr>
                <w:rFonts w:ascii="Times New Roman" w:hAnsi="Times New Roman" w:cs="Times New Roman"/>
              </w:rPr>
              <w:t>Active Farmer Groups</w:t>
            </w:r>
          </w:p>
        </w:tc>
        <w:tc>
          <w:tcPr>
            <w:tcW w:w="0" w:type="auto"/>
            <w:hideMark/>
          </w:tcPr>
          <w:p w14:paraId="6E1EBB8B" w14:textId="77777777" w:rsidR="00361FFF" w:rsidRPr="00361FFF" w:rsidRDefault="00361FFF" w:rsidP="00361FFF">
            <w:pPr>
              <w:spacing w:after="160" w:line="278" w:lineRule="auto"/>
              <w:jc w:val="both"/>
              <w:rPr>
                <w:rFonts w:ascii="Times New Roman" w:hAnsi="Times New Roman" w:cs="Times New Roman"/>
              </w:rPr>
            </w:pPr>
            <w:r w:rsidRPr="00361FFF">
              <w:rPr>
                <w:rFonts w:ascii="Times New Roman" w:hAnsi="Times New Roman" w:cs="Times New Roman"/>
              </w:rPr>
              <w:t>0.85</w:t>
            </w:r>
          </w:p>
        </w:tc>
        <w:tc>
          <w:tcPr>
            <w:tcW w:w="0" w:type="auto"/>
            <w:hideMark/>
          </w:tcPr>
          <w:p w14:paraId="2C0DB550" w14:textId="77777777" w:rsidR="00361FFF" w:rsidRPr="00361FFF" w:rsidRDefault="00361FFF" w:rsidP="00361FFF">
            <w:pPr>
              <w:spacing w:after="160" w:line="278" w:lineRule="auto"/>
              <w:jc w:val="both"/>
              <w:rPr>
                <w:rFonts w:ascii="Times New Roman" w:hAnsi="Times New Roman" w:cs="Times New Roman"/>
              </w:rPr>
            </w:pPr>
            <w:r w:rsidRPr="00361FFF">
              <w:rPr>
                <w:rFonts w:ascii="Times New Roman" w:hAnsi="Times New Roman" w:cs="Times New Roman"/>
              </w:rPr>
              <w:t>0.82</w:t>
            </w:r>
          </w:p>
        </w:tc>
        <w:tc>
          <w:tcPr>
            <w:tcW w:w="0" w:type="auto"/>
            <w:hideMark/>
          </w:tcPr>
          <w:p w14:paraId="24F1949B" w14:textId="77777777" w:rsidR="00361FFF" w:rsidRPr="00361FFF" w:rsidRDefault="00361FFF" w:rsidP="00361FFF">
            <w:pPr>
              <w:spacing w:after="160" w:line="278" w:lineRule="auto"/>
              <w:jc w:val="both"/>
              <w:rPr>
                <w:rFonts w:ascii="Times New Roman" w:hAnsi="Times New Roman" w:cs="Times New Roman"/>
              </w:rPr>
            </w:pPr>
            <w:r w:rsidRPr="00361FFF">
              <w:rPr>
                <w:rFonts w:ascii="Times New Roman" w:hAnsi="Times New Roman" w:cs="Times New Roman"/>
              </w:rPr>
              <w:t>0.91</w:t>
            </w:r>
          </w:p>
        </w:tc>
      </w:tr>
      <w:tr w:rsidR="00361FFF" w:rsidRPr="00361FFF" w14:paraId="7B75F38D" w14:textId="77777777" w:rsidTr="00441EE3">
        <w:tc>
          <w:tcPr>
            <w:tcW w:w="0" w:type="auto"/>
            <w:hideMark/>
          </w:tcPr>
          <w:p w14:paraId="18E9290F" w14:textId="77777777" w:rsidR="00361FFF" w:rsidRPr="00361FFF" w:rsidRDefault="00361FFF" w:rsidP="00361FFF">
            <w:pPr>
              <w:spacing w:after="160" w:line="278" w:lineRule="auto"/>
              <w:jc w:val="both"/>
              <w:rPr>
                <w:rFonts w:ascii="Times New Roman" w:hAnsi="Times New Roman" w:cs="Times New Roman"/>
              </w:rPr>
            </w:pPr>
          </w:p>
        </w:tc>
        <w:tc>
          <w:tcPr>
            <w:tcW w:w="0" w:type="auto"/>
            <w:hideMark/>
          </w:tcPr>
          <w:p w14:paraId="43D8E231" w14:textId="77777777" w:rsidR="00361FFF" w:rsidRPr="00361FFF" w:rsidRDefault="00361FFF" w:rsidP="00361FFF">
            <w:pPr>
              <w:spacing w:after="160" w:line="278" w:lineRule="auto"/>
              <w:jc w:val="both"/>
              <w:rPr>
                <w:rFonts w:ascii="Times New Roman" w:hAnsi="Times New Roman" w:cs="Times New Roman"/>
              </w:rPr>
            </w:pPr>
            <w:r w:rsidRPr="00361FFF">
              <w:rPr>
                <w:rFonts w:ascii="Times New Roman" w:hAnsi="Times New Roman" w:cs="Times New Roman"/>
              </w:rPr>
              <w:t>Cooperative Sustainability</w:t>
            </w:r>
          </w:p>
        </w:tc>
        <w:tc>
          <w:tcPr>
            <w:tcW w:w="0" w:type="auto"/>
            <w:hideMark/>
          </w:tcPr>
          <w:p w14:paraId="726A3F0D" w14:textId="77777777" w:rsidR="00361FFF" w:rsidRPr="00361FFF" w:rsidRDefault="00361FFF" w:rsidP="00361FFF">
            <w:pPr>
              <w:spacing w:after="160" w:line="278" w:lineRule="auto"/>
              <w:jc w:val="both"/>
              <w:rPr>
                <w:rFonts w:ascii="Times New Roman" w:hAnsi="Times New Roman" w:cs="Times New Roman"/>
              </w:rPr>
            </w:pPr>
            <w:r w:rsidRPr="00361FFF">
              <w:rPr>
                <w:rFonts w:ascii="Times New Roman" w:hAnsi="Times New Roman" w:cs="Times New Roman"/>
              </w:rPr>
              <w:t>0.80</w:t>
            </w:r>
          </w:p>
        </w:tc>
        <w:tc>
          <w:tcPr>
            <w:tcW w:w="0" w:type="auto"/>
            <w:hideMark/>
          </w:tcPr>
          <w:p w14:paraId="7101B9F9" w14:textId="77777777" w:rsidR="00361FFF" w:rsidRPr="00361FFF" w:rsidRDefault="00361FFF" w:rsidP="00361FFF">
            <w:pPr>
              <w:spacing w:after="160" w:line="278" w:lineRule="auto"/>
              <w:jc w:val="both"/>
              <w:rPr>
                <w:rFonts w:ascii="Times New Roman" w:hAnsi="Times New Roman" w:cs="Times New Roman"/>
              </w:rPr>
            </w:pPr>
          </w:p>
        </w:tc>
        <w:tc>
          <w:tcPr>
            <w:tcW w:w="0" w:type="auto"/>
            <w:hideMark/>
          </w:tcPr>
          <w:p w14:paraId="6A488728" w14:textId="77777777" w:rsidR="00361FFF" w:rsidRPr="00361FFF" w:rsidRDefault="00361FFF" w:rsidP="00361FFF">
            <w:pPr>
              <w:spacing w:after="160" w:line="278" w:lineRule="auto"/>
              <w:jc w:val="both"/>
              <w:rPr>
                <w:rFonts w:ascii="Times New Roman" w:hAnsi="Times New Roman" w:cs="Times New Roman"/>
              </w:rPr>
            </w:pPr>
          </w:p>
        </w:tc>
      </w:tr>
      <w:tr w:rsidR="00361FFF" w:rsidRPr="00361FFF" w14:paraId="41844C91" w14:textId="77777777" w:rsidTr="00441EE3">
        <w:tc>
          <w:tcPr>
            <w:tcW w:w="0" w:type="auto"/>
            <w:hideMark/>
          </w:tcPr>
          <w:p w14:paraId="770D693F" w14:textId="77777777" w:rsidR="00361FFF" w:rsidRPr="00361FFF" w:rsidRDefault="00361FFF" w:rsidP="00361FFF">
            <w:pPr>
              <w:spacing w:after="160" w:line="278" w:lineRule="auto"/>
              <w:jc w:val="both"/>
              <w:rPr>
                <w:rFonts w:ascii="Times New Roman" w:hAnsi="Times New Roman" w:cs="Times New Roman"/>
              </w:rPr>
            </w:pPr>
          </w:p>
        </w:tc>
        <w:tc>
          <w:tcPr>
            <w:tcW w:w="0" w:type="auto"/>
            <w:hideMark/>
          </w:tcPr>
          <w:p w14:paraId="588B8DFF" w14:textId="77777777" w:rsidR="00361FFF" w:rsidRPr="00361FFF" w:rsidRDefault="00361FFF" w:rsidP="00361FFF">
            <w:pPr>
              <w:spacing w:after="160" w:line="278" w:lineRule="auto"/>
              <w:jc w:val="both"/>
              <w:rPr>
                <w:rFonts w:ascii="Times New Roman" w:hAnsi="Times New Roman" w:cs="Times New Roman"/>
              </w:rPr>
            </w:pPr>
            <w:r w:rsidRPr="00361FFF">
              <w:rPr>
                <w:rFonts w:ascii="Times New Roman" w:hAnsi="Times New Roman" w:cs="Times New Roman"/>
              </w:rPr>
              <w:t>Support from Village Government</w:t>
            </w:r>
          </w:p>
        </w:tc>
        <w:tc>
          <w:tcPr>
            <w:tcW w:w="0" w:type="auto"/>
            <w:hideMark/>
          </w:tcPr>
          <w:p w14:paraId="7CD35011" w14:textId="77777777" w:rsidR="00361FFF" w:rsidRPr="00361FFF" w:rsidRDefault="00361FFF" w:rsidP="00361FFF">
            <w:pPr>
              <w:spacing w:after="160" w:line="278" w:lineRule="auto"/>
              <w:jc w:val="both"/>
              <w:rPr>
                <w:rFonts w:ascii="Times New Roman" w:hAnsi="Times New Roman" w:cs="Times New Roman"/>
              </w:rPr>
            </w:pPr>
            <w:r w:rsidRPr="00361FFF">
              <w:rPr>
                <w:rFonts w:ascii="Times New Roman" w:hAnsi="Times New Roman" w:cs="Times New Roman"/>
              </w:rPr>
              <w:t>0.77</w:t>
            </w:r>
          </w:p>
        </w:tc>
        <w:tc>
          <w:tcPr>
            <w:tcW w:w="0" w:type="auto"/>
            <w:hideMark/>
          </w:tcPr>
          <w:p w14:paraId="51B3939C" w14:textId="77777777" w:rsidR="00361FFF" w:rsidRPr="00361FFF" w:rsidRDefault="00361FFF" w:rsidP="00361FFF">
            <w:pPr>
              <w:spacing w:after="160" w:line="278" w:lineRule="auto"/>
              <w:jc w:val="both"/>
              <w:rPr>
                <w:rFonts w:ascii="Times New Roman" w:hAnsi="Times New Roman" w:cs="Times New Roman"/>
              </w:rPr>
            </w:pPr>
          </w:p>
        </w:tc>
        <w:tc>
          <w:tcPr>
            <w:tcW w:w="0" w:type="auto"/>
            <w:hideMark/>
          </w:tcPr>
          <w:p w14:paraId="7132B630" w14:textId="77777777" w:rsidR="00361FFF" w:rsidRPr="00361FFF" w:rsidRDefault="00361FFF" w:rsidP="00361FFF">
            <w:pPr>
              <w:spacing w:after="160" w:line="278" w:lineRule="auto"/>
              <w:jc w:val="both"/>
              <w:rPr>
                <w:rFonts w:ascii="Times New Roman" w:hAnsi="Times New Roman" w:cs="Times New Roman"/>
              </w:rPr>
            </w:pPr>
          </w:p>
        </w:tc>
      </w:tr>
      <w:tr w:rsidR="00361FFF" w:rsidRPr="00361FFF" w14:paraId="6B6838A1" w14:textId="77777777" w:rsidTr="00441EE3">
        <w:tc>
          <w:tcPr>
            <w:tcW w:w="0" w:type="auto"/>
            <w:hideMark/>
          </w:tcPr>
          <w:p w14:paraId="0B7A3DB5" w14:textId="77777777" w:rsidR="00361FFF" w:rsidRPr="00361FFF" w:rsidRDefault="00361FFF" w:rsidP="00361FFF">
            <w:pPr>
              <w:spacing w:after="160" w:line="278" w:lineRule="auto"/>
              <w:jc w:val="both"/>
              <w:rPr>
                <w:rFonts w:ascii="Times New Roman" w:hAnsi="Times New Roman" w:cs="Times New Roman"/>
              </w:rPr>
            </w:pPr>
            <w:r w:rsidRPr="00361FFF">
              <w:rPr>
                <w:rFonts w:ascii="Times New Roman" w:hAnsi="Times New Roman" w:cs="Times New Roman"/>
              </w:rPr>
              <w:t xml:space="preserve">Village Fund </w:t>
            </w:r>
            <w:proofErr w:type="spellStart"/>
            <w:r w:rsidRPr="00361FFF">
              <w:rPr>
                <w:rFonts w:ascii="Times New Roman" w:hAnsi="Times New Roman" w:cs="Times New Roman"/>
              </w:rPr>
              <w:t>Utilisation</w:t>
            </w:r>
            <w:proofErr w:type="spellEnd"/>
          </w:p>
        </w:tc>
        <w:tc>
          <w:tcPr>
            <w:tcW w:w="0" w:type="auto"/>
            <w:hideMark/>
          </w:tcPr>
          <w:p w14:paraId="6B9DF2DC" w14:textId="77777777" w:rsidR="00361FFF" w:rsidRPr="00361FFF" w:rsidRDefault="00361FFF" w:rsidP="00361FFF">
            <w:pPr>
              <w:spacing w:after="160" w:line="278" w:lineRule="auto"/>
              <w:jc w:val="both"/>
              <w:rPr>
                <w:rFonts w:ascii="Times New Roman" w:hAnsi="Times New Roman" w:cs="Times New Roman"/>
              </w:rPr>
            </w:pPr>
            <w:r w:rsidRPr="00361FFF">
              <w:rPr>
                <w:rFonts w:ascii="Times New Roman" w:hAnsi="Times New Roman" w:cs="Times New Roman"/>
              </w:rPr>
              <w:t>Allocation for Agriculture</w:t>
            </w:r>
          </w:p>
        </w:tc>
        <w:tc>
          <w:tcPr>
            <w:tcW w:w="0" w:type="auto"/>
            <w:hideMark/>
          </w:tcPr>
          <w:p w14:paraId="257AE546" w14:textId="77777777" w:rsidR="00361FFF" w:rsidRPr="00361FFF" w:rsidRDefault="00361FFF" w:rsidP="00361FFF">
            <w:pPr>
              <w:spacing w:after="160" w:line="278" w:lineRule="auto"/>
              <w:jc w:val="both"/>
              <w:rPr>
                <w:rFonts w:ascii="Times New Roman" w:hAnsi="Times New Roman" w:cs="Times New Roman"/>
              </w:rPr>
            </w:pPr>
            <w:r w:rsidRPr="00361FFF">
              <w:rPr>
                <w:rFonts w:ascii="Times New Roman" w:hAnsi="Times New Roman" w:cs="Times New Roman"/>
              </w:rPr>
              <w:t>0.88</w:t>
            </w:r>
          </w:p>
        </w:tc>
        <w:tc>
          <w:tcPr>
            <w:tcW w:w="0" w:type="auto"/>
            <w:hideMark/>
          </w:tcPr>
          <w:p w14:paraId="76BA71F0" w14:textId="77777777" w:rsidR="00361FFF" w:rsidRPr="00361FFF" w:rsidRDefault="00361FFF" w:rsidP="00361FFF">
            <w:pPr>
              <w:spacing w:after="160" w:line="278" w:lineRule="auto"/>
              <w:jc w:val="both"/>
              <w:rPr>
                <w:rFonts w:ascii="Times New Roman" w:hAnsi="Times New Roman" w:cs="Times New Roman"/>
              </w:rPr>
            </w:pPr>
            <w:r w:rsidRPr="00361FFF">
              <w:rPr>
                <w:rFonts w:ascii="Times New Roman" w:hAnsi="Times New Roman" w:cs="Times New Roman"/>
              </w:rPr>
              <w:t>0.84</w:t>
            </w:r>
          </w:p>
        </w:tc>
        <w:tc>
          <w:tcPr>
            <w:tcW w:w="0" w:type="auto"/>
            <w:hideMark/>
          </w:tcPr>
          <w:p w14:paraId="69B1F746" w14:textId="77777777" w:rsidR="00361FFF" w:rsidRPr="00361FFF" w:rsidRDefault="00361FFF" w:rsidP="00361FFF">
            <w:pPr>
              <w:spacing w:after="160" w:line="278" w:lineRule="auto"/>
              <w:jc w:val="both"/>
              <w:rPr>
                <w:rFonts w:ascii="Times New Roman" w:hAnsi="Times New Roman" w:cs="Times New Roman"/>
              </w:rPr>
            </w:pPr>
            <w:r w:rsidRPr="00361FFF">
              <w:rPr>
                <w:rFonts w:ascii="Times New Roman" w:hAnsi="Times New Roman" w:cs="Times New Roman"/>
              </w:rPr>
              <w:t>0.92</w:t>
            </w:r>
          </w:p>
        </w:tc>
      </w:tr>
      <w:tr w:rsidR="00361FFF" w:rsidRPr="00361FFF" w14:paraId="686FDECD" w14:textId="77777777" w:rsidTr="00441EE3">
        <w:tc>
          <w:tcPr>
            <w:tcW w:w="0" w:type="auto"/>
            <w:hideMark/>
          </w:tcPr>
          <w:p w14:paraId="18517087" w14:textId="77777777" w:rsidR="00361FFF" w:rsidRPr="00361FFF" w:rsidRDefault="00361FFF" w:rsidP="00361FFF">
            <w:pPr>
              <w:spacing w:after="160" w:line="278" w:lineRule="auto"/>
              <w:jc w:val="both"/>
              <w:rPr>
                <w:rFonts w:ascii="Times New Roman" w:hAnsi="Times New Roman" w:cs="Times New Roman"/>
              </w:rPr>
            </w:pPr>
          </w:p>
        </w:tc>
        <w:tc>
          <w:tcPr>
            <w:tcW w:w="0" w:type="auto"/>
            <w:hideMark/>
          </w:tcPr>
          <w:p w14:paraId="07569E39" w14:textId="77777777" w:rsidR="00361FFF" w:rsidRPr="00361FFF" w:rsidRDefault="00361FFF" w:rsidP="00361FFF">
            <w:pPr>
              <w:spacing w:after="160" w:line="278" w:lineRule="auto"/>
              <w:jc w:val="both"/>
              <w:rPr>
                <w:rFonts w:ascii="Times New Roman" w:hAnsi="Times New Roman" w:cs="Times New Roman"/>
              </w:rPr>
            </w:pPr>
            <w:r w:rsidRPr="00361FFF">
              <w:rPr>
                <w:rFonts w:ascii="Times New Roman" w:hAnsi="Times New Roman" w:cs="Times New Roman"/>
              </w:rPr>
              <w:t>Effectiveness of Use</w:t>
            </w:r>
          </w:p>
        </w:tc>
        <w:tc>
          <w:tcPr>
            <w:tcW w:w="0" w:type="auto"/>
            <w:hideMark/>
          </w:tcPr>
          <w:p w14:paraId="2100A682" w14:textId="77777777" w:rsidR="00361FFF" w:rsidRPr="00361FFF" w:rsidRDefault="00361FFF" w:rsidP="00361FFF">
            <w:pPr>
              <w:spacing w:after="160" w:line="278" w:lineRule="auto"/>
              <w:jc w:val="both"/>
              <w:rPr>
                <w:rFonts w:ascii="Times New Roman" w:hAnsi="Times New Roman" w:cs="Times New Roman"/>
              </w:rPr>
            </w:pPr>
            <w:r w:rsidRPr="00361FFF">
              <w:rPr>
                <w:rFonts w:ascii="Times New Roman" w:hAnsi="Times New Roman" w:cs="Times New Roman"/>
              </w:rPr>
              <w:t>0.82</w:t>
            </w:r>
          </w:p>
        </w:tc>
        <w:tc>
          <w:tcPr>
            <w:tcW w:w="0" w:type="auto"/>
            <w:hideMark/>
          </w:tcPr>
          <w:p w14:paraId="31008CBD" w14:textId="77777777" w:rsidR="00361FFF" w:rsidRPr="00361FFF" w:rsidRDefault="00361FFF" w:rsidP="00361FFF">
            <w:pPr>
              <w:spacing w:after="160" w:line="278" w:lineRule="auto"/>
              <w:jc w:val="both"/>
              <w:rPr>
                <w:rFonts w:ascii="Times New Roman" w:hAnsi="Times New Roman" w:cs="Times New Roman"/>
              </w:rPr>
            </w:pPr>
          </w:p>
        </w:tc>
        <w:tc>
          <w:tcPr>
            <w:tcW w:w="0" w:type="auto"/>
            <w:hideMark/>
          </w:tcPr>
          <w:p w14:paraId="7D23FB62" w14:textId="77777777" w:rsidR="00361FFF" w:rsidRPr="00361FFF" w:rsidRDefault="00361FFF" w:rsidP="00361FFF">
            <w:pPr>
              <w:spacing w:after="160" w:line="278" w:lineRule="auto"/>
              <w:jc w:val="both"/>
              <w:rPr>
                <w:rFonts w:ascii="Times New Roman" w:hAnsi="Times New Roman" w:cs="Times New Roman"/>
              </w:rPr>
            </w:pPr>
          </w:p>
        </w:tc>
      </w:tr>
      <w:tr w:rsidR="00361FFF" w:rsidRPr="00361FFF" w14:paraId="753378E1" w14:textId="77777777" w:rsidTr="00441EE3">
        <w:tc>
          <w:tcPr>
            <w:tcW w:w="0" w:type="auto"/>
            <w:hideMark/>
          </w:tcPr>
          <w:p w14:paraId="26C35696" w14:textId="77777777" w:rsidR="00361FFF" w:rsidRPr="00361FFF" w:rsidRDefault="00361FFF" w:rsidP="00361FFF">
            <w:pPr>
              <w:spacing w:after="160" w:line="278" w:lineRule="auto"/>
              <w:jc w:val="both"/>
              <w:rPr>
                <w:rFonts w:ascii="Times New Roman" w:hAnsi="Times New Roman" w:cs="Times New Roman"/>
              </w:rPr>
            </w:pPr>
          </w:p>
        </w:tc>
        <w:tc>
          <w:tcPr>
            <w:tcW w:w="0" w:type="auto"/>
            <w:hideMark/>
          </w:tcPr>
          <w:p w14:paraId="2EDD727D" w14:textId="77777777" w:rsidR="00361FFF" w:rsidRPr="00361FFF" w:rsidRDefault="00361FFF" w:rsidP="00361FFF">
            <w:pPr>
              <w:spacing w:after="160" w:line="278" w:lineRule="auto"/>
              <w:jc w:val="both"/>
              <w:rPr>
                <w:rFonts w:ascii="Times New Roman" w:hAnsi="Times New Roman" w:cs="Times New Roman"/>
              </w:rPr>
            </w:pPr>
            <w:r w:rsidRPr="00361FFF">
              <w:rPr>
                <w:rFonts w:ascii="Times New Roman" w:hAnsi="Times New Roman" w:cs="Times New Roman"/>
              </w:rPr>
              <w:t>Village Financial Management</w:t>
            </w:r>
          </w:p>
        </w:tc>
        <w:tc>
          <w:tcPr>
            <w:tcW w:w="0" w:type="auto"/>
            <w:hideMark/>
          </w:tcPr>
          <w:p w14:paraId="007DEF85" w14:textId="77777777" w:rsidR="00361FFF" w:rsidRPr="00361FFF" w:rsidRDefault="00361FFF" w:rsidP="00361FFF">
            <w:pPr>
              <w:spacing w:after="160" w:line="278" w:lineRule="auto"/>
              <w:jc w:val="both"/>
              <w:rPr>
                <w:rFonts w:ascii="Times New Roman" w:hAnsi="Times New Roman" w:cs="Times New Roman"/>
              </w:rPr>
            </w:pPr>
            <w:r w:rsidRPr="00361FFF">
              <w:rPr>
                <w:rFonts w:ascii="Times New Roman" w:hAnsi="Times New Roman" w:cs="Times New Roman"/>
              </w:rPr>
              <w:t>0.83</w:t>
            </w:r>
          </w:p>
        </w:tc>
        <w:tc>
          <w:tcPr>
            <w:tcW w:w="0" w:type="auto"/>
            <w:hideMark/>
          </w:tcPr>
          <w:p w14:paraId="7A5A6714" w14:textId="77777777" w:rsidR="00361FFF" w:rsidRPr="00361FFF" w:rsidRDefault="00361FFF" w:rsidP="00361FFF">
            <w:pPr>
              <w:spacing w:after="160" w:line="278" w:lineRule="auto"/>
              <w:jc w:val="both"/>
              <w:rPr>
                <w:rFonts w:ascii="Times New Roman" w:hAnsi="Times New Roman" w:cs="Times New Roman"/>
              </w:rPr>
            </w:pPr>
          </w:p>
        </w:tc>
        <w:tc>
          <w:tcPr>
            <w:tcW w:w="0" w:type="auto"/>
            <w:hideMark/>
          </w:tcPr>
          <w:p w14:paraId="79315915" w14:textId="77777777" w:rsidR="00361FFF" w:rsidRPr="00361FFF" w:rsidRDefault="00361FFF" w:rsidP="00361FFF">
            <w:pPr>
              <w:spacing w:after="160" w:line="278" w:lineRule="auto"/>
              <w:jc w:val="both"/>
              <w:rPr>
                <w:rFonts w:ascii="Times New Roman" w:hAnsi="Times New Roman" w:cs="Times New Roman"/>
              </w:rPr>
            </w:pPr>
          </w:p>
        </w:tc>
      </w:tr>
      <w:tr w:rsidR="00361FFF" w:rsidRPr="00361FFF" w14:paraId="4D3BAD4E" w14:textId="77777777" w:rsidTr="00441EE3">
        <w:tc>
          <w:tcPr>
            <w:tcW w:w="0" w:type="auto"/>
            <w:hideMark/>
          </w:tcPr>
          <w:p w14:paraId="52B1527D" w14:textId="77777777" w:rsidR="00361FFF" w:rsidRPr="00361FFF" w:rsidRDefault="00361FFF" w:rsidP="00361FFF">
            <w:pPr>
              <w:spacing w:after="160" w:line="278" w:lineRule="auto"/>
              <w:jc w:val="both"/>
              <w:rPr>
                <w:rFonts w:ascii="Times New Roman" w:hAnsi="Times New Roman" w:cs="Times New Roman"/>
              </w:rPr>
            </w:pPr>
            <w:r w:rsidRPr="00361FFF">
              <w:rPr>
                <w:rFonts w:ascii="Times New Roman" w:hAnsi="Times New Roman" w:cs="Times New Roman"/>
              </w:rPr>
              <w:t>Village Food Security</w:t>
            </w:r>
          </w:p>
        </w:tc>
        <w:tc>
          <w:tcPr>
            <w:tcW w:w="0" w:type="auto"/>
            <w:hideMark/>
          </w:tcPr>
          <w:p w14:paraId="77B65DE6" w14:textId="77777777" w:rsidR="00361FFF" w:rsidRPr="00361FFF" w:rsidRDefault="00361FFF" w:rsidP="00361FFF">
            <w:pPr>
              <w:spacing w:after="160" w:line="278" w:lineRule="auto"/>
              <w:jc w:val="both"/>
              <w:rPr>
                <w:rFonts w:ascii="Times New Roman" w:hAnsi="Times New Roman" w:cs="Times New Roman"/>
              </w:rPr>
            </w:pPr>
            <w:r w:rsidRPr="00361FFF">
              <w:rPr>
                <w:rFonts w:ascii="Times New Roman" w:hAnsi="Times New Roman" w:cs="Times New Roman"/>
              </w:rPr>
              <w:t>Food Availability</w:t>
            </w:r>
          </w:p>
        </w:tc>
        <w:tc>
          <w:tcPr>
            <w:tcW w:w="0" w:type="auto"/>
            <w:hideMark/>
          </w:tcPr>
          <w:p w14:paraId="2A3D2E40" w14:textId="77777777" w:rsidR="00361FFF" w:rsidRPr="00361FFF" w:rsidRDefault="00361FFF" w:rsidP="00361FFF">
            <w:pPr>
              <w:spacing w:after="160" w:line="278" w:lineRule="auto"/>
              <w:jc w:val="both"/>
              <w:rPr>
                <w:rFonts w:ascii="Times New Roman" w:hAnsi="Times New Roman" w:cs="Times New Roman"/>
              </w:rPr>
            </w:pPr>
            <w:r w:rsidRPr="00361FFF">
              <w:rPr>
                <w:rFonts w:ascii="Times New Roman" w:hAnsi="Times New Roman" w:cs="Times New Roman"/>
              </w:rPr>
              <w:t>0.90</w:t>
            </w:r>
          </w:p>
        </w:tc>
        <w:tc>
          <w:tcPr>
            <w:tcW w:w="0" w:type="auto"/>
            <w:hideMark/>
          </w:tcPr>
          <w:p w14:paraId="08242418" w14:textId="77777777" w:rsidR="00361FFF" w:rsidRPr="00361FFF" w:rsidRDefault="00361FFF" w:rsidP="00361FFF">
            <w:pPr>
              <w:spacing w:after="160" w:line="278" w:lineRule="auto"/>
              <w:jc w:val="both"/>
              <w:rPr>
                <w:rFonts w:ascii="Times New Roman" w:hAnsi="Times New Roman" w:cs="Times New Roman"/>
              </w:rPr>
            </w:pPr>
            <w:r w:rsidRPr="00361FFF">
              <w:rPr>
                <w:rFonts w:ascii="Times New Roman" w:hAnsi="Times New Roman" w:cs="Times New Roman"/>
              </w:rPr>
              <w:t>0.85</w:t>
            </w:r>
          </w:p>
        </w:tc>
        <w:tc>
          <w:tcPr>
            <w:tcW w:w="0" w:type="auto"/>
            <w:hideMark/>
          </w:tcPr>
          <w:p w14:paraId="6D897433" w14:textId="77777777" w:rsidR="00361FFF" w:rsidRPr="00361FFF" w:rsidRDefault="00361FFF" w:rsidP="00361FFF">
            <w:pPr>
              <w:spacing w:after="160" w:line="278" w:lineRule="auto"/>
              <w:jc w:val="both"/>
              <w:rPr>
                <w:rFonts w:ascii="Times New Roman" w:hAnsi="Times New Roman" w:cs="Times New Roman"/>
              </w:rPr>
            </w:pPr>
            <w:r w:rsidRPr="00361FFF">
              <w:rPr>
                <w:rFonts w:ascii="Times New Roman" w:hAnsi="Times New Roman" w:cs="Times New Roman"/>
              </w:rPr>
              <w:t>0.93</w:t>
            </w:r>
          </w:p>
        </w:tc>
      </w:tr>
      <w:tr w:rsidR="00361FFF" w:rsidRPr="00361FFF" w14:paraId="67A9DC9F" w14:textId="77777777" w:rsidTr="00441EE3">
        <w:tc>
          <w:tcPr>
            <w:tcW w:w="0" w:type="auto"/>
            <w:hideMark/>
          </w:tcPr>
          <w:p w14:paraId="05746F04" w14:textId="77777777" w:rsidR="00361FFF" w:rsidRPr="00361FFF" w:rsidRDefault="00361FFF" w:rsidP="00361FFF">
            <w:pPr>
              <w:spacing w:after="160" w:line="278" w:lineRule="auto"/>
              <w:jc w:val="both"/>
              <w:rPr>
                <w:rFonts w:ascii="Times New Roman" w:hAnsi="Times New Roman" w:cs="Times New Roman"/>
              </w:rPr>
            </w:pPr>
          </w:p>
        </w:tc>
        <w:tc>
          <w:tcPr>
            <w:tcW w:w="0" w:type="auto"/>
            <w:hideMark/>
          </w:tcPr>
          <w:p w14:paraId="5ED3B296" w14:textId="77777777" w:rsidR="00361FFF" w:rsidRPr="00361FFF" w:rsidRDefault="00361FFF" w:rsidP="00361FFF">
            <w:pPr>
              <w:spacing w:after="160" w:line="278" w:lineRule="auto"/>
              <w:jc w:val="both"/>
              <w:rPr>
                <w:rFonts w:ascii="Times New Roman" w:hAnsi="Times New Roman" w:cs="Times New Roman"/>
              </w:rPr>
            </w:pPr>
            <w:r w:rsidRPr="00361FFF">
              <w:rPr>
                <w:rFonts w:ascii="Times New Roman" w:hAnsi="Times New Roman" w:cs="Times New Roman"/>
              </w:rPr>
              <w:t>Food Accessibility</w:t>
            </w:r>
          </w:p>
        </w:tc>
        <w:tc>
          <w:tcPr>
            <w:tcW w:w="0" w:type="auto"/>
            <w:hideMark/>
          </w:tcPr>
          <w:p w14:paraId="7A76FEED" w14:textId="77777777" w:rsidR="00361FFF" w:rsidRPr="00361FFF" w:rsidRDefault="00361FFF" w:rsidP="00361FFF">
            <w:pPr>
              <w:spacing w:after="160" w:line="278" w:lineRule="auto"/>
              <w:jc w:val="both"/>
              <w:rPr>
                <w:rFonts w:ascii="Times New Roman" w:hAnsi="Times New Roman" w:cs="Times New Roman"/>
              </w:rPr>
            </w:pPr>
            <w:r w:rsidRPr="00361FFF">
              <w:rPr>
                <w:rFonts w:ascii="Times New Roman" w:hAnsi="Times New Roman" w:cs="Times New Roman"/>
              </w:rPr>
              <w:t>0.87</w:t>
            </w:r>
          </w:p>
        </w:tc>
        <w:tc>
          <w:tcPr>
            <w:tcW w:w="0" w:type="auto"/>
            <w:hideMark/>
          </w:tcPr>
          <w:p w14:paraId="421ED384" w14:textId="77777777" w:rsidR="00361FFF" w:rsidRPr="00361FFF" w:rsidRDefault="00361FFF" w:rsidP="00361FFF">
            <w:pPr>
              <w:spacing w:after="160" w:line="278" w:lineRule="auto"/>
              <w:jc w:val="both"/>
              <w:rPr>
                <w:rFonts w:ascii="Times New Roman" w:hAnsi="Times New Roman" w:cs="Times New Roman"/>
              </w:rPr>
            </w:pPr>
          </w:p>
        </w:tc>
        <w:tc>
          <w:tcPr>
            <w:tcW w:w="0" w:type="auto"/>
            <w:hideMark/>
          </w:tcPr>
          <w:p w14:paraId="33A54DE3" w14:textId="77777777" w:rsidR="00361FFF" w:rsidRPr="00361FFF" w:rsidRDefault="00361FFF" w:rsidP="00361FFF">
            <w:pPr>
              <w:spacing w:after="160" w:line="278" w:lineRule="auto"/>
              <w:jc w:val="both"/>
              <w:rPr>
                <w:rFonts w:ascii="Times New Roman" w:hAnsi="Times New Roman" w:cs="Times New Roman"/>
              </w:rPr>
            </w:pPr>
          </w:p>
        </w:tc>
      </w:tr>
      <w:tr w:rsidR="00361FFF" w:rsidRPr="00361FFF" w14:paraId="709FB9D4" w14:textId="77777777" w:rsidTr="00441EE3">
        <w:tc>
          <w:tcPr>
            <w:tcW w:w="0" w:type="auto"/>
            <w:hideMark/>
          </w:tcPr>
          <w:p w14:paraId="7A81B3D3" w14:textId="77777777" w:rsidR="00361FFF" w:rsidRPr="00361FFF" w:rsidRDefault="00361FFF" w:rsidP="00361FFF">
            <w:pPr>
              <w:spacing w:after="160" w:line="278" w:lineRule="auto"/>
              <w:jc w:val="both"/>
              <w:rPr>
                <w:rFonts w:ascii="Times New Roman" w:hAnsi="Times New Roman" w:cs="Times New Roman"/>
              </w:rPr>
            </w:pPr>
          </w:p>
        </w:tc>
        <w:tc>
          <w:tcPr>
            <w:tcW w:w="0" w:type="auto"/>
            <w:hideMark/>
          </w:tcPr>
          <w:p w14:paraId="5CDC8D5A" w14:textId="77777777" w:rsidR="00361FFF" w:rsidRPr="00361FFF" w:rsidRDefault="00361FFF" w:rsidP="00361FFF">
            <w:pPr>
              <w:spacing w:after="160" w:line="278" w:lineRule="auto"/>
              <w:jc w:val="both"/>
              <w:rPr>
                <w:rFonts w:ascii="Times New Roman" w:hAnsi="Times New Roman" w:cs="Times New Roman"/>
              </w:rPr>
            </w:pPr>
            <w:r w:rsidRPr="00361FFF">
              <w:rPr>
                <w:rFonts w:ascii="Times New Roman" w:hAnsi="Times New Roman" w:cs="Times New Roman"/>
              </w:rPr>
              <w:t xml:space="preserve">Food </w:t>
            </w:r>
            <w:proofErr w:type="spellStart"/>
            <w:r w:rsidRPr="00361FFF">
              <w:rPr>
                <w:rFonts w:ascii="Times New Roman" w:hAnsi="Times New Roman" w:cs="Times New Roman"/>
              </w:rPr>
              <w:t>Utilisation</w:t>
            </w:r>
            <w:proofErr w:type="spellEnd"/>
          </w:p>
        </w:tc>
        <w:tc>
          <w:tcPr>
            <w:tcW w:w="0" w:type="auto"/>
            <w:hideMark/>
          </w:tcPr>
          <w:p w14:paraId="14279E86" w14:textId="77777777" w:rsidR="00361FFF" w:rsidRPr="00361FFF" w:rsidRDefault="00361FFF" w:rsidP="00361FFF">
            <w:pPr>
              <w:spacing w:after="160" w:line="278" w:lineRule="auto"/>
              <w:jc w:val="both"/>
              <w:rPr>
                <w:rFonts w:ascii="Times New Roman" w:hAnsi="Times New Roman" w:cs="Times New Roman"/>
              </w:rPr>
            </w:pPr>
            <w:r w:rsidRPr="00361FFF">
              <w:rPr>
                <w:rFonts w:ascii="Times New Roman" w:hAnsi="Times New Roman" w:cs="Times New Roman"/>
              </w:rPr>
              <w:t>0.86</w:t>
            </w:r>
          </w:p>
        </w:tc>
        <w:tc>
          <w:tcPr>
            <w:tcW w:w="0" w:type="auto"/>
            <w:hideMark/>
          </w:tcPr>
          <w:p w14:paraId="4EF93293" w14:textId="77777777" w:rsidR="00361FFF" w:rsidRPr="00361FFF" w:rsidRDefault="00361FFF" w:rsidP="00361FFF">
            <w:pPr>
              <w:spacing w:after="160" w:line="278" w:lineRule="auto"/>
              <w:jc w:val="both"/>
              <w:rPr>
                <w:rFonts w:ascii="Times New Roman" w:hAnsi="Times New Roman" w:cs="Times New Roman"/>
              </w:rPr>
            </w:pPr>
          </w:p>
        </w:tc>
        <w:tc>
          <w:tcPr>
            <w:tcW w:w="0" w:type="auto"/>
            <w:hideMark/>
          </w:tcPr>
          <w:p w14:paraId="49161E93" w14:textId="77777777" w:rsidR="00361FFF" w:rsidRPr="00361FFF" w:rsidRDefault="00361FFF" w:rsidP="00361FFF">
            <w:pPr>
              <w:spacing w:after="160" w:line="278" w:lineRule="auto"/>
              <w:jc w:val="both"/>
              <w:rPr>
                <w:rFonts w:ascii="Times New Roman" w:hAnsi="Times New Roman" w:cs="Times New Roman"/>
              </w:rPr>
            </w:pPr>
          </w:p>
        </w:tc>
      </w:tr>
    </w:tbl>
    <w:p w14:paraId="1C589A88" w14:textId="77777777" w:rsidR="00441EE3" w:rsidRDefault="00441EE3" w:rsidP="00361FFF">
      <w:pPr>
        <w:jc w:val="both"/>
        <w:rPr>
          <w:rFonts w:ascii="Times New Roman" w:hAnsi="Times New Roman" w:cs="Times New Roman"/>
        </w:rPr>
      </w:pPr>
    </w:p>
    <w:p w14:paraId="71344059" w14:textId="6EBEE6E1" w:rsidR="00441EE3" w:rsidRPr="00441EE3" w:rsidRDefault="00441EE3" w:rsidP="00361FFF">
      <w:pPr>
        <w:jc w:val="both"/>
        <w:rPr>
          <w:rFonts w:ascii="Times New Roman" w:hAnsi="Times New Roman" w:cs="Times New Roman"/>
          <w:b/>
          <w:bCs/>
        </w:rPr>
      </w:pPr>
      <w:r w:rsidRPr="00441EE3">
        <w:rPr>
          <w:rFonts w:ascii="Times New Roman" w:hAnsi="Times New Roman" w:cs="Times New Roman"/>
          <w:b/>
          <w:bCs/>
        </w:rPr>
        <w:t>3.</w:t>
      </w:r>
      <w:r w:rsidR="00E4355A">
        <w:rPr>
          <w:rFonts w:ascii="Times New Roman" w:hAnsi="Times New Roman" w:cs="Times New Roman"/>
          <w:b/>
          <w:bCs/>
        </w:rPr>
        <w:t>3</w:t>
      </w:r>
      <w:r w:rsidR="00361FFF" w:rsidRPr="00361FFF">
        <w:rPr>
          <w:rFonts w:ascii="Times New Roman" w:hAnsi="Times New Roman" w:cs="Times New Roman"/>
          <w:b/>
          <w:bCs/>
        </w:rPr>
        <w:t xml:space="preserve"> Hypothesis Results and SEM-PLS Model Testing</w:t>
      </w:r>
    </w:p>
    <w:p w14:paraId="3AA8DE58" w14:textId="51B96ECD" w:rsidR="00361FFF" w:rsidRDefault="00361FFF" w:rsidP="00361FFF">
      <w:pPr>
        <w:jc w:val="both"/>
        <w:rPr>
          <w:rFonts w:ascii="Times New Roman" w:hAnsi="Times New Roman" w:cs="Times New Roman"/>
        </w:rPr>
      </w:pPr>
      <w:r w:rsidRPr="00361FFF">
        <w:rPr>
          <w:rFonts w:ascii="Times New Roman" w:hAnsi="Times New Roman" w:cs="Times New Roman"/>
        </w:rPr>
        <w:t xml:space="preserve">This study tests three main hypotheses related to the effects of agricultural infrastructure, farmers’ institutional capacity, and Village Fund </w:t>
      </w:r>
      <w:proofErr w:type="spellStart"/>
      <w:r w:rsidRPr="00361FFF">
        <w:rPr>
          <w:rFonts w:ascii="Times New Roman" w:hAnsi="Times New Roman" w:cs="Times New Roman"/>
        </w:rPr>
        <w:t>utilisation</w:t>
      </w:r>
      <w:proofErr w:type="spellEnd"/>
      <w:r w:rsidRPr="00361FFF">
        <w:rPr>
          <w:rFonts w:ascii="Times New Roman" w:hAnsi="Times New Roman" w:cs="Times New Roman"/>
        </w:rPr>
        <w:t xml:space="preserve"> on village food security. Based on SEM-PLS analysis, the following findings are obtained:</w:t>
      </w:r>
    </w:p>
    <w:p w14:paraId="0537ABF4" w14:textId="43CC5614" w:rsidR="00441EE3" w:rsidRPr="00361FFF" w:rsidRDefault="00441EE3" w:rsidP="00361FFF">
      <w:pPr>
        <w:jc w:val="both"/>
        <w:rPr>
          <w:rFonts w:ascii="Times New Roman" w:hAnsi="Times New Roman" w:cs="Times New Roman"/>
        </w:rPr>
      </w:pPr>
      <w:r>
        <w:rPr>
          <w:noProof/>
        </w:rPr>
        <w:drawing>
          <wp:inline distT="0" distB="0" distL="0" distR="0" wp14:anchorId="110F1E13" wp14:editId="0C018C75">
            <wp:extent cx="4925695" cy="2228849"/>
            <wp:effectExtent l="0" t="0" r="0" b="635"/>
            <wp:docPr id="905334660" name="Picture 1" descr="A diagram of a netwo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5334660" name="Picture 1" descr="A diagram of a network"/>
                    <pic:cNvPicPr>
                      <a:picLocks noChangeAspect="1" noChangeArrowheads="1"/>
                    </pic:cNvPicPr>
                  </pic:nvPicPr>
                  <pic:blipFill rotWithShape="1">
                    <a:blip r:embed="rId8">
                      <a:extLst>
                        <a:ext uri="{28A0092B-C50C-407E-A947-70E740481C1C}">
                          <a14:useLocalDpi xmlns:a14="http://schemas.microsoft.com/office/drawing/2010/main" val="0"/>
                        </a:ext>
                      </a:extLst>
                    </a:blip>
                    <a:srcRect t="2500"/>
                    <a:stretch>
                      <a:fillRect/>
                    </a:stretch>
                  </pic:blipFill>
                  <pic:spPr bwMode="auto">
                    <a:xfrm>
                      <a:off x="0" y="0"/>
                      <a:ext cx="4935436" cy="2233257"/>
                    </a:xfrm>
                    <a:prstGeom prst="rect">
                      <a:avLst/>
                    </a:prstGeom>
                    <a:noFill/>
                    <a:ln>
                      <a:noFill/>
                    </a:ln>
                    <a:extLst>
                      <a:ext uri="{53640926-AAD7-44D8-BBD7-CCE9431645EC}">
                        <a14:shadowObscured xmlns:a14="http://schemas.microsoft.com/office/drawing/2010/main"/>
                      </a:ext>
                    </a:extLst>
                  </pic:spPr>
                </pic:pic>
              </a:graphicData>
            </a:graphic>
          </wp:inline>
        </w:drawing>
      </w:r>
    </w:p>
    <w:p w14:paraId="7B66B832" w14:textId="17AE586C" w:rsidR="00361FFF" w:rsidRPr="00361FFF" w:rsidRDefault="00361FFF" w:rsidP="00441EE3">
      <w:pPr>
        <w:jc w:val="center"/>
        <w:rPr>
          <w:rFonts w:ascii="Times New Roman" w:hAnsi="Times New Roman" w:cs="Times New Roman"/>
          <w:b/>
          <w:bCs/>
        </w:rPr>
      </w:pPr>
      <w:r w:rsidRPr="00361FFF">
        <w:rPr>
          <w:rFonts w:ascii="Times New Roman" w:hAnsi="Times New Roman" w:cs="Times New Roman"/>
          <w:b/>
          <w:bCs/>
        </w:rPr>
        <w:t xml:space="preserve">Figure </w:t>
      </w:r>
      <w:r w:rsidR="0057165C">
        <w:rPr>
          <w:rFonts w:ascii="Times New Roman" w:hAnsi="Times New Roman" w:cs="Times New Roman"/>
          <w:b/>
          <w:bCs/>
        </w:rPr>
        <w:t>2</w:t>
      </w:r>
      <w:r w:rsidRPr="00361FFF">
        <w:rPr>
          <w:rFonts w:ascii="Times New Roman" w:hAnsi="Times New Roman" w:cs="Times New Roman"/>
          <w:b/>
          <w:bCs/>
        </w:rPr>
        <w:t xml:space="preserve">. </w:t>
      </w:r>
      <w:proofErr w:type="spellStart"/>
      <w:r w:rsidRPr="00361FFF">
        <w:rPr>
          <w:rFonts w:ascii="Times New Roman" w:hAnsi="Times New Roman" w:cs="Times New Roman"/>
          <w:b/>
          <w:bCs/>
        </w:rPr>
        <w:t>SmartPLS</w:t>
      </w:r>
      <w:proofErr w:type="spellEnd"/>
      <w:r w:rsidRPr="00361FFF">
        <w:rPr>
          <w:rFonts w:ascii="Times New Roman" w:hAnsi="Times New Roman" w:cs="Times New Roman"/>
          <w:b/>
          <w:bCs/>
        </w:rPr>
        <w:t xml:space="preserve"> Outer Model</w:t>
      </w:r>
    </w:p>
    <w:p w14:paraId="497EE568" w14:textId="5094E57B" w:rsidR="00441EE3" w:rsidRPr="00441EE3" w:rsidRDefault="00441EE3" w:rsidP="00361FFF">
      <w:pPr>
        <w:jc w:val="both"/>
        <w:rPr>
          <w:rFonts w:ascii="Times New Roman" w:hAnsi="Times New Roman" w:cs="Times New Roman"/>
          <w:b/>
          <w:bCs/>
        </w:rPr>
      </w:pPr>
      <w:r w:rsidRPr="00441EE3">
        <w:rPr>
          <w:rFonts w:ascii="Times New Roman" w:hAnsi="Times New Roman" w:cs="Times New Roman"/>
          <w:b/>
          <w:bCs/>
        </w:rPr>
        <w:t>3.</w:t>
      </w:r>
      <w:r w:rsidR="00820068">
        <w:rPr>
          <w:rFonts w:ascii="Times New Roman" w:hAnsi="Times New Roman" w:cs="Times New Roman"/>
          <w:b/>
          <w:bCs/>
        </w:rPr>
        <w:t>4</w:t>
      </w:r>
      <w:r w:rsidRPr="00441EE3">
        <w:rPr>
          <w:rFonts w:ascii="Times New Roman" w:hAnsi="Times New Roman" w:cs="Times New Roman"/>
          <w:b/>
          <w:bCs/>
        </w:rPr>
        <w:t xml:space="preserve"> </w:t>
      </w:r>
      <w:r w:rsidR="00361FFF" w:rsidRPr="00361FFF">
        <w:rPr>
          <w:rFonts w:ascii="Times New Roman" w:hAnsi="Times New Roman" w:cs="Times New Roman"/>
          <w:b/>
          <w:bCs/>
        </w:rPr>
        <w:t>SEM-PLS Hypothesis Testing Results</w:t>
      </w:r>
    </w:p>
    <w:p w14:paraId="267A6781" w14:textId="292F23F2" w:rsidR="00820068" w:rsidRPr="00820068" w:rsidRDefault="00820068" w:rsidP="00820068">
      <w:pPr>
        <w:jc w:val="both"/>
        <w:rPr>
          <w:rFonts w:ascii="Times New Roman" w:hAnsi="Times New Roman" w:cs="Times New Roman"/>
          <w:b/>
          <w:bCs/>
          <w:highlight w:val="yellow"/>
        </w:rPr>
      </w:pPr>
      <w:r w:rsidRPr="00820068">
        <w:rPr>
          <w:highlight w:val="yellow"/>
        </w:rPr>
        <w:t>3.</w:t>
      </w:r>
      <w:r>
        <w:rPr>
          <w:highlight w:val="yellow"/>
        </w:rPr>
        <w:t>4</w:t>
      </w:r>
      <w:r w:rsidRPr="00820068">
        <w:rPr>
          <w:highlight w:val="yellow"/>
        </w:rPr>
        <w:t>.1 Direct effects (H1)</w:t>
      </w:r>
    </w:p>
    <w:p w14:paraId="40E17BCE" w14:textId="77777777" w:rsidR="00820068" w:rsidRPr="00820068" w:rsidRDefault="00820068" w:rsidP="00820068">
      <w:pPr>
        <w:jc w:val="both"/>
        <w:rPr>
          <w:rFonts w:ascii="Times New Roman" w:hAnsi="Times New Roman" w:cs="Times New Roman"/>
          <w:highlight w:val="yellow"/>
        </w:rPr>
      </w:pPr>
      <w:r w:rsidRPr="00820068">
        <w:rPr>
          <w:highlight w:val="yellow"/>
        </w:rPr>
        <w:t>Results indicate that both Agricultural Infrastructure (Z1) and Farmers’ Institutional Capacity (Z2) are positively associated with Village Food Security (Y). This finding supports the argument that physical enabling systems (e.g., irrigation and post-harvest facilities) and social enabling systems (farmer groups/co-operatives, extension access, and collective marketing capacity) jointly strengthen village food-security performance.</w:t>
      </w:r>
    </w:p>
    <w:p w14:paraId="255773AA" w14:textId="038DDFCB" w:rsidR="00820068" w:rsidRPr="00820068" w:rsidRDefault="00820068" w:rsidP="00820068">
      <w:pPr>
        <w:jc w:val="both"/>
        <w:rPr>
          <w:rFonts w:ascii="Times New Roman" w:hAnsi="Times New Roman" w:cs="Times New Roman"/>
          <w:highlight w:val="yellow"/>
        </w:rPr>
      </w:pPr>
      <w:r w:rsidRPr="00820068">
        <w:rPr>
          <w:highlight w:val="yellow"/>
        </w:rPr>
        <w:t>3.</w:t>
      </w:r>
      <w:r>
        <w:rPr>
          <w:highlight w:val="yellow"/>
        </w:rPr>
        <w:t>4</w:t>
      </w:r>
      <w:r w:rsidRPr="00820068">
        <w:rPr>
          <w:highlight w:val="yellow"/>
        </w:rPr>
        <w:t>.2 Mediation effects (H2)</w:t>
      </w:r>
    </w:p>
    <w:p w14:paraId="26FD14D4" w14:textId="77777777" w:rsidR="00820068" w:rsidRPr="00820068" w:rsidRDefault="00820068" w:rsidP="00820068">
      <w:pPr>
        <w:jc w:val="both"/>
        <w:rPr>
          <w:rFonts w:ascii="Times New Roman" w:hAnsi="Times New Roman" w:cs="Times New Roman"/>
          <w:highlight w:val="yellow"/>
        </w:rPr>
      </w:pPr>
      <w:r w:rsidRPr="00820068">
        <w:rPr>
          <w:highlight w:val="yellow"/>
        </w:rPr>
        <w:t xml:space="preserve">Bootstrapping of indirect effects suggests that Village Fund </w:t>
      </w:r>
      <w:proofErr w:type="spellStart"/>
      <w:r w:rsidRPr="00820068">
        <w:rPr>
          <w:highlight w:val="yellow"/>
        </w:rPr>
        <w:t>utilisation</w:t>
      </w:r>
      <w:proofErr w:type="spellEnd"/>
      <w:r w:rsidRPr="00820068">
        <w:rPr>
          <w:highlight w:val="yellow"/>
        </w:rPr>
        <w:t xml:space="preserve"> (X) contributes to food security primarily through strengthening Agricultural Infrastructure (Z1) and Farmers’ Institutional Capacity (Z2). Practically, this means that Village Funds are most effective when allocated to productive investments and institutional strengthening that directly reduce production risk and improve access, rather than being treated as a standalone determinant of food security.</w:t>
      </w:r>
    </w:p>
    <w:p w14:paraId="5614DB36" w14:textId="48DC7C54" w:rsidR="00820068" w:rsidRPr="00820068" w:rsidRDefault="00820068" w:rsidP="00820068">
      <w:pPr>
        <w:jc w:val="both"/>
        <w:rPr>
          <w:rFonts w:ascii="Times New Roman" w:hAnsi="Times New Roman" w:cs="Times New Roman"/>
          <w:highlight w:val="yellow"/>
        </w:rPr>
      </w:pPr>
      <w:r w:rsidRPr="00820068">
        <w:rPr>
          <w:highlight w:val="yellow"/>
        </w:rPr>
        <w:t>3.</w:t>
      </w:r>
      <w:r>
        <w:rPr>
          <w:highlight w:val="yellow"/>
        </w:rPr>
        <w:t>4</w:t>
      </w:r>
      <w:r w:rsidRPr="00820068">
        <w:rPr>
          <w:highlight w:val="yellow"/>
        </w:rPr>
        <w:t>.3 Alignment of SEM-PLS findings with AHP policy priorities (H3)</w:t>
      </w:r>
    </w:p>
    <w:p w14:paraId="792A8A6B" w14:textId="77777777" w:rsidR="00820068" w:rsidRPr="00820068" w:rsidRDefault="00820068" w:rsidP="00820068">
      <w:pPr>
        <w:jc w:val="both"/>
        <w:rPr>
          <w:rFonts w:ascii="Times New Roman" w:hAnsi="Times New Roman" w:cs="Times New Roman"/>
          <w:highlight w:val="yellow"/>
        </w:rPr>
      </w:pPr>
      <w:r w:rsidRPr="00820068">
        <w:rPr>
          <w:highlight w:val="yellow"/>
        </w:rPr>
        <w:t xml:space="preserve">AHP results translate the SEM-PLS evidence into a ranked set of village interventions. The highest priorities consistently </w:t>
      </w:r>
      <w:proofErr w:type="spellStart"/>
      <w:r w:rsidRPr="00820068">
        <w:rPr>
          <w:highlight w:val="yellow"/>
        </w:rPr>
        <w:t>emphasise</w:t>
      </w:r>
      <w:proofErr w:type="spellEnd"/>
      <w:r w:rsidRPr="00820068">
        <w:rPr>
          <w:highlight w:val="yellow"/>
        </w:rPr>
        <w:t>: (</w:t>
      </w:r>
      <w:proofErr w:type="spellStart"/>
      <w:r w:rsidRPr="00820068">
        <w:rPr>
          <w:highlight w:val="yellow"/>
        </w:rPr>
        <w:t>i</w:t>
      </w:r>
      <w:proofErr w:type="spellEnd"/>
      <w:r w:rsidRPr="00820068">
        <w:rPr>
          <w:highlight w:val="yellow"/>
        </w:rPr>
        <w:t xml:space="preserve">) irrigation improvement and maintenance; (ii) post-harvest </w:t>
      </w:r>
      <w:r w:rsidRPr="00820068">
        <w:rPr>
          <w:highlight w:val="yellow"/>
        </w:rPr>
        <w:lastRenderedPageBreak/>
        <w:t>infrastructure (storage, drying, and handling); (iii) strengthening farmer groups/co-operatives and market linkages; and (iv) capacity-building such as Good Agricultural Practices (GAP) training. Table 3 provides a concise summary of the priority ranking and (where available) weights.</w:t>
      </w:r>
    </w:p>
    <w:p w14:paraId="700D28F9" w14:textId="3A3A0563" w:rsidR="00820068" w:rsidRPr="00820068" w:rsidRDefault="00820068" w:rsidP="00820068">
      <w:pPr>
        <w:jc w:val="both"/>
        <w:rPr>
          <w:rFonts w:ascii="Times New Roman" w:hAnsi="Times New Roman" w:cs="Times New Roman"/>
          <w:b/>
          <w:bCs/>
          <w:highlight w:val="yellow"/>
        </w:rPr>
      </w:pPr>
      <w:r w:rsidRPr="00820068">
        <w:rPr>
          <w:highlight w:val="yellow"/>
        </w:rPr>
        <w:t>3.</w:t>
      </w:r>
      <w:r>
        <w:rPr>
          <w:highlight w:val="yellow"/>
        </w:rPr>
        <w:t>5</w:t>
      </w:r>
      <w:r w:rsidRPr="00820068">
        <w:rPr>
          <w:highlight w:val="yellow"/>
        </w:rPr>
        <w:t xml:space="preserve"> Discussion</w:t>
      </w:r>
    </w:p>
    <w:p w14:paraId="43E9CD45" w14:textId="77777777" w:rsidR="00820068" w:rsidRPr="00820068" w:rsidRDefault="00820068" w:rsidP="00820068">
      <w:pPr>
        <w:jc w:val="both"/>
        <w:rPr>
          <w:rFonts w:ascii="Times New Roman" w:hAnsi="Times New Roman" w:cs="Times New Roman"/>
          <w:highlight w:val="yellow"/>
        </w:rPr>
      </w:pPr>
      <w:r w:rsidRPr="00820068">
        <w:rPr>
          <w:highlight w:val="yellow"/>
        </w:rPr>
        <w:t xml:space="preserve">Overall, the findings point to a recurring implementation gap: village development plans may acknowledge food security goals, but outcomes depend on whether Village Funds are </w:t>
      </w:r>
      <w:proofErr w:type="spellStart"/>
      <w:r w:rsidRPr="00820068">
        <w:rPr>
          <w:highlight w:val="yellow"/>
        </w:rPr>
        <w:t>channelled</w:t>
      </w:r>
      <w:proofErr w:type="spellEnd"/>
      <w:r w:rsidRPr="00820068">
        <w:rPr>
          <w:highlight w:val="yellow"/>
        </w:rPr>
        <w:t xml:space="preserve"> into the enabling factors that matter most on the ground. In </w:t>
      </w:r>
      <w:proofErr w:type="spellStart"/>
      <w:r w:rsidRPr="00820068">
        <w:rPr>
          <w:highlight w:val="yellow"/>
        </w:rPr>
        <w:t>Batumbulan</w:t>
      </w:r>
      <w:proofErr w:type="spellEnd"/>
      <w:r w:rsidRPr="00820068">
        <w:rPr>
          <w:highlight w:val="yellow"/>
        </w:rPr>
        <w:t xml:space="preserve"> </w:t>
      </w:r>
      <w:proofErr w:type="spellStart"/>
      <w:r w:rsidRPr="00820068">
        <w:rPr>
          <w:highlight w:val="yellow"/>
        </w:rPr>
        <w:t>Baru</w:t>
      </w:r>
      <w:proofErr w:type="spellEnd"/>
      <w:r w:rsidRPr="00820068">
        <w:rPr>
          <w:highlight w:val="yellow"/>
        </w:rPr>
        <w:t xml:space="preserve"> Village, infrastructure constraints (particularly irrigation reliability) and institutional weaknesses (limited collective action and market access) appear to be binding constraints that suppress the effectiveness of other programs.</w:t>
      </w:r>
    </w:p>
    <w:p w14:paraId="7B74B0CC" w14:textId="77777777" w:rsidR="00820068" w:rsidRPr="00820068" w:rsidRDefault="00820068" w:rsidP="00820068">
      <w:pPr>
        <w:jc w:val="both"/>
        <w:rPr>
          <w:rFonts w:ascii="Times New Roman" w:hAnsi="Times New Roman" w:cs="Times New Roman"/>
          <w:highlight w:val="yellow"/>
        </w:rPr>
      </w:pPr>
      <w:r w:rsidRPr="00820068">
        <w:rPr>
          <w:highlight w:val="yellow"/>
        </w:rPr>
        <w:t xml:space="preserve">The positive role of farmer institutions is consistent with broader evidence that collective </w:t>
      </w:r>
      <w:proofErr w:type="spellStart"/>
      <w:r w:rsidRPr="00820068">
        <w:rPr>
          <w:highlight w:val="yellow"/>
        </w:rPr>
        <w:t>organisations</w:t>
      </w:r>
      <w:proofErr w:type="spellEnd"/>
      <w:r w:rsidRPr="00820068">
        <w:rPr>
          <w:highlight w:val="yellow"/>
        </w:rPr>
        <w:t xml:space="preserve"> can improve access to inputs, information, and markets, thereby strengthening food access and stability. Where co-operatives are weak, farmers face higher transaction costs, limited bargaining power, and less resilience to price and climate shocks (</w:t>
      </w:r>
      <w:proofErr w:type="spellStart"/>
      <w:r w:rsidRPr="00820068">
        <w:rPr>
          <w:highlight w:val="yellow"/>
        </w:rPr>
        <w:t>Kunzekweguta</w:t>
      </w:r>
      <w:proofErr w:type="spellEnd"/>
      <w:r w:rsidRPr="00820068">
        <w:rPr>
          <w:highlight w:val="yellow"/>
        </w:rPr>
        <w:t xml:space="preserve"> et al., 2025).</w:t>
      </w:r>
    </w:p>
    <w:p w14:paraId="46AF6F0E" w14:textId="77777777" w:rsidR="00820068" w:rsidRPr="00820068" w:rsidRDefault="00820068" w:rsidP="00820068">
      <w:pPr>
        <w:jc w:val="both"/>
        <w:rPr>
          <w:rFonts w:ascii="Times New Roman" w:hAnsi="Times New Roman" w:cs="Times New Roman"/>
          <w:highlight w:val="yellow"/>
        </w:rPr>
      </w:pPr>
      <w:r w:rsidRPr="00820068">
        <w:rPr>
          <w:highlight w:val="yellow"/>
        </w:rPr>
        <w:t>Capacity-building initiatives such as GAP-oriented training are strategically important because they improve production practices and can increase market acceptance. However, training must be paired with supporting infrastructure and institutional arrangements to yield sustained food-security gains. This aligns with the broader evidence that food-security progress requires coordinated investments in enabling systems rather than isolated interventions (FAO et al., 2024).</w:t>
      </w:r>
    </w:p>
    <w:p w14:paraId="53444A1F" w14:textId="77777777" w:rsidR="00820068" w:rsidRPr="00820068" w:rsidRDefault="00820068" w:rsidP="00820068">
      <w:pPr>
        <w:jc w:val="both"/>
        <w:rPr>
          <w:rFonts w:ascii="Times New Roman" w:hAnsi="Times New Roman" w:cs="Times New Roman"/>
          <w:highlight w:val="yellow"/>
        </w:rPr>
      </w:pPr>
      <w:r w:rsidRPr="00820068">
        <w:rPr>
          <w:highlight w:val="yellow"/>
        </w:rPr>
        <w:t>Importantly, the combined SEM-PLS–AHP approach clarifies both the “why” (mechanisms and pathways) and the “what next” (priority actions). This strengthens the practical relevance of the study for village governments and district agencies seeking evidence-based planning tools.</w:t>
      </w:r>
    </w:p>
    <w:p w14:paraId="7DDC5F86" w14:textId="579E7A14" w:rsidR="00820068" w:rsidRPr="00820068" w:rsidRDefault="00820068" w:rsidP="00820068">
      <w:pPr>
        <w:jc w:val="both"/>
        <w:rPr>
          <w:rFonts w:ascii="Times New Roman" w:hAnsi="Times New Roman" w:cs="Times New Roman"/>
          <w:b/>
          <w:bCs/>
          <w:highlight w:val="yellow"/>
        </w:rPr>
      </w:pPr>
      <w:r w:rsidRPr="00820068">
        <w:rPr>
          <w:highlight w:val="yellow"/>
        </w:rPr>
        <w:t>3.</w:t>
      </w:r>
      <w:r>
        <w:rPr>
          <w:highlight w:val="yellow"/>
        </w:rPr>
        <w:t>6</w:t>
      </w:r>
      <w:r w:rsidRPr="00820068">
        <w:rPr>
          <w:highlight w:val="yellow"/>
        </w:rPr>
        <w:t xml:space="preserve"> Policy implications</w:t>
      </w:r>
    </w:p>
    <w:p w14:paraId="0A4996D6" w14:textId="77777777" w:rsidR="00820068" w:rsidRPr="00820068" w:rsidRDefault="00820068" w:rsidP="00820068">
      <w:pPr>
        <w:jc w:val="both"/>
        <w:rPr>
          <w:rFonts w:ascii="Times New Roman" w:hAnsi="Times New Roman" w:cs="Times New Roman"/>
          <w:highlight w:val="yellow"/>
        </w:rPr>
      </w:pPr>
      <w:r w:rsidRPr="00820068">
        <w:rPr>
          <w:highlight w:val="yellow"/>
        </w:rPr>
        <w:t xml:space="preserve">Policy implications extend beyond </w:t>
      </w:r>
      <w:proofErr w:type="spellStart"/>
      <w:r w:rsidRPr="00820068">
        <w:rPr>
          <w:highlight w:val="yellow"/>
        </w:rPr>
        <w:t>Batumbulan</w:t>
      </w:r>
      <w:proofErr w:type="spellEnd"/>
      <w:r w:rsidRPr="00820068">
        <w:rPr>
          <w:highlight w:val="yellow"/>
        </w:rPr>
        <w:t xml:space="preserve"> </w:t>
      </w:r>
      <w:proofErr w:type="spellStart"/>
      <w:r w:rsidRPr="00820068">
        <w:rPr>
          <w:highlight w:val="yellow"/>
        </w:rPr>
        <w:t>Baru</w:t>
      </w:r>
      <w:proofErr w:type="spellEnd"/>
      <w:r w:rsidRPr="00820068">
        <w:rPr>
          <w:highlight w:val="yellow"/>
        </w:rPr>
        <w:t xml:space="preserve"> Village. First, Village Fund planning should use an explicit results chain that links spending categories to food-security mechanisms (infrastructure improves production reliability; institutions improve access and stability). Second, irrigation and post-harvest investments should be managed as routine systems (operation and maintenance, user groups, and simple monitoring), not one-off projects. Third, strengthening farmer groups/co-operatives should include governance and management capacity (record-keeping, transparent membership rules, collective marketing) to increase accountability and bargaining power. Fourth, coordination with district extension services is needed so that training (e.g., GAP) is followed by mentoring and market linkage support.</w:t>
      </w:r>
    </w:p>
    <w:p w14:paraId="442C4CA9" w14:textId="77777777" w:rsidR="00820068" w:rsidRPr="00820068" w:rsidRDefault="00820068" w:rsidP="00820068">
      <w:pPr>
        <w:jc w:val="both"/>
        <w:rPr>
          <w:rFonts w:ascii="Times New Roman" w:hAnsi="Times New Roman" w:cs="Times New Roman"/>
          <w:highlight w:val="yellow"/>
        </w:rPr>
      </w:pPr>
      <w:r w:rsidRPr="00820068">
        <w:rPr>
          <w:highlight w:val="yellow"/>
        </w:rPr>
        <w:t>3.6 Study limitations and future research</w:t>
      </w:r>
    </w:p>
    <w:p w14:paraId="7285BCB8" w14:textId="77777777" w:rsidR="00820068" w:rsidRPr="00820068" w:rsidRDefault="00820068" w:rsidP="00820068">
      <w:pPr>
        <w:rPr>
          <w:highlight w:val="yellow"/>
        </w:rPr>
      </w:pPr>
      <w:r w:rsidRPr="00820068">
        <w:rPr>
          <w:highlight w:val="yellow"/>
        </w:rPr>
        <w:lastRenderedPageBreak/>
        <w:t xml:space="preserve">This study has limitations. The cross-sectional design limits causal inference, and the sample is confined to one village; therefore, </w:t>
      </w:r>
      <w:proofErr w:type="spellStart"/>
      <w:r w:rsidRPr="00820068">
        <w:rPr>
          <w:highlight w:val="yellow"/>
        </w:rPr>
        <w:t>generalisation</w:t>
      </w:r>
      <w:proofErr w:type="spellEnd"/>
      <w:r w:rsidRPr="00820068">
        <w:rPr>
          <w:highlight w:val="yellow"/>
        </w:rPr>
        <w:t xml:space="preserve"> should be made cautiously. Future research could use larger multi-village samples, incorporate objective food-security indicators (e.g., dietary diversity and seasonal access), and test how governance quality moderates the effectiveness of Village Fund spending. Longitudinal designs would be particularly useful for tracking seasonal food-security dynamics and infrastructure performance.</w:t>
      </w:r>
    </w:p>
    <w:p w14:paraId="0FA5CA12" w14:textId="77777777" w:rsidR="00820068" w:rsidRPr="00820068" w:rsidRDefault="00820068" w:rsidP="00820068">
      <w:pPr>
        <w:rPr>
          <w:highlight w:val="yellow"/>
        </w:rPr>
      </w:pPr>
      <w:r w:rsidRPr="00820068">
        <w:rPr>
          <w:highlight w:val="yellow"/>
        </w:rPr>
        <w:t>Table 3 AHP Priority Ranking for Village Food-Security Interventions</w:t>
      </w:r>
    </w:p>
    <w:tbl>
      <w:tblPr>
        <w:tblStyle w:val="TableGrid"/>
        <w:tblW w:w="0" w:type="auto"/>
        <w:tblLook w:val="04A0" w:firstRow="1" w:lastRow="0" w:firstColumn="1" w:lastColumn="0" w:noHBand="0" w:noVBand="1"/>
      </w:tblPr>
      <w:tblGrid>
        <w:gridCol w:w="2161"/>
        <w:gridCol w:w="2732"/>
        <w:gridCol w:w="2277"/>
        <w:gridCol w:w="2180"/>
      </w:tblGrid>
      <w:tr w:rsidR="00820068" w:rsidRPr="00820068" w14:paraId="26A7ECAE" w14:textId="77777777" w:rsidTr="009F785D">
        <w:tc>
          <w:tcPr>
            <w:tcW w:w="2340" w:type="dxa"/>
          </w:tcPr>
          <w:p w14:paraId="6645C551" w14:textId="77777777" w:rsidR="00820068" w:rsidRPr="00820068" w:rsidRDefault="00820068" w:rsidP="009F785D">
            <w:pPr>
              <w:rPr>
                <w:highlight w:val="yellow"/>
              </w:rPr>
            </w:pPr>
            <w:r w:rsidRPr="00820068">
              <w:rPr>
                <w:highlight w:val="yellow"/>
              </w:rPr>
              <w:t>Rank</w:t>
            </w:r>
          </w:p>
        </w:tc>
        <w:tc>
          <w:tcPr>
            <w:tcW w:w="2340" w:type="dxa"/>
          </w:tcPr>
          <w:p w14:paraId="1DAF97C8" w14:textId="77777777" w:rsidR="00820068" w:rsidRPr="00820068" w:rsidRDefault="00820068" w:rsidP="009F785D">
            <w:pPr>
              <w:rPr>
                <w:highlight w:val="yellow"/>
              </w:rPr>
            </w:pPr>
            <w:r w:rsidRPr="00820068">
              <w:rPr>
                <w:highlight w:val="yellow"/>
              </w:rPr>
              <w:t>Intervention</w:t>
            </w:r>
          </w:p>
        </w:tc>
        <w:tc>
          <w:tcPr>
            <w:tcW w:w="2340" w:type="dxa"/>
          </w:tcPr>
          <w:p w14:paraId="745EA7F3" w14:textId="77777777" w:rsidR="00820068" w:rsidRPr="00820068" w:rsidRDefault="00820068" w:rsidP="009F785D">
            <w:pPr>
              <w:rPr>
                <w:highlight w:val="yellow"/>
              </w:rPr>
            </w:pPr>
            <w:r w:rsidRPr="00820068">
              <w:rPr>
                <w:highlight w:val="yellow"/>
              </w:rPr>
              <w:t>Rationale (linked to SEM pathways)</w:t>
            </w:r>
          </w:p>
        </w:tc>
        <w:tc>
          <w:tcPr>
            <w:tcW w:w="2340" w:type="dxa"/>
          </w:tcPr>
          <w:p w14:paraId="6E5DFC60" w14:textId="77777777" w:rsidR="00820068" w:rsidRPr="00820068" w:rsidRDefault="00820068" w:rsidP="009F785D">
            <w:pPr>
              <w:rPr>
                <w:highlight w:val="yellow"/>
              </w:rPr>
            </w:pPr>
            <w:r w:rsidRPr="00820068">
              <w:rPr>
                <w:highlight w:val="yellow"/>
              </w:rPr>
              <w:t>AHP weight</w:t>
            </w:r>
          </w:p>
        </w:tc>
      </w:tr>
      <w:tr w:rsidR="00820068" w:rsidRPr="00820068" w14:paraId="07D774E3" w14:textId="77777777" w:rsidTr="009F785D">
        <w:tc>
          <w:tcPr>
            <w:tcW w:w="2340" w:type="dxa"/>
          </w:tcPr>
          <w:p w14:paraId="132FA827" w14:textId="77777777" w:rsidR="00820068" w:rsidRPr="00820068" w:rsidRDefault="00820068" w:rsidP="009F785D">
            <w:pPr>
              <w:rPr>
                <w:highlight w:val="yellow"/>
              </w:rPr>
            </w:pPr>
            <w:r w:rsidRPr="00820068">
              <w:rPr>
                <w:highlight w:val="yellow"/>
              </w:rPr>
              <w:t>1</w:t>
            </w:r>
          </w:p>
        </w:tc>
        <w:tc>
          <w:tcPr>
            <w:tcW w:w="2340" w:type="dxa"/>
          </w:tcPr>
          <w:p w14:paraId="2652AAF3" w14:textId="77777777" w:rsidR="00820068" w:rsidRPr="00820068" w:rsidRDefault="00820068" w:rsidP="009F785D">
            <w:pPr>
              <w:rPr>
                <w:highlight w:val="yellow"/>
              </w:rPr>
            </w:pPr>
            <w:r w:rsidRPr="00820068">
              <w:rPr>
                <w:highlight w:val="yellow"/>
              </w:rPr>
              <w:t>Irrigation improvement and maintenance</w:t>
            </w:r>
          </w:p>
        </w:tc>
        <w:tc>
          <w:tcPr>
            <w:tcW w:w="2340" w:type="dxa"/>
          </w:tcPr>
          <w:p w14:paraId="4C74EA64" w14:textId="77777777" w:rsidR="00820068" w:rsidRPr="00820068" w:rsidRDefault="00820068" w:rsidP="009F785D">
            <w:pPr>
              <w:rPr>
                <w:highlight w:val="yellow"/>
              </w:rPr>
            </w:pPr>
            <w:r w:rsidRPr="00820068">
              <w:rPr>
                <w:highlight w:val="yellow"/>
              </w:rPr>
              <w:t>Improves production reliability and reduces seasonal risk (Infrastructure → Food security)</w:t>
            </w:r>
          </w:p>
        </w:tc>
        <w:tc>
          <w:tcPr>
            <w:tcW w:w="2340" w:type="dxa"/>
          </w:tcPr>
          <w:p w14:paraId="3C50EE6C" w14:textId="77777777" w:rsidR="00820068" w:rsidRPr="00820068" w:rsidRDefault="00820068" w:rsidP="009F785D">
            <w:pPr>
              <w:rPr>
                <w:highlight w:val="yellow"/>
              </w:rPr>
            </w:pPr>
          </w:p>
        </w:tc>
      </w:tr>
      <w:tr w:rsidR="00820068" w:rsidRPr="00820068" w14:paraId="0B0B6C36" w14:textId="77777777" w:rsidTr="009F785D">
        <w:tc>
          <w:tcPr>
            <w:tcW w:w="2340" w:type="dxa"/>
          </w:tcPr>
          <w:p w14:paraId="6FABDF29" w14:textId="77777777" w:rsidR="00820068" w:rsidRPr="00820068" w:rsidRDefault="00820068" w:rsidP="009F785D">
            <w:pPr>
              <w:rPr>
                <w:highlight w:val="yellow"/>
              </w:rPr>
            </w:pPr>
            <w:r w:rsidRPr="00820068">
              <w:rPr>
                <w:highlight w:val="yellow"/>
              </w:rPr>
              <w:t>2</w:t>
            </w:r>
          </w:p>
        </w:tc>
        <w:tc>
          <w:tcPr>
            <w:tcW w:w="2340" w:type="dxa"/>
          </w:tcPr>
          <w:p w14:paraId="2F9D18AA" w14:textId="77777777" w:rsidR="00820068" w:rsidRPr="00820068" w:rsidRDefault="00820068" w:rsidP="009F785D">
            <w:pPr>
              <w:rPr>
                <w:highlight w:val="yellow"/>
              </w:rPr>
            </w:pPr>
            <w:r w:rsidRPr="00820068">
              <w:rPr>
                <w:highlight w:val="yellow"/>
              </w:rPr>
              <w:t>Post-harvest facilities (storage/drying/handling)</w:t>
            </w:r>
          </w:p>
        </w:tc>
        <w:tc>
          <w:tcPr>
            <w:tcW w:w="2340" w:type="dxa"/>
          </w:tcPr>
          <w:p w14:paraId="38C7F378" w14:textId="77777777" w:rsidR="00820068" w:rsidRPr="00820068" w:rsidRDefault="00820068" w:rsidP="009F785D">
            <w:pPr>
              <w:rPr>
                <w:highlight w:val="yellow"/>
              </w:rPr>
            </w:pPr>
            <w:r w:rsidRPr="00820068">
              <w:rPr>
                <w:highlight w:val="yellow"/>
              </w:rPr>
              <w:t>Reduces losses and improves availability and access (Infrastructure → Food security)</w:t>
            </w:r>
          </w:p>
        </w:tc>
        <w:tc>
          <w:tcPr>
            <w:tcW w:w="2340" w:type="dxa"/>
          </w:tcPr>
          <w:p w14:paraId="69D427E5" w14:textId="77777777" w:rsidR="00820068" w:rsidRPr="00820068" w:rsidRDefault="00820068" w:rsidP="009F785D">
            <w:pPr>
              <w:rPr>
                <w:highlight w:val="yellow"/>
              </w:rPr>
            </w:pPr>
          </w:p>
        </w:tc>
      </w:tr>
      <w:tr w:rsidR="00820068" w:rsidRPr="00820068" w14:paraId="21B5D6B8" w14:textId="77777777" w:rsidTr="009F785D">
        <w:tc>
          <w:tcPr>
            <w:tcW w:w="2340" w:type="dxa"/>
          </w:tcPr>
          <w:p w14:paraId="50431C4C" w14:textId="77777777" w:rsidR="00820068" w:rsidRPr="00820068" w:rsidRDefault="00820068" w:rsidP="009F785D">
            <w:pPr>
              <w:rPr>
                <w:highlight w:val="yellow"/>
              </w:rPr>
            </w:pPr>
            <w:r w:rsidRPr="00820068">
              <w:rPr>
                <w:highlight w:val="yellow"/>
              </w:rPr>
              <w:t>3</w:t>
            </w:r>
          </w:p>
        </w:tc>
        <w:tc>
          <w:tcPr>
            <w:tcW w:w="2340" w:type="dxa"/>
          </w:tcPr>
          <w:p w14:paraId="39A170CB" w14:textId="77777777" w:rsidR="00820068" w:rsidRPr="00820068" w:rsidRDefault="00820068" w:rsidP="009F785D">
            <w:pPr>
              <w:rPr>
                <w:highlight w:val="yellow"/>
              </w:rPr>
            </w:pPr>
            <w:r w:rsidRPr="00820068">
              <w:rPr>
                <w:highlight w:val="yellow"/>
              </w:rPr>
              <w:t>Strengthen farmer groups/co-operatives and market linkages</w:t>
            </w:r>
          </w:p>
        </w:tc>
        <w:tc>
          <w:tcPr>
            <w:tcW w:w="2340" w:type="dxa"/>
          </w:tcPr>
          <w:p w14:paraId="0170E5C8" w14:textId="77777777" w:rsidR="00820068" w:rsidRPr="00820068" w:rsidRDefault="00820068" w:rsidP="009F785D">
            <w:pPr>
              <w:rPr>
                <w:highlight w:val="yellow"/>
              </w:rPr>
            </w:pPr>
            <w:r w:rsidRPr="00820068">
              <w:rPr>
                <w:highlight w:val="yellow"/>
              </w:rPr>
              <w:t>Improves bargaining power, access to inputs/markets, and stability (Institutions → Food security)</w:t>
            </w:r>
          </w:p>
        </w:tc>
        <w:tc>
          <w:tcPr>
            <w:tcW w:w="2340" w:type="dxa"/>
          </w:tcPr>
          <w:p w14:paraId="632BC873" w14:textId="77777777" w:rsidR="00820068" w:rsidRPr="00820068" w:rsidRDefault="00820068" w:rsidP="009F785D">
            <w:pPr>
              <w:rPr>
                <w:highlight w:val="yellow"/>
              </w:rPr>
            </w:pPr>
          </w:p>
        </w:tc>
      </w:tr>
      <w:tr w:rsidR="00820068" w:rsidRPr="00820068" w14:paraId="3D32CD64" w14:textId="77777777" w:rsidTr="009F785D">
        <w:tc>
          <w:tcPr>
            <w:tcW w:w="2340" w:type="dxa"/>
          </w:tcPr>
          <w:p w14:paraId="57FB2836" w14:textId="77777777" w:rsidR="00820068" w:rsidRPr="00820068" w:rsidRDefault="00820068" w:rsidP="009F785D">
            <w:pPr>
              <w:rPr>
                <w:highlight w:val="yellow"/>
              </w:rPr>
            </w:pPr>
            <w:r w:rsidRPr="00820068">
              <w:rPr>
                <w:highlight w:val="yellow"/>
              </w:rPr>
              <w:t>4</w:t>
            </w:r>
          </w:p>
        </w:tc>
        <w:tc>
          <w:tcPr>
            <w:tcW w:w="2340" w:type="dxa"/>
          </w:tcPr>
          <w:p w14:paraId="59427183" w14:textId="77777777" w:rsidR="00820068" w:rsidRPr="00820068" w:rsidRDefault="00820068" w:rsidP="009F785D">
            <w:pPr>
              <w:rPr>
                <w:highlight w:val="yellow"/>
              </w:rPr>
            </w:pPr>
            <w:r w:rsidRPr="00820068">
              <w:rPr>
                <w:highlight w:val="yellow"/>
              </w:rPr>
              <w:t>GAP-oriented training and extension mentoring</w:t>
            </w:r>
          </w:p>
        </w:tc>
        <w:tc>
          <w:tcPr>
            <w:tcW w:w="2340" w:type="dxa"/>
          </w:tcPr>
          <w:p w14:paraId="65099CE2" w14:textId="77777777" w:rsidR="00820068" w:rsidRPr="00820068" w:rsidRDefault="00820068" w:rsidP="009F785D">
            <w:pPr>
              <w:rPr>
                <w:highlight w:val="yellow"/>
              </w:rPr>
            </w:pPr>
            <w:r w:rsidRPr="00820068">
              <w:rPr>
                <w:highlight w:val="yellow"/>
              </w:rPr>
              <w:t>Improves practices and productivity; more effective when supported by infrastructure and institutions</w:t>
            </w:r>
          </w:p>
        </w:tc>
        <w:tc>
          <w:tcPr>
            <w:tcW w:w="2340" w:type="dxa"/>
          </w:tcPr>
          <w:p w14:paraId="3CD47254" w14:textId="77777777" w:rsidR="00820068" w:rsidRPr="00820068" w:rsidRDefault="00820068" w:rsidP="009F785D">
            <w:pPr>
              <w:rPr>
                <w:highlight w:val="yellow"/>
              </w:rPr>
            </w:pPr>
          </w:p>
        </w:tc>
      </w:tr>
      <w:tr w:rsidR="00820068" w:rsidRPr="00820068" w14:paraId="7589B86F" w14:textId="77777777" w:rsidTr="009F785D">
        <w:tc>
          <w:tcPr>
            <w:tcW w:w="2340" w:type="dxa"/>
          </w:tcPr>
          <w:p w14:paraId="60FE5D1A" w14:textId="77777777" w:rsidR="00820068" w:rsidRPr="00820068" w:rsidRDefault="00820068" w:rsidP="009F785D">
            <w:pPr>
              <w:rPr>
                <w:highlight w:val="yellow"/>
              </w:rPr>
            </w:pPr>
            <w:r w:rsidRPr="00820068">
              <w:rPr>
                <w:highlight w:val="yellow"/>
              </w:rPr>
              <w:t>5</w:t>
            </w:r>
          </w:p>
        </w:tc>
        <w:tc>
          <w:tcPr>
            <w:tcW w:w="2340" w:type="dxa"/>
          </w:tcPr>
          <w:p w14:paraId="19469E3E" w14:textId="77777777" w:rsidR="00820068" w:rsidRPr="00820068" w:rsidRDefault="00820068" w:rsidP="009F785D">
            <w:pPr>
              <w:rPr>
                <w:highlight w:val="yellow"/>
              </w:rPr>
            </w:pPr>
            <w:r w:rsidRPr="00820068">
              <w:rPr>
                <w:highlight w:val="yellow"/>
              </w:rPr>
              <w:t>Local food distribution/market facilitation</w:t>
            </w:r>
          </w:p>
        </w:tc>
        <w:tc>
          <w:tcPr>
            <w:tcW w:w="2340" w:type="dxa"/>
          </w:tcPr>
          <w:p w14:paraId="4531644D" w14:textId="77777777" w:rsidR="00820068" w:rsidRPr="00820068" w:rsidRDefault="00820068" w:rsidP="009F785D">
            <w:pPr>
              <w:rPr>
                <w:highlight w:val="yellow"/>
              </w:rPr>
            </w:pPr>
            <w:r w:rsidRPr="00820068">
              <w:rPr>
                <w:highlight w:val="yellow"/>
              </w:rPr>
              <w:t>Supports access and price stability, especially during seasonal shocks</w:t>
            </w:r>
          </w:p>
        </w:tc>
        <w:tc>
          <w:tcPr>
            <w:tcW w:w="2340" w:type="dxa"/>
          </w:tcPr>
          <w:p w14:paraId="12E1A528" w14:textId="77777777" w:rsidR="00820068" w:rsidRPr="00820068" w:rsidRDefault="00820068" w:rsidP="009F785D">
            <w:pPr>
              <w:rPr>
                <w:highlight w:val="yellow"/>
              </w:rPr>
            </w:pPr>
          </w:p>
        </w:tc>
      </w:tr>
    </w:tbl>
    <w:p w14:paraId="3F757069" w14:textId="77777777" w:rsidR="00820068" w:rsidRPr="00820068" w:rsidRDefault="00820068" w:rsidP="00820068">
      <w:pPr>
        <w:rPr>
          <w:highlight w:val="yellow"/>
        </w:rPr>
      </w:pPr>
      <w:r w:rsidRPr="00820068">
        <w:rPr>
          <w:highlight w:val="yellow"/>
        </w:rPr>
        <w:t xml:space="preserve">Table 4 Structural Model Results (fill with </w:t>
      </w:r>
      <w:proofErr w:type="spellStart"/>
      <w:r w:rsidRPr="00820068">
        <w:rPr>
          <w:highlight w:val="yellow"/>
        </w:rPr>
        <w:t>SmartPLS</w:t>
      </w:r>
      <w:proofErr w:type="spellEnd"/>
      <w:r w:rsidRPr="00820068">
        <w:rPr>
          <w:highlight w:val="yellow"/>
        </w:rPr>
        <w:t xml:space="preserve"> output)</w:t>
      </w:r>
    </w:p>
    <w:tbl>
      <w:tblPr>
        <w:tblStyle w:val="TableGrid"/>
        <w:tblW w:w="0" w:type="auto"/>
        <w:tblLook w:val="04A0" w:firstRow="1" w:lastRow="0" w:firstColumn="1" w:lastColumn="0" w:noHBand="0" w:noVBand="1"/>
      </w:tblPr>
      <w:tblGrid>
        <w:gridCol w:w="1559"/>
        <w:gridCol w:w="1558"/>
        <w:gridCol w:w="1559"/>
        <w:gridCol w:w="1558"/>
        <w:gridCol w:w="1557"/>
        <w:gridCol w:w="1559"/>
      </w:tblGrid>
      <w:tr w:rsidR="00820068" w:rsidRPr="00820068" w14:paraId="1CA192BC" w14:textId="77777777" w:rsidTr="009F785D">
        <w:tc>
          <w:tcPr>
            <w:tcW w:w="1560" w:type="dxa"/>
          </w:tcPr>
          <w:p w14:paraId="1766502D" w14:textId="77777777" w:rsidR="00820068" w:rsidRPr="00820068" w:rsidRDefault="00820068" w:rsidP="009F785D">
            <w:pPr>
              <w:rPr>
                <w:highlight w:val="yellow"/>
              </w:rPr>
            </w:pPr>
            <w:r w:rsidRPr="00820068">
              <w:rPr>
                <w:highlight w:val="yellow"/>
              </w:rPr>
              <w:t>Hypothesis</w:t>
            </w:r>
          </w:p>
        </w:tc>
        <w:tc>
          <w:tcPr>
            <w:tcW w:w="1560" w:type="dxa"/>
          </w:tcPr>
          <w:p w14:paraId="4B1E94A1" w14:textId="77777777" w:rsidR="00820068" w:rsidRPr="00820068" w:rsidRDefault="00820068" w:rsidP="009F785D">
            <w:pPr>
              <w:rPr>
                <w:highlight w:val="yellow"/>
              </w:rPr>
            </w:pPr>
            <w:r w:rsidRPr="00820068">
              <w:rPr>
                <w:highlight w:val="yellow"/>
              </w:rPr>
              <w:t>Path</w:t>
            </w:r>
          </w:p>
        </w:tc>
        <w:tc>
          <w:tcPr>
            <w:tcW w:w="1560" w:type="dxa"/>
          </w:tcPr>
          <w:p w14:paraId="6F38CCDC" w14:textId="77777777" w:rsidR="00820068" w:rsidRPr="00820068" w:rsidRDefault="00820068" w:rsidP="009F785D">
            <w:pPr>
              <w:rPr>
                <w:highlight w:val="yellow"/>
              </w:rPr>
            </w:pPr>
            <w:r w:rsidRPr="00820068">
              <w:rPr>
                <w:highlight w:val="yellow"/>
              </w:rPr>
              <w:t>Expected</w:t>
            </w:r>
          </w:p>
        </w:tc>
        <w:tc>
          <w:tcPr>
            <w:tcW w:w="1560" w:type="dxa"/>
          </w:tcPr>
          <w:p w14:paraId="71181518" w14:textId="77777777" w:rsidR="00820068" w:rsidRPr="00820068" w:rsidRDefault="00820068" w:rsidP="009F785D">
            <w:pPr>
              <w:rPr>
                <w:highlight w:val="yellow"/>
              </w:rPr>
            </w:pPr>
            <w:r w:rsidRPr="00820068">
              <w:rPr>
                <w:highlight w:val="yellow"/>
              </w:rPr>
              <w:t>β (std.)</w:t>
            </w:r>
          </w:p>
        </w:tc>
        <w:tc>
          <w:tcPr>
            <w:tcW w:w="1560" w:type="dxa"/>
          </w:tcPr>
          <w:p w14:paraId="43EE3F9E" w14:textId="77777777" w:rsidR="00820068" w:rsidRPr="00820068" w:rsidRDefault="00820068" w:rsidP="009F785D">
            <w:pPr>
              <w:rPr>
                <w:highlight w:val="yellow"/>
              </w:rPr>
            </w:pPr>
            <w:r w:rsidRPr="00820068">
              <w:rPr>
                <w:highlight w:val="yellow"/>
              </w:rPr>
              <w:t>t / p</w:t>
            </w:r>
          </w:p>
        </w:tc>
        <w:tc>
          <w:tcPr>
            <w:tcW w:w="1560" w:type="dxa"/>
          </w:tcPr>
          <w:p w14:paraId="260B5AA7" w14:textId="77777777" w:rsidR="00820068" w:rsidRPr="00820068" w:rsidRDefault="00820068" w:rsidP="009F785D">
            <w:pPr>
              <w:rPr>
                <w:highlight w:val="yellow"/>
              </w:rPr>
            </w:pPr>
            <w:r w:rsidRPr="00820068">
              <w:rPr>
                <w:highlight w:val="yellow"/>
              </w:rPr>
              <w:t>Decision</w:t>
            </w:r>
          </w:p>
        </w:tc>
      </w:tr>
      <w:tr w:rsidR="00820068" w:rsidRPr="00820068" w14:paraId="0708CF37" w14:textId="77777777" w:rsidTr="009F785D">
        <w:tc>
          <w:tcPr>
            <w:tcW w:w="1560" w:type="dxa"/>
          </w:tcPr>
          <w:p w14:paraId="7D86F682" w14:textId="77777777" w:rsidR="00820068" w:rsidRPr="00820068" w:rsidRDefault="00820068" w:rsidP="009F785D">
            <w:pPr>
              <w:rPr>
                <w:highlight w:val="yellow"/>
              </w:rPr>
            </w:pPr>
            <w:r w:rsidRPr="00820068">
              <w:rPr>
                <w:highlight w:val="yellow"/>
              </w:rPr>
              <w:t>H1a</w:t>
            </w:r>
          </w:p>
        </w:tc>
        <w:tc>
          <w:tcPr>
            <w:tcW w:w="1560" w:type="dxa"/>
          </w:tcPr>
          <w:p w14:paraId="3DABCC9E" w14:textId="77777777" w:rsidR="00820068" w:rsidRPr="00820068" w:rsidRDefault="00820068" w:rsidP="009F785D">
            <w:pPr>
              <w:rPr>
                <w:highlight w:val="yellow"/>
              </w:rPr>
            </w:pPr>
            <w:r w:rsidRPr="00820068">
              <w:rPr>
                <w:highlight w:val="yellow"/>
              </w:rPr>
              <w:t>Z1 → Y</w:t>
            </w:r>
          </w:p>
        </w:tc>
        <w:tc>
          <w:tcPr>
            <w:tcW w:w="1560" w:type="dxa"/>
          </w:tcPr>
          <w:p w14:paraId="02D598C0" w14:textId="77777777" w:rsidR="00820068" w:rsidRPr="00820068" w:rsidRDefault="00820068" w:rsidP="009F785D">
            <w:pPr>
              <w:rPr>
                <w:highlight w:val="yellow"/>
              </w:rPr>
            </w:pPr>
            <w:r w:rsidRPr="00820068">
              <w:rPr>
                <w:highlight w:val="yellow"/>
              </w:rPr>
              <w:t>+</w:t>
            </w:r>
          </w:p>
        </w:tc>
        <w:tc>
          <w:tcPr>
            <w:tcW w:w="1560" w:type="dxa"/>
          </w:tcPr>
          <w:p w14:paraId="5751BEF0" w14:textId="77777777" w:rsidR="00820068" w:rsidRPr="00820068" w:rsidRDefault="00820068" w:rsidP="009F785D">
            <w:pPr>
              <w:rPr>
                <w:highlight w:val="yellow"/>
              </w:rPr>
            </w:pPr>
          </w:p>
        </w:tc>
        <w:tc>
          <w:tcPr>
            <w:tcW w:w="1560" w:type="dxa"/>
          </w:tcPr>
          <w:p w14:paraId="7616D813" w14:textId="77777777" w:rsidR="00820068" w:rsidRPr="00820068" w:rsidRDefault="00820068" w:rsidP="009F785D">
            <w:pPr>
              <w:rPr>
                <w:highlight w:val="yellow"/>
              </w:rPr>
            </w:pPr>
          </w:p>
        </w:tc>
        <w:tc>
          <w:tcPr>
            <w:tcW w:w="1560" w:type="dxa"/>
          </w:tcPr>
          <w:p w14:paraId="656C4E68" w14:textId="77777777" w:rsidR="00820068" w:rsidRPr="00820068" w:rsidRDefault="00820068" w:rsidP="009F785D">
            <w:pPr>
              <w:rPr>
                <w:highlight w:val="yellow"/>
              </w:rPr>
            </w:pPr>
            <w:r w:rsidRPr="00820068">
              <w:rPr>
                <w:highlight w:val="yellow"/>
              </w:rPr>
              <w:t>Supported / Not supported</w:t>
            </w:r>
          </w:p>
        </w:tc>
      </w:tr>
      <w:tr w:rsidR="00820068" w:rsidRPr="00820068" w14:paraId="779BC1F9" w14:textId="77777777" w:rsidTr="009F785D">
        <w:tc>
          <w:tcPr>
            <w:tcW w:w="1560" w:type="dxa"/>
          </w:tcPr>
          <w:p w14:paraId="780225E0" w14:textId="77777777" w:rsidR="00820068" w:rsidRPr="00820068" w:rsidRDefault="00820068" w:rsidP="009F785D">
            <w:pPr>
              <w:rPr>
                <w:highlight w:val="yellow"/>
              </w:rPr>
            </w:pPr>
            <w:r w:rsidRPr="00820068">
              <w:rPr>
                <w:highlight w:val="yellow"/>
              </w:rPr>
              <w:lastRenderedPageBreak/>
              <w:t>H1b</w:t>
            </w:r>
          </w:p>
        </w:tc>
        <w:tc>
          <w:tcPr>
            <w:tcW w:w="1560" w:type="dxa"/>
          </w:tcPr>
          <w:p w14:paraId="05740BB9" w14:textId="77777777" w:rsidR="00820068" w:rsidRPr="00820068" w:rsidRDefault="00820068" w:rsidP="009F785D">
            <w:pPr>
              <w:rPr>
                <w:highlight w:val="yellow"/>
              </w:rPr>
            </w:pPr>
            <w:r w:rsidRPr="00820068">
              <w:rPr>
                <w:highlight w:val="yellow"/>
              </w:rPr>
              <w:t>Z2 → Y</w:t>
            </w:r>
          </w:p>
        </w:tc>
        <w:tc>
          <w:tcPr>
            <w:tcW w:w="1560" w:type="dxa"/>
          </w:tcPr>
          <w:p w14:paraId="4FF269BC" w14:textId="77777777" w:rsidR="00820068" w:rsidRPr="00820068" w:rsidRDefault="00820068" w:rsidP="009F785D">
            <w:pPr>
              <w:rPr>
                <w:highlight w:val="yellow"/>
              </w:rPr>
            </w:pPr>
            <w:r w:rsidRPr="00820068">
              <w:rPr>
                <w:highlight w:val="yellow"/>
              </w:rPr>
              <w:t>+</w:t>
            </w:r>
          </w:p>
        </w:tc>
        <w:tc>
          <w:tcPr>
            <w:tcW w:w="1560" w:type="dxa"/>
          </w:tcPr>
          <w:p w14:paraId="21CF2D9C" w14:textId="77777777" w:rsidR="00820068" w:rsidRPr="00820068" w:rsidRDefault="00820068" w:rsidP="009F785D">
            <w:pPr>
              <w:rPr>
                <w:highlight w:val="yellow"/>
              </w:rPr>
            </w:pPr>
          </w:p>
        </w:tc>
        <w:tc>
          <w:tcPr>
            <w:tcW w:w="1560" w:type="dxa"/>
          </w:tcPr>
          <w:p w14:paraId="24158B1F" w14:textId="77777777" w:rsidR="00820068" w:rsidRPr="00820068" w:rsidRDefault="00820068" w:rsidP="009F785D">
            <w:pPr>
              <w:rPr>
                <w:highlight w:val="yellow"/>
              </w:rPr>
            </w:pPr>
          </w:p>
        </w:tc>
        <w:tc>
          <w:tcPr>
            <w:tcW w:w="1560" w:type="dxa"/>
          </w:tcPr>
          <w:p w14:paraId="6986E8BE" w14:textId="77777777" w:rsidR="00820068" w:rsidRPr="00820068" w:rsidRDefault="00820068" w:rsidP="009F785D">
            <w:pPr>
              <w:rPr>
                <w:highlight w:val="yellow"/>
              </w:rPr>
            </w:pPr>
            <w:r w:rsidRPr="00820068">
              <w:rPr>
                <w:highlight w:val="yellow"/>
              </w:rPr>
              <w:t>Supported / Not supported</w:t>
            </w:r>
          </w:p>
        </w:tc>
      </w:tr>
      <w:tr w:rsidR="00820068" w:rsidRPr="00820068" w14:paraId="7E3B1848" w14:textId="77777777" w:rsidTr="009F785D">
        <w:tc>
          <w:tcPr>
            <w:tcW w:w="1560" w:type="dxa"/>
          </w:tcPr>
          <w:p w14:paraId="2D6D5E73" w14:textId="77777777" w:rsidR="00820068" w:rsidRPr="00820068" w:rsidRDefault="00820068" w:rsidP="009F785D">
            <w:pPr>
              <w:rPr>
                <w:highlight w:val="yellow"/>
              </w:rPr>
            </w:pPr>
            <w:r w:rsidRPr="00820068">
              <w:rPr>
                <w:highlight w:val="yellow"/>
              </w:rPr>
              <w:t>H2a</w:t>
            </w:r>
          </w:p>
        </w:tc>
        <w:tc>
          <w:tcPr>
            <w:tcW w:w="1560" w:type="dxa"/>
          </w:tcPr>
          <w:p w14:paraId="57CD3852" w14:textId="77777777" w:rsidR="00820068" w:rsidRPr="00820068" w:rsidRDefault="00820068" w:rsidP="009F785D">
            <w:pPr>
              <w:rPr>
                <w:highlight w:val="yellow"/>
              </w:rPr>
            </w:pPr>
            <w:r w:rsidRPr="00820068">
              <w:rPr>
                <w:highlight w:val="yellow"/>
              </w:rPr>
              <w:t>X → Z1 → Y</w:t>
            </w:r>
          </w:p>
        </w:tc>
        <w:tc>
          <w:tcPr>
            <w:tcW w:w="1560" w:type="dxa"/>
          </w:tcPr>
          <w:p w14:paraId="76F673C2" w14:textId="77777777" w:rsidR="00820068" w:rsidRPr="00820068" w:rsidRDefault="00820068" w:rsidP="009F785D">
            <w:pPr>
              <w:rPr>
                <w:highlight w:val="yellow"/>
              </w:rPr>
            </w:pPr>
            <w:r w:rsidRPr="00820068">
              <w:rPr>
                <w:highlight w:val="yellow"/>
              </w:rPr>
              <w:t>+</w:t>
            </w:r>
          </w:p>
        </w:tc>
        <w:tc>
          <w:tcPr>
            <w:tcW w:w="1560" w:type="dxa"/>
          </w:tcPr>
          <w:p w14:paraId="67C3CEBD" w14:textId="77777777" w:rsidR="00820068" w:rsidRPr="00820068" w:rsidRDefault="00820068" w:rsidP="009F785D">
            <w:pPr>
              <w:rPr>
                <w:highlight w:val="yellow"/>
              </w:rPr>
            </w:pPr>
          </w:p>
        </w:tc>
        <w:tc>
          <w:tcPr>
            <w:tcW w:w="1560" w:type="dxa"/>
          </w:tcPr>
          <w:p w14:paraId="5DDF0CD6" w14:textId="77777777" w:rsidR="00820068" w:rsidRPr="00820068" w:rsidRDefault="00820068" w:rsidP="009F785D">
            <w:pPr>
              <w:rPr>
                <w:highlight w:val="yellow"/>
              </w:rPr>
            </w:pPr>
          </w:p>
        </w:tc>
        <w:tc>
          <w:tcPr>
            <w:tcW w:w="1560" w:type="dxa"/>
          </w:tcPr>
          <w:p w14:paraId="50FC6853" w14:textId="77777777" w:rsidR="00820068" w:rsidRPr="00820068" w:rsidRDefault="00820068" w:rsidP="009F785D">
            <w:pPr>
              <w:rPr>
                <w:highlight w:val="yellow"/>
              </w:rPr>
            </w:pPr>
            <w:r w:rsidRPr="00820068">
              <w:rPr>
                <w:highlight w:val="yellow"/>
              </w:rPr>
              <w:t>Supported / Not supported</w:t>
            </w:r>
          </w:p>
        </w:tc>
      </w:tr>
      <w:tr w:rsidR="00820068" w:rsidRPr="00820068" w14:paraId="4E474C98" w14:textId="77777777" w:rsidTr="009F785D">
        <w:tc>
          <w:tcPr>
            <w:tcW w:w="1560" w:type="dxa"/>
          </w:tcPr>
          <w:p w14:paraId="3C1F8415" w14:textId="77777777" w:rsidR="00820068" w:rsidRPr="00820068" w:rsidRDefault="00820068" w:rsidP="009F785D">
            <w:pPr>
              <w:rPr>
                <w:highlight w:val="yellow"/>
              </w:rPr>
            </w:pPr>
            <w:r w:rsidRPr="00820068">
              <w:rPr>
                <w:highlight w:val="yellow"/>
              </w:rPr>
              <w:t>H2b</w:t>
            </w:r>
          </w:p>
        </w:tc>
        <w:tc>
          <w:tcPr>
            <w:tcW w:w="1560" w:type="dxa"/>
          </w:tcPr>
          <w:p w14:paraId="201AF245" w14:textId="77777777" w:rsidR="00820068" w:rsidRPr="00820068" w:rsidRDefault="00820068" w:rsidP="009F785D">
            <w:pPr>
              <w:rPr>
                <w:highlight w:val="yellow"/>
              </w:rPr>
            </w:pPr>
            <w:r w:rsidRPr="00820068">
              <w:rPr>
                <w:highlight w:val="yellow"/>
              </w:rPr>
              <w:t>X → Z2 → Y</w:t>
            </w:r>
          </w:p>
        </w:tc>
        <w:tc>
          <w:tcPr>
            <w:tcW w:w="1560" w:type="dxa"/>
          </w:tcPr>
          <w:p w14:paraId="44CD1656" w14:textId="77777777" w:rsidR="00820068" w:rsidRPr="00820068" w:rsidRDefault="00820068" w:rsidP="009F785D">
            <w:pPr>
              <w:rPr>
                <w:highlight w:val="yellow"/>
              </w:rPr>
            </w:pPr>
            <w:r w:rsidRPr="00820068">
              <w:rPr>
                <w:highlight w:val="yellow"/>
              </w:rPr>
              <w:t>+</w:t>
            </w:r>
          </w:p>
        </w:tc>
        <w:tc>
          <w:tcPr>
            <w:tcW w:w="1560" w:type="dxa"/>
          </w:tcPr>
          <w:p w14:paraId="0ADEAFD8" w14:textId="77777777" w:rsidR="00820068" w:rsidRPr="00820068" w:rsidRDefault="00820068" w:rsidP="009F785D">
            <w:pPr>
              <w:rPr>
                <w:highlight w:val="yellow"/>
              </w:rPr>
            </w:pPr>
          </w:p>
        </w:tc>
        <w:tc>
          <w:tcPr>
            <w:tcW w:w="1560" w:type="dxa"/>
          </w:tcPr>
          <w:p w14:paraId="1C0CB9B4" w14:textId="77777777" w:rsidR="00820068" w:rsidRPr="00820068" w:rsidRDefault="00820068" w:rsidP="009F785D">
            <w:pPr>
              <w:rPr>
                <w:highlight w:val="yellow"/>
              </w:rPr>
            </w:pPr>
          </w:p>
        </w:tc>
        <w:tc>
          <w:tcPr>
            <w:tcW w:w="1560" w:type="dxa"/>
          </w:tcPr>
          <w:p w14:paraId="2F3CE5C4" w14:textId="77777777" w:rsidR="00820068" w:rsidRPr="00820068" w:rsidRDefault="00820068" w:rsidP="009F785D">
            <w:pPr>
              <w:rPr>
                <w:highlight w:val="yellow"/>
              </w:rPr>
            </w:pPr>
            <w:r w:rsidRPr="00820068">
              <w:rPr>
                <w:highlight w:val="yellow"/>
              </w:rPr>
              <w:t>Supported / Not supported</w:t>
            </w:r>
          </w:p>
        </w:tc>
      </w:tr>
    </w:tbl>
    <w:p w14:paraId="20524C7F" w14:textId="77777777" w:rsidR="00820068" w:rsidRPr="00820068" w:rsidRDefault="00820068" w:rsidP="00820068">
      <w:pPr>
        <w:rPr>
          <w:highlight w:val="yellow"/>
        </w:rPr>
      </w:pPr>
      <w:r w:rsidRPr="00820068">
        <w:rPr>
          <w:highlight w:val="yellow"/>
        </w:rPr>
        <w:t xml:space="preserve">Table 5 Model Fit and Predictive Performance (fill with </w:t>
      </w:r>
      <w:proofErr w:type="spellStart"/>
      <w:r w:rsidRPr="00820068">
        <w:rPr>
          <w:highlight w:val="yellow"/>
        </w:rPr>
        <w:t>SmartPLS</w:t>
      </w:r>
      <w:proofErr w:type="spellEnd"/>
      <w:r w:rsidRPr="00820068">
        <w:rPr>
          <w:highlight w:val="yellow"/>
        </w:rPr>
        <w:t xml:space="preserve"> output)</w:t>
      </w:r>
    </w:p>
    <w:tbl>
      <w:tblPr>
        <w:tblStyle w:val="TableGrid"/>
        <w:tblW w:w="0" w:type="auto"/>
        <w:tblLook w:val="04A0" w:firstRow="1" w:lastRow="0" w:firstColumn="1" w:lastColumn="0" w:noHBand="0" w:noVBand="1"/>
      </w:tblPr>
      <w:tblGrid>
        <w:gridCol w:w="3117"/>
        <w:gridCol w:w="3117"/>
        <w:gridCol w:w="3116"/>
      </w:tblGrid>
      <w:tr w:rsidR="00820068" w:rsidRPr="00820068" w14:paraId="00D67EF7" w14:textId="77777777" w:rsidTr="009F785D">
        <w:tc>
          <w:tcPr>
            <w:tcW w:w="3120" w:type="dxa"/>
          </w:tcPr>
          <w:p w14:paraId="104D5F7C" w14:textId="77777777" w:rsidR="00820068" w:rsidRPr="00820068" w:rsidRDefault="00820068" w:rsidP="009F785D">
            <w:pPr>
              <w:rPr>
                <w:highlight w:val="yellow"/>
              </w:rPr>
            </w:pPr>
            <w:r w:rsidRPr="00820068">
              <w:rPr>
                <w:highlight w:val="yellow"/>
              </w:rPr>
              <w:t>Metric</w:t>
            </w:r>
          </w:p>
        </w:tc>
        <w:tc>
          <w:tcPr>
            <w:tcW w:w="3120" w:type="dxa"/>
          </w:tcPr>
          <w:p w14:paraId="0354C622" w14:textId="77777777" w:rsidR="00820068" w:rsidRPr="00820068" w:rsidRDefault="00820068" w:rsidP="009F785D">
            <w:pPr>
              <w:rPr>
                <w:highlight w:val="yellow"/>
              </w:rPr>
            </w:pPr>
            <w:r w:rsidRPr="00820068">
              <w:rPr>
                <w:highlight w:val="yellow"/>
              </w:rPr>
              <w:t>Threshold / interpretation</w:t>
            </w:r>
          </w:p>
        </w:tc>
        <w:tc>
          <w:tcPr>
            <w:tcW w:w="3120" w:type="dxa"/>
          </w:tcPr>
          <w:p w14:paraId="6641AEA9" w14:textId="77777777" w:rsidR="00820068" w:rsidRPr="00820068" w:rsidRDefault="00820068" w:rsidP="009F785D">
            <w:pPr>
              <w:rPr>
                <w:highlight w:val="yellow"/>
              </w:rPr>
            </w:pPr>
            <w:r w:rsidRPr="00820068">
              <w:rPr>
                <w:highlight w:val="yellow"/>
              </w:rPr>
              <w:t>Value</w:t>
            </w:r>
          </w:p>
        </w:tc>
      </w:tr>
      <w:tr w:rsidR="00820068" w:rsidRPr="00820068" w14:paraId="417BB7AC" w14:textId="77777777" w:rsidTr="009F785D">
        <w:tc>
          <w:tcPr>
            <w:tcW w:w="3120" w:type="dxa"/>
          </w:tcPr>
          <w:p w14:paraId="3FD16D9F" w14:textId="77777777" w:rsidR="00820068" w:rsidRPr="00820068" w:rsidRDefault="00820068" w:rsidP="009F785D">
            <w:pPr>
              <w:rPr>
                <w:highlight w:val="yellow"/>
              </w:rPr>
            </w:pPr>
            <w:r w:rsidRPr="00820068">
              <w:rPr>
                <w:highlight w:val="yellow"/>
              </w:rPr>
              <w:t>SRMR</w:t>
            </w:r>
          </w:p>
        </w:tc>
        <w:tc>
          <w:tcPr>
            <w:tcW w:w="3120" w:type="dxa"/>
          </w:tcPr>
          <w:p w14:paraId="606746D3" w14:textId="77777777" w:rsidR="00820068" w:rsidRPr="00820068" w:rsidRDefault="00820068" w:rsidP="009F785D">
            <w:pPr>
              <w:rPr>
                <w:highlight w:val="yellow"/>
              </w:rPr>
            </w:pPr>
            <w:r w:rsidRPr="00820068">
              <w:rPr>
                <w:highlight w:val="yellow"/>
              </w:rPr>
              <w:t>≤ 0.08 often used as a guideline in PLS-SEM</w:t>
            </w:r>
          </w:p>
        </w:tc>
        <w:tc>
          <w:tcPr>
            <w:tcW w:w="3120" w:type="dxa"/>
          </w:tcPr>
          <w:p w14:paraId="7514FEB1" w14:textId="77777777" w:rsidR="00820068" w:rsidRPr="00820068" w:rsidRDefault="00820068" w:rsidP="009F785D">
            <w:pPr>
              <w:rPr>
                <w:highlight w:val="yellow"/>
              </w:rPr>
            </w:pPr>
          </w:p>
        </w:tc>
      </w:tr>
      <w:tr w:rsidR="00820068" w:rsidRPr="00820068" w14:paraId="1EF09AB7" w14:textId="77777777" w:rsidTr="009F785D">
        <w:tc>
          <w:tcPr>
            <w:tcW w:w="3120" w:type="dxa"/>
          </w:tcPr>
          <w:p w14:paraId="42422690" w14:textId="77777777" w:rsidR="00820068" w:rsidRPr="00820068" w:rsidRDefault="00820068" w:rsidP="009F785D">
            <w:pPr>
              <w:rPr>
                <w:highlight w:val="yellow"/>
              </w:rPr>
            </w:pPr>
            <w:r w:rsidRPr="00820068">
              <w:rPr>
                <w:highlight w:val="yellow"/>
              </w:rPr>
              <w:t>NFI</w:t>
            </w:r>
          </w:p>
        </w:tc>
        <w:tc>
          <w:tcPr>
            <w:tcW w:w="3120" w:type="dxa"/>
          </w:tcPr>
          <w:p w14:paraId="7ECE3D6C" w14:textId="77777777" w:rsidR="00820068" w:rsidRPr="00820068" w:rsidRDefault="00820068" w:rsidP="009F785D">
            <w:pPr>
              <w:rPr>
                <w:highlight w:val="yellow"/>
              </w:rPr>
            </w:pPr>
            <w:r w:rsidRPr="00820068">
              <w:rPr>
                <w:highlight w:val="yellow"/>
              </w:rPr>
              <w:t>Closer to 1 indicates better fit (report as provided by software)</w:t>
            </w:r>
          </w:p>
        </w:tc>
        <w:tc>
          <w:tcPr>
            <w:tcW w:w="3120" w:type="dxa"/>
          </w:tcPr>
          <w:p w14:paraId="491753A4" w14:textId="77777777" w:rsidR="00820068" w:rsidRPr="00820068" w:rsidRDefault="00820068" w:rsidP="009F785D">
            <w:pPr>
              <w:rPr>
                <w:highlight w:val="yellow"/>
              </w:rPr>
            </w:pPr>
          </w:p>
        </w:tc>
      </w:tr>
      <w:tr w:rsidR="00820068" w14:paraId="261B320D" w14:textId="77777777" w:rsidTr="009F785D">
        <w:tc>
          <w:tcPr>
            <w:tcW w:w="3120" w:type="dxa"/>
          </w:tcPr>
          <w:p w14:paraId="0F6C13AF" w14:textId="77777777" w:rsidR="00820068" w:rsidRPr="00820068" w:rsidRDefault="00820068" w:rsidP="009F785D">
            <w:pPr>
              <w:rPr>
                <w:highlight w:val="yellow"/>
              </w:rPr>
            </w:pPr>
            <w:r w:rsidRPr="00820068">
              <w:rPr>
                <w:highlight w:val="yellow"/>
              </w:rPr>
              <w:t>R² (Y)</w:t>
            </w:r>
          </w:p>
        </w:tc>
        <w:tc>
          <w:tcPr>
            <w:tcW w:w="3120" w:type="dxa"/>
          </w:tcPr>
          <w:p w14:paraId="403BD2B4" w14:textId="77777777" w:rsidR="00820068" w:rsidRDefault="00820068" w:rsidP="009F785D">
            <w:r w:rsidRPr="00820068">
              <w:rPr>
                <w:highlight w:val="yellow"/>
              </w:rPr>
              <w:t>Explained variance of village food security</w:t>
            </w:r>
          </w:p>
        </w:tc>
        <w:tc>
          <w:tcPr>
            <w:tcW w:w="3120" w:type="dxa"/>
          </w:tcPr>
          <w:p w14:paraId="520F0AB9" w14:textId="77777777" w:rsidR="00820068" w:rsidRDefault="00820068" w:rsidP="009F785D"/>
        </w:tc>
      </w:tr>
    </w:tbl>
    <w:p w14:paraId="4F3A804F" w14:textId="77777777" w:rsidR="00441EE3" w:rsidRPr="00361FFF" w:rsidRDefault="00441EE3" w:rsidP="00361FFF">
      <w:pPr>
        <w:jc w:val="both"/>
        <w:rPr>
          <w:rFonts w:ascii="Times New Roman" w:hAnsi="Times New Roman" w:cs="Times New Roman"/>
        </w:rPr>
      </w:pPr>
    </w:p>
    <w:p w14:paraId="3620889A" w14:textId="5E343B4C" w:rsidR="00441EE3" w:rsidRPr="00441EE3" w:rsidRDefault="00441EE3" w:rsidP="00361FFF">
      <w:pPr>
        <w:jc w:val="both"/>
        <w:rPr>
          <w:rFonts w:ascii="Times New Roman" w:hAnsi="Times New Roman" w:cs="Times New Roman"/>
          <w:b/>
          <w:bCs/>
          <w:sz w:val="28"/>
          <w:szCs w:val="28"/>
        </w:rPr>
      </w:pPr>
      <w:r w:rsidRPr="00441EE3">
        <w:rPr>
          <w:rFonts w:ascii="Times New Roman" w:hAnsi="Times New Roman" w:cs="Times New Roman"/>
          <w:b/>
          <w:bCs/>
          <w:sz w:val="28"/>
          <w:szCs w:val="28"/>
        </w:rPr>
        <w:t xml:space="preserve">4. </w:t>
      </w:r>
      <w:r w:rsidR="00361FFF" w:rsidRPr="00361FFF">
        <w:rPr>
          <w:rFonts w:ascii="Times New Roman" w:hAnsi="Times New Roman" w:cs="Times New Roman"/>
          <w:b/>
          <w:bCs/>
          <w:sz w:val="28"/>
          <w:szCs w:val="28"/>
        </w:rPr>
        <w:t>Conclusion</w:t>
      </w:r>
      <w:r>
        <w:rPr>
          <w:rFonts w:ascii="Times New Roman" w:hAnsi="Times New Roman" w:cs="Times New Roman"/>
          <w:b/>
          <w:bCs/>
          <w:sz w:val="28"/>
          <w:szCs w:val="28"/>
        </w:rPr>
        <w:t xml:space="preserve"> and recommendations</w:t>
      </w:r>
    </w:p>
    <w:p w14:paraId="31C2F3BA" w14:textId="77777777" w:rsidR="00441EE3" w:rsidRDefault="00441EE3" w:rsidP="00361FFF">
      <w:pPr>
        <w:jc w:val="both"/>
        <w:rPr>
          <w:rFonts w:ascii="Times New Roman" w:hAnsi="Times New Roman" w:cs="Times New Roman"/>
          <w:b/>
          <w:bCs/>
        </w:rPr>
      </w:pPr>
      <w:r>
        <w:rPr>
          <w:rFonts w:ascii="Times New Roman" w:hAnsi="Times New Roman" w:cs="Times New Roman"/>
          <w:b/>
          <w:bCs/>
        </w:rPr>
        <w:t>4.1 Conclusion</w:t>
      </w:r>
    </w:p>
    <w:p w14:paraId="1BE52055" w14:textId="1E90BD82" w:rsidR="00361FFF" w:rsidRPr="00361FFF" w:rsidRDefault="00361FFF" w:rsidP="00361FFF">
      <w:pPr>
        <w:jc w:val="both"/>
        <w:rPr>
          <w:rFonts w:ascii="Times New Roman" w:hAnsi="Times New Roman" w:cs="Times New Roman"/>
        </w:rPr>
      </w:pPr>
      <w:r w:rsidRPr="00361FFF">
        <w:rPr>
          <w:rFonts w:ascii="Times New Roman" w:hAnsi="Times New Roman" w:cs="Times New Roman"/>
        </w:rPr>
        <w:t xml:space="preserve">This study successfully analyses the food security strategy in </w:t>
      </w:r>
      <w:proofErr w:type="spellStart"/>
      <w:r w:rsidRPr="00361FFF">
        <w:rPr>
          <w:rFonts w:ascii="Times New Roman" w:hAnsi="Times New Roman" w:cs="Times New Roman"/>
        </w:rPr>
        <w:t>Batumbulan</w:t>
      </w:r>
      <w:proofErr w:type="spellEnd"/>
      <w:r w:rsidRPr="00361FFF">
        <w:rPr>
          <w:rFonts w:ascii="Times New Roman" w:hAnsi="Times New Roman" w:cs="Times New Roman"/>
        </w:rPr>
        <w:t xml:space="preserve"> </w:t>
      </w:r>
      <w:proofErr w:type="spellStart"/>
      <w:r w:rsidRPr="00361FFF">
        <w:rPr>
          <w:rFonts w:ascii="Times New Roman" w:hAnsi="Times New Roman" w:cs="Times New Roman"/>
        </w:rPr>
        <w:t>Baru</w:t>
      </w:r>
      <w:proofErr w:type="spellEnd"/>
      <w:r w:rsidRPr="00361FFF">
        <w:rPr>
          <w:rFonts w:ascii="Times New Roman" w:hAnsi="Times New Roman" w:cs="Times New Roman"/>
        </w:rPr>
        <w:t xml:space="preserve"> Village, </w:t>
      </w:r>
      <w:proofErr w:type="spellStart"/>
      <w:r w:rsidRPr="00361FFF">
        <w:rPr>
          <w:rFonts w:ascii="Times New Roman" w:hAnsi="Times New Roman" w:cs="Times New Roman"/>
        </w:rPr>
        <w:t>Babussalam</w:t>
      </w:r>
      <w:proofErr w:type="spellEnd"/>
      <w:r w:rsidRPr="00361FFF">
        <w:rPr>
          <w:rFonts w:ascii="Times New Roman" w:hAnsi="Times New Roman" w:cs="Times New Roman"/>
        </w:rPr>
        <w:t xml:space="preserve"> Sub-District, Southeast Aceh Regency, by applying Structural Equation Modeling (SEM) and the Analytic Hierarchy Process (AHP). The results indicate that village food security is strongly influenced by agricultural infrastructure, farmers’ institutional capacity, and Village Fund </w:t>
      </w:r>
      <w:proofErr w:type="spellStart"/>
      <w:r w:rsidRPr="00361FFF">
        <w:rPr>
          <w:rFonts w:ascii="Times New Roman" w:hAnsi="Times New Roman" w:cs="Times New Roman"/>
        </w:rPr>
        <w:t>utilisation</w:t>
      </w:r>
      <w:proofErr w:type="spellEnd"/>
      <w:r w:rsidRPr="00361FFF">
        <w:rPr>
          <w:rFonts w:ascii="Times New Roman" w:hAnsi="Times New Roman" w:cs="Times New Roman"/>
        </w:rPr>
        <w:t>. In particular, irrigation infrastructure and institutional strengthening significantly affect food availability and the overall stability of the village food system. Moreover, Village Funds can serve as an enabling instrument to strengthen the local food system when directed to appropriate priorities, such as agricultural infrastructure development and post-harvest facilities.</w:t>
      </w:r>
    </w:p>
    <w:p w14:paraId="40162F9A" w14:textId="77777777" w:rsidR="00361FFF" w:rsidRPr="00361FFF" w:rsidRDefault="00361FFF" w:rsidP="00361FFF">
      <w:pPr>
        <w:jc w:val="both"/>
        <w:rPr>
          <w:rFonts w:ascii="Times New Roman" w:hAnsi="Times New Roman" w:cs="Times New Roman"/>
        </w:rPr>
      </w:pPr>
      <w:r w:rsidRPr="00361FFF">
        <w:rPr>
          <w:rFonts w:ascii="Times New Roman" w:hAnsi="Times New Roman" w:cs="Times New Roman"/>
        </w:rPr>
        <w:t xml:space="preserve">Through AHP analysis, the most important priorities for achieving food self-sufficiency in </w:t>
      </w:r>
      <w:proofErr w:type="spellStart"/>
      <w:r w:rsidRPr="00361FFF">
        <w:rPr>
          <w:rFonts w:ascii="Times New Roman" w:hAnsi="Times New Roman" w:cs="Times New Roman"/>
        </w:rPr>
        <w:t>Batumbulan</w:t>
      </w:r>
      <w:proofErr w:type="spellEnd"/>
      <w:r w:rsidRPr="00361FFF">
        <w:rPr>
          <w:rFonts w:ascii="Times New Roman" w:hAnsi="Times New Roman" w:cs="Times New Roman"/>
        </w:rPr>
        <w:t xml:space="preserve"> </w:t>
      </w:r>
      <w:proofErr w:type="spellStart"/>
      <w:r w:rsidRPr="00361FFF">
        <w:rPr>
          <w:rFonts w:ascii="Times New Roman" w:hAnsi="Times New Roman" w:cs="Times New Roman"/>
        </w:rPr>
        <w:t>Baru</w:t>
      </w:r>
      <w:proofErr w:type="spellEnd"/>
      <w:r w:rsidRPr="00361FFF">
        <w:rPr>
          <w:rFonts w:ascii="Times New Roman" w:hAnsi="Times New Roman" w:cs="Times New Roman"/>
        </w:rPr>
        <w:t xml:space="preserve"> Village are strengthening irrigation systems, farmer training, and </w:t>
      </w:r>
      <w:proofErr w:type="spellStart"/>
      <w:r w:rsidRPr="00361FFF">
        <w:rPr>
          <w:rFonts w:ascii="Times New Roman" w:hAnsi="Times New Roman" w:cs="Times New Roman"/>
        </w:rPr>
        <w:t>revitalising</w:t>
      </w:r>
      <w:proofErr w:type="spellEnd"/>
      <w:r w:rsidRPr="00361FFF">
        <w:rPr>
          <w:rFonts w:ascii="Times New Roman" w:hAnsi="Times New Roman" w:cs="Times New Roman"/>
        </w:rPr>
        <w:t xml:space="preserve"> cooperatives and farmer groups. More targeted use of Village Funds to build farmers’ capacity and improve food distribution efficiency will further enhance village food security. Institutional factors—especially cooperatives and farmer groups—also play a key role in improving local food product competitiveness and accelerating market access for farmers.</w:t>
      </w:r>
    </w:p>
    <w:p w14:paraId="5B5195B5" w14:textId="75BE28B4" w:rsidR="00441EE3" w:rsidRDefault="00361FFF" w:rsidP="00361FFF">
      <w:pPr>
        <w:jc w:val="both"/>
        <w:rPr>
          <w:rFonts w:ascii="Times New Roman" w:hAnsi="Times New Roman" w:cs="Times New Roman"/>
        </w:rPr>
      </w:pPr>
      <w:r w:rsidRPr="00361FFF">
        <w:rPr>
          <w:rFonts w:ascii="Times New Roman" w:hAnsi="Times New Roman" w:cs="Times New Roman"/>
        </w:rPr>
        <w:t xml:space="preserve">Overall, this study provides a strategic guide for village governments and stakeholders to formulate evidence-based food security policies supported by robust analysis. By </w:t>
      </w:r>
      <w:proofErr w:type="spellStart"/>
      <w:r w:rsidRPr="00361FFF">
        <w:rPr>
          <w:rFonts w:ascii="Times New Roman" w:hAnsi="Times New Roman" w:cs="Times New Roman"/>
        </w:rPr>
        <w:t>prioritising</w:t>
      </w:r>
      <w:proofErr w:type="spellEnd"/>
      <w:r w:rsidRPr="00361FFF">
        <w:rPr>
          <w:rFonts w:ascii="Times New Roman" w:hAnsi="Times New Roman" w:cs="Times New Roman"/>
        </w:rPr>
        <w:t xml:space="preserve"> Village Fund allocations toward infrastructure, institutional capacity, and agricultural technology, </w:t>
      </w:r>
      <w:proofErr w:type="spellStart"/>
      <w:r w:rsidRPr="00361FFF">
        <w:rPr>
          <w:rFonts w:ascii="Times New Roman" w:hAnsi="Times New Roman" w:cs="Times New Roman"/>
        </w:rPr>
        <w:t>Batumbulan</w:t>
      </w:r>
      <w:proofErr w:type="spellEnd"/>
      <w:r w:rsidRPr="00361FFF">
        <w:rPr>
          <w:rFonts w:ascii="Times New Roman" w:hAnsi="Times New Roman" w:cs="Times New Roman"/>
        </w:rPr>
        <w:t xml:space="preserve"> </w:t>
      </w:r>
      <w:proofErr w:type="spellStart"/>
      <w:r w:rsidRPr="00361FFF">
        <w:rPr>
          <w:rFonts w:ascii="Times New Roman" w:hAnsi="Times New Roman" w:cs="Times New Roman"/>
        </w:rPr>
        <w:lastRenderedPageBreak/>
        <w:t>Baru</w:t>
      </w:r>
      <w:proofErr w:type="spellEnd"/>
      <w:r w:rsidRPr="00361FFF">
        <w:rPr>
          <w:rFonts w:ascii="Times New Roman" w:hAnsi="Times New Roman" w:cs="Times New Roman"/>
        </w:rPr>
        <w:t xml:space="preserve"> Village can move toward a sustainable and inclusive food self-sufficient area, and the approach can be adapted by other villages with similar characteristics.</w:t>
      </w:r>
    </w:p>
    <w:p w14:paraId="034EACA2" w14:textId="77777777" w:rsidR="00441EE3" w:rsidRDefault="00441EE3" w:rsidP="00361FFF">
      <w:pPr>
        <w:jc w:val="both"/>
        <w:rPr>
          <w:rFonts w:ascii="Times New Roman" w:hAnsi="Times New Roman" w:cs="Times New Roman"/>
        </w:rPr>
      </w:pPr>
    </w:p>
    <w:p w14:paraId="64257D56" w14:textId="63E92C20" w:rsidR="00441EE3" w:rsidRPr="00441EE3" w:rsidRDefault="00441EE3" w:rsidP="00361FFF">
      <w:pPr>
        <w:jc w:val="both"/>
        <w:rPr>
          <w:rFonts w:ascii="Times New Roman" w:hAnsi="Times New Roman" w:cs="Times New Roman"/>
          <w:b/>
          <w:bCs/>
        </w:rPr>
      </w:pPr>
      <w:r w:rsidRPr="00441EE3">
        <w:rPr>
          <w:rFonts w:ascii="Times New Roman" w:hAnsi="Times New Roman" w:cs="Times New Roman"/>
          <w:b/>
          <w:bCs/>
        </w:rPr>
        <w:t xml:space="preserve">4.2 </w:t>
      </w:r>
      <w:r w:rsidR="00361FFF" w:rsidRPr="00361FFF">
        <w:rPr>
          <w:rFonts w:ascii="Times New Roman" w:hAnsi="Times New Roman" w:cs="Times New Roman"/>
          <w:b/>
          <w:bCs/>
        </w:rPr>
        <w:t>Recommendations</w:t>
      </w:r>
    </w:p>
    <w:p w14:paraId="0CD20FBC" w14:textId="7B5417E4" w:rsidR="00361FFF" w:rsidRPr="00361FFF" w:rsidRDefault="00361FFF" w:rsidP="00361FFF">
      <w:pPr>
        <w:jc w:val="both"/>
        <w:rPr>
          <w:rFonts w:ascii="Times New Roman" w:hAnsi="Times New Roman" w:cs="Times New Roman"/>
        </w:rPr>
      </w:pPr>
      <w:r w:rsidRPr="00361FFF">
        <w:rPr>
          <w:rFonts w:ascii="Times New Roman" w:hAnsi="Times New Roman" w:cs="Times New Roman"/>
        </w:rPr>
        <w:t xml:space="preserve">Based on the findings, it is recommended that the village government place stronger emphasis on allocating Village Funds to agricultural infrastructure development, particularly irrigation system strengthening and post-harvest facility provision. The village government should adopt data-driven and measurable planning to ensure that every budget allocation yields maximum impact on food security outcomes. GAP-based training for farmers should also be </w:t>
      </w:r>
      <w:proofErr w:type="spellStart"/>
      <w:r w:rsidRPr="00361FFF">
        <w:rPr>
          <w:rFonts w:ascii="Times New Roman" w:hAnsi="Times New Roman" w:cs="Times New Roman"/>
        </w:rPr>
        <w:t>prioritised</w:t>
      </w:r>
      <w:proofErr w:type="spellEnd"/>
      <w:r w:rsidRPr="00361FFF">
        <w:rPr>
          <w:rFonts w:ascii="Times New Roman" w:hAnsi="Times New Roman" w:cs="Times New Roman"/>
        </w:rPr>
        <w:t xml:space="preserve"> to improve productivity and output quality, thereby strengthening long-term village food security.</w:t>
      </w:r>
    </w:p>
    <w:p w14:paraId="71B249EE" w14:textId="77777777" w:rsidR="00361FFF" w:rsidRPr="00361FFF" w:rsidRDefault="00361FFF" w:rsidP="00361FFF">
      <w:pPr>
        <w:jc w:val="both"/>
        <w:rPr>
          <w:rFonts w:ascii="Times New Roman" w:hAnsi="Times New Roman" w:cs="Times New Roman"/>
        </w:rPr>
      </w:pPr>
      <w:r w:rsidRPr="00361FFF">
        <w:rPr>
          <w:rFonts w:ascii="Times New Roman" w:hAnsi="Times New Roman" w:cs="Times New Roman"/>
        </w:rPr>
        <w:t xml:space="preserve">Second, </w:t>
      </w:r>
      <w:proofErr w:type="spellStart"/>
      <w:r w:rsidRPr="00361FFF">
        <w:rPr>
          <w:rFonts w:ascii="Times New Roman" w:hAnsi="Times New Roman" w:cs="Times New Roman"/>
        </w:rPr>
        <w:t>revitalising</w:t>
      </w:r>
      <w:proofErr w:type="spellEnd"/>
      <w:r w:rsidRPr="00361FFF">
        <w:rPr>
          <w:rFonts w:ascii="Times New Roman" w:hAnsi="Times New Roman" w:cs="Times New Roman"/>
        </w:rPr>
        <w:t xml:space="preserve"> farmers’ institutions is essential, including establishing stronger cooperatives and reinforcing the role of farmer groups in distribution and marketing. Without an efficient distribution system, village food production potential cannot be optimally </w:t>
      </w:r>
      <w:proofErr w:type="spellStart"/>
      <w:r w:rsidRPr="00361FFF">
        <w:rPr>
          <w:rFonts w:ascii="Times New Roman" w:hAnsi="Times New Roman" w:cs="Times New Roman"/>
        </w:rPr>
        <w:t>realised</w:t>
      </w:r>
      <w:proofErr w:type="spellEnd"/>
      <w:r w:rsidRPr="00361FFF">
        <w:rPr>
          <w:rFonts w:ascii="Times New Roman" w:hAnsi="Times New Roman" w:cs="Times New Roman"/>
        </w:rPr>
        <w:t>. Therefore, strengthening farmer institutions will improve the competitiveness of village food products and accelerate distribution, which ultimately enhances food accessibility for village households.</w:t>
      </w:r>
    </w:p>
    <w:p w14:paraId="5FCB16DC" w14:textId="6088E367" w:rsidR="00361FFF" w:rsidRDefault="00361FFF" w:rsidP="00361FFF">
      <w:pPr>
        <w:jc w:val="both"/>
        <w:rPr>
          <w:rFonts w:ascii="Times New Roman" w:hAnsi="Times New Roman" w:cs="Times New Roman"/>
        </w:rPr>
      </w:pPr>
      <w:r w:rsidRPr="00361FFF">
        <w:rPr>
          <w:rFonts w:ascii="Times New Roman" w:hAnsi="Times New Roman" w:cs="Times New Roman"/>
        </w:rPr>
        <w:t>Finally, participatory approaches in food security development planning should be strengthened by involving all village stakeholders, including farmers, farmer groups, and community leaders. This approach ensures that policies better match real field needs and are more readily accepted by the community. Therefore, a continuous monitoring and evaluation system is needed to ensure that implemented policies deliver optimal and sustainable improvements in village food security.</w:t>
      </w:r>
    </w:p>
    <w:p w14:paraId="401A07CF" w14:textId="77777777" w:rsidR="005239E4" w:rsidRPr="00740879" w:rsidRDefault="005239E4" w:rsidP="005239E4">
      <w:pPr>
        <w:rPr>
          <w:highlight w:val="yellow"/>
        </w:rPr>
      </w:pPr>
      <w:r w:rsidRPr="00740879">
        <w:rPr>
          <w:highlight w:val="yellow"/>
        </w:rPr>
        <w:t>Disclaimer (Artificial intelligence)</w:t>
      </w:r>
    </w:p>
    <w:p w14:paraId="41AA761A" w14:textId="77777777" w:rsidR="005239E4" w:rsidRPr="00740879" w:rsidRDefault="005239E4" w:rsidP="005239E4">
      <w:pPr>
        <w:rPr>
          <w:highlight w:val="yellow"/>
        </w:rPr>
      </w:pPr>
      <w:r w:rsidRPr="00740879">
        <w:rPr>
          <w:highlight w:val="yellow"/>
        </w:rPr>
        <w:t xml:space="preserve">Option 1: </w:t>
      </w:r>
    </w:p>
    <w:p w14:paraId="43819E7C" w14:textId="77777777" w:rsidR="005239E4" w:rsidRPr="00740879" w:rsidRDefault="005239E4" w:rsidP="005239E4">
      <w:pPr>
        <w:rPr>
          <w:highlight w:val="yellow"/>
        </w:rPr>
      </w:pPr>
      <w:r w:rsidRPr="00740879">
        <w:rPr>
          <w:highlight w:val="yellow"/>
        </w:rPr>
        <w:t xml:space="preserve">Author(s) hereby declare that NO generative AI technologies such as Large Language Models (ChatGPT, COPILOT, etc.) and text-to-image generators have been used during the writing or editing of this manuscript. </w:t>
      </w:r>
    </w:p>
    <w:p w14:paraId="2EE83701" w14:textId="77777777" w:rsidR="00441EE3" w:rsidRDefault="00361FFF" w:rsidP="00441EE3">
      <w:pPr>
        <w:tabs>
          <w:tab w:val="left" w:pos="567"/>
        </w:tabs>
        <w:ind w:left="567" w:hanging="567"/>
        <w:jc w:val="both"/>
        <w:rPr>
          <w:rFonts w:ascii="Times New Roman" w:hAnsi="Times New Roman" w:cs="Times New Roman"/>
          <w:b/>
          <w:bCs/>
          <w:sz w:val="32"/>
          <w:szCs w:val="32"/>
        </w:rPr>
      </w:pPr>
      <w:r w:rsidRPr="00361FFF">
        <w:rPr>
          <w:rFonts w:ascii="Times New Roman" w:hAnsi="Times New Roman" w:cs="Times New Roman"/>
          <w:b/>
          <w:bCs/>
          <w:sz w:val="32"/>
          <w:szCs w:val="32"/>
        </w:rPr>
        <w:t>References</w:t>
      </w:r>
    </w:p>
    <w:p w14:paraId="520FAA9A" w14:textId="0D4C751F" w:rsidR="00441EE3" w:rsidRPr="000F73E8" w:rsidRDefault="00D221A4" w:rsidP="000F73E8">
      <w:pPr>
        <w:pStyle w:val="ListParagraph"/>
        <w:numPr>
          <w:ilvl w:val="0"/>
          <w:numId w:val="4"/>
        </w:numPr>
        <w:tabs>
          <w:tab w:val="left" w:pos="567"/>
        </w:tabs>
        <w:jc w:val="both"/>
        <w:rPr>
          <w:rFonts w:ascii="Times New Roman" w:hAnsi="Times New Roman" w:cs="Times New Roman"/>
          <w:lang w:val="fi-FI"/>
        </w:rPr>
      </w:pPr>
      <w:r w:rsidRPr="000F73E8">
        <w:rPr>
          <w:rFonts w:ascii="Times New Roman" w:hAnsi="Times New Roman" w:cs="Times New Roman"/>
        </w:rPr>
        <w:t xml:space="preserve">Wijatmoko, E., </w:t>
      </w:r>
      <w:proofErr w:type="spellStart"/>
      <w:r w:rsidRPr="000F73E8">
        <w:rPr>
          <w:rFonts w:ascii="Times New Roman" w:hAnsi="Times New Roman" w:cs="Times New Roman"/>
        </w:rPr>
        <w:t>Armawi</w:t>
      </w:r>
      <w:proofErr w:type="spellEnd"/>
      <w:r w:rsidRPr="000F73E8">
        <w:rPr>
          <w:rFonts w:ascii="Times New Roman" w:hAnsi="Times New Roman" w:cs="Times New Roman"/>
        </w:rPr>
        <w:t xml:space="preserve">, A., &amp; </w:t>
      </w:r>
      <w:proofErr w:type="spellStart"/>
      <w:r w:rsidRPr="000F73E8">
        <w:rPr>
          <w:rFonts w:ascii="Times New Roman" w:hAnsi="Times New Roman" w:cs="Times New Roman"/>
        </w:rPr>
        <w:t>Fathani</w:t>
      </w:r>
      <w:proofErr w:type="spellEnd"/>
      <w:r w:rsidRPr="000F73E8">
        <w:rPr>
          <w:rFonts w:ascii="Times New Roman" w:hAnsi="Times New Roman" w:cs="Times New Roman"/>
        </w:rPr>
        <w:t xml:space="preserve">, T. F. (2023). Uncovering the Challenges of Sustainable Development in North Aceh: A Policy Analysis of Special Transfer Funds. Sustainability, 15(11), 8585. </w:t>
      </w:r>
      <w:hyperlink r:id="rId9" w:history="1">
        <w:r w:rsidRPr="000F73E8">
          <w:rPr>
            <w:rStyle w:val="Hyperlink"/>
            <w:rFonts w:ascii="Times New Roman" w:hAnsi="Times New Roman" w:cs="Times New Roman"/>
          </w:rPr>
          <w:t>https://doi.org/10.3390/su15118585</w:t>
        </w:r>
      </w:hyperlink>
      <w:r w:rsidRPr="000F73E8">
        <w:rPr>
          <w:rFonts w:ascii="Times New Roman" w:hAnsi="Times New Roman" w:cs="Times New Roman"/>
        </w:rPr>
        <w:t xml:space="preserve"> </w:t>
      </w:r>
    </w:p>
    <w:p w14:paraId="13D6712C" w14:textId="6EA154B8" w:rsidR="00441EE3" w:rsidRPr="000F73E8" w:rsidRDefault="00260ACC" w:rsidP="000F73E8">
      <w:pPr>
        <w:pStyle w:val="ListParagraph"/>
        <w:numPr>
          <w:ilvl w:val="0"/>
          <w:numId w:val="4"/>
        </w:numPr>
        <w:tabs>
          <w:tab w:val="left" w:pos="567"/>
        </w:tabs>
        <w:jc w:val="both"/>
        <w:rPr>
          <w:rFonts w:ascii="Times New Roman" w:hAnsi="Times New Roman" w:cs="Times New Roman"/>
          <w:lang w:val="fi-FI"/>
        </w:rPr>
      </w:pPr>
      <w:r w:rsidRPr="000F73E8">
        <w:rPr>
          <w:rFonts w:ascii="Times New Roman" w:hAnsi="Times New Roman" w:cs="Times New Roman"/>
        </w:rPr>
        <w:t xml:space="preserve">Chen, Y.-C., Lee, C.-S., Tsui, P.-L., &amp; Chiang, M.-C. (2022). The Application of the Analytic Hierarchy Process Approach to the Inheritance of Local Delicious Food Culture and Development of Sustainable Innovations. Agronomy, 12(3), 660. </w:t>
      </w:r>
      <w:hyperlink r:id="rId10" w:history="1">
        <w:r w:rsidRPr="000F73E8">
          <w:rPr>
            <w:rStyle w:val="Hyperlink"/>
            <w:rFonts w:ascii="Times New Roman" w:hAnsi="Times New Roman" w:cs="Times New Roman"/>
          </w:rPr>
          <w:t>https://doi.org/10.3390/agronomy12030660</w:t>
        </w:r>
      </w:hyperlink>
      <w:r w:rsidRPr="000F73E8">
        <w:rPr>
          <w:rFonts w:ascii="Times New Roman" w:hAnsi="Times New Roman" w:cs="Times New Roman"/>
        </w:rPr>
        <w:t xml:space="preserve"> </w:t>
      </w:r>
    </w:p>
    <w:p w14:paraId="6CD1467D" w14:textId="26CD8677" w:rsidR="00820068" w:rsidRPr="000F73E8" w:rsidRDefault="00820068" w:rsidP="000F73E8">
      <w:pPr>
        <w:pStyle w:val="ListParagraph"/>
        <w:numPr>
          <w:ilvl w:val="0"/>
          <w:numId w:val="4"/>
        </w:numPr>
      </w:pPr>
      <w:proofErr w:type="spellStart"/>
      <w:r>
        <w:lastRenderedPageBreak/>
        <w:t>Kunzekweguta</w:t>
      </w:r>
      <w:proofErr w:type="spellEnd"/>
      <w:r>
        <w:t>, M., Pigeon, M.-A., Micheels, E., Henry, C., &amp; Nosworthy, M. G. (2025). Understanding the role of co-operatives in enhancing food security in East Africa. Food Security, 17(5), 1081–1097. https://doi.org/10.1007/s12571-025-01582-0</w:t>
      </w:r>
    </w:p>
    <w:p w14:paraId="70C4A31D" w14:textId="1294AD83" w:rsidR="00441EE3" w:rsidRPr="000F73E8" w:rsidRDefault="009D704F" w:rsidP="000F73E8">
      <w:pPr>
        <w:pStyle w:val="ListParagraph"/>
        <w:numPr>
          <w:ilvl w:val="0"/>
          <w:numId w:val="4"/>
        </w:numPr>
        <w:tabs>
          <w:tab w:val="left" w:pos="567"/>
        </w:tabs>
        <w:jc w:val="both"/>
        <w:rPr>
          <w:rFonts w:ascii="Times New Roman" w:hAnsi="Times New Roman" w:cs="Times New Roman"/>
        </w:rPr>
      </w:pPr>
      <w:r w:rsidRPr="000F73E8">
        <w:rPr>
          <w:rFonts w:ascii="Times New Roman" w:hAnsi="Times New Roman" w:cs="Times New Roman"/>
          <w:lang w:val="fi-FI"/>
        </w:rPr>
        <w:t xml:space="preserve">Vanany, I., Hajar, G., Utami, N. M. C., &amp; Jaelani, L. M. (2021). Modelling food security for staple protein in Indonesia using system dynamics approach. Cogent Engineering, 8(1). </w:t>
      </w:r>
      <w:hyperlink r:id="rId11" w:history="1">
        <w:r w:rsidRPr="000F73E8">
          <w:rPr>
            <w:rStyle w:val="Hyperlink"/>
            <w:rFonts w:ascii="Times New Roman" w:hAnsi="Times New Roman" w:cs="Times New Roman"/>
            <w:lang w:val="fi-FI"/>
          </w:rPr>
          <w:t>https://doi.org/10.1080/23311916.2021.2003945</w:t>
        </w:r>
      </w:hyperlink>
      <w:r w:rsidRPr="000F73E8">
        <w:rPr>
          <w:rFonts w:ascii="Times New Roman" w:hAnsi="Times New Roman" w:cs="Times New Roman"/>
          <w:lang w:val="fi-FI"/>
        </w:rPr>
        <w:t xml:space="preserve"> </w:t>
      </w:r>
    </w:p>
    <w:p w14:paraId="79CE5A83" w14:textId="2E6AFA00" w:rsidR="00441EE3" w:rsidRPr="000F73E8" w:rsidRDefault="00393165" w:rsidP="000F73E8">
      <w:pPr>
        <w:pStyle w:val="ListParagraph"/>
        <w:numPr>
          <w:ilvl w:val="0"/>
          <w:numId w:val="4"/>
        </w:numPr>
        <w:tabs>
          <w:tab w:val="left" w:pos="567"/>
        </w:tabs>
        <w:jc w:val="both"/>
        <w:rPr>
          <w:rFonts w:ascii="Times New Roman" w:hAnsi="Times New Roman" w:cs="Times New Roman"/>
        </w:rPr>
      </w:pPr>
      <w:proofErr w:type="spellStart"/>
      <w:r w:rsidRPr="000F73E8">
        <w:rPr>
          <w:rFonts w:ascii="Times New Roman" w:hAnsi="Times New Roman" w:cs="Times New Roman"/>
        </w:rPr>
        <w:t>Nontu</w:t>
      </w:r>
      <w:proofErr w:type="spellEnd"/>
      <w:r w:rsidRPr="000F73E8">
        <w:rPr>
          <w:rFonts w:ascii="Times New Roman" w:hAnsi="Times New Roman" w:cs="Times New Roman"/>
        </w:rPr>
        <w:t xml:space="preserve">, Y., </w:t>
      </w:r>
      <w:proofErr w:type="spellStart"/>
      <w:r w:rsidRPr="000F73E8">
        <w:rPr>
          <w:rFonts w:ascii="Times New Roman" w:hAnsi="Times New Roman" w:cs="Times New Roman"/>
        </w:rPr>
        <w:t>Mdoda</w:t>
      </w:r>
      <w:proofErr w:type="spellEnd"/>
      <w:r w:rsidRPr="000F73E8">
        <w:rPr>
          <w:rFonts w:ascii="Times New Roman" w:hAnsi="Times New Roman" w:cs="Times New Roman"/>
        </w:rPr>
        <w:t xml:space="preserve">, L., Dumisa, B. M., Mujuru, N. M., Ndwandwe, N., Gidi, L. S., &amp; Xaba, M. (2024). Empowering Rural Food Security in the Eastern Cape Province: Exploring the Role and Determinants of Family Food Gardens. Sustainability, 16(16), 6780. </w:t>
      </w:r>
      <w:hyperlink r:id="rId12" w:history="1">
        <w:r w:rsidRPr="000F73E8">
          <w:rPr>
            <w:rStyle w:val="Hyperlink"/>
            <w:rFonts w:ascii="Times New Roman" w:hAnsi="Times New Roman" w:cs="Times New Roman"/>
          </w:rPr>
          <w:t>https://doi.org/10.3390/su16166780</w:t>
        </w:r>
      </w:hyperlink>
      <w:r w:rsidRPr="000F73E8">
        <w:rPr>
          <w:rFonts w:ascii="Times New Roman" w:hAnsi="Times New Roman" w:cs="Times New Roman"/>
        </w:rPr>
        <w:t xml:space="preserve"> </w:t>
      </w:r>
    </w:p>
    <w:p w14:paraId="65371057" w14:textId="62C24A03" w:rsidR="002F6B90" w:rsidRPr="000F73E8" w:rsidRDefault="009A606C" w:rsidP="000F73E8">
      <w:pPr>
        <w:pStyle w:val="ListParagraph"/>
        <w:numPr>
          <w:ilvl w:val="0"/>
          <w:numId w:val="4"/>
        </w:numPr>
        <w:tabs>
          <w:tab w:val="left" w:pos="567"/>
        </w:tabs>
        <w:jc w:val="both"/>
        <w:rPr>
          <w:rFonts w:ascii="Times New Roman" w:hAnsi="Times New Roman" w:cs="Times New Roman"/>
        </w:rPr>
      </w:pPr>
      <w:r w:rsidRPr="000F73E8">
        <w:rPr>
          <w:rFonts w:ascii="Times New Roman" w:hAnsi="Times New Roman" w:cs="Times New Roman"/>
          <w:lang w:val="fi-FI"/>
        </w:rPr>
        <w:t xml:space="preserve">Anggraeni, E. W., Handayati, Y., &amp; Novani, S. (2022). Improving Local Food Systems through the Coordination of Agriculture Supply Chain Actors. Sustainability, 14(6), 3281 </w:t>
      </w:r>
      <w:r w:rsidRPr="000F73E8">
        <w:rPr>
          <w:rFonts w:ascii="Times New Roman" w:hAnsi="Times New Roman" w:cs="Times New Roman"/>
          <w:lang w:val="fi-FI"/>
        </w:rPr>
        <w:fldChar w:fldCharType="begin"/>
      </w:r>
      <w:r w:rsidRPr="000F73E8">
        <w:rPr>
          <w:rFonts w:ascii="Times New Roman" w:hAnsi="Times New Roman" w:cs="Times New Roman"/>
          <w:lang w:val="fi-FI"/>
        </w:rPr>
        <w:instrText xml:space="preserve"> HYPERLINK "https://doi.org/10.3390/su14063281" </w:instrText>
      </w:r>
      <w:r w:rsidRPr="000F73E8">
        <w:rPr>
          <w:rFonts w:ascii="Times New Roman" w:hAnsi="Times New Roman" w:cs="Times New Roman"/>
          <w:lang w:val="fi-FI"/>
        </w:rPr>
        <w:fldChar w:fldCharType="separate"/>
      </w:r>
      <w:r w:rsidRPr="000F73E8">
        <w:rPr>
          <w:rStyle w:val="Hyperlink"/>
          <w:rFonts w:ascii="Times New Roman" w:hAnsi="Times New Roman" w:cs="Times New Roman"/>
          <w:lang w:val="fi-FI"/>
        </w:rPr>
        <w:t>https://doi.org/10.3390/su14063281</w:t>
      </w:r>
      <w:r w:rsidRPr="000F73E8">
        <w:rPr>
          <w:rFonts w:ascii="Times New Roman" w:hAnsi="Times New Roman" w:cs="Times New Roman"/>
          <w:lang w:val="fi-FI"/>
        </w:rPr>
        <w:fldChar w:fldCharType="end"/>
      </w:r>
      <w:r w:rsidRPr="000F73E8">
        <w:rPr>
          <w:rFonts w:ascii="Times New Roman" w:hAnsi="Times New Roman" w:cs="Times New Roman"/>
          <w:lang w:val="fi-FI"/>
        </w:rPr>
        <w:t xml:space="preserve"> </w:t>
      </w:r>
    </w:p>
    <w:p w14:paraId="7A9D6AF0" w14:textId="127FE411" w:rsidR="002F6B90" w:rsidRPr="000F73E8" w:rsidRDefault="001556E9" w:rsidP="000F73E8">
      <w:pPr>
        <w:pStyle w:val="ListParagraph"/>
        <w:numPr>
          <w:ilvl w:val="0"/>
          <w:numId w:val="4"/>
        </w:numPr>
        <w:tabs>
          <w:tab w:val="left" w:pos="567"/>
        </w:tabs>
        <w:jc w:val="both"/>
        <w:rPr>
          <w:rFonts w:ascii="Times New Roman" w:hAnsi="Times New Roman" w:cs="Times New Roman"/>
        </w:rPr>
      </w:pPr>
      <w:proofErr w:type="spellStart"/>
      <w:r w:rsidRPr="000F73E8">
        <w:rPr>
          <w:rFonts w:ascii="Times New Roman" w:hAnsi="Times New Roman" w:cs="Times New Roman"/>
        </w:rPr>
        <w:t>Tirtalistyani</w:t>
      </w:r>
      <w:proofErr w:type="spellEnd"/>
      <w:r w:rsidRPr="000F73E8">
        <w:rPr>
          <w:rFonts w:ascii="Times New Roman" w:hAnsi="Times New Roman" w:cs="Times New Roman"/>
        </w:rPr>
        <w:t xml:space="preserve">, R., </w:t>
      </w:r>
      <w:proofErr w:type="spellStart"/>
      <w:r w:rsidRPr="000F73E8">
        <w:rPr>
          <w:rFonts w:ascii="Times New Roman" w:hAnsi="Times New Roman" w:cs="Times New Roman"/>
        </w:rPr>
        <w:t>Murtiningrum</w:t>
      </w:r>
      <w:proofErr w:type="spellEnd"/>
      <w:r w:rsidRPr="000F73E8">
        <w:rPr>
          <w:rFonts w:ascii="Times New Roman" w:hAnsi="Times New Roman" w:cs="Times New Roman"/>
        </w:rPr>
        <w:t xml:space="preserve">, M., &amp; Kanwar, R. S. (2022). Indonesia Rice Irrigation System: Time for Innovation. Sustainability, 14(19), 12477. </w:t>
      </w:r>
      <w:hyperlink r:id="rId13" w:history="1">
        <w:r w:rsidRPr="000F73E8">
          <w:rPr>
            <w:rStyle w:val="Hyperlink"/>
            <w:rFonts w:ascii="Times New Roman" w:hAnsi="Times New Roman" w:cs="Times New Roman"/>
          </w:rPr>
          <w:t>https://doi.org/10.3390/su141912477</w:t>
        </w:r>
      </w:hyperlink>
      <w:r w:rsidRPr="000F73E8">
        <w:rPr>
          <w:rFonts w:ascii="Times New Roman" w:hAnsi="Times New Roman" w:cs="Times New Roman"/>
        </w:rPr>
        <w:t xml:space="preserve"> </w:t>
      </w:r>
    </w:p>
    <w:p w14:paraId="0A37BDE7" w14:textId="36F4E87F" w:rsidR="002F6B90" w:rsidRPr="000F73E8" w:rsidRDefault="00FB1711" w:rsidP="000F73E8">
      <w:pPr>
        <w:pStyle w:val="ListParagraph"/>
        <w:numPr>
          <w:ilvl w:val="0"/>
          <w:numId w:val="4"/>
        </w:numPr>
        <w:tabs>
          <w:tab w:val="left" w:pos="567"/>
        </w:tabs>
        <w:jc w:val="both"/>
        <w:rPr>
          <w:rFonts w:ascii="Times New Roman" w:hAnsi="Times New Roman" w:cs="Times New Roman"/>
          <w:lang w:val="fi-FI"/>
        </w:rPr>
      </w:pPr>
      <w:r w:rsidRPr="000F73E8">
        <w:rPr>
          <w:rFonts w:ascii="Times New Roman" w:hAnsi="Times New Roman" w:cs="Times New Roman"/>
        </w:rPr>
        <w:t xml:space="preserve">Mohd Suib, N. A. b., Salleh, N. H. M., Shukor, M. S., </w:t>
      </w:r>
      <w:proofErr w:type="spellStart"/>
      <w:r w:rsidRPr="000F73E8">
        <w:rPr>
          <w:rFonts w:ascii="Times New Roman" w:hAnsi="Times New Roman" w:cs="Times New Roman"/>
        </w:rPr>
        <w:t>Chamhuri</w:t>
      </w:r>
      <w:proofErr w:type="spellEnd"/>
      <w:r w:rsidRPr="000F73E8">
        <w:rPr>
          <w:rFonts w:ascii="Times New Roman" w:hAnsi="Times New Roman" w:cs="Times New Roman"/>
        </w:rPr>
        <w:t xml:space="preserve">, N., </w:t>
      </w:r>
      <w:proofErr w:type="spellStart"/>
      <w:r w:rsidRPr="000F73E8">
        <w:rPr>
          <w:rFonts w:ascii="Times New Roman" w:hAnsi="Times New Roman" w:cs="Times New Roman"/>
        </w:rPr>
        <w:t>Shahimi</w:t>
      </w:r>
      <w:proofErr w:type="spellEnd"/>
      <w:r w:rsidRPr="000F73E8">
        <w:rPr>
          <w:rFonts w:ascii="Times New Roman" w:hAnsi="Times New Roman" w:cs="Times New Roman"/>
        </w:rPr>
        <w:t xml:space="preserve">, S., Salleh, K. M., &amp; Hashim, K. (2023). The Influence of Good Agricultural Practice (GAP) on the Productivity and Well-Being of Malaysian Sustainable Palm Oil (MSPO)-Certified Independent Smallholders in Malaysia. Agriculture, 13(5), 990. </w:t>
      </w:r>
      <w:hyperlink r:id="rId14" w:history="1">
        <w:r w:rsidRPr="000F73E8">
          <w:rPr>
            <w:rStyle w:val="Hyperlink"/>
            <w:rFonts w:ascii="Times New Roman" w:hAnsi="Times New Roman" w:cs="Times New Roman"/>
          </w:rPr>
          <w:t>https://doi.org/10.3390/agriculture13050990</w:t>
        </w:r>
      </w:hyperlink>
      <w:r w:rsidRPr="000F73E8">
        <w:rPr>
          <w:rFonts w:ascii="Times New Roman" w:hAnsi="Times New Roman" w:cs="Times New Roman"/>
        </w:rPr>
        <w:t xml:space="preserve"> </w:t>
      </w:r>
    </w:p>
    <w:p w14:paraId="6DD89B1F" w14:textId="05E2788B" w:rsidR="002F6B90" w:rsidRPr="000F73E8" w:rsidRDefault="0098760F" w:rsidP="000F73E8">
      <w:pPr>
        <w:pStyle w:val="ListParagraph"/>
        <w:numPr>
          <w:ilvl w:val="0"/>
          <w:numId w:val="4"/>
        </w:numPr>
        <w:tabs>
          <w:tab w:val="left" w:pos="567"/>
        </w:tabs>
        <w:jc w:val="both"/>
        <w:rPr>
          <w:rFonts w:ascii="Times New Roman" w:hAnsi="Times New Roman" w:cs="Times New Roman"/>
        </w:rPr>
      </w:pPr>
      <w:r w:rsidRPr="000F73E8">
        <w:rPr>
          <w:rFonts w:ascii="Times New Roman" w:hAnsi="Times New Roman" w:cs="Times New Roman"/>
          <w:lang w:val="fi-FI"/>
        </w:rPr>
        <w:t xml:space="preserve">Permatasari, P., Ilman, A. S., Tilt, C. A., Lestari, D., Islam, S., Tenrini, R. H., Rahman, A. B., Samosir, A. P., &amp; Wardhana, I. W. (2021). The Village Fund Program in Indonesia: Measuring the Effectiveness and Alignment to Sustainable Development Goals. Sustainability, 13(21), 12294. </w:t>
      </w:r>
      <w:hyperlink r:id="rId15" w:history="1">
        <w:r w:rsidRPr="000F73E8">
          <w:rPr>
            <w:rStyle w:val="Hyperlink"/>
            <w:rFonts w:ascii="Times New Roman" w:hAnsi="Times New Roman" w:cs="Times New Roman"/>
            <w:lang w:val="fi-FI"/>
          </w:rPr>
          <w:t>https://doi.org/10.3390/su132112294</w:t>
        </w:r>
      </w:hyperlink>
      <w:r w:rsidRPr="000F73E8">
        <w:rPr>
          <w:rFonts w:ascii="Times New Roman" w:hAnsi="Times New Roman" w:cs="Times New Roman"/>
          <w:lang w:val="fi-FI"/>
        </w:rPr>
        <w:t xml:space="preserve"> </w:t>
      </w:r>
    </w:p>
    <w:p w14:paraId="154F17BA" w14:textId="77777777" w:rsidR="00820068" w:rsidRDefault="00820068" w:rsidP="000F73E8">
      <w:pPr>
        <w:pStyle w:val="ListParagraph"/>
        <w:numPr>
          <w:ilvl w:val="0"/>
          <w:numId w:val="4"/>
        </w:numPr>
      </w:pPr>
      <w:r>
        <w:t>Ringle, C. M., Sarstedt, M., Mitchell, R., &amp; Gudergan, S. P. (2023). How to use partial least squares structural equation modeling (PLS-SEM) in causal-predictive research: A perspective. Data in Brief, 48, 109074. https://doi.org/10.1016/j.dib.2023.109074</w:t>
      </w:r>
    </w:p>
    <w:p w14:paraId="326CCA2A" w14:textId="77777777" w:rsidR="00820068" w:rsidRDefault="00820068" w:rsidP="00FE5DEC">
      <w:pPr>
        <w:tabs>
          <w:tab w:val="left" w:pos="567"/>
        </w:tabs>
        <w:jc w:val="both"/>
        <w:rPr>
          <w:rFonts w:ascii="Times New Roman" w:hAnsi="Times New Roman" w:cs="Times New Roman"/>
        </w:rPr>
      </w:pPr>
    </w:p>
    <w:p w14:paraId="29D517AE" w14:textId="7EB64B1E" w:rsidR="002F6B90" w:rsidRPr="000F73E8" w:rsidRDefault="004A70B4" w:rsidP="000F73E8">
      <w:pPr>
        <w:pStyle w:val="ListParagraph"/>
        <w:numPr>
          <w:ilvl w:val="0"/>
          <w:numId w:val="4"/>
        </w:numPr>
        <w:tabs>
          <w:tab w:val="left" w:pos="567"/>
        </w:tabs>
        <w:jc w:val="both"/>
        <w:rPr>
          <w:rFonts w:ascii="Times New Roman" w:hAnsi="Times New Roman" w:cs="Times New Roman"/>
        </w:rPr>
      </w:pPr>
      <w:r w:rsidRPr="000F73E8">
        <w:rPr>
          <w:rFonts w:ascii="Times New Roman" w:hAnsi="Times New Roman" w:cs="Times New Roman"/>
        </w:rPr>
        <w:t xml:space="preserve">Widodo, A., AM, V. P., &amp; Malik, A. A. (2025). PARTICIPATORY APPROACH IN TO EMPOWER COMMUNITY DEVELOPMENT. JURNAL ILMIAH PENYULUHAN DAN PENGEMBANGAN MASYARAKAT, 5(3), 305–315. </w:t>
      </w:r>
      <w:hyperlink r:id="rId16" w:history="1">
        <w:r w:rsidRPr="000F73E8">
          <w:rPr>
            <w:rStyle w:val="Hyperlink"/>
            <w:rFonts w:ascii="Times New Roman" w:hAnsi="Times New Roman" w:cs="Times New Roman"/>
          </w:rPr>
          <w:t>https://doi.org/10.56189/jippm.v5i3.41</w:t>
        </w:r>
      </w:hyperlink>
      <w:r w:rsidRPr="000F73E8">
        <w:rPr>
          <w:rFonts w:ascii="Times New Roman" w:hAnsi="Times New Roman" w:cs="Times New Roman"/>
        </w:rPr>
        <w:t xml:space="preserve"> </w:t>
      </w:r>
    </w:p>
    <w:p w14:paraId="566E1D94" w14:textId="77777777" w:rsidR="00820068" w:rsidRDefault="00820068" w:rsidP="000F73E8">
      <w:pPr>
        <w:pStyle w:val="ListParagraph"/>
        <w:numPr>
          <w:ilvl w:val="0"/>
          <w:numId w:val="4"/>
        </w:numPr>
      </w:pPr>
      <w:r>
        <w:t>FAO, IFAD, UNICEF, WFP, &amp; WHO. (2024). The State of Food Security and Nutrition in the World 2024: Financing to end hunger, food insecurity and malnutrition in all its forms. Rome: FAO.</w:t>
      </w:r>
    </w:p>
    <w:p w14:paraId="6833E140" w14:textId="77777777" w:rsidR="002F6B90" w:rsidRDefault="002F6B90" w:rsidP="00441EE3">
      <w:pPr>
        <w:tabs>
          <w:tab w:val="left" w:pos="567"/>
        </w:tabs>
        <w:ind w:left="567" w:hanging="567"/>
        <w:jc w:val="both"/>
        <w:rPr>
          <w:rFonts w:ascii="Times New Roman" w:hAnsi="Times New Roman" w:cs="Times New Roman"/>
        </w:rPr>
      </w:pPr>
    </w:p>
    <w:p w14:paraId="150EEB0C" w14:textId="77777777" w:rsidR="002F6B90" w:rsidRDefault="002F6B90" w:rsidP="00441EE3">
      <w:pPr>
        <w:tabs>
          <w:tab w:val="left" w:pos="567"/>
        </w:tabs>
        <w:ind w:left="567" w:hanging="567"/>
        <w:jc w:val="both"/>
        <w:rPr>
          <w:rFonts w:ascii="Times New Roman" w:hAnsi="Times New Roman" w:cs="Times New Roman"/>
        </w:rPr>
      </w:pPr>
    </w:p>
    <w:p w14:paraId="79A87095" w14:textId="77777777" w:rsidR="002F6B90" w:rsidRDefault="002F6B90" w:rsidP="00441EE3">
      <w:pPr>
        <w:tabs>
          <w:tab w:val="left" w:pos="567"/>
        </w:tabs>
        <w:ind w:left="567" w:hanging="567"/>
        <w:jc w:val="both"/>
        <w:rPr>
          <w:rFonts w:ascii="Times New Roman" w:hAnsi="Times New Roman" w:cs="Times New Roman"/>
        </w:rPr>
      </w:pPr>
    </w:p>
    <w:p w14:paraId="21B3AC88" w14:textId="77777777" w:rsidR="002F6B90" w:rsidRDefault="002F6B90" w:rsidP="00441EE3">
      <w:pPr>
        <w:tabs>
          <w:tab w:val="left" w:pos="567"/>
        </w:tabs>
        <w:ind w:left="567" w:hanging="567"/>
        <w:jc w:val="both"/>
        <w:rPr>
          <w:rFonts w:ascii="Times New Roman" w:hAnsi="Times New Roman" w:cs="Times New Roman"/>
        </w:rPr>
      </w:pPr>
    </w:p>
    <w:p w14:paraId="69F744BE" w14:textId="77777777" w:rsidR="00441EE3" w:rsidRDefault="00441EE3" w:rsidP="00441EE3">
      <w:pPr>
        <w:tabs>
          <w:tab w:val="left" w:pos="567"/>
        </w:tabs>
        <w:ind w:left="567" w:hanging="567"/>
        <w:jc w:val="both"/>
        <w:rPr>
          <w:rFonts w:ascii="Times New Roman" w:hAnsi="Times New Roman" w:cs="Times New Roman"/>
          <w:lang w:val="fi-FI"/>
        </w:rPr>
      </w:pPr>
    </w:p>
    <w:p w14:paraId="010BF6C2" w14:textId="77777777" w:rsidR="00361FFF" w:rsidRPr="00361FFF" w:rsidRDefault="00361FFF" w:rsidP="00441EE3">
      <w:pPr>
        <w:tabs>
          <w:tab w:val="left" w:pos="567"/>
        </w:tabs>
        <w:ind w:left="567" w:hanging="567"/>
        <w:jc w:val="both"/>
        <w:rPr>
          <w:rFonts w:ascii="Times New Roman" w:hAnsi="Times New Roman" w:cs="Times New Roman"/>
        </w:rPr>
      </w:pPr>
    </w:p>
    <w:sectPr w:rsidR="00361FFF" w:rsidRPr="00361FFF">
      <w:headerReference w:type="even" r:id="rId17"/>
      <w:headerReference w:type="default" r:id="rId18"/>
      <w:footerReference w:type="even" r:id="rId19"/>
      <w:footerReference w:type="default" r:id="rId20"/>
      <w:headerReference w:type="first" r:id="rId21"/>
      <w:footerReference w:type="first" r:id="rId2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BA10638" w14:textId="77777777" w:rsidR="00E85115" w:rsidRDefault="00E85115" w:rsidP="004B4570">
      <w:pPr>
        <w:spacing w:after="0" w:line="240" w:lineRule="auto"/>
      </w:pPr>
      <w:r>
        <w:separator/>
      </w:r>
    </w:p>
  </w:endnote>
  <w:endnote w:type="continuationSeparator" w:id="0">
    <w:p w14:paraId="0B72986C" w14:textId="77777777" w:rsidR="00E85115" w:rsidRDefault="00E85115" w:rsidP="004B45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ptos">
    <w:altName w:val="Calibri"/>
    <w:charset w:val="00"/>
    <w:family w:val="swiss"/>
    <w:pitch w:val="variable"/>
    <w:sig w:usb0="20000287" w:usb1="00000003" w:usb2="00000000" w:usb3="00000000" w:csb0="0000019F" w:csb1="00000000"/>
  </w:font>
  <w:font w:name="Aptos Display">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163366" w14:textId="77777777" w:rsidR="004B4570" w:rsidRDefault="004B457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067FA4" w14:textId="77777777" w:rsidR="004B4570" w:rsidRDefault="004B457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84B1E9" w14:textId="77777777" w:rsidR="004B4570" w:rsidRDefault="004B457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6292243" w14:textId="77777777" w:rsidR="00E85115" w:rsidRDefault="00E85115" w:rsidP="004B4570">
      <w:pPr>
        <w:spacing w:after="0" w:line="240" w:lineRule="auto"/>
      </w:pPr>
      <w:r>
        <w:separator/>
      </w:r>
    </w:p>
  </w:footnote>
  <w:footnote w:type="continuationSeparator" w:id="0">
    <w:p w14:paraId="4E625130" w14:textId="77777777" w:rsidR="00E85115" w:rsidRDefault="00E85115" w:rsidP="004B457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8D9FEA" w14:textId="78A94640" w:rsidR="004B4570" w:rsidRDefault="00E85115">
    <w:pPr>
      <w:pStyle w:val="Header"/>
    </w:pPr>
    <w:r>
      <w:rPr>
        <w:noProof/>
      </w:rPr>
      <w:pict w14:anchorId="258EF71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726376" o:spid="_x0000_s2050" type="#_x0000_t136" style="position:absolute;margin-left:0;margin-top:0;width:592.85pt;height:66.9pt;rotation:315;z-index:-251655168;mso-position-horizontal:center;mso-position-horizontal-relative:margin;mso-position-vertical:center;mso-position-vertical-relative:margin" o:allowincell="f" fillcolor="silver" stroked="f">
          <v:fill opacity=".5"/>
          <v:textpath style="font-family:&quot;Aptos&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5EBE8F" w14:textId="4216C99E" w:rsidR="004B4570" w:rsidRDefault="00E85115">
    <w:pPr>
      <w:pStyle w:val="Header"/>
    </w:pPr>
    <w:r>
      <w:rPr>
        <w:noProof/>
      </w:rPr>
      <w:pict w14:anchorId="18D5186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726377" o:spid="_x0000_s2051" type="#_x0000_t136" style="position:absolute;margin-left:0;margin-top:0;width:592.85pt;height:66.9pt;rotation:315;z-index:-251653120;mso-position-horizontal:center;mso-position-horizontal-relative:margin;mso-position-vertical:center;mso-position-vertical-relative:margin" o:allowincell="f" fillcolor="silver" stroked="f">
          <v:fill opacity=".5"/>
          <v:textpath style="font-family:&quot;Aptos&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15E422" w14:textId="69AA0D90" w:rsidR="004B4570" w:rsidRDefault="00E85115">
    <w:pPr>
      <w:pStyle w:val="Header"/>
    </w:pPr>
    <w:r>
      <w:rPr>
        <w:noProof/>
      </w:rPr>
      <w:pict w14:anchorId="2CFFBAB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726375" o:spid="_x0000_s2049" type="#_x0000_t136" style="position:absolute;margin-left:0;margin-top:0;width:592.85pt;height:66.9pt;rotation:315;z-index:-251657216;mso-position-horizontal:center;mso-position-horizontal-relative:margin;mso-position-vertical:center;mso-position-vertical-relative:margin" o:allowincell="f" fillcolor="silver" stroked="f">
          <v:fill opacity=".5"/>
          <v:textpath style="font-family:&quot;Aptos&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A80638"/>
    <w:multiLevelType w:val="multilevel"/>
    <w:tmpl w:val="63D8AD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49C003C5"/>
    <w:multiLevelType w:val="hybridMultilevel"/>
    <w:tmpl w:val="8774EE9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0C60C73"/>
    <w:multiLevelType w:val="hybridMultilevel"/>
    <w:tmpl w:val="872E6D86"/>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15:restartNumberingAfterBreak="0">
    <w:nsid w:val="52E67DEF"/>
    <w:multiLevelType w:val="multilevel"/>
    <w:tmpl w:val="20C8E1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1FFF"/>
    <w:rsid w:val="0003017B"/>
    <w:rsid w:val="0008592D"/>
    <w:rsid w:val="000F73E8"/>
    <w:rsid w:val="001505E1"/>
    <w:rsid w:val="001556E9"/>
    <w:rsid w:val="00186D81"/>
    <w:rsid w:val="00203B96"/>
    <w:rsid w:val="00260ACC"/>
    <w:rsid w:val="00273C19"/>
    <w:rsid w:val="002B7746"/>
    <w:rsid w:val="002F6B90"/>
    <w:rsid w:val="00361FFF"/>
    <w:rsid w:val="00393165"/>
    <w:rsid w:val="003E24B2"/>
    <w:rsid w:val="00441EE3"/>
    <w:rsid w:val="004A70B4"/>
    <w:rsid w:val="004B4570"/>
    <w:rsid w:val="005239E4"/>
    <w:rsid w:val="0057165C"/>
    <w:rsid w:val="005E52B1"/>
    <w:rsid w:val="006365FF"/>
    <w:rsid w:val="006B097C"/>
    <w:rsid w:val="006F21C2"/>
    <w:rsid w:val="0072589B"/>
    <w:rsid w:val="0077538C"/>
    <w:rsid w:val="00820068"/>
    <w:rsid w:val="008815EC"/>
    <w:rsid w:val="008A5C0C"/>
    <w:rsid w:val="0098760F"/>
    <w:rsid w:val="009A606C"/>
    <w:rsid w:val="009A7E20"/>
    <w:rsid w:val="009D704F"/>
    <w:rsid w:val="00BF5DA6"/>
    <w:rsid w:val="00CE496D"/>
    <w:rsid w:val="00D221A4"/>
    <w:rsid w:val="00D33DC4"/>
    <w:rsid w:val="00DD0BB3"/>
    <w:rsid w:val="00E4355A"/>
    <w:rsid w:val="00E65ADC"/>
    <w:rsid w:val="00E85115"/>
    <w:rsid w:val="00EF2061"/>
    <w:rsid w:val="00EF6253"/>
    <w:rsid w:val="00FA1884"/>
    <w:rsid w:val="00FB1711"/>
    <w:rsid w:val="00FE5D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5B529E98"/>
  <w15:chartTrackingRefBased/>
  <w15:docId w15:val="{2CE2B11D-91BD-409B-88F8-09A3F36318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61FF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61FF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61FF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61FF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61FF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61FF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61FF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61FF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61FF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61FF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61FF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61FF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61FF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61FF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61FF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61FF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61FF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61FFF"/>
    <w:rPr>
      <w:rFonts w:eastAsiaTheme="majorEastAsia" w:cstheme="majorBidi"/>
      <w:color w:val="272727" w:themeColor="text1" w:themeTint="D8"/>
    </w:rPr>
  </w:style>
  <w:style w:type="paragraph" w:styleId="Title">
    <w:name w:val="Title"/>
    <w:basedOn w:val="Normal"/>
    <w:next w:val="Normal"/>
    <w:link w:val="TitleChar"/>
    <w:uiPriority w:val="10"/>
    <w:qFormat/>
    <w:rsid w:val="00361FF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61FF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61FF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61FF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61FFF"/>
    <w:pPr>
      <w:spacing w:before="160"/>
      <w:jc w:val="center"/>
    </w:pPr>
    <w:rPr>
      <w:i/>
      <w:iCs/>
      <w:color w:val="404040" w:themeColor="text1" w:themeTint="BF"/>
    </w:rPr>
  </w:style>
  <w:style w:type="character" w:customStyle="1" w:styleId="QuoteChar">
    <w:name w:val="Quote Char"/>
    <w:basedOn w:val="DefaultParagraphFont"/>
    <w:link w:val="Quote"/>
    <w:uiPriority w:val="29"/>
    <w:rsid w:val="00361FFF"/>
    <w:rPr>
      <w:i/>
      <w:iCs/>
      <w:color w:val="404040" w:themeColor="text1" w:themeTint="BF"/>
    </w:rPr>
  </w:style>
  <w:style w:type="paragraph" w:styleId="ListParagraph">
    <w:name w:val="List Paragraph"/>
    <w:basedOn w:val="Normal"/>
    <w:uiPriority w:val="34"/>
    <w:qFormat/>
    <w:rsid w:val="00361FFF"/>
    <w:pPr>
      <w:ind w:left="720"/>
      <w:contextualSpacing/>
    </w:pPr>
  </w:style>
  <w:style w:type="character" w:styleId="IntenseEmphasis">
    <w:name w:val="Intense Emphasis"/>
    <w:basedOn w:val="DefaultParagraphFont"/>
    <w:uiPriority w:val="21"/>
    <w:qFormat/>
    <w:rsid w:val="00361FFF"/>
    <w:rPr>
      <w:i/>
      <w:iCs/>
      <w:color w:val="0F4761" w:themeColor="accent1" w:themeShade="BF"/>
    </w:rPr>
  </w:style>
  <w:style w:type="paragraph" w:styleId="IntenseQuote">
    <w:name w:val="Intense Quote"/>
    <w:basedOn w:val="Normal"/>
    <w:next w:val="Normal"/>
    <w:link w:val="IntenseQuoteChar"/>
    <w:uiPriority w:val="30"/>
    <w:qFormat/>
    <w:rsid w:val="00361FF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61FFF"/>
    <w:rPr>
      <w:i/>
      <w:iCs/>
      <w:color w:val="0F4761" w:themeColor="accent1" w:themeShade="BF"/>
    </w:rPr>
  </w:style>
  <w:style w:type="character" w:styleId="IntenseReference">
    <w:name w:val="Intense Reference"/>
    <w:basedOn w:val="DefaultParagraphFont"/>
    <w:uiPriority w:val="32"/>
    <w:qFormat/>
    <w:rsid w:val="00361FFF"/>
    <w:rPr>
      <w:b/>
      <w:bCs/>
      <w:smallCaps/>
      <w:color w:val="0F4761" w:themeColor="accent1" w:themeShade="BF"/>
      <w:spacing w:val="5"/>
    </w:rPr>
  </w:style>
  <w:style w:type="table" w:styleId="TableGrid">
    <w:name w:val="Table Grid"/>
    <w:basedOn w:val="TableNormal"/>
    <w:uiPriority w:val="39"/>
    <w:rsid w:val="00441EE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441EE3"/>
    <w:rPr>
      <w:color w:val="467886" w:themeColor="hyperlink"/>
      <w:u w:val="single"/>
    </w:rPr>
  </w:style>
  <w:style w:type="character" w:styleId="UnresolvedMention">
    <w:name w:val="Unresolved Mention"/>
    <w:basedOn w:val="DefaultParagraphFont"/>
    <w:uiPriority w:val="99"/>
    <w:semiHidden/>
    <w:unhideWhenUsed/>
    <w:rsid w:val="00441EE3"/>
    <w:rPr>
      <w:color w:val="605E5C"/>
      <w:shd w:val="clear" w:color="auto" w:fill="E1DFDD"/>
    </w:rPr>
  </w:style>
  <w:style w:type="paragraph" w:styleId="Header">
    <w:name w:val="header"/>
    <w:basedOn w:val="Normal"/>
    <w:link w:val="HeaderChar"/>
    <w:uiPriority w:val="99"/>
    <w:unhideWhenUsed/>
    <w:rsid w:val="004B4570"/>
    <w:pPr>
      <w:tabs>
        <w:tab w:val="center" w:pos="4680"/>
        <w:tab w:val="right" w:pos="9360"/>
      </w:tabs>
      <w:spacing w:after="0" w:line="240" w:lineRule="auto"/>
    </w:pPr>
  </w:style>
  <w:style w:type="character" w:customStyle="1" w:styleId="HeaderChar">
    <w:name w:val="Header Char"/>
    <w:basedOn w:val="DefaultParagraphFont"/>
    <w:link w:val="Header"/>
    <w:uiPriority w:val="99"/>
    <w:rsid w:val="004B4570"/>
  </w:style>
  <w:style w:type="paragraph" w:styleId="Footer">
    <w:name w:val="footer"/>
    <w:basedOn w:val="Normal"/>
    <w:link w:val="FooterChar"/>
    <w:uiPriority w:val="99"/>
    <w:unhideWhenUsed/>
    <w:rsid w:val="004B4570"/>
    <w:pPr>
      <w:tabs>
        <w:tab w:val="center" w:pos="4680"/>
        <w:tab w:val="right" w:pos="9360"/>
      </w:tabs>
      <w:spacing w:after="0" w:line="240" w:lineRule="auto"/>
    </w:pPr>
  </w:style>
  <w:style w:type="character" w:customStyle="1" w:styleId="FooterChar">
    <w:name w:val="Footer Char"/>
    <w:basedOn w:val="DefaultParagraphFont"/>
    <w:link w:val="Footer"/>
    <w:uiPriority w:val="99"/>
    <w:rsid w:val="004B457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yperlink" Target="https://doi.org/10.3390/su141912477" TargetMode="External"/><Relationship Id="rId18" Type="http://schemas.openxmlformats.org/officeDocument/2006/relationships/header" Target="header2.xml"/><Relationship Id="rId3" Type="http://schemas.openxmlformats.org/officeDocument/2006/relationships/settings" Target="settings.xml"/><Relationship Id="rId21" Type="http://schemas.openxmlformats.org/officeDocument/2006/relationships/header" Target="header3.xml"/><Relationship Id="rId7" Type="http://schemas.openxmlformats.org/officeDocument/2006/relationships/image" Target="media/image1.png"/><Relationship Id="rId12" Type="http://schemas.openxmlformats.org/officeDocument/2006/relationships/hyperlink" Target="https://doi.org/10.3390/su16166780" TargetMode="External"/><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s://doi.org/10.56189/jippm.v5i3.41" TargetMode="External"/><Relationship Id="rId20"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1080/23311916.2021.2003945" TargetMode="Externa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doi.org/10.3390/su132112294" TargetMode="External"/><Relationship Id="rId23" Type="http://schemas.openxmlformats.org/officeDocument/2006/relationships/fontTable" Target="fontTable.xml"/><Relationship Id="rId10" Type="http://schemas.openxmlformats.org/officeDocument/2006/relationships/hyperlink" Target="https://doi.org/10.3390/agronomy12030660" TargetMode="External"/><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doi.org/10.3390/su15118585" TargetMode="External"/><Relationship Id="rId14" Type="http://schemas.openxmlformats.org/officeDocument/2006/relationships/hyperlink" Target="https://doi.org/10.3390/agriculture13050990" TargetMode="External"/><Relationship Id="rId22"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TotalTime>
  <Pages>14</Pages>
  <Words>4488</Words>
  <Characters>25584</Characters>
  <Application>Microsoft Office Word</Application>
  <DocSecurity>0</DocSecurity>
  <Lines>213</Lines>
  <Paragraphs>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30012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Software Solution</dc:creator>
  <cp:keywords/>
  <dc:description/>
  <cp:lastModifiedBy>Editor-11</cp:lastModifiedBy>
  <cp:revision>6</cp:revision>
  <dcterms:created xsi:type="dcterms:W3CDTF">2025-12-24T08:19:00Z</dcterms:created>
  <dcterms:modified xsi:type="dcterms:W3CDTF">2025-12-24T09:50:00Z</dcterms:modified>
</cp:coreProperties>
</file>