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A7108" w14:textId="77777777" w:rsidR="00DA1DF0" w:rsidRPr="00DA1DF0" w:rsidRDefault="00DA1DF0" w:rsidP="00DA1DF0">
      <w:pPr>
        <w:jc w:val="center"/>
        <w:rPr>
          <w:rFonts w:ascii="Times New Roman" w:hAnsi="Times New Roman" w:cs="Times New Roman"/>
          <w:b/>
          <w:bCs/>
          <w:i/>
          <w:iCs/>
          <w:sz w:val="32"/>
          <w:szCs w:val="32"/>
          <w:u w:val="single"/>
          <w:lang w:val="en-US"/>
        </w:rPr>
      </w:pPr>
      <w:r w:rsidRPr="00DA1DF0">
        <w:rPr>
          <w:rFonts w:ascii="Times New Roman" w:hAnsi="Times New Roman" w:cs="Times New Roman"/>
          <w:b/>
          <w:bCs/>
          <w:i/>
          <w:iCs/>
          <w:sz w:val="32"/>
          <w:szCs w:val="32"/>
          <w:u w:val="single"/>
          <w:lang w:val="en-US"/>
        </w:rPr>
        <w:t>Original Research Article</w:t>
      </w:r>
    </w:p>
    <w:p w14:paraId="0255DEAD" w14:textId="77777777" w:rsidR="00DA1DF0" w:rsidRDefault="00DA1DF0" w:rsidP="001A521A">
      <w:pPr>
        <w:jc w:val="center"/>
        <w:rPr>
          <w:rFonts w:ascii="Times New Roman" w:hAnsi="Times New Roman" w:cs="Times New Roman"/>
          <w:b/>
          <w:bCs/>
          <w:sz w:val="32"/>
          <w:szCs w:val="32"/>
        </w:rPr>
      </w:pPr>
    </w:p>
    <w:p w14:paraId="4A05BE47" w14:textId="4C19516F" w:rsidR="00E44167" w:rsidRPr="001A521A" w:rsidRDefault="00E44167" w:rsidP="001A521A">
      <w:pPr>
        <w:jc w:val="center"/>
        <w:rPr>
          <w:rFonts w:ascii="Times New Roman" w:hAnsi="Times New Roman" w:cs="Times New Roman"/>
          <w:b/>
          <w:bCs/>
          <w:sz w:val="32"/>
          <w:szCs w:val="32"/>
        </w:rPr>
      </w:pPr>
      <w:r w:rsidRPr="001A521A">
        <w:rPr>
          <w:rFonts w:ascii="Times New Roman" w:hAnsi="Times New Roman" w:cs="Times New Roman"/>
          <w:b/>
          <w:bCs/>
          <w:sz w:val="32"/>
          <w:szCs w:val="32"/>
        </w:rPr>
        <w:t>A Macro-Learning Model for SPA Oukup Karo Based on Tutorial Videos: Enhancing Competence and Preserving Local Cultural Heritage</w:t>
      </w:r>
    </w:p>
    <w:p w14:paraId="292BDC62" w14:textId="77777777" w:rsidR="00124545" w:rsidRDefault="00124545" w:rsidP="001A521A">
      <w:pPr>
        <w:jc w:val="center"/>
        <w:rPr>
          <w:rFonts w:ascii="Times New Roman" w:hAnsi="Times New Roman" w:cs="Times New Roman"/>
          <w:sz w:val="24"/>
          <w:szCs w:val="24"/>
        </w:rPr>
      </w:pPr>
    </w:p>
    <w:p w14:paraId="247721D5" w14:textId="77777777" w:rsidR="001A521A" w:rsidRPr="001A521A" w:rsidRDefault="001A521A" w:rsidP="001A521A">
      <w:pPr>
        <w:jc w:val="center"/>
        <w:rPr>
          <w:rFonts w:ascii="Times New Roman" w:hAnsi="Times New Roman" w:cs="Times New Roman"/>
          <w:sz w:val="24"/>
          <w:szCs w:val="24"/>
        </w:rPr>
      </w:pPr>
    </w:p>
    <w:p w14:paraId="500C0BAC" w14:textId="59BACE0D" w:rsidR="00E44167" w:rsidRPr="00E44167" w:rsidRDefault="00E44167" w:rsidP="00A625E1">
      <w:pPr>
        <w:jc w:val="center"/>
        <w:rPr>
          <w:rFonts w:ascii="Times New Roman" w:hAnsi="Times New Roman" w:cs="Times New Roman"/>
          <w:sz w:val="24"/>
          <w:szCs w:val="24"/>
        </w:rPr>
      </w:pPr>
      <w:r w:rsidRPr="00E44167">
        <w:rPr>
          <w:rFonts w:ascii="Times New Roman" w:hAnsi="Times New Roman" w:cs="Times New Roman"/>
          <w:b/>
          <w:bCs/>
          <w:sz w:val="24"/>
          <w:szCs w:val="24"/>
        </w:rPr>
        <w:t>Abstract</w:t>
      </w:r>
    </w:p>
    <w:p w14:paraId="5A18C7B7" w14:textId="77777777" w:rsidR="00127736" w:rsidRPr="00127736" w:rsidRDefault="00127736" w:rsidP="00127736">
      <w:pPr>
        <w:jc w:val="both"/>
        <w:rPr>
          <w:rFonts w:ascii="Times New Roman" w:hAnsi="Times New Roman" w:cs="Times New Roman"/>
          <w:sz w:val="24"/>
          <w:szCs w:val="24"/>
        </w:rPr>
      </w:pPr>
      <w:r w:rsidRPr="00127736">
        <w:rPr>
          <w:rFonts w:ascii="Times New Roman" w:hAnsi="Times New Roman" w:cs="Times New Roman"/>
          <w:sz w:val="24"/>
          <w:szCs w:val="24"/>
          <w:highlight w:val="yellow"/>
        </w:rPr>
        <w:t>This study develops and evaluates a macro-learning model for SPA Oukup Karo training using tutorial videos to enhance trainee competence while preserving Karo cultural heritage. The study employed a research and development (R&amp;D) approach using the 4D model (Define–Design–Develop–Disseminate). Product feasibility was assessed through expert validation involving three validators (content, language, and media), yielding mean scores of 4.5 (content), 4.0 (language), and 4.4 (media) on a 5-point scale, indicating high validity. A small-scale trial was then conducted with 20 active trainees to test practicality and refine the media. Effectiveness was examined through an expanded field trial using a quasi-experimental design with 30 trainees divided into an experimental group (video-based macro-learning, n = 15) and a control group (conventional demonstration, n = 15). Pre-test results confirmed comparable baseline ability (t = 0.661; p = 0.515). Post-test outcomes showed a significant advantage for the experimental group (M = 86.3) compared to the control group (M = 74.0), with t = −3.662 and p = 0.001. The experimental group also achieved a higher gain score (+25.9 vs +14.9). An operational field trial with 60 trainees across two cohorts further supported scalability, producing an average post-test score of 88.1 and a 93% internal certification pass rate, alongside high satisfaction (M = 4.62/5). Overall, the model is valid, practical, and effective for vocational training institutions and offers a structured pathway to professionalize traditional Oukup practices without eroding cultural meaning.</w:t>
      </w:r>
    </w:p>
    <w:p w14:paraId="03B28D5A" w14:textId="77777777" w:rsidR="00127736" w:rsidRPr="00127736" w:rsidRDefault="00127736" w:rsidP="00127736">
      <w:pPr>
        <w:jc w:val="both"/>
        <w:rPr>
          <w:rFonts w:ascii="Times New Roman" w:hAnsi="Times New Roman" w:cs="Times New Roman"/>
          <w:sz w:val="24"/>
          <w:szCs w:val="24"/>
        </w:rPr>
      </w:pPr>
      <w:r w:rsidRPr="00127736">
        <w:rPr>
          <w:rFonts w:ascii="Times New Roman" w:hAnsi="Times New Roman" w:cs="Times New Roman"/>
          <w:b/>
          <w:bCs/>
          <w:sz w:val="24"/>
          <w:szCs w:val="24"/>
        </w:rPr>
        <w:t>Keywords:</w:t>
      </w:r>
      <w:r w:rsidRPr="00127736">
        <w:rPr>
          <w:rFonts w:ascii="Times New Roman" w:hAnsi="Times New Roman" w:cs="Times New Roman"/>
          <w:sz w:val="24"/>
          <w:szCs w:val="24"/>
        </w:rPr>
        <w:t xml:space="preserve"> macro-learning; video tutorial; vocational training; Oukup Karo; cultural heritage; 4D model</w:t>
      </w:r>
    </w:p>
    <w:p w14:paraId="1CE0C7D4" w14:textId="20B9CA24" w:rsidR="00A425A0" w:rsidRPr="00E44167" w:rsidRDefault="00A425A0" w:rsidP="00A425A0">
      <w:pPr>
        <w:jc w:val="both"/>
        <w:rPr>
          <w:rFonts w:ascii="Times New Roman" w:hAnsi="Times New Roman" w:cs="Times New Roman"/>
          <w:b/>
          <w:bCs/>
          <w:sz w:val="24"/>
          <w:szCs w:val="24"/>
        </w:rPr>
      </w:pPr>
    </w:p>
    <w:p w14:paraId="2E0578DC" w14:textId="1CAD7E08" w:rsidR="00A425A0" w:rsidRPr="00421A15" w:rsidRDefault="00421A15" w:rsidP="00421A15">
      <w:pPr>
        <w:pStyle w:val="ListParagraph"/>
        <w:numPr>
          <w:ilvl w:val="0"/>
          <w:numId w:val="5"/>
        </w:numPr>
        <w:ind w:left="709"/>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267FEB08" w14:textId="1C0AB0B6"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Vocational education is now expected to do more than supply job-ready graduates; it is increasingly tasked with protecting, translating, and adding value to local cultural assets as they enter creative and wellness economies. In Indonesia, traditional body-care knowledge is progressively reframed as a set of competencies that can strengthen community-based tourism, micro and small enterprises, and place-based economic development. Within this landscape, the Karo community in North Sumatra continues to sustain a living repertoire of health-and-beauty traditions practiced in daily life. This convergence of vocational preparation and indigenous wisdom demands learning models that are simultaneously culturally anchored and instructionally rigorous (Ramli, 2025).</w:t>
      </w:r>
    </w:p>
    <w:p w14:paraId="14685E69"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lastRenderedPageBreak/>
        <w:t xml:space="preserve">One of the most distinctive Karo wellness traditions is </w:t>
      </w:r>
      <w:r w:rsidRPr="00396B15">
        <w:rPr>
          <w:rFonts w:ascii="Times New Roman" w:hAnsi="Times New Roman" w:cs="Times New Roman"/>
          <w:b/>
          <w:bCs/>
          <w:sz w:val="24"/>
          <w:szCs w:val="24"/>
          <w:highlight w:val="yellow"/>
        </w:rPr>
        <w:t>Oukup</w:t>
      </w:r>
      <w:r w:rsidRPr="00396B15">
        <w:rPr>
          <w:rFonts w:ascii="Times New Roman" w:hAnsi="Times New Roman" w:cs="Times New Roman"/>
          <w:sz w:val="24"/>
          <w:szCs w:val="24"/>
          <w:highlight w:val="yellow"/>
        </w:rPr>
        <w:t>, a steam-bath practice that integrates herbal therapy, heat exposure, and ritual meaning into a single treatment system. Historically associated with post-partum recovery, Oukup has expanded over time into a more generalised service for relaxation and wellbeing that is accessed by broader segments of society (</w:t>
      </w:r>
      <w:proofErr w:type="spellStart"/>
      <w:r w:rsidRPr="00396B15">
        <w:rPr>
          <w:rFonts w:ascii="Times New Roman" w:hAnsi="Times New Roman" w:cs="Times New Roman"/>
          <w:sz w:val="24"/>
          <w:szCs w:val="24"/>
          <w:highlight w:val="yellow"/>
        </w:rPr>
        <w:t>Paninsari</w:t>
      </w:r>
      <w:proofErr w:type="spellEnd"/>
      <w:r w:rsidRPr="00396B15">
        <w:rPr>
          <w:rFonts w:ascii="Times New Roman" w:hAnsi="Times New Roman" w:cs="Times New Roman"/>
          <w:sz w:val="24"/>
          <w:szCs w:val="24"/>
          <w:highlight w:val="yellow"/>
        </w:rPr>
        <w:t>, 2018). Its procedures rely on locally available aromatic and medicinal plants, demonstrating deep ethnomedical knowledge that is inseparable from the surrounding ecological context (</w:t>
      </w:r>
      <w:proofErr w:type="spellStart"/>
      <w:r w:rsidRPr="00396B15">
        <w:rPr>
          <w:rFonts w:ascii="Times New Roman" w:hAnsi="Times New Roman" w:cs="Times New Roman"/>
          <w:sz w:val="24"/>
          <w:szCs w:val="24"/>
          <w:highlight w:val="yellow"/>
        </w:rPr>
        <w:t>Gitima</w:t>
      </w:r>
      <w:proofErr w:type="spellEnd"/>
      <w:r w:rsidRPr="00396B15">
        <w:rPr>
          <w:rFonts w:ascii="Times New Roman" w:hAnsi="Times New Roman" w:cs="Times New Roman"/>
          <w:sz w:val="24"/>
          <w:szCs w:val="24"/>
          <w:highlight w:val="yellow"/>
        </w:rPr>
        <w:t>, 2025). As Oukup moves into commercial spa environments, clear operational standards and competency definitions become necessary to protect both authenticity and client safety.</w:t>
      </w:r>
    </w:p>
    <w:p w14:paraId="02FAA715"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Yet, despite its cultural and economic promise, Oukup expertise is still transmitted primarily through oral instruction and informal apprenticeship within families and small community circles (Hasanah, 2020). In many training settings, teaching is still dominated by lectures or unsystematic demonstrations, leaving complex procedures insufficiently documented and poorly sequenced for learners. Such conventional delivery makes it difficult to internalise Oukup holistically—from philosophy and materials selection to massage, scrubbing, and steam-bath execution—because learners encounter steps as isolated actions rather than as an integrated treatment logic (Peltzer, 2018). This gap indicates the need for curriculum revitalisation and a structured model that can translate local practice into an accountable vocational training design.</w:t>
      </w:r>
    </w:p>
    <w:p w14:paraId="64E8884C"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From an instructional design standpoint, these limitations are better addressed through a </w:t>
      </w:r>
      <w:r w:rsidRPr="00396B15">
        <w:rPr>
          <w:rFonts w:ascii="Times New Roman" w:hAnsi="Times New Roman" w:cs="Times New Roman"/>
          <w:b/>
          <w:bCs/>
          <w:sz w:val="24"/>
          <w:szCs w:val="24"/>
          <w:highlight w:val="yellow"/>
        </w:rPr>
        <w:t>macro-learning</w:t>
      </w:r>
      <w:r w:rsidRPr="00396B15">
        <w:rPr>
          <w:rFonts w:ascii="Times New Roman" w:hAnsi="Times New Roman" w:cs="Times New Roman"/>
          <w:sz w:val="24"/>
          <w:szCs w:val="24"/>
          <w:highlight w:val="yellow"/>
        </w:rPr>
        <w:t xml:space="preserve"> approach, where learning is organised as a coherent developmental pathway rather than fragmented skill units (</w:t>
      </w:r>
      <w:proofErr w:type="spellStart"/>
      <w:r w:rsidRPr="00396B15">
        <w:rPr>
          <w:rFonts w:ascii="Times New Roman" w:hAnsi="Times New Roman" w:cs="Times New Roman"/>
          <w:sz w:val="24"/>
          <w:szCs w:val="24"/>
          <w:highlight w:val="yellow"/>
        </w:rPr>
        <w:t>koh</w:t>
      </w:r>
      <w:proofErr w:type="spellEnd"/>
      <w:r w:rsidRPr="00396B15">
        <w:rPr>
          <w:rFonts w:ascii="Times New Roman" w:hAnsi="Times New Roman" w:cs="Times New Roman"/>
          <w:sz w:val="24"/>
          <w:szCs w:val="24"/>
          <w:highlight w:val="yellow"/>
        </w:rPr>
        <w:t>, 2023). Macro-learning supports gradual competence formation across interconnected modules, enabling learners to build cognitive understanding, affective appreciation, and psychomotor mastery in an integrated manner. For Oukup training, this approach can connect cultural foundations, herbal preparation, bodywork sequences, hygiene and safety protocols, and steam-bath implementation within one continuous learning trajectory. This alignment is essential because traditional spa competence is inherently composite and cannot be reliably mastered through disconnected micro-tasks (</w:t>
      </w:r>
      <w:proofErr w:type="spellStart"/>
      <w:r w:rsidRPr="00396B15">
        <w:rPr>
          <w:rFonts w:ascii="Times New Roman" w:hAnsi="Times New Roman" w:cs="Times New Roman"/>
          <w:sz w:val="24"/>
          <w:szCs w:val="24"/>
          <w:highlight w:val="yellow"/>
        </w:rPr>
        <w:t>Prakoso</w:t>
      </w:r>
      <w:proofErr w:type="spellEnd"/>
      <w:r w:rsidRPr="00396B15">
        <w:rPr>
          <w:rFonts w:ascii="Times New Roman" w:hAnsi="Times New Roman" w:cs="Times New Roman"/>
          <w:sz w:val="24"/>
          <w:szCs w:val="24"/>
          <w:highlight w:val="yellow"/>
        </w:rPr>
        <w:t>, 2025).</w:t>
      </w:r>
    </w:p>
    <w:p w14:paraId="47C1CA3E"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The success of macro-learning in practice-oriented education also depends heavily on the availability and quality of instructional media that can represent procedures accurately and consistently (</w:t>
      </w:r>
      <w:proofErr w:type="spellStart"/>
      <w:r w:rsidRPr="00396B15">
        <w:rPr>
          <w:rFonts w:ascii="Times New Roman" w:hAnsi="Times New Roman" w:cs="Times New Roman"/>
          <w:sz w:val="24"/>
          <w:szCs w:val="24"/>
          <w:highlight w:val="yellow"/>
        </w:rPr>
        <w:t>Bricout</w:t>
      </w:r>
      <w:proofErr w:type="spellEnd"/>
      <w:r w:rsidRPr="00396B15">
        <w:rPr>
          <w:rFonts w:ascii="Times New Roman" w:hAnsi="Times New Roman" w:cs="Times New Roman"/>
          <w:sz w:val="24"/>
          <w:szCs w:val="24"/>
          <w:highlight w:val="yellow"/>
        </w:rPr>
        <w:t>, 2008). In skills education, visual and audio-visual resources are particularly effective for conveying movement patterns, timing, pressure, and technique details that are difficult to communicate through text alone. Well-designed media can reduce ambiguity, strengthen learner attention, support repeated practice, and improve the internalisation of complex motor skills. Accordingly, multimedia environments are widely regarded as a central support for deeper and more sustained learning in technical and vocational training.</w:t>
      </w:r>
    </w:p>
    <w:p w14:paraId="707875F3"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Among audio-visual formats, </w:t>
      </w:r>
      <w:r w:rsidRPr="00396B15">
        <w:rPr>
          <w:rFonts w:ascii="Times New Roman" w:hAnsi="Times New Roman" w:cs="Times New Roman"/>
          <w:b/>
          <w:bCs/>
          <w:sz w:val="24"/>
          <w:szCs w:val="24"/>
          <w:highlight w:val="yellow"/>
        </w:rPr>
        <w:t>video tutorials</w:t>
      </w:r>
      <w:r w:rsidRPr="00396B15">
        <w:rPr>
          <w:rFonts w:ascii="Times New Roman" w:hAnsi="Times New Roman" w:cs="Times New Roman"/>
          <w:sz w:val="24"/>
          <w:szCs w:val="24"/>
          <w:highlight w:val="yellow"/>
        </w:rPr>
        <w:t xml:space="preserve"> have become especially prominent because they allow repeated observation, stepwise visualisation, and the synchronisation of explanation with concrete action (Yeganeh, 2025). For learners, videos offer flexible rehearsal opportunities that can reinforce retention and performance accuracy. For instructors, video tutorials can standardise demonstrations, reduce the need for continuous live repetition, and ensure that all trainees receive consistent exposure to core techniques. Evidence from vocational settings </w:t>
      </w:r>
      <w:r w:rsidRPr="00396B15">
        <w:rPr>
          <w:rFonts w:ascii="Times New Roman" w:hAnsi="Times New Roman" w:cs="Times New Roman"/>
          <w:sz w:val="24"/>
          <w:szCs w:val="24"/>
          <w:highlight w:val="yellow"/>
        </w:rPr>
        <w:lastRenderedPageBreak/>
        <w:t>suggests that video-supported instruction can improve learning motivation and practical competency attainment compared with more conventional methods.</w:t>
      </w:r>
    </w:p>
    <w:p w14:paraId="5851EBC7" w14:textId="77777777"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However, most video tutorial development in Indonesian vocational contexts remains concentrated on modern beauty services—such as make-up or general cosmetology—rather than on culturally embedded traditional spa modalities. These resources typically highlight technical styling outcomes but rarely integrate the cultural-philosophical foundations that shape indigenous treatments. As a result, they cannot be directly adopted for programmes that aim to preserve, professionalise, and ethically commercialise traditions such as </w:t>
      </w:r>
      <w:proofErr w:type="spellStart"/>
      <w:r w:rsidRPr="00396B15">
        <w:rPr>
          <w:rFonts w:ascii="Times New Roman" w:hAnsi="Times New Roman" w:cs="Times New Roman"/>
          <w:sz w:val="24"/>
          <w:szCs w:val="24"/>
          <w:highlight w:val="yellow"/>
        </w:rPr>
        <w:t>Oukup</w:t>
      </w:r>
      <w:proofErr w:type="spellEnd"/>
      <w:r w:rsidRPr="00396B15">
        <w:rPr>
          <w:rFonts w:ascii="Times New Roman" w:hAnsi="Times New Roman" w:cs="Times New Roman"/>
          <w:sz w:val="24"/>
          <w:szCs w:val="24"/>
          <w:highlight w:val="yellow"/>
        </w:rPr>
        <w:t xml:space="preserve"> Karo (</w:t>
      </w:r>
      <w:proofErr w:type="spellStart"/>
      <w:r w:rsidRPr="00396B15">
        <w:rPr>
          <w:rFonts w:ascii="Times New Roman" w:hAnsi="Times New Roman" w:cs="Times New Roman"/>
          <w:sz w:val="24"/>
          <w:szCs w:val="24"/>
          <w:highlight w:val="yellow"/>
        </w:rPr>
        <w:t>Grădinaru</w:t>
      </w:r>
      <w:proofErr w:type="spellEnd"/>
      <w:r w:rsidRPr="00396B15">
        <w:rPr>
          <w:rFonts w:ascii="Times New Roman" w:hAnsi="Times New Roman" w:cs="Times New Roman"/>
          <w:sz w:val="24"/>
          <w:szCs w:val="24"/>
          <w:highlight w:val="yellow"/>
        </w:rPr>
        <w:t>, 2022). Prior video-based work therefore offers methodological cues, yet it does not resolve the specific instructional gap in culturally grounded spa training.</w:t>
      </w:r>
    </w:p>
    <w:p w14:paraId="59CF1EE9" w14:textId="46C301AB"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At the same time, research on Oukup Karo has largely focused on ethnobotany, ethnomedicine, and cultural documentation rather than on competency-based curriculum design or vocational pedagogy (Batubara, 2023). Scholars have documented plant inventories, symbolic meanings, and preservation efforts, which are indispensable for safeguarding heritage. Nevertheless, these studies generally stop short of converting descriptive knowledge into structured learning resources, assessment criteria, and training tools that vocational institutions can implement. Consequently, a disconnect persists between rich cultural/ethnographic evidence and the operational needs of training providers that must deliver measurable competence outcomes (</w:t>
      </w:r>
      <w:r w:rsidR="0086781A">
        <w:rPr>
          <w:rFonts w:ascii="Times New Roman" w:hAnsi="Times New Roman" w:cs="Times New Roman"/>
          <w:sz w:val="24"/>
          <w:szCs w:val="24"/>
          <w:highlight w:val="yellow"/>
        </w:rPr>
        <w:t xml:space="preserve">Zhang, 2025; Song, 2025; </w:t>
      </w:r>
      <w:r w:rsidRPr="00396B15">
        <w:rPr>
          <w:rFonts w:ascii="Times New Roman" w:hAnsi="Times New Roman" w:cs="Times New Roman"/>
          <w:sz w:val="24"/>
          <w:szCs w:val="24"/>
          <w:highlight w:val="yellow"/>
        </w:rPr>
        <w:t>Mustajab, 2023).</w:t>
      </w:r>
    </w:p>
    <w:p w14:paraId="79E1C6E1" w14:textId="79414252" w:rsidR="00396B15" w:rsidRPr="00396B15" w:rsidRDefault="00396B15" w:rsidP="00396B15">
      <w:pPr>
        <w:jc w:val="both"/>
        <w:rPr>
          <w:rFonts w:ascii="Times New Roman" w:hAnsi="Times New Roman" w:cs="Times New Roman"/>
          <w:sz w:val="24"/>
          <w:szCs w:val="24"/>
          <w:highlight w:val="yellow"/>
        </w:rPr>
      </w:pPr>
      <w:r w:rsidRPr="00396B15">
        <w:rPr>
          <w:rFonts w:ascii="Times New Roman" w:hAnsi="Times New Roman" w:cs="Times New Roman"/>
          <w:sz w:val="24"/>
          <w:szCs w:val="24"/>
          <w:highlight w:val="yellow"/>
        </w:rPr>
        <w:t xml:space="preserve">In addition, vocational training in traditional spa services must align with Indonesia’s </w:t>
      </w:r>
      <w:r w:rsidRPr="00396B15">
        <w:rPr>
          <w:rFonts w:ascii="Times New Roman" w:hAnsi="Times New Roman" w:cs="Times New Roman"/>
          <w:b/>
          <w:bCs/>
          <w:sz w:val="24"/>
          <w:szCs w:val="24"/>
          <w:highlight w:val="yellow"/>
        </w:rPr>
        <w:t>National Work Competency Standards (SKKNI)</w:t>
      </w:r>
      <w:r w:rsidRPr="00396B15">
        <w:rPr>
          <w:rFonts w:ascii="Times New Roman" w:hAnsi="Times New Roman" w:cs="Times New Roman"/>
          <w:sz w:val="24"/>
          <w:szCs w:val="24"/>
          <w:highlight w:val="yellow"/>
        </w:rPr>
        <w:t xml:space="preserve"> for spa and traditional health services, which requires explicit learning outcomes, assessment rubrics, and progressively sequenced learning experiences. Without an appropriate model and supporting media, it becomes difficult to verify that trainees genuinely achieve the competencies mandated by SKKNI—particularly for complex procedures like Oukup that combine materials knowledge, technique, hygiene, and service quality. Integrating structured instructional media (especially video tutorials) into a macro-learning pathway is therefore crucial to produce observable, assessable, and standard-compliant competency development</w:t>
      </w:r>
      <w:r w:rsidR="0086781A">
        <w:rPr>
          <w:rFonts w:ascii="Times New Roman" w:hAnsi="Times New Roman" w:cs="Times New Roman"/>
          <w:sz w:val="24"/>
          <w:szCs w:val="24"/>
          <w:highlight w:val="yellow"/>
        </w:rPr>
        <w:t xml:space="preserve"> (Morgado, 2024; Van, 2023)</w:t>
      </w:r>
      <w:r w:rsidRPr="00396B15">
        <w:rPr>
          <w:rFonts w:ascii="Times New Roman" w:hAnsi="Times New Roman" w:cs="Times New Roman"/>
          <w:sz w:val="24"/>
          <w:szCs w:val="24"/>
          <w:highlight w:val="yellow"/>
        </w:rPr>
        <w:t>.</w:t>
      </w:r>
    </w:p>
    <w:p w14:paraId="659797B4" w14:textId="77777777" w:rsidR="00396B15" w:rsidRPr="00396B15" w:rsidRDefault="00396B15" w:rsidP="00396B15">
      <w:pPr>
        <w:jc w:val="both"/>
        <w:rPr>
          <w:rFonts w:ascii="Times New Roman" w:hAnsi="Times New Roman" w:cs="Times New Roman"/>
          <w:sz w:val="24"/>
          <w:szCs w:val="24"/>
        </w:rPr>
      </w:pPr>
      <w:r w:rsidRPr="00396B15">
        <w:rPr>
          <w:rFonts w:ascii="Times New Roman" w:hAnsi="Times New Roman" w:cs="Times New Roman"/>
          <w:sz w:val="24"/>
          <w:szCs w:val="24"/>
          <w:highlight w:val="yellow"/>
        </w:rPr>
        <w:t xml:space="preserve">Based on these needs, the present study develops and evaluates a </w:t>
      </w:r>
      <w:r w:rsidRPr="00396B15">
        <w:rPr>
          <w:rFonts w:ascii="Times New Roman" w:hAnsi="Times New Roman" w:cs="Times New Roman"/>
          <w:b/>
          <w:bCs/>
          <w:sz w:val="24"/>
          <w:szCs w:val="24"/>
          <w:highlight w:val="yellow"/>
        </w:rPr>
        <w:t>macro-learning model for Oukup Karo spa training</w:t>
      </w:r>
      <w:r w:rsidRPr="00396B15">
        <w:rPr>
          <w:rFonts w:ascii="Times New Roman" w:hAnsi="Times New Roman" w:cs="Times New Roman"/>
          <w:sz w:val="24"/>
          <w:szCs w:val="24"/>
          <w:highlight w:val="yellow"/>
        </w:rPr>
        <w:t xml:space="preserve"> supported explicitly by video tutorial learning materials. Implemented through a research-and-development framework, the model is designed to be valid, practical, and effective for vocational training institutions. By positioning Oukup Karo within a structured macro-learning architecture, this study aims to bridge cultural preservation with contemporary vocational requirements and competency-based standards. Ultimately, the work contributes an instructional model that can strengthen learner skill mastery, support professional and safe spa practice, and promote the sustainable transmission of Karo cultural heritage (Ramli, 2025; Mustajab, 2023).</w:t>
      </w:r>
    </w:p>
    <w:p w14:paraId="4FBA7FF2" w14:textId="494E8194" w:rsidR="00456BAD" w:rsidRDefault="00456BAD" w:rsidP="00A425A0">
      <w:pPr>
        <w:jc w:val="both"/>
        <w:rPr>
          <w:rFonts w:ascii="Times New Roman" w:hAnsi="Times New Roman" w:cs="Times New Roman"/>
          <w:sz w:val="24"/>
          <w:szCs w:val="24"/>
        </w:rPr>
      </w:pPr>
    </w:p>
    <w:p w14:paraId="2DAF4044" w14:textId="4910FF8B"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 Methodology</w:t>
      </w:r>
    </w:p>
    <w:p w14:paraId="374139D6" w14:textId="22045F12"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.1 Research Design</w:t>
      </w:r>
    </w:p>
    <w:p w14:paraId="5C548502" w14:textId="7DD5C366" w:rsidR="002F4964" w:rsidRPr="002F4964" w:rsidRDefault="00127736" w:rsidP="002F4964">
      <w:pPr>
        <w:jc w:val="both"/>
        <w:rPr>
          <w:rFonts w:ascii="Times New Roman" w:hAnsi="Times New Roman" w:cs="Times New Roman"/>
          <w:sz w:val="24"/>
          <w:szCs w:val="24"/>
        </w:rPr>
      </w:pPr>
      <w:r w:rsidRPr="00127736">
        <w:rPr>
          <w:rFonts w:ascii="Times New Roman" w:hAnsi="Times New Roman" w:cs="Times New Roman"/>
          <w:sz w:val="24"/>
          <w:szCs w:val="24"/>
          <w:highlight w:val="yellow"/>
        </w:rPr>
        <w:t xml:space="preserve">This study used a research and development (R&amp;D) design adopting the 4D model (Define–Design–Develop–Disseminate) to produce and evaluate a macro-learning instructional model </w:t>
      </w:r>
      <w:r w:rsidRPr="00127736">
        <w:rPr>
          <w:rFonts w:ascii="Times New Roman" w:hAnsi="Times New Roman" w:cs="Times New Roman"/>
          <w:sz w:val="24"/>
          <w:szCs w:val="24"/>
          <w:highlight w:val="yellow"/>
        </w:rPr>
        <w:lastRenderedPageBreak/>
        <w:t>supported by tutorial videos for SPA Oukup Karo training. Evaluation combined expert validation, staged field trials (small-scale, expanded, and operational), and a quasi-experimental effectiveness test using pre- and post-assessments</w:t>
      </w:r>
      <w:r w:rsidR="002F4964" w:rsidRPr="00127736">
        <w:rPr>
          <w:rFonts w:ascii="Times New Roman" w:hAnsi="Times New Roman" w:cs="Times New Roman"/>
          <w:sz w:val="24"/>
          <w:szCs w:val="24"/>
          <w:highlight w:val="yellow"/>
        </w:rPr>
        <w:t>.</w:t>
      </w:r>
    </w:p>
    <w:p w14:paraId="01C76B1A" w14:textId="4A0BFBA0" w:rsidR="002F4964" w:rsidRPr="002F4964" w:rsidRDefault="002F4964" w:rsidP="002F4964">
      <w:pPr>
        <w:jc w:val="both"/>
        <w:rPr>
          <w:rFonts w:ascii="Times New Roman" w:hAnsi="Times New Roman" w:cs="Times New Roman"/>
          <w:sz w:val="24"/>
          <w:szCs w:val="24"/>
        </w:rPr>
      </w:pPr>
    </w:p>
    <w:p w14:paraId="5A647BE4" w14:textId="0CF2E6BE"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.2 Research Site and Participants</w:t>
      </w:r>
    </w:p>
    <w:p w14:paraId="609D3394" w14:textId="77777777" w:rsidR="00127736" w:rsidRPr="00127736" w:rsidRDefault="00127736" w:rsidP="00127736">
      <w:pPr>
        <w:jc w:val="both"/>
        <w:rPr>
          <w:rFonts w:ascii="Times New Roman" w:hAnsi="Times New Roman" w:cs="Times New Roman"/>
          <w:sz w:val="24"/>
          <w:szCs w:val="24"/>
          <w:highlight w:val="yellow"/>
        </w:rPr>
      </w:pPr>
      <w:r w:rsidRPr="00127736">
        <w:rPr>
          <w:rFonts w:ascii="Times New Roman" w:hAnsi="Times New Roman" w:cs="Times New Roman"/>
          <w:sz w:val="24"/>
          <w:szCs w:val="24"/>
          <w:highlight w:val="yellow"/>
        </w:rPr>
        <w:t xml:space="preserve">The study was implemented in a vocational training context at LKP Kurnia Foundation (non-formal training institution). Participants were selected using purposive/convenience sampling based on active </w:t>
      </w:r>
      <w:proofErr w:type="spellStart"/>
      <w:r w:rsidRPr="00127736">
        <w:rPr>
          <w:rFonts w:ascii="Times New Roman" w:hAnsi="Times New Roman" w:cs="Times New Roman"/>
          <w:sz w:val="24"/>
          <w:szCs w:val="24"/>
          <w:highlight w:val="yellow"/>
        </w:rPr>
        <w:t>enrollment</w:t>
      </w:r>
      <w:proofErr w:type="spellEnd"/>
      <w:r w:rsidRPr="00127736">
        <w:rPr>
          <w:rFonts w:ascii="Times New Roman" w:hAnsi="Times New Roman" w:cs="Times New Roman"/>
          <w:sz w:val="24"/>
          <w:szCs w:val="24"/>
          <w:highlight w:val="yellow"/>
        </w:rPr>
        <w:t xml:space="preserve"> in the SPA Oukup Karo training program and willingness to participate. The evaluation involved:</w:t>
      </w:r>
    </w:p>
    <w:p w14:paraId="09D0A8AF" w14:textId="77777777" w:rsidR="00127736" w:rsidRPr="00127736" w:rsidRDefault="00127736" w:rsidP="00127736">
      <w:pPr>
        <w:numPr>
          <w:ilvl w:val="0"/>
          <w:numId w:val="6"/>
        </w:numPr>
        <w:jc w:val="both"/>
        <w:rPr>
          <w:rFonts w:ascii="Times New Roman" w:hAnsi="Times New Roman" w:cs="Times New Roman"/>
          <w:sz w:val="24"/>
          <w:szCs w:val="24"/>
          <w:highlight w:val="yellow"/>
        </w:rPr>
      </w:pPr>
      <w:r w:rsidRPr="00127736">
        <w:rPr>
          <w:rFonts w:ascii="Times New Roman" w:hAnsi="Times New Roman" w:cs="Times New Roman"/>
          <w:b/>
          <w:bCs/>
          <w:sz w:val="24"/>
          <w:szCs w:val="24"/>
          <w:highlight w:val="yellow"/>
        </w:rPr>
        <w:t>Expert validators (n = 3)</w:t>
      </w:r>
      <w:r w:rsidRPr="00127736">
        <w:rPr>
          <w:rFonts w:ascii="Times New Roman" w:hAnsi="Times New Roman" w:cs="Times New Roman"/>
          <w:sz w:val="24"/>
          <w:szCs w:val="24"/>
          <w:highlight w:val="yellow"/>
        </w:rPr>
        <w:t>: one content expert (SPA/Oukup competency), one language expert, and one media/learning-material expert.</w:t>
      </w:r>
    </w:p>
    <w:p w14:paraId="24E3F4FA" w14:textId="77777777" w:rsidR="00127736" w:rsidRPr="00127736" w:rsidRDefault="00127736" w:rsidP="00127736">
      <w:pPr>
        <w:numPr>
          <w:ilvl w:val="0"/>
          <w:numId w:val="6"/>
        </w:numPr>
        <w:jc w:val="both"/>
        <w:rPr>
          <w:rFonts w:ascii="Times New Roman" w:hAnsi="Times New Roman" w:cs="Times New Roman"/>
          <w:sz w:val="24"/>
          <w:szCs w:val="24"/>
          <w:highlight w:val="yellow"/>
        </w:rPr>
      </w:pPr>
      <w:r w:rsidRPr="00127736">
        <w:rPr>
          <w:rFonts w:ascii="Times New Roman" w:hAnsi="Times New Roman" w:cs="Times New Roman"/>
          <w:b/>
          <w:bCs/>
          <w:sz w:val="24"/>
          <w:szCs w:val="24"/>
          <w:highlight w:val="yellow"/>
        </w:rPr>
        <w:t>Small-scale trial trainees (n = 20)</w:t>
      </w:r>
      <w:r w:rsidRPr="00127736">
        <w:rPr>
          <w:rFonts w:ascii="Times New Roman" w:hAnsi="Times New Roman" w:cs="Times New Roman"/>
          <w:sz w:val="24"/>
          <w:szCs w:val="24"/>
          <w:highlight w:val="yellow"/>
        </w:rPr>
        <w:t>: active trainees who used the video and module to provide practicality feedback and support revisions.</w:t>
      </w:r>
    </w:p>
    <w:p w14:paraId="5839E586" w14:textId="77777777" w:rsidR="00127736" w:rsidRPr="00127736" w:rsidRDefault="00127736" w:rsidP="00127736">
      <w:pPr>
        <w:numPr>
          <w:ilvl w:val="0"/>
          <w:numId w:val="6"/>
        </w:numPr>
        <w:jc w:val="both"/>
        <w:rPr>
          <w:rFonts w:ascii="Times New Roman" w:hAnsi="Times New Roman" w:cs="Times New Roman"/>
          <w:sz w:val="24"/>
          <w:szCs w:val="24"/>
          <w:highlight w:val="yellow"/>
        </w:rPr>
      </w:pPr>
      <w:r w:rsidRPr="00127736">
        <w:rPr>
          <w:rFonts w:ascii="Times New Roman" w:hAnsi="Times New Roman" w:cs="Times New Roman"/>
          <w:b/>
          <w:bCs/>
          <w:sz w:val="24"/>
          <w:szCs w:val="24"/>
          <w:highlight w:val="yellow"/>
        </w:rPr>
        <w:t>Expanded field trial trainees (n = 30)</w:t>
      </w:r>
      <w:r w:rsidRPr="00127736">
        <w:rPr>
          <w:rFonts w:ascii="Times New Roman" w:hAnsi="Times New Roman" w:cs="Times New Roman"/>
          <w:sz w:val="24"/>
          <w:szCs w:val="24"/>
          <w:highlight w:val="yellow"/>
        </w:rPr>
        <w:t>: trainees were assigned by intact class grouping into an experimental group (video-based macro-learning, n = 15) and a control group (conventional method, n = 15).</w:t>
      </w:r>
    </w:p>
    <w:p w14:paraId="5BF1C38E" w14:textId="652A35BC" w:rsidR="002F4964" w:rsidRPr="00127736" w:rsidRDefault="00127736" w:rsidP="002F4964">
      <w:pPr>
        <w:numPr>
          <w:ilvl w:val="0"/>
          <w:numId w:val="6"/>
        </w:numPr>
        <w:jc w:val="both"/>
        <w:rPr>
          <w:rFonts w:ascii="Times New Roman" w:hAnsi="Times New Roman" w:cs="Times New Roman"/>
          <w:sz w:val="24"/>
          <w:szCs w:val="24"/>
          <w:highlight w:val="yellow"/>
        </w:rPr>
      </w:pPr>
      <w:r w:rsidRPr="00127736">
        <w:rPr>
          <w:rFonts w:ascii="Times New Roman" w:hAnsi="Times New Roman" w:cs="Times New Roman"/>
          <w:b/>
          <w:bCs/>
          <w:sz w:val="24"/>
          <w:szCs w:val="24"/>
          <w:highlight w:val="yellow"/>
        </w:rPr>
        <w:t>Operational field trial trainees (n = 60)</w:t>
      </w:r>
      <w:r w:rsidRPr="00127736">
        <w:rPr>
          <w:rFonts w:ascii="Times New Roman" w:hAnsi="Times New Roman" w:cs="Times New Roman"/>
          <w:sz w:val="24"/>
          <w:szCs w:val="24"/>
          <w:highlight w:val="yellow"/>
        </w:rPr>
        <w:t>: implemented at program scale across two cohorts to evaluate real-class implementation and scalability</w:t>
      </w:r>
      <w:r w:rsidR="002F4964" w:rsidRPr="00127736">
        <w:rPr>
          <w:rFonts w:ascii="Times New Roman" w:hAnsi="Times New Roman" w:cs="Times New Roman"/>
          <w:sz w:val="24"/>
          <w:szCs w:val="24"/>
          <w:highlight w:val="yellow"/>
        </w:rPr>
        <w:t>.</w:t>
      </w:r>
    </w:p>
    <w:p w14:paraId="31970641" w14:textId="48C10357" w:rsidR="002F4964" w:rsidRPr="002F4964" w:rsidRDefault="002F4964" w:rsidP="002F4964">
      <w:pPr>
        <w:jc w:val="both"/>
        <w:rPr>
          <w:rFonts w:ascii="Times New Roman" w:hAnsi="Times New Roman" w:cs="Times New Roman"/>
          <w:sz w:val="24"/>
          <w:szCs w:val="24"/>
        </w:rPr>
      </w:pPr>
    </w:p>
    <w:p w14:paraId="09D7BD5D" w14:textId="31A82991"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.3 Development Procedure (4D Model)</w:t>
      </w:r>
    </w:p>
    <w:p w14:paraId="6B249E2D" w14:textId="77777777" w:rsidR="0086781A" w:rsidRDefault="0086781A" w:rsidP="0086781A">
      <w:pPr>
        <w:jc w:val="both"/>
        <w:rPr>
          <w:rFonts w:ascii="Times New Roman" w:hAnsi="Times New Roman" w:cs="Times New Roman"/>
          <w:sz w:val="24"/>
          <w:szCs w:val="24"/>
        </w:rPr>
      </w:pPr>
      <w:r w:rsidRPr="0086781A">
        <w:rPr>
          <w:rFonts w:ascii="Times New Roman" w:hAnsi="Times New Roman" w:cs="Times New Roman"/>
          <w:b/>
          <w:bCs/>
          <w:sz w:val="24"/>
          <w:szCs w:val="24"/>
        </w:rPr>
        <w:t>Define:</w:t>
      </w:r>
      <w:r w:rsidRPr="0086781A">
        <w:rPr>
          <w:rFonts w:ascii="Times New Roman" w:hAnsi="Times New Roman" w:cs="Times New Roman"/>
          <w:sz w:val="24"/>
          <w:szCs w:val="24"/>
        </w:rPr>
        <w:t xml:space="preserve"> needs analysis, competency mapping to SKKNI-based training outcomes, and identification of key learning problems (time limits for repeated demonstrations; inconsistent procedural mastery).</w:t>
      </w:r>
    </w:p>
    <w:p w14:paraId="0988781C" w14:textId="77777777" w:rsidR="0086781A" w:rsidRDefault="0086781A" w:rsidP="0086781A">
      <w:pPr>
        <w:jc w:val="both"/>
        <w:rPr>
          <w:rFonts w:ascii="Times New Roman" w:hAnsi="Times New Roman" w:cs="Times New Roman"/>
          <w:sz w:val="24"/>
          <w:szCs w:val="24"/>
        </w:rPr>
      </w:pPr>
      <w:r w:rsidRPr="0086781A">
        <w:rPr>
          <w:rFonts w:ascii="Times New Roman" w:hAnsi="Times New Roman" w:cs="Times New Roman"/>
          <w:b/>
          <w:bCs/>
          <w:sz w:val="24"/>
          <w:szCs w:val="24"/>
        </w:rPr>
        <w:t>Design:</w:t>
      </w:r>
      <w:r w:rsidRPr="0086781A">
        <w:rPr>
          <w:rFonts w:ascii="Times New Roman" w:hAnsi="Times New Roman" w:cs="Times New Roman"/>
          <w:sz w:val="24"/>
          <w:szCs w:val="24"/>
        </w:rPr>
        <w:t xml:space="preserve"> creation of macro-learning sequence from cultural foundations to procedural mastery and professional readiness; scriptwriting and storyboard development; assessment blueprint for cognitive and psychomotor outcomes.</w:t>
      </w:r>
    </w:p>
    <w:p w14:paraId="46868240" w14:textId="77777777" w:rsidR="0086781A" w:rsidRDefault="0086781A" w:rsidP="0086781A">
      <w:pPr>
        <w:jc w:val="both"/>
        <w:rPr>
          <w:rFonts w:ascii="Times New Roman" w:hAnsi="Times New Roman" w:cs="Times New Roman"/>
          <w:sz w:val="24"/>
          <w:szCs w:val="24"/>
        </w:rPr>
      </w:pPr>
      <w:r w:rsidRPr="0086781A">
        <w:rPr>
          <w:rFonts w:ascii="Times New Roman" w:hAnsi="Times New Roman" w:cs="Times New Roman"/>
          <w:b/>
          <w:bCs/>
          <w:sz w:val="24"/>
          <w:szCs w:val="24"/>
        </w:rPr>
        <w:t>Develop:</w:t>
      </w:r>
      <w:r w:rsidRPr="0086781A">
        <w:rPr>
          <w:rFonts w:ascii="Times New Roman" w:hAnsi="Times New Roman" w:cs="Times New Roman"/>
          <w:sz w:val="24"/>
          <w:szCs w:val="24"/>
        </w:rPr>
        <w:t xml:space="preserve"> production of tutorial videos (demonstration, narration, subtitles), module and guidebook preparation, expert validation, and revisions.</w:t>
      </w:r>
    </w:p>
    <w:p w14:paraId="61FAF7F7" w14:textId="352AD051" w:rsidR="002F4964" w:rsidRPr="0086781A" w:rsidRDefault="0086781A" w:rsidP="0086781A">
      <w:pPr>
        <w:jc w:val="both"/>
        <w:rPr>
          <w:rFonts w:ascii="Times New Roman" w:hAnsi="Times New Roman" w:cs="Times New Roman"/>
          <w:sz w:val="24"/>
          <w:szCs w:val="24"/>
        </w:rPr>
      </w:pPr>
      <w:r w:rsidRPr="0086781A">
        <w:rPr>
          <w:rFonts w:ascii="Times New Roman" w:hAnsi="Times New Roman" w:cs="Times New Roman"/>
          <w:sz w:val="24"/>
          <w:szCs w:val="24"/>
        </w:rPr>
        <w:br/>
      </w:r>
      <w:r w:rsidRPr="0086781A">
        <w:rPr>
          <w:rFonts w:ascii="Times New Roman" w:hAnsi="Times New Roman" w:cs="Times New Roman"/>
          <w:b/>
          <w:bCs/>
          <w:sz w:val="24"/>
          <w:szCs w:val="24"/>
        </w:rPr>
        <w:t>Disseminate:</w:t>
      </w:r>
      <w:r w:rsidRPr="0086781A">
        <w:rPr>
          <w:rFonts w:ascii="Times New Roman" w:hAnsi="Times New Roman" w:cs="Times New Roman"/>
          <w:sz w:val="24"/>
          <w:szCs w:val="24"/>
        </w:rPr>
        <w:t xml:space="preserve"> broader implementation through blended delivery (guided face-to-face sessions + asynchronous video access + supervised lab practice) and collection of implementation feedback.</w:t>
      </w:r>
    </w:p>
    <w:p w14:paraId="6690FB60" w14:textId="2FA9EEC2" w:rsidR="002F4964" w:rsidRDefault="002F4964" w:rsidP="002F4964">
      <w:pPr>
        <w:jc w:val="both"/>
        <w:rPr>
          <w:rFonts w:ascii="Times New Roman" w:hAnsi="Times New Roman" w:cs="Times New Roman"/>
          <w:sz w:val="24"/>
          <w:szCs w:val="24"/>
        </w:rPr>
      </w:pPr>
    </w:p>
    <w:p w14:paraId="7311DD56" w14:textId="77777777" w:rsidR="0086781A" w:rsidRDefault="0086781A" w:rsidP="002F4964">
      <w:pPr>
        <w:jc w:val="both"/>
        <w:rPr>
          <w:rFonts w:ascii="Times New Roman" w:hAnsi="Times New Roman" w:cs="Times New Roman"/>
          <w:sz w:val="24"/>
          <w:szCs w:val="24"/>
        </w:rPr>
      </w:pPr>
    </w:p>
    <w:p w14:paraId="3328540C" w14:textId="77777777" w:rsidR="0086781A" w:rsidRDefault="0086781A" w:rsidP="002F4964">
      <w:pPr>
        <w:jc w:val="both"/>
        <w:rPr>
          <w:rFonts w:ascii="Times New Roman" w:hAnsi="Times New Roman" w:cs="Times New Roman"/>
          <w:sz w:val="24"/>
          <w:szCs w:val="24"/>
        </w:rPr>
      </w:pPr>
    </w:p>
    <w:p w14:paraId="376E2713" w14:textId="77777777" w:rsidR="0086781A" w:rsidRDefault="0086781A" w:rsidP="002F4964">
      <w:pPr>
        <w:jc w:val="both"/>
        <w:rPr>
          <w:rFonts w:ascii="Times New Roman" w:hAnsi="Times New Roman" w:cs="Times New Roman"/>
          <w:sz w:val="24"/>
          <w:szCs w:val="24"/>
        </w:rPr>
      </w:pPr>
    </w:p>
    <w:p w14:paraId="31C7DF47" w14:textId="77777777" w:rsidR="0086781A" w:rsidRPr="002F4964" w:rsidRDefault="0086781A" w:rsidP="002F4964">
      <w:pPr>
        <w:jc w:val="both"/>
        <w:rPr>
          <w:rFonts w:ascii="Times New Roman" w:hAnsi="Times New Roman" w:cs="Times New Roman"/>
          <w:sz w:val="24"/>
          <w:szCs w:val="24"/>
        </w:rPr>
      </w:pPr>
    </w:p>
    <w:p w14:paraId="6308857D" w14:textId="4EB13FC5"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2F4964" w:rsidRPr="002F4964">
        <w:rPr>
          <w:rFonts w:ascii="Times New Roman" w:hAnsi="Times New Roman" w:cs="Times New Roman"/>
          <w:b/>
          <w:bCs/>
          <w:sz w:val="24"/>
          <w:szCs w:val="24"/>
        </w:rPr>
        <w:t>.4 Instruments</w:t>
      </w:r>
    </w:p>
    <w:p w14:paraId="27337809" w14:textId="77777777" w:rsidR="0086781A" w:rsidRPr="0086781A" w:rsidRDefault="0086781A" w:rsidP="0086781A">
      <w:pPr>
        <w:jc w:val="both"/>
        <w:rPr>
          <w:rFonts w:ascii="Times New Roman" w:hAnsi="Times New Roman" w:cs="Times New Roman"/>
          <w:sz w:val="24"/>
          <w:szCs w:val="24"/>
          <w:highlight w:val="yellow"/>
        </w:rPr>
      </w:pPr>
      <w:r w:rsidRPr="0086781A">
        <w:rPr>
          <w:rFonts w:ascii="Times New Roman" w:hAnsi="Times New Roman" w:cs="Times New Roman"/>
          <w:sz w:val="24"/>
          <w:szCs w:val="24"/>
          <w:highlight w:val="yellow"/>
        </w:rPr>
        <w:t>Four instruments were used:</w:t>
      </w:r>
    </w:p>
    <w:p w14:paraId="7C90B97F" w14:textId="77777777" w:rsidR="0086781A" w:rsidRPr="0086781A" w:rsidRDefault="0086781A" w:rsidP="0086781A">
      <w:pPr>
        <w:numPr>
          <w:ilvl w:val="0"/>
          <w:numId w:val="7"/>
        </w:numPr>
        <w:jc w:val="both"/>
        <w:rPr>
          <w:rFonts w:ascii="Times New Roman" w:hAnsi="Times New Roman" w:cs="Times New Roman"/>
          <w:sz w:val="24"/>
          <w:szCs w:val="24"/>
          <w:highlight w:val="yellow"/>
        </w:rPr>
      </w:pPr>
      <w:r w:rsidRPr="0086781A">
        <w:rPr>
          <w:rFonts w:ascii="Times New Roman" w:hAnsi="Times New Roman" w:cs="Times New Roman"/>
          <w:b/>
          <w:bCs/>
          <w:sz w:val="24"/>
          <w:szCs w:val="24"/>
          <w:highlight w:val="yellow"/>
        </w:rPr>
        <w:t>Expert validation sheets</w:t>
      </w:r>
      <w:r w:rsidRPr="0086781A">
        <w:rPr>
          <w:rFonts w:ascii="Times New Roman" w:hAnsi="Times New Roman" w:cs="Times New Roman"/>
          <w:sz w:val="24"/>
          <w:szCs w:val="24"/>
          <w:highlight w:val="yellow"/>
        </w:rPr>
        <w:t xml:space="preserve"> (1–5 scale) covering alignment with competencies, clarity, cultural representation, audio-visual quality, and instructional structure.</w:t>
      </w:r>
    </w:p>
    <w:p w14:paraId="5729413C" w14:textId="77777777" w:rsidR="0086781A" w:rsidRPr="0086781A" w:rsidRDefault="0086781A" w:rsidP="0086781A">
      <w:pPr>
        <w:numPr>
          <w:ilvl w:val="0"/>
          <w:numId w:val="7"/>
        </w:numPr>
        <w:jc w:val="both"/>
        <w:rPr>
          <w:rFonts w:ascii="Times New Roman" w:hAnsi="Times New Roman" w:cs="Times New Roman"/>
          <w:sz w:val="24"/>
          <w:szCs w:val="24"/>
          <w:highlight w:val="yellow"/>
        </w:rPr>
      </w:pPr>
      <w:r w:rsidRPr="0086781A">
        <w:rPr>
          <w:rFonts w:ascii="Times New Roman" w:hAnsi="Times New Roman" w:cs="Times New Roman"/>
          <w:b/>
          <w:bCs/>
          <w:sz w:val="24"/>
          <w:szCs w:val="24"/>
          <w:highlight w:val="yellow"/>
        </w:rPr>
        <w:t>Knowledge test (pre-test/post-test)</w:t>
      </w:r>
      <w:r w:rsidRPr="0086781A">
        <w:rPr>
          <w:rFonts w:ascii="Times New Roman" w:hAnsi="Times New Roman" w:cs="Times New Roman"/>
          <w:sz w:val="24"/>
          <w:szCs w:val="24"/>
          <w:highlight w:val="yellow"/>
        </w:rPr>
        <w:t xml:space="preserve"> scored 0–100 to measure cognitive mastery of procedures, safety, and sequencing. Test content was reviewed during expert validation to ensure content validity and alignment with learning indicators.</w:t>
      </w:r>
    </w:p>
    <w:p w14:paraId="64B87DA0" w14:textId="77777777" w:rsidR="0086781A" w:rsidRPr="0086781A" w:rsidRDefault="0086781A" w:rsidP="0086781A">
      <w:pPr>
        <w:numPr>
          <w:ilvl w:val="0"/>
          <w:numId w:val="7"/>
        </w:numPr>
        <w:jc w:val="both"/>
        <w:rPr>
          <w:rFonts w:ascii="Times New Roman" w:hAnsi="Times New Roman" w:cs="Times New Roman"/>
          <w:sz w:val="24"/>
          <w:szCs w:val="24"/>
          <w:highlight w:val="yellow"/>
        </w:rPr>
      </w:pPr>
      <w:r w:rsidRPr="0086781A">
        <w:rPr>
          <w:rFonts w:ascii="Times New Roman" w:hAnsi="Times New Roman" w:cs="Times New Roman"/>
          <w:b/>
          <w:bCs/>
          <w:sz w:val="24"/>
          <w:szCs w:val="24"/>
          <w:highlight w:val="yellow"/>
        </w:rPr>
        <w:t>Practical skills rubric</w:t>
      </w:r>
      <w:r w:rsidRPr="0086781A">
        <w:rPr>
          <w:rFonts w:ascii="Times New Roman" w:hAnsi="Times New Roman" w:cs="Times New Roman"/>
          <w:sz w:val="24"/>
          <w:szCs w:val="24"/>
          <w:highlight w:val="yellow"/>
        </w:rPr>
        <w:t xml:space="preserve"> (1–5 scale) assessing step accuracy, hygiene/safety, herbal preparation, treatment flow, and client handling.</w:t>
      </w:r>
    </w:p>
    <w:p w14:paraId="14B8535F" w14:textId="77777777" w:rsidR="0086781A" w:rsidRPr="0086781A" w:rsidRDefault="0086781A" w:rsidP="0086781A">
      <w:pPr>
        <w:numPr>
          <w:ilvl w:val="0"/>
          <w:numId w:val="7"/>
        </w:numPr>
        <w:jc w:val="both"/>
        <w:rPr>
          <w:rFonts w:ascii="Times New Roman" w:hAnsi="Times New Roman" w:cs="Times New Roman"/>
          <w:sz w:val="24"/>
          <w:szCs w:val="24"/>
          <w:highlight w:val="yellow"/>
        </w:rPr>
      </w:pPr>
      <w:r w:rsidRPr="0086781A">
        <w:rPr>
          <w:rFonts w:ascii="Times New Roman" w:hAnsi="Times New Roman" w:cs="Times New Roman"/>
          <w:b/>
          <w:bCs/>
          <w:sz w:val="24"/>
          <w:szCs w:val="24"/>
          <w:highlight w:val="yellow"/>
        </w:rPr>
        <w:t>Participant feedback questionnaire</w:t>
      </w:r>
      <w:r w:rsidRPr="0086781A">
        <w:rPr>
          <w:rFonts w:ascii="Times New Roman" w:hAnsi="Times New Roman" w:cs="Times New Roman"/>
          <w:sz w:val="24"/>
          <w:szCs w:val="24"/>
          <w:highlight w:val="yellow"/>
        </w:rPr>
        <w:t xml:space="preserve"> (1–5 scale) measuring perceived usability, motivation, satisfaction, and relevance.</w:t>
      </w:r>
    </w:p>
    <w:p w14:paraId="4185C1B4" w14:textId="28229A6A" w:rsidR="002F4964" w:rsidRPr="002F4964" w:rsidRDefault="0086781A" w:rsidP="002F4964">
      <w:pPr>
        <w:jc w:val="both"/>
        <w:rPr>
          <w:rFonts w:ascii="Times New Roman" w:hAnsi="Times New Roman" w:cs="Times New Roman"/>
          <w:sz w:val="24"/>
          <w:szCs w:val="24"/>
        </w:rPr>
      </w:pPr>
      <w:r w:rsidRPr="0086781A">
        <w:rPr>
          <w:rFonts w:ascii="Times New Roman" w:hAnsi="Times New Roman" w:cs="Times New Roman"/>
          <w:sz w:val="24"/>
          <w:szCs w:val="24"/>
          <w:highlight w:val="yellow"/>
        </w:rPr>
        <w:t xml:space="preserve">To enhance measurement consistency, the practical rubric was standardized and used consistently across trial stages; scoring guidelines were shared with instructors prior to </w:t>
      </w:r>
      <w:proofErr w:type="spellStart"/>
      <w:r w:rsidRPr="0086781A">
        <w:rPr>
          <w:rFonts w:ascii="Times New Roman" w:hAnsi="Times New Roman" w:cs="Times New Roman"/>
          <w:sz w:val="24"/>
          <w:szCs w:val="24"/>
          <w:highlight w:val="yellow"/>
        </w:rPr>
        <w:t>assessmen</w:t>
      </w:r>
      <w:proofErr w:type="spellEnd"/>
    </w:p>
    <w:p w14:paraId="4364DB2D" w14:textId="29DFC594" w:rsidR="002F4964" w:rsidRPr="002F4964" w:rsidRDefault="00E44167" w:rsidP="002F4964">
      <w:pPr>
        <w:jc w:val="both"/>
        <w:rPr>
          <w:rFonts w:ascii="Times New Roman" w:hAnsi="Times New Roman" w:cs="Times New Roman"/>
          <w:b/>
          <w:bCs/>
          <w:sz w:val="24"/>
          <w:szCs w:val="24"/>
        </w:rPr>
      </w:pPr>
      <w:r>
        <w:rPr>
          <w:rFonts w:ascii="Times New Roman" w:hAnsi="Times New Roman" w:cs="Times New Roman"/>
          <w:b/>
          <w:bCs/>
          <w:sz w:val="24"/>
          <w:szCs w:val="24"/>
        </w:rPr>
        <w:t>2</w:t>
      </w:r>
      <w:r w:rsidR="002F4964" w:rsidRPr="002F4964">
        <w:rPr>
          <w:rFonts w:ascii="Times New Roman" w:hAnsi="Times New Roman" w:cs="Times New Roman"/>
          <w:b/>
          <w:bCs/>
          <w:sz w:val="24"/>
          <w:szCs w:val="24"/>
        </w:rPr>
        <w:t>.</w:t>
      </w:r>
      <w:r w:rsidR="0086781A">
        <w:rPr>
          <w:rFonts w:ascii="Times New Roman" w:hAnsi="Times New Roman" w:cs="Times New Roman"/>
          <w:b/>
          <w:bCs/>
          <w:sz w:val="24"/>
          <w:szCs w:val="24"/>
        </w:rPr>
        <w:t>5</w:t>
      </w:r>
      <w:r w:rsidR="002F4964" w:rsidRPr="002F4964">
        <w:rPr>
          <w:rFonts w:ascii="Times New Roman" w:hAnsi="Times New Roman" w:cs="Times New Roman"/>
          <w:b/>
          <w:bCs/>
          <w:sz w:val="24"/>
          <w:szCs w:val="24"/>
        </w:rPr>
        <w:t xml:space="preserve"> Data Analysis</w:t>
      </w:r>
    </w:p>
    <w:p w14:paraId="0F393474" w14:textId="038BA0C5" w:rsidR="002F4964" w:rsidRPr="0086781A" w:rsidRDefault="0086781A" w:rsidP="002F4964">
      <w:pPr>
        <w:jc w:val="both"/>
        <w:rPr>
          <w:rFonts w:ascii="Times New Roman" w:hAnsi="Times New Roman" w:cs="Times New Roman"/>
          <w:sz w:val="24"/>
          <w:szCs w:val="24"/>
        </w:rPr>
      </w:pPr>
      <w:r w:rsidRPr="0086781A">
        <w:rPr>
          <w:rFonts w:ascii="Times New Roman" w:hAnsi="Times New Roman" w:cs="Times New Roman"/>
          <w:sz w:val="24"/>
          <w:szCs w:val="24"/>
          <w:highlight w:val="yellow"/>
        </w:rPr>
        <w:t>Descriptive statistics (means, percentages, gain scores) summarized feasibility, practicality, and learning outcomes. Effectiveness was tested using an independent samples t-test comparing experimental and control groups on post-test scores after confirming assumptions through Kolmogorov–Smirnov normality tests and Levene’s homogeneity tests. A significance level of 0.05 was applied</w:t>
      </w:r>
      <w:r w:rsidR="002F4964" w:rsidRPr="0086781A">
        <w:rPr>
          <w:rFonts w:ascii="Times New Roman" w:hAnsi="Times New Roman" w:cs="Times New Roman"/>
          <w:sz w:val="24"/>
          <w:szCs w:val="24"/>
          <w:highlight w:val="yellow"/>
        </w:rPr>
        <w:t>.</w:t>
      </w:r>
    </w:p>
    <w:p w14:paraId="515F81D6" w14:textId="77777777" w:rsidR="00A425A0" w:rsidRDefault="00A425A0" w:rsidP="00A425A0">
      <w:pPr>
        <w:jc w:val="both"/>
        <w:rPr>
          <w:rFonts w:ascii="Times New Roman" w:hAnsi="Times New Roman" w:cs="Times New Roman"/>
          <w:sz w:val="24"/>
          <w:szCs w:val="24"/>
        </w:rPr>
      </w:pPr>
    </w:p>
    <w:p w14:paraId="3912E88F"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 Results and Discussion</w:t>
      </w:r>
    </w:p>
    <w:p w14:paraId="25708779"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This section presents the empirical results of the research and discusses how the macro-learning SPA Oukup Karo model based on tutorial media responds to the needs of training institutions and learners. The findings are organized into four main aspects: (1) needs analysis and initial conditions of SPA Oukup training; (2) the structure of the developed macro-learning model; (3) validity and practicality of the tutorial-based learning media; and (4) effectiveness of the model in improving learning outcomes and professional competencies. The integration of results and discussion follows the logic of research and development (R&amp;D) studies that progressively refine instructional products through iterative testing.</w:t>
      </w:r>
    </w:p>
    <w:p w14:paraId="6909F868" w14:textId="3328644A" w:rsidR="00C51225" w:rsidRPr="00C51225" w:rsidRDefault="00C51225" w:rsidP="00C51225">
      <w:pPr>
        <w:jc w:val="both"/>
        <w:rPr>
          <w:rFonts w:ascii="Times New Roman" w:hAnsi="Times New Roman" w:cs="Times New Roman"/>
          <w:sz w:val="24"/>
          <w:szCs w:val="24"/>
        </w:rPr>
      </w:pPr>
    </w:p>
    <w:p w14:paraId="3E8BAA9D"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3.1 Needs Analysis and Initial Conditions</w:t>
      </w:r>
    </w:p>
    <w:p w14:paraId="0F1D140B"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needs analysis revealed that existing SPA Oukup training in the sampled training institutions was fragmented, heavily dependent on instructor demonstration, and rarely supported by structured learning media. Trainees reported difficulties in remembering step-by-step procedures, especially for complex sequences such as herbal preparation, temperature control, and client safety procedures during steaming sessions. Instructors also acknowledged that time limitations often forced them to compress demonstrations, making it harder for participants to internalize the holistic logic of Oukup treatment. These conditions are consistent </w:t>
      </w:r>
      <w:r w:rsidRPr="00C51225">
        <w:rPr>
          <w:rFonts w:ascii="Times New Roman" w:hAnsi="Times New Roman" w:cs="Times New Roman"/>
          <w:sz w:val="24"/>
          <w:szCs w:val="24"/>
        </w:rPr>
        <w:lastRenderedPageBreak/>
        <w:t>with previous findings that vocational training in beauty and wellness frequently lacks systematic learning scaffolds and tends to prioritize practice over conceptual understanding. (</w:t>
      </w:r>
      <w:proofErr w:type="spellStart"/>
      <w:r w:rsidRPr="00C51225">
        <w:rPr>
          <w:rFonts w:ascii="Times New Roman" w:hAnsi="Times New Roman" w:cs="Times New Roman"/>
          <w:sz w:val="24"/>
          <w:szCs w:val="24"/>
        </w:rPr>
        <w:t>Maryani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Sumarto</w:t>
      </w:r>
      <w:proofErr w:type="spellEnd"/>
      <w:r w:rsidRPr="00C51225">
        <w:rPr>
          <w:rFonts w:ascii="Times New Roman" w:hAnsi="Times New Roman" w:cs="Times New Roman"/>
          <w:sz w:val="24"/>
          <w:szCs w:val="24"/>
        </w:rPr>
        <w:t>, 2022)</w:t>
      </w:r>
    </w:p>
    <w:p w14:paraId="699696A7"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Needs analysis data also indicated that most trainees came from diverse educational backgrounds and had varying levels of prior experience in spa or traditional massage. This heterogeneity demanded a model that could accommodate beginners while still being meaningful for more experienced participants. Both trainees and instructors expressed the need for reusable tutorial media that trainees could revisit outside of in-class practice, particularly in video form, to rehearse complex procedures at their own pace. Similar demands for flexible and multimedia-based support have been reported in other vocational and competency-based programs, where video tutorials enhance retention of procedural knowledge and skills. (</w:t>
      </w:r>
      <w:proofErr w:type="spellStart"/>
      <w:r w:rsidRPr="00C51225">
        <w:rPr>
          <w:rFonts w:ascii="Times New Roman" w:hAnsi="Times New Roman" w:cs="Times New Roman"/>
          <w:sz w:val="24"/>
          <w:szCs w:val="24"/>
        </w:rPr>
        <w:t>Lutfiati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Megasari</w:t>
      </w:r>
      <w:proofErr w:type="spellEnd"/>
      <w:r w:rsidRPr="00C51225">
        <w:rPr>
          <w:rFonts w:ascii="Times New Roman" w:hAnsi="Times New Roman" w:cs="Times New Roman"/>
          <w:sz w:val="24"/>
          <w:szCs w:val="24"/>
        </w:rPr>
        <w:t>, 2023)</w:t>
      </w:r>
    </w:p>
    <w:p w14:paraId="511E6866" w14:textId="2F9C3CEF" w:rsidR="00C51225" w:rsidRPr="00C51225" w:rsidRDefault="00C51225" w:rsidP="00C51225">
      <w:pPr>
        <w:jc w:val="both"/>
        <w:rPr>
          <w:rFonts w:ascii="Times New Roman" w:hAnsi="Times New Roman" w:cs="Times New Roman"/>
          <w:sz w:val="24"/>
          <w:szCs w:val="24"/>
        </w:rPr>
      </w:pPr>
    </w:p>
    <w:p w14:paraId="1697E1D5"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3.2 Structure of the Macro-Learning SPA Oukup Karo Model</w:t>
      </w:r>
    </w:p>
    <w:p w14:paraId="5BBF5483"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development stage produced a </w:t>
      </w:r>
      <w:r w:rsidRPr="00C51225">
        <w:rPr>
          <w:rFonts w:ascii="Times New Roman" w:hAnsi="Times New Roman" w:cs="Times New Roman"/>
          <w:b/>
          <w:bCs/>
          <w:sz w:val="24"/>
          <w:szCs w:val="24"/>
        </w:rPr>
        <w:t>macro-learning model</w:t>
      </w:r>
      <w:r w:rsidRPr="00C51225">
        <w:rPr>
          <w:rFonts w:ascii="Times New Roman" w:hAnsi="Times New Roman" w:cs="Times New Roman"/>
          <w:sz w:val="24"/>
          <w:szCs w:val="24"/>
        </w:rPr>
        <w:t xml:space="preserve"> that organizes SPA Oukup training into a modular curriculum aligned with competency standards and local cultural values. The final model consists of five core modules and two supporting modules, covering: (1) local culture and Oukup Karo philosophy; (2) traditional Karo massage (</w:t>
      </w:r>
      <w:proofErr w:type="spellStart"/>
      <w:r w:rsidRPr="00C51225">
        <w:rPr>
          <w:rFonts w:ascii="Times New Roman" w:hAnsi="Times New Roman" w:cs="Times New Roman"/>
          <w:sz w:val="24"/>
          <w:szCs w:val="24"/>
        </w:rPr>
        <w:t>kusuk</w:t>
      </w:r>
      <w:proofErr w:type="spellEnd"/>
      <w:r w:rsidRPr="00C51225">
        <w:rPr>
          <w:rFonts w:ascii="Times New Roman" w:hAnsi="Times New Roman" w:cs="Times New Roman"/>
          <w:sz w:val="24"/>
          <w:szCs w:val="24"/>
        </w:rPr>
        <w:t>); (3) traditional body scrub (</w:t>
      </w:r>
      <w:proofErr w:type="spellStart"/>
      <w:r w:rsidRPr="00C51225">
        <w:rPr>
          <w:rFonts w:ascii="Times New Roman" w:hAnsi="Times New Roman" w:cs="Times New Roman"/>
          <w:sz w:val="24"/>
          <w:szCs w:val="24"/>
        </w:rPr>
        <w:t>lulur</w:t>
      </w:r>
      <w:proofErr w:type="spellEnd"/>
      <w:r w:rsidRPr="00C51225">
        <w:rPr>
          <w:rFonts w:ascii="Times New Roman" w:hAnsi="Times New Roman" w:cs="Times New Roman"/>
          <w:sz w:val="24"/>
          <w:szCs w:val="24"/>
        </w:rPr>
        <w:t xml:space="preserve">); (4) </w:t>
      </w:r>
      <w:proofErr w:type="spellStart"/>
      <w:r w:rsidRPr="00C51225">
        <w:rPr>
          <w:rFonts w:ascii="Times New Roman" w:hAnsi="Times New Roman" w:cs="Times New Roman"/>
          <w:sz w:val="24"/>
          <w:szCs w:val="24"/>
        </w:rPr>
        <w:t>Oukup</w:t>
      </w:r>
      <w:proofErr w:type="spellEnd"/>
      <w:r w:rsidRPr="00C51225">
        <w:rPr>
          <w:rFonts w:ascii="Times New Roman" w:hAnsi="Times New Roman" w:cs="Times New Roman"/>
          <w:sz w:val="24"/>
          <w:szCs w:val="24"/>
        </w:rPr>
        <w:t xml:space="preserve"> steaming procedures; (5) reflection on values and professional ethics; plus supporting modules on entrepreneurship and certification portfolio. This modular structure allows instruction to move from foundational cultural understanding to progressively more complex psychomotor skills and professional readiness. The design follows macro-level instructional design principles, where learning is sequenced to ensure cumulative mastery of interrelated competencies. (Branch, 2009)</w:t>
      </w:r>
    </w:p>
    <w:p w14:paraId="5619FEE7"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To support implementation, the model is operationalized through tutorial-based media that visualize each stage of treatment using clear demonstrations, narration, and contextual cues. The macro-learning perspective emphasizes the integration of cognitive (knowing why), psychomotor (knowing how), and affective (valuing local wisdom) domains within a coherent learning pathway, rather than treating each procedure as an isolated skill. This is in line with contemporary approaches to vocational and cultural heritage education, which argue that skills training should be embedded in meaningful professional and cultural narratives rather than reduced to technical routines. (Munir, 2012)</w:t>
      </w:r>
    </w:p>
    <w:p w14:paraId="3E54D18A" w14:textId="5F84B85A" w:rsidR="00C51225" w:rsidRPr="00C51225" w:rsidRDefault="007D432F" w:rsidP="00C51225">
      <w:pPr>
        <w:jc w:val="both"/>
        <w:rPr>
          <w:rFonts w:ascii="Times New Roman" w:hAnsi="Times New Roman" w:cs="Times New Roman"/>
          <w:sz w:val="24"/>
          <w:szCs w:val="24"/>
        </w:rPr>
      </w:pPr>
      <w:r w:rsidRPr="007D432F">
        <w:rPr>
          <w:rFonts w:ascii="Times New Roman" w:hAnsi="Times New Roman" w:cs="Times New Roman"/>
          <w:b/>
          <w:bCs/>
          <w:noProof/>
          <w:sz w:val="24"/>
          <w:szCs w:val="24"/>
        </w:rPr>
        <w:lastRenderedPageBreak/>
        <w:drawing>
          <wp:inline distT="0" distB="0" distL="0" distR="0" wp14:anchorId="3C7CD993" wp14:editId="5F8919C3">
            <wp:extent cx="5731510" cy="3554730"/>
            <wp:effectExtent l="0" t="0" r="2540" b="7620"/>
            <wp:docPr id="133374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46838" name=""/>
                    <pic:cNvPicPr/>
                  </pic:nvPicPr>
                  <pic:blipFill>
                    <a:blip r:embed="rId7"/>
                    <a:stretch>
                      <a:fillRect/>
                    </a:stretch>
                  </pic:blipFill>
                  <pic:spPr>
                    <a:xfrm>
                      <a:off x="0" y="0"/>
                      <a:ext cx="5731510" cy="3554730"/>
                    </a:xfrm>
                    <a:prstGeom prst="rect">
                      <a:avLst/>
                    </a:prstGeom>
                  </pic:spPr>
                </pic:pic>
              </a:graphicData>
            </a:graphic>
          </wp:inline>
        </w:drawing>
      </w:r>
      <w:r w:rsidR="00C51225" w:rsidRPr="00C51225">
        <w:rPr>
          <w:rFonts w:ascii="Times New Roman" w:hAnsi="Times New Roman" w:cs="Times New Roman"/>
          <w:b/>
          <w:bCs/>
          <w:sz w:val="24"/>
          <w:szCs w:val="24"/>
        </w:rPr>
        <w:t xml:space="preserve">Figure </w:t>
      </w:r>
      <w:r w:rsidR="007B4CE1">
        <w:rPr>
          <w:rFonts w:ascii="Times New Roman" w:hAnsi="Times New Roman" w:cs="Times New Roman"/>
          <w:b/>
          <w:bCs/>
          <w:sz w:val="24"/>
          <w:szCs w:val="24"/>
        </w:rPr>
        <w:t>1</w:t>
      </w:r>
      <w:r w:rsidR="00C51225" w:rsidRPr="00C51225">
        <w:rPr>
          <w:rFonts w:ascii="Times New Roman" w:hAnsi="Times New Roman" w:cs="Times New Roman"/>
          <w:b/>
          <w:bCs/>
          <w:sz w:val="24"/>
          <w:szCs w:val="24"/>
        </w:rPr>
        <w:t>. Macro-Learning Tutorial Model for SPA Oukup Karo</w:t>
      </w:r>
      <w:r w:rsidR="00C51225" w:rsidRPr="00C51225">
        <w:rPr>
          <w:rFonts w:ascii="Times New Roman" w:hAnsi="Times New Roman" w:cs="Times New Roman"/>
          <w:sz w:val="24"/>
          <w:szCs w:val="24"/>
        </w:rPr>
        <w:br/>
      </w:r>
    </w:p>
    <w:p w14:paraId="56F76B01" w14:textId="17DA57D5" w:rsidR="00C51225" w:rsidRPr="00C51225" w:rsidRDefault="00C51225" w:rsidP="00C51225">
      <w:pPr>
        <w:jc w:val="both"/>
        <w:rPr>
          <w:rFonts w:ascii="Times New Roman" w:hAnsi="Times New Roman" w:cs="Times New Roman"/>
          <w:sz w:val="24"/>
          <w:szCs w:val="24"/>
        </w:rPr>
      </w:pPr>
    </w:p>
    <w:p w14:paraId="6CD0F754"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3.3 Validity of the Tutorial Media and Learning Materials</w:t>
      </w:r>
    </w:p>
    <w:p w14:paraId="27AD35EC"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Expert validation results show that the tutorial-based media and accompanying learning materials achieved </w:t>
      </w:r>
      <w:r w:rsidRPr="00C51225">
        <w:rPr>
          <w:rFonts w:ascii="Times New Roman" w:hAnsi="Times New Roman" w:cs="Times New Roman"/>
          <w:b/>
          <w:bCs/>
          <w:sz w:val="24"/>
          <w:szCs w:val="24"/>
        </w:rPr>
        <w:t>very good</w:t>
      </w:r>
      <w:r w:rsidRPr="00C51225">
        <w:rPr>
          <w:rFonts w:ascii="Times New Roman" w:hAnsi="Times New Roman" w:cs="Times New Roman"/>
          <w:sz w:val="24"/>
          <w:szCs w:val="24"/>
        </w:rPr>
        <w:t xml:space="preserve"> levels of content and media validity. The </w:t>
      </w:r>
      <w:r w:rsidRPr="00C51225">
        <w:rPr>
          <w:rFonts w:ascii="Times New Roman" w:hAnsi="Times New Roman" w:cs="Times New Roman"/>
          <w:b/>
          <w:bCs/>
          <w:sz w:val="24"/>
          <w:szCs w:val="24"/>
        </w:rPr>
        <w:t>material expert</w:t>
      </w:r>
      <w:r w:rsidRPr="00C51225">
        <w:rPr>
          <w:rFonts w:ascii="Times New Roman" w:hAnsi="Times New Roman" w:cs="Times New Roman"/>
          <w:sz w:val="24"/>
          <w:szCs w:val="24"/>
        </w:rPr>
        <w:t xml:space="preserve"> provided a total score of 46 out of a possible 50 points, corresponding to an average score of </w:t>
      </w:r>
      <w:r w:rsidRPr="00C51225">
        <w:rPr>
          <w:rFonts w:ascii="Times New Roman" w:hAnsi="Times New Roman" w:cs="Times New Roman"/>
          <w:b/>
          <w:bCs/>
          <w:sz w:val="24"/>
          <w:szCs w:val="24"/>
        </w:rPr>
        <w:t>4.6 on a 5-point scale</w:t>
      </w:r>
      <w:r w:rsidRPr="00C51225">
        <w:rPr>
          <w:rFonts w:ascii="Times New Roman" w:hAnsi="Times New Roman" w:cs="Times New Roman"/>
          <w:sz w:val="24"/>
          <w:szCs w:val="24"/>
        </w:rPr>
        <w:t>, which falls into the category of “very valid.” The expert notes emphasized the clarity of learning objectives, the correctness of procedural sequences for Oukup treatment, and the alignment between learning indicators and assessment items. These findings indicate that the content accurately represents the professional standards and cultural nuances of SPA Oukup Karo practice. (Ningsih et al., 2021)</w:t>
      </w:r>
    </w:p>
    <w:p w14:paraId="3AFA617F"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w:t>
      </w:r>
      <w:r w:rsidRPr="00C51225">
        <w:rPr>
          <w:rFonts w:ascii="Times New Roman" w:hAnsi="Times New Roman" w:cs="Times New Roman"/>
          <w:b/>
          <w:bCs/>
          <w:sz w:val="24"/>
          <w:szCs w:val="24"/>
        </w:rPr>
        <w:t>media expert</w:t>
      </w:r>
      <w:r w:rsidRPr="00C51225">
        <w:rPr>
          <w:rFonts w:ascii="Times New Roman" w:hAnsi="Times New Roman" w:cs="Times New Roman"/>
          <w:sz w:val="24"/>
          <w:szCs w:val="24"/>
        </w:rPr>
        <w:t xml:space="preserve"> assigned a total score of 45 out of 50 points, with an average of </w:t>
      </w:r>
      <w:r w:rsidRPr="00C51225">
        <w:rPr>
          <w:rFonts w:ascii="Times New Roman" w:hAnsi="Times New Roman" w:cs="Times New Roman"/>
          <w:b/>
          <w:bCs/>
          <w:sz w:val="24"/>
          <w:szCs w:val="24"/>
        </w:rPr>
        <w:t>4.5</w:t>
      </w:r>
      <w:r w:rsidRPr="00C51225">
        <w:rPr>
          <w:rFonts w:ascii="Times New Roman" w:hAnsi="Times New Roman" w:cs="Times New Roman"/>
          <w:sz w:val="24"/>
          <w:szCs w:val="24"/>
        </w:rPr>
        <w:t>, also categorized as “very valid.” Strengths highlighted in the media validation included visual clarity of the demonstrations, appropriate use of camera angles to show critical hand movements and body positions, and the logical segmentation of videos into manageable steps. Minor revisions recommended by the media expert—such as standardizing subtitle font sizes and refining audio mixing—were incorporated prior to field testing. These validation outcomes align with previous studies showing that well-designed video tutorials with clear visual focus and narration significantly support the acquisition of procedural skills in vocational education. (</w:t>
      </w:r>
      <w:proofErr w:type="spellStart"/>
      <w:r w:rsidRPr="00C51225">
        <w:rPr>
          <w:rFonts w:ascii="Times New Roman" w:hAnsi="Times New Roman" w:cs="Times New Roman"/>
          <w:sz w:val="24"/>
          <w:szCs w:val="24"/>
        </w:rPr>
        <w:t>Maryani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Sumarto</w:t>
      </w:r>
      <w:proofErr w:type="spellEnd"/>
      <w:r w:rsidRPr="00C51225">
        <w:rPr>
          <w:rFonts w:ascii="Times New Roman" w:hAnsi="Times New Roman" w:cs="Times New Roman"/>
          <w:sz w:val="24"/>
          <w:szCs w:val="24"/>
        </w:rPr>
        <w:t>, 2022)</w:t>
      </w:r>
    </w:p>
    <w:p w14:paraId="7B31EAD0" w14:textId="77777777" w:rsidR="005B7DA0" w:rsidRDefault="005B7DA0" w:rsidP="00C51225">
      <w:pPr>
        <w:jc w:val="both"/>
        <w:rPr>
          <w:rFonts w:ascii="Times New Roman" w:hAnsi="Times New Roman" w:cs="Times New Roman"/>
          <w:b/>
          <w:bCs/>
          <w:sz w:val="24"/>
          <w:szCs w:val="24"/>
        </w:rPr>
      </w:pPr>
    </w:p>
    <w:p w14:paraId="30EC9C93" w14:textId="77777777" w:rsidR="005B7DA0" w:rsidRDefault="005B7DA0" w:rsidP="00C51225">
      <w:pPr>
        <w:jc w:val="both"/>
        <w:rPr>
          <w:rFonts w:ascii="Times New Roman" w:hAnsi="Times New Roman" w:cs="Times New Roman"/>
          <w:b/>
          <w:bCs/>
          <w:sz w:val="24"/>
          <w:szCs w:val="24"/>
        </w:rPr>
      </w:pPr>
    </w:p>
    <w:p w14:paraId="50828AC4" w14:textId="21CD854E" w:rsidR="007D432F"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b/>
          <w:bCs/>
          <w:sz w:val="24"/>
          <w:szCs w:val="24"/>
        </w:rPr>
        <w:lastRenderedPageBreak/>
        <w:t xml:space="preserve">Table </w:t>
      </w:r>
      <w:r w:rsidR="0086781A">
        <w:rPr>
          <w:rFonts w:ascii="Times New Roman" w:hAnsi="Times New Roman" w:cs="Times New Roman"/>
          <w:b/>
          <w:bCs/>
          <w:sz w:val="24"/>
          <w:szCs w:val="24"/>
        </w:rPr>
        <w:t>1</w:t>
      </w:r>
      <w:r w:rsidRPr="00C51225">
        <w:rPr>
          <w:rFonts w:ascii="Times New Roman" w:hAnsi="Times New Roman" w:cs="Times New Roman"/>
          <w:b/>
          <w:bCs/>
          <w:sz w:val="24"/>
          <w:szCs w:val="24"/>
        </w:rPr>
        <w:t>. Expert Validation Scores for Macro-Learning SPA Oukup Tutorial Media</w:t>
      </w:r>
      <w:r w:rsidRPr="00C51225">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510"/>
        <w:gridCol w:w="1951"/>
        <w:gridCol w:w="2775"/>
        <w:gridCol w:w="910"/>
        <w:gridCol w:w="2870"/>
      </w:tblGrid>
      <w:tr w:rsidR="007D432F" w:rsidRPr="007D432F" w14:paraId="59654618" w14:textId="77777777" w:rsidTr="007D432F">
        <w:tc>
          <w:tcPr>
            <w:tcW w:w="0" w:type="auto"/>
            <w:hideMark/>
          </w:tcPr>
          <w:p w14:paraId="3B1267EE"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No</w:t>
            </w:r>
          </w:p>
        </w:tc>
        <w:tc>
          <w:tcPr>
            <w:tcW w:w="0" w:type="auto"/>
            <w:hideMark/>
          </w:tcPr>
          <w:p w14:paraId="4C29F06C"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Aspect Assessed</w:t>
            </w:r>
          </w:p>
        </w:tc>
        <w:tc>
          <w:tcPr>
            <w:tcW w:w="0" w:type="auto"/>
            <w:hideMark/>
          </w:tcPr>
          <w:p w14:paraId="7FF94CB3"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Indicator</w:t>
            </w:r>
          </w:p>
        </w:tc>
        <w:tc>
          <w:tcPr>
            <w:tcW w:w="0" w:type="auto"/>
            <w:hideMark/>
          </w:tcPr>
          <w:p w14:paraId="1A007DB2"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Score (1–5)</w:t>
            </w:r>
          </w:p>
        </w:tc>
        <w:tc>
          <w:tcPr>
            <w:tcW w:w="0" w:type="auto"/>
            <w:hideMark/>
          </w:tcPr>
          <w:p w14:paraId="1FE2C326" w14:textId="77777777" w:rsidR="007D432F" w:rsidRPr="007D432F" w:rsidRDefault="007D432F" w:rsidP="007D432F">
            <w:pPr>
              <w:spacing w:after="160" w:line="259" w:lineRule="auto"/>
              <w:jc w:val="both"/>
              <w:rPr>
                <w:rFonts w:ascii="Times New Roman" w:hAnsi="Times New Roman" w:cs="Times New Roman"/>
                <w:b/>
                <w:bCs/>
                <w:sz w:val="24"/>
                <w:szCs w:val="24"/>
              </w:rPr>
            </w:pPr>
            <w:r w:rsidRPr="007D432F">
              <w:rPr>
                <w:rFonts w:ascii="Times New Roman" w:hAnsi="Times New Roman" w:cs="Times New Roman"/>
                <w:b/>
                <w:bCs/>
                <w:sz w:val="24"/>
                <w:szCs w:val="24"/>
              </w:rPr>
              <w:t>Remarks</w:t>
            </w:r>
          </w:p>
        </w:tc>
      </w:tr>
      <w:tr w:rsidR="007D432F" w:rsidRPr="007D432F" w14:paraId="54BC7F40" w14:textId="77777777" w:rsidTr="007D432F">
        <w:tc>
          <w:tcPr>
            <w:tcW w:w="0" w:type="auto"/>
            <w:hideMark/>
          </w:tcPr>
          <w:p w14:paraId="1D3EF6E4"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1</w:t>
            </w:r>
          </w:p>
        </w:tc>
        <w:tc>
          <w:tcPr>
            <w:tcW w:w="0" w:type="auto"/>
            <w:hideMark/>
          </w:tcPr>
          <w:p w14:paraId="13923916"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Visual Quality</w:t>
            </w:r>
          </w:p>
        </w:tc>
        <w:tc>
          <w:tcPr>
            <w:tcW w:w="0" w:type="auto"/>
            <w:hideMark/>
          </w:tcPr>
          <w:p w14:paraId="6BA4B39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 xml:space="preserve">Text readability, image sharpness, </w:t>
            </w:r>
            <w:proofErr w:type="spellStart"/>
            <w:r w:rsidRPr="007D432F">
              <w:rPr>
                <w:rFonts w:ascii="Times New Roman" w:hAnsi="Times New Roman" w:cs="Times New Roman"/>
                <w:sz w:val="24"/>
                <w:szCs w:val="24"/>
              </w:rPr>
              <w:t>color</w:t>
            </w:r>
            <w:proofErr w:type="spellEnd"/>
            <w:r w:rsidRPr="007D432F">
              <w:rPr>
                <w:rFonts w:ascii="Times New Roman" w:hAnsi="Times New Roman" w:cs="Times New Roman"/>
                <w:sz w:val="24"/>
                <w:szCs w:val="24"/>
              </w:rPr>
              <w:t xml:space="preserve"> composition</w:t>
            </w:r>
          </w:p>
        </w:tc>
        <w:tc>
          <w:tcPr>
            <w:tcW w:w="0" w:type="auto"/>
            <w:hideMark/>
          </w:tcPr>
          <w:p w14:paraId="2889B2D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459DE08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 xml:space="preserve">Images are clear, </w:t>
            </w:r>
            <w:proofErr w:type="spellStart"/>
            <w:r w:rsidRPr="007D432F">
              <w:rPr>
                <w:rFonts w:ascii="Times New Roman" w:hAnsi="Times New Roman" w:cs="Times New Roman"/>
                <w:sz w:val="24"/>
                <w:szCs w:val="24"/>
              </w:rPr>
              <w:t>colors</w:t>
            </w:r>
            <w:proofErr w:type="spellEnd"/>
            <w:r w:rsidRPr="007D432F">
              <w:rPr>
                <w:rFonts w:ascii="Times New Roman" w:hAnsi="Times New Roman" w:cs="Times New Roman"/>
                <w:sz w:val="24"/>
                <w:szCs w:val="24"/>
              </w:rPr>
              <w:t xml:space="preserve"> are consistent, text is easy to read</w:t>
            </w:r>
          </w:p>
        </w:tc>
      </w:tr>
      <w:tr w:rsidR="007D432F" w:rsidRPr="007D432F" w14:paraId="43AB776A" w14:textId="77777777" w:rsidTr="007D432F">
        <w:tc>
          <w:tcPr>
            <w:tcW w:w="0" w:type="auto"/>
            <w:hideMark/>
          </w:tcPr>
          <w:p w14:paraId="5E6AA80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2</w:t>
            </w:r>
          </w:p>
        </w:tc>
        <w:tc>
          <w:tcPr>
            <w:tcW w:w="0" w:type="auto"/>
            <w:hideMark/>
          </w:tcPr>
          <w:p w14:paraId="3CBCA5A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Audio Quality</w:t>
            </w:r>
          </w:p>
        </w:tc>
        <w:tc>
          <w:tcPr>
            <w:tcW w:w="0" w:type="auto"/>
            <w:hideMark/>
          </w:tcPr>
          <w:p w14:paraId="2C2AD4DA"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Clarity of narrator’s voice, background music, sound effects</w:t>
            </w:r>
          </w:p>
        </w:tc>
        <w:tc>
          <w:tcPr>
            <w:tcW w:w="0" w:type="auto"/>
            <w:hideMark/>
          </w:tcPr>
          <w:p w14:paraId="02346DFD"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306C3EA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Voice is clear, only minor improvement needed for background volume</w:t>
            </w:r>
          </w:p>
        </w:tc>
      </w:tr>
      <w:tr w:rsidR="007D432F" w:rsidRPr="007D432F" w14:paraId="5777BA58" w14:textId="77777777" w:rsidTr="007D432F">
        <w:tc>
          <w:tcPr>
            <w:tcW w:w="0" w:type="auto"/>
            <w:hideMark/>
          </w:tcPr>
          <w:p w14:paraId="2410EE9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3</w:t>
            </w:r>
          </w:p>
        </w:tc>
        <w:tc>
          <w:tcPr>
            <w:tcW w:w="0" w:type="auto"/>
            <w:hideMark/>
          </w:tcPr>
          <w:p w14:paraId="389D9223"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Instructional Design</w:t>
            </w:r>
          </w:p>
        </w:tc>
        <w:tc>
          <w:tcPr>
            <w:tcW w:w="0" w:type="auto"/>
            <w:hideMark/>
          </w:tcPr>
          <w:p w14:paraId="0FFC118C"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Video flow follows learning principles (opening, content, closing)</w:t>
            </w:r>
          </w:p>
        </w:tc>
        <w:tc>
          <w:tcPr>
            <w:tcW w:w="0" w:type="auto"/>
            <w:hideMark/>
          </w:tcPr>
          <w:p w14:paraId="5439F09D"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4DD09F2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Video structure is systematic and aligned with the macro-learning model</w:t>
            </w:r>
          </w:p>
        </w:tc>
      </w:tr>
      <w:tr w:rsidR="007D432F" w:rsidRPr="007D432F" w14:paraId="69733417" w14:textId="77777777" w:rsidTr="007D432F">
        <w:tc>
          <w:tcPr>
            <w:tcW w:w="0" w:type="auto"/>
            <w:hideMark/>
          </w:tcPr>
          <w:p w14:paraId="2734ADD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2AFEE6B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Interactivity &amp; Navigation</w:t>
            </w:r>
          </w:p>
        </w:tc>
        <w:tc>
          <w:tcPr>
            <w:tcW w:w="0" w:type="auto"/>
            <w:hideMark/>
          </w:tcPr>
          <w:p w14:paraId="0FE5650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Ease of use (easy to replay, access via QR Code)</w:t>
            </w:r>
          </w:p>
        </w:tc>
        <w:tc>
          <w:tcPr>
            <w:tcW w:w="0" w:type="auto"/>
            <w:hideMark/>
          </w:tcPr>
          <w:p w14:paraId="6E627F8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53C28B9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Fairly interactive, could be improved with interactive quiz features</w:t>
            </w:r>
          </w:p>
        </w:tc>
      </w:tr>
      <w:tr w:rsidR="007D432F" w:rsidRPr="007D432F" w14:paraId="046C92E2" w14:textId="77777777" w:rsidTr="007D432F">
        <w:tc>
          <w:tcPr>
            <w:tcW w:w="0" w:type="auto"/>
            <w:hideMark/>
          </w:tcPr>
          <w:p w14:paraId="03A254B0"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0597A0DC"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Media Attractiveness</w:t>
            </w:r>
          </w:p>
        </w:tc>
        <w:tc>
          <w:tcPr>
            <w:tcW w:w="0" w:type="auto"/>
            <w:hideMark/>
          </w:tcPr>
          <w:p w14:paraId="2502BEE3"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Ability to attract participants’ attention and motivate learning</w:t>
            </w:r>
          </w:p>
        </w:tc>
        <w:tc>
          <w:tcPr>
            <w:tcW w:w="0" w:type="auto"/>
            <w:hideMark/>
          </w:tcPr>
          <w:p w14:paraId="7561CF5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445B7A38"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Very engaging, participants are more focused and enthusiastic</w:t>
            </w:r>
          </w:p>
        </w:tc>
      </w:tr>
      <w:tr w:rsidR="007D432F" w:rsidRPr="007D432F" w14:paraId="7AE95265" w14:textId="77777777" w:rsidTr="007D432F">
        <w:tc>
          <w:tcPr>
            <w:tcW w:w="0" w:type="auto"/>
            <w:hideMark/>
          </w:tcPr>
          <w:p w14:paraId="544BA817"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6</w:t>
            </w:r>
          </w:p>
        </w:tc>
        <w:tc>
          <w:tcPr>
            <w:tcW w:w="0" w:type="auto"/>
            <w:hideMark/>
          </w:tcPr>
          <w:p w14:paraId="757C58D6"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Consistency &amp; Aesthetics</w:t>
            </w:r>
          </w:p>
        </w:tc>
        <w:tc>
          <w:tcPr>
            <w:tcW w:w="0" w:type="auto"/>
            <w:hideMark/>
          </w:tcPr>
          <w:p w14:paraId="3E690BD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 xml:space="preserve">Consistency of font, </w:t>
            </w:r>
            <w:proofErr w:type="spellStart"/>
            <w:r w:rsidRPr="007D432F">
              <w:rPr>
                <w:rFonts w:ascii="Times New Roman" w:hAnsi="Times New Roman" w:cs="Times New Roman"/>
                <w:sz w:val="24"/>
                <w:szCs w:val="24"/>
              </w:rPr>
              <w:t>color</w:t>
            </w:r>
            <w:proofErr w:type="spellEnd"/>
            <w:r w:rsidRPr="007D432F">
              <w:rPr>
                <w:rFonts w:ascii="Times New Roman" w:hAnsi="Times New Roman" w:cs="Times New Roman"/>
                <w:sz w:val="24"/>
                <w:szCs w:val="24"/>
              </w:rPr>
              <w:t>, layout, and transitions</w:t>
            </w:r>
          </w:p>
        </w:tc>
        <w:tc>
          <w:tcPr>
            <w:tcW w:w="0" w:type="auto"/>
            <w:hideMark/>
          </w:tcPr>
          <w:p w14:paraId="5EF7375A"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4D135D26"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Generally consistent, although transitions between segments could be smoothed</w:t>
            </w:r>
          </w:p>
        </w:tc>
      </w:tr>
      <w:tr w:rsidR="007D432F" w:rsidRPr="007D432F" w14:paraId="4AACD7BA" w14:textId="77777777" w:rsidTr="007D432F">
        <w:tc>
          <w:tcPr>
            <w:tcW w:w="0" w:type="auto"/>
            <w:hideMark/>
          </w:tcPr>
          <w:p w14:paraId="640AD37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7</w:t>
            </w:r>
          </w:p>
        </w:tc>
        <w:tc>
          <w:tcPr>
            <w:tcW w:w="0" w:type="auto"/>
            <w:hideMark/>
          </w:tcPr>
          <w:p w14:paraId="0E606AB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Technical Production</w:t>
            </w:r>
          </w:p>
        </w:tc>
        <w:tc>
          <w:tcPr>
            <w:tcW w:w="0" w:type="auto"/>
            <w:hideMark/>
          </w:tcPr>
          <w:p w14:paraId="23EA64B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Editing, subtitles, resolution quality, video transitions</w:t>
            </w:r>
          </w:p>
        </w:tc>
        <w:tc>
          <w:tcPr>
            <w:tcW w:w="0" w:type="auto"/>
            <w:hideMark/>
          </w:tcPr>
          <w:p w14:paraId="72278F5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72B2A690"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Good editing, clear subtitles, HD resolution, but duration is slightly long</w:t>
            </w:r>
          </w:p>
        </w:tc>
      </w:tr>
      <w:tr w:rsidR="007D432F" w:rsidRPr="007D432F" w14:paraId="5A0E93CD" w14:textId="77777777" w:rsidTr="007D432F">
        <w:tc>
          <w:tcPr>
            <w:tcW w:w="0" w:type="auto"/>
            <w:hideMark/>
          </w:tcPr>
          <w:p w14:paraId="63DCC65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8</w:t>
            </w:r>
          </w:p>
        </w:tc>
        <w:tc>
          <w:tcPr>
            <w:tcW w:w="0" w:type="auto"/>
            <w:hideMark/>
          </w:tcPr>
          <w:p w14:paraId="27B12A2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Alignment with Learning Goals</w:t>
            </w:r>
          </w:p>
        </w:tc>
        <w:tc>
          <w:tcPr>
            <w:tcW w:w="0" w:type="auto"/>
            <w:hideMark/>
          </w:tcPr>
          <w:p w14:paraId="52AA14D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Media supports the achievement of Oukup competencies</w:t>
            </w:r>
          </w:p>
        </w:tc>
        <w:tc>
          <w:tcPr>
            <w:tcW w:w="0" w:type="auto"/>
            <w:hideMark/>
          </w:tcPr>
          <w:p w14:paraId="61EF8387"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3C95CE0D"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Highly supportive, aligned with training outcomes</w:t>
            </w:r>
          </w:p>
        </w:tc>
      </w:tr>
      <w:tr w:rsidR="007D432F" w:rsidRPr="007D432F" w14:paraId="592E09E1" w14:textId="77777777" w:rsidTr="007D432F">
        <w:tc>
          <w:tcPr>
            <w:tcW w:w="0" w:type="auto"/>
            <w:hideMark/>
          </w:tcPr>
          <w:p w14:paraId="7C48F97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9</w:t>
            </w:r>
          </w:p>
        </w:tc>
        <w:tc>
          <w:tcPr>
            <w:tcW w:w="0" w:type="auto"/>
            <w:hideMark/>
          </w:tcPr>
          <w:p w14:paraId="1697037B"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Media Accessibility</w:t>
            </w:r>
          </w:p>
        </w:tc>
        <w:tc>
          <w:tcPr>
            <w:tcW w:w="0" w:type="auto"/>
            <w:hideMark/>
          </w:tcPr>
          <w:p w14:paraId="3A6D3078"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Video can be easily accessed on various devices (phone, laptop, projector)</w:t>
            </w:r>
          </w:p>
        </w:tc>
        <w:tc>
          <w:tcPr>
            <w:tcW w:w="0" w:type="auto"/>
            <w:hideMark/>
          </w:tcPr>
          <w:p w14:paraId="09E93A92"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5</w:t>
            </w:r>
          </w:p>
        </w:tc>
        <w:tc>
          <w:tcPr>
            <w:tcW w:w="0" w:type="auto"/>
            <w:hideMark/>
          </w:tcPr>
          <w:p w14:paraId="5378B7BF"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Very good, easy to play on various devices</w:t>
            </w:r>
          </w:p>
        </w:tc>
      </w:tr>
      <w:tr w:rsidR="007D432F" w:rsidRPr="007D432F" w14:paraId="444DEE9F" w14:textId="77777777" w:rsidTr="007D432F">
        <w:tc>
          <w:tcPr>
            <w:tcW w:w="0" w:type="auto"/>
            <w:hideMark/>
          </w:tcPr>
          <w:p w14:paraId="563DE15E"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10</w:t>
            </w:r>
          </w:p>
        </w:tc>
        <w:tc>
          <w:tcPr>
            <w:tcW w:w="0" w:type="auto"/>
            <w:hideMark/>
          </w:tcPr>
          <w:p w14:paraId="1EFBAAD1"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Time Efficiency of Presentation</w:t>
            </w:r>
          </w:p>
        </w:tc>
        <w:tc>
          <w:tcPr>
            <w:tcW w:w="0" w:type="auto"/>
            <w:hideMark/>
          </w:tcPr>
          <w:p w14:paraId="37D4DB55"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Video duration matches learning needs (not too long/short)</w:t>
            </w:r>
          </w:p>
        </w:tc>
        <w:tc>
          <w:tcPr>
            <w:tcW w:w="0" w:type="auto"/>
            <w:hideMark/>
          </w:tcPr>
          <w:p w14:paraId="7BEF29B0"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4</w:t>
            </w:r>
          </w:p>
        </w:tc>
        <w:tc>
          <w:tcPr>
            <w:tcW w:w="0" w:type="auto"/>
            <w:hideMark/>
          </w:tcPr>
          <w:p w14:paraId="211F2EAA" w14:textId="77777777" w:rsidR="007D432F" w:rsidRPr="007D432F" w:rsidRDefault="007D432F" w:rsidP="007D432F">
            <w:pPr>
              <w:spacing w:after="160" w:line="259" w:lineRule="auto"/>
              <w:jc w:val="both"/>
              <w:rPr>
                <w:rFonts w:ascii="Times New Roman" w:hAnsi="Times New Roman" w:cs="Times New Roman"/>
                <w:sz w:val="24"/>
                <w:szCs w:val="24"/>
              </w:rPr>
            </w:pPr>
            <w:r w:rsidRPr="007D432F">
              <w:rPr>
                <w:rFonts w:ascii="Times New Roman" w:hAnsi="Times New Roman" w:cs="Times New Roman"/>
                <w:sz w:val="24"/>
                <w:szCs w:val="24"/>
              </w:rPr>
              <w:t>Duration is quite ideal, though it could be split into shorter segments</w:t>
            </w:r>
          </w:p>
        </w:tc>
      </w:tr>
    </w:tbl>
    <w:p w14:paraId="327B18E8" w14:textId="6D618043" w:rsidR="00C51225" w:rsidRPr="00C51225" w:rsidRDefault="00C51225" w:rsidP="00C51225">
      <w:pPr>
        <w:jc w:val="both"/>
        <w:rPr>
          <w:rFonts w:ascii="Times New Roman" w:hAnsi="Times New Roman" w:cs="Times New Roman"/>
          <w:sz w:val="24"/>
          <w:szCs w:val="24"/>
        </w:rPr>
      </w:pPr>
    </w:p>
    <w:p w14:paraId="377758F8" w14:textId="297CA6FE" w:rsidR="00C51225" w:rsidRPr="00C51225" w:rsidRDefault="00C51225" w:rsidP="00C51225">
      <w:pPr>
        <w:jc w:val="both"/>
        <w:rPr>
          <w:rFonts w:ascii="Times New Roman" w:hAnsi="Times New Roman" w:cs="Times New Roman"/>
          <w:sz w:val="24"/>
          <w:szCs w:val="24"/>
        </w:rPr>
      </w:pPr>
    </w:p>
    <w:p w14:paraId="789CF004"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3.4 Practicality from Instructor and Trainee Perspectives</w:t>
      </w:r>
    </w:p>
    <w:p w14:paraId="37B0C60F"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lastRenderedPageBreak/>
        <w:t xml:space="preserve">Practicality testing, conducted through limited and broader field trials, indicated that instructors and trainees perceived the macro-learning model and its tutorial media as </w:t>
      </w:r>
      <w:r w:rsidRPr="00C51225">
        <w:rPr>
          <w:rFonts w:ascii="Times New Roman" w:hAnsi="Times New Roman" w:cs="Times New Roman"/>
          <w:b/>
          <w:bCs/>
          <w:sz w:val="24"/>
          <w:szCs w:val="24"/>
        </w:rPr>
        <w:t>highly practical</w:t>
      </w:r>
      <w:r w:rsidRPr="00C51225">
        <w:rPr>
          <w:rFonts w:ascii="Times New Roman" w:hAnsi="Times New Roman" w:cs="Times New Roman"/>
          <w:sz w:val="24"/>
          <w:szCs w:val="24"/>
        </w:rPr>
        <w:t xml:space="preserve"> for use in SPA training institutions. Instructors reported that the video tutorials reduced the repetition burden for basic demonstrations, allowing them to focus more on individualized feedback and correction during hands-on practice sessions. They also noted that the modular structure made it easier to plan sessions, allocate time, and integrate assessment activities across cognitive and psychomotor domains. Such perceptions are critical in R&amp;D studies because instructor acceptance strongly influences the sustainability of new instructional models in real training contexts. (Borg &amp; Gall, 2003)</w:t>
      </w:r>
    </w:p>
    <w:p w14:paraId="13AB09FD"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From the trainees’ perspective, practicality questionnaires revealed that participants found the videos easy to follow, the sequence of steps logical, and the pacing suitable for both observation and imitation. Many trainees reported re-watching specific segments—for example, herbal preparation or body positioning during steaming—to clarify uncertainties before and after practice. The ability to pause, rewind, and focus on particular subtasks was perceived as a major advantage compared to one-time live demonstrations. These findings resonate with prior work showing that tutorial videos, when combined with guided practice, enhance learners’ confidence and autonomy in mastering complex procedural skills. (</w:t>
      </w:r>
      <w:proofErr w:type="spellStart"/>
      <w:r w:rsidRPr="00C51225">
        <w:rPr>
          <w:rFonts w:ascii="Times New Roman" w:hAnsi="Times New Roman" w:cs="Times New Roman"/>
          <w:sz w:val="24"/>
          <w:szCs w:val="24"/>
        </w:rPr>
        <w:t>Lutfiati</w:t>
      </w:r>
      <w:proofErr w:type="spellEnd"/>
      <w:r w:rsidRPr="00C51225">
        <w:rPr>
          <w:rFonts w:ascii="Times New Roman" w:hAnsi="Times New Roman" w:cs="Times New Roman"/>
          <w:sz w:val="24"/>
          <w:szCs w:val="24"/>
        </w:rPr>
        <w:t xml:space="preserve"> &amp; </w:t>
      </w:r>
      <w:proofErr w:type="spellStart"/>
      <w:r w:rsidRPr="00C51225">
        <w:rPr>
          <w:rFonts w:ascii="Times New Roman" w:hAnsi="Times New Roman" w:cs="Times New Roman"/>
          <w:sz w:val="24"/>
          <w:szCs w:val="24"/>
        </w:rPr>
        <w:t>Megasari</w:t>
      </w:r>
      <w:proofErr w:type="spellEnd"/>
      <w:r w:rsidRPr="00C51225">
        <w:rPr>
          <w:rFonts w:ascii="Times New Roman" w:hAnsi="Times New Roman" w:cs="Times New Roman"/>
          <w:sz w:val="24"/>
          <w:szCs w:val="24"/>
        </w:rPr>
        <w:t>, 2023)</w:t>
      </w:r>
    </w:p>
    <w:p w14:paraId="7A3F5C06" w14:textId="174787B0" w:rsidR="00485739" w:rsidRPr="00485739" w:rsidRDefault="00C51225" w:rsidP="00485739">
      <w:pPr>
        <w:jc w:val="center"/>
        <w:rPr>
          <w:rFonts w:ascii="Times New Roman" w:hAnsi="Times New Roman" w:cs="Times New Roman"/>
          <w:b/>
          <w:bCs/>
          <w:i/>
          <w:iCs/>
          <w:sz w:val="24"/>
          <w:szCs w:val="24"/>
        </w:rPr>
      </w:pPr>
      <w:r w:rsidRPr="00C51225">
        <w:rPr>
          <w:rFonts w:ascii="Times New Roman" w:hAnsi="Times New Roman" w:cs="Times New Roman"/>
          <w:b/>
          <w:bCs/>
          <w:sz w:val="24"/>
          <w:szCs w:val="24"/>
        </w:rPr>
        <w:t xml:space="preserve">Table </w:t>
      </w:r>
      <w:r w:rsidR="0086781A">
        <w:rPr>
          <w:rFonts w:ascii="Times New Roman" w:hAnsi="Times New Roman" w:cs="Times New Roman"/>
          <w:b/>
          <w:bCs/>
          <w:sz w:val="24"/>
          <w:szCs w:val="24"/>
        </w:rPr>
        <w:t>2</w:t>
      </w:r>
      <w:r w:rsidRPr="00C51225">
        <w:rPr>
          <w:rFonts w:ascii="Times New Roman" w:hAnsi="Times New Roman" w:cs="Times New Roman"/>
          <w:b/>
          <w:bCs/>
          <w:sz w:val="24"/>
          <w:szCs w:val="24"/>
        </w:rPr>
        <w:t xml:space="preserve">. </w:t>
      </w:r>
      <w:r w:rsidR="00485739" w:rsidRPr="00485739">
        <w:rPr>
          <w:rFonts w:ascii="Times New Roman" w:hAnsi="Times New Roman" w:cs="Times New Roman"/>
          <w:b/>
          <w:bCs/>
          <w:i/>
          <w:iCs/>
          <w:sz w:val="24"/>
          <w:szCs w:val="24"/>
        </w:rPr>
        <w:t>Content Expert Validation</w:t>
      </w:r>
    </w:p>
    <w:tbl>
      <w:tblPr>
        <w:tblStyle w:val="TableGrid"/>
        <w:tblW w:w="0" w:type="auto"/>
        <w:tblLook w:val="04A0" w:firstRow="1" w:lastRow="0" w:firstColumn="1" w:lastColumn="0" w:noHBand="0" w:noVBand="1"/>
      </w:tblPr>
      <w:tblGrid>
        <w:gridCol w:w="510"/>
        <w:gridCol w:w="2958"/>
        <w:gridCol w:w="1042"/>
        <w:gridCol w:w="4506"/>
      </w:tblGrid>
      <w:tr w:rsidR="00485739" w:rsidRPr="00485739" w14:paraId="5E7073C0" w14:textId="77777777" w:rsidTr="00485739">
        <w:tc>
          <w:tcPr>
            <w:tcW w:w="0" w:type="auto"/>
            <w:hideMark/>
          </w:tcPr>
          <w:p w14:paraId="6BBA52FB"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No</w:t>
            </w:r>
          </w:p>
        </w:tc>
        <w:tc>
          <w:tcPr>
            <w:tcW w:w="0" w:type="auto"/>
            <w:hideMark/>
          </w:tcPr>
          <w:p w14:paraId="660E4A50"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Aspect Assessed</w:t>
            </w:r>
          </w:p>
        </w:tc>
        <w:tc>
          <w:tcPr>
            <w:tcW w:w="0" w:type="auto"/>
            <w:hideMark/>
          </w:tcPr>
          <w:p w14:paraId="4D45C4E4"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Score (1–5)</w:t>
            </w:r>
          </w:p>
        </w:tc>
        <w:tc>
          <w:tcPr>
            <w:tcW w:w="0" w:type="auto"/>
            <w:hideMark/>
          </w:tcPr>
          <w:p w14:paraId="089F32E7"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Remarks</w:t>
            </w:r>
          </w:p>
        </w:tc>
      </w:tr>
      <w:tr w:rsidR="00485739" w:rsidRPr="00485739" w14:paraId="1103B50E" w14:textId="77777777" w:rsidTr="00485739">
        <w:tc>
          <w:tcPr>
            <w:tcW w:w="0" w:type="auto"/>
            <w:hideMark/>
          </w:tcPr>
          <w:p w14:paraId="1B15708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1</w:t>
            </w:r>
          </w:p>
        </w:tc>
        <w:tc>
          <w:tcPr>
            <w:tcW w:w="0" w:type="auto"/>
            <w:hideMark/>
          </w:tcPr>
          <w:p w14:paraId="208BCF5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Accuracy of Content</w:t>
            </w:r>
          </w:p>
        </w:tc>
        <w:tc>
          <w:tcPr>
            <w:tcW w:w="0" w:type="auto"/>
            <w:hideMark/>
          </w:tcPr>
          <w:p w14:paraId="2E9D97E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6ED8DF8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Highly consistent with traditional Oukup practice and health standards</w:t>
            </w:r>
          </w:p>
        </w:tc>
      </w:tr>
      <w:tr w:rsidR="00485739" w:rsidRPr="00485739" w14:paraId="36694FA3" w14:textId="77777777" w:rsidTr="00485739">
        <w:tc>
          <w:tcPr>
            <w:tcW w:w="0" w:type="auto"/>
            <w:hideMark/>
          </w:tcPr>
          <w:p w14:paraId="5645955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2</w:t>
            </w:r>
          </w:p>
        </w:tc>
        <w:tc>
          <w:tcPr>
            <w:tcW w:w="0" w:type="auto"/>
            <w:hideMark/>
          </w:tcPr>
          <w:p w14:paraId="467F918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Completeness of Material</w:t>
            </w:r>
          </w:p>
        </w:tc>
        <w:tc>
          <w:tcPr>
            <w:tcW w:w="0" w:type="auto"/>
            <w:hideMark/>
          </w:tcPr>
          <w:p w14:paraId="26FF079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20D2148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Already comprehensive, needs additional details on variations of herbal mixtures</w:t>
            </w:r>
          </w:p>
        </w:tc>
      </w:tr>
      <w:tr w:rsidR="00485739" w:rsidRPr="00485739" w14:paraId="7E54D1A4" w14:textId="77777777" w:rsidTr="00485739">
        <w:tc>
          <w:tcPr>
            <w:tcW w:w="0" w:type="auto"/>
            <w:hideMark/>
          </w:tcPr>
          <w:p w14:paraId="0120F19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3</w:t>
            </w:r>
          </w:p>
        </w:tc>
        <w:tc>
          <w:tcPr>
            <w:tcW w:w="0" w:type="auto"/>
            <w:hideMark/>
          </w:tcPr>
          <w:p w14:paraId="67E0EB5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Relevance to Training Objectives</w:t>
            </w:r>
          </w:p>
        </w:tc>
        <w:tc>
          <w:tcPr>
            <w:tcW w:w="0" w:type="auto"/>
            <w:hideMark/>
          </w:tcPr>
          <w:p w14:paraId="3AB27A3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6C07B26C"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Relevant to spa and wellness competencies</w:t>
            </w:r>
          </w:p>
        </w:tc>
      </w:tr>
      <w:tr w:rsidR="00485739" w:rsidRPr="00485739" w14:paraId="7C197AFE" w14:textId="77777777" w:rsidTr="00485739">
        <w:tc>
          <w:tcPr>
            <w:tcW w:w="0" w:type="auto"/>
            <w:hideMark/>
          </w:tcPr>
          <w:p w14:paraId="16FB7CE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48F2D12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Depth of Material</w:t>
            </w:r>
          </w:p>
        </w:tc>
        <w:tc>
          <w:tcPr>
            <w:tcW w:w="0" w:type="auto"/>
            <w:hideMark/>
          </w:tcPr>
          <w:p w14:paraId="264DAF7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0D511ED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Sufficiently in-depth, requires further elaboration in some sections</w:t>
            </w:r>
          </w:p>
        </w:tc>
      </w:tr>
      <w:tr w:rsidR="00485739" w:rsidRPr="00485739" w14:paraId="23450D81" w14:textId="77777777" w:rsidTr="00485739">
        <w:tc>
          <w:tcPr>
            <w:tcW w:w="0" w:type="auto"/>
            <w:hideMark/>
          </w:tcPr>
          <w:p w14:paraId="78904E6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31C56B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Accuracy of Language and Terminology</w:t>
            </w:r>
          </w:p>
        </w:tc>
        <w:tc>
          <w:tcPr>
            <w:tcW w:w="0" w:type="auto"/>
            <w:hideMark/>
          </w:tcPr>
          <w:p w14:paraId="0137F5E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AE1CB6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Traditional terms are accurate, language is easy to understand</w:t>
            </w:r>
          </w:p>
        </w:tc>
      </w:tr>
      <w:tr w:rsidR="00485739" w:rsidRPr="00485739" w14:paraId="57481503" w14:textId="77777777" w:rsidTr="00485739">
        <w:tc>
          <w:tcPr>
            <w:tcW w:w="0" w:type="auto"/>
            <w:hideMark/>
          </w:tcPr>
          <w:p w14:paraId="2B23E010"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6</w:t>
            </w:r>
          </w:p>
        </w:tc>
        <w:tc>
          <w:tcPr>
            <w:tcW w:w="0" w:type="auto"/>
            <w:hideMark/>
          </w:tcPr>
          <w:p w14:paraId="1A578342"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Conceptual Coherence</w:t>
            </w:r>
          </w:p>
        </w:tc>
        <w:tc>
          <w:tcPr>
            <w:tcW w:w="0" w:type="auto"/>
            <w:hideMark/>
          </w:tcPr>
          <w:p w14:paraId="2A532C5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53D96D6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Logical sequence, transitions between sections need to be refined</w:t>
            </w:r>
          </w:p>
        </w:tc>
      </w:tr>
      <w:tr w:rsidR="00485739" w:rsidRPr="00485739" w14:paraId="1661DF14" w14:textId="77777777" w:rsidTr="00485739">
        <w:tc>
          <w:tcPr>
            <w:tcW w:w="0" w:type="auto"/>
            <w:hideMark/>
          </w:tcPr>
          <w:p w14:paraId="035AFE3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7</w:t>
            </w:r>
          </w:p>
        </w:tc>
        <w:tc>
          <w:tcPr>
            <w:tcW w:w="0" w:type="auto"/>
            <w:hideMark/>
          </w:tcPr>
          <w:p w14:paraId="54D6591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Compliance with Health and Ethical Standards</w:t>
            </w:r>
          </w:p>
        </w:tc>
        <w:tc>
          <w:tcPr>
            <w:tcW w:w="0" w:type="auto"/>
            <w:hideMark/>
          </w:tcPr>
          <w:p w14:paraId="3E23D50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FAFCD3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Highly compliant with spa service standards</w:t>
            </w:r>
          </w:p>
        </w:tc>
      </w:tr>
      <w:tr w:rsidR="00485739" w:rsidRPr="00485739" w14:paraId="5DD704EC" w14:textId="77777777" w:rsidTr="00485739">
        <w:tc>
          <w:tcPr>
            <w:tcW w:w="0" w:type="auto"/>
            <w:hideMark/>
          </w:tcPr>
          <w:p w14:paraId="43B7B90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8</w:t>
            </w:r>
          </w:p>
        </w:tc>
        <w:tc>
          <w:tcPr>
            <w:tcW w:w="0" w:type="auto"/>
            <w:hideMark/>
          </w:tcPr>
          <w:p w14:paraId="7A428600"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Up-to-</w:t>
            </w:r>
            <w:proofErr w:type="spellStart"/>
            <w:r w:rsidRPr="00485739">
              <w:rPr>
                <w:rFonts w:ascii="Times New Roman" w:hAnsi="Times New Roman" w:cs="Times New Roman"/>
                <w:sz w:val="24"/>
                <w:szCs w:val="24"/>
              </w:rPr>
              <w:t>dateness</w:t>
            </w:r>
            <w:proofErr w:type="spellEnd"/>
            <w:r w:rsidRPr="00485739">
              <w:rPr>
                <w:rFonts w:ascii="Times New Roman" w:hAnsi="Times New Roman" w:cs="Times New Roman"/>
                <w:sz w:val="24"/>
                <w:szCs w:val="24"/>
              </w:rPr>
              <w:t xml:space="preserve"> of Material</w:t>
            </w:r>
          </w:p>
        </w:tc>
        <w:tc>
          <w:tcPr>
            <w:tcW w:w="0" w:type="auto"/>
            <w:hideMark/>
          </w:tcPr>
          <w:p w14:paraId="651BB83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7378014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Quite good, needs inclusion of current wellness tourism issues</w:t>
            </w:r>
          </w:p>
        </w:tc>
      </w:tr>
      <w:tr w:rsidR="00485739" w:rsidRPr="00485739" w14:paraId="6340C785" w14:textId="77777777" w:rsidTr="00485739">
        <w:tc>
          <w:tcPr>
            <w:tcW w:w="0" w:type="auto"/>
            <w:hideMark/>
          </w:tcPr>
          <w:p w14:paraId="1CE4A7A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9</w:t>
            </w:r>
          </w:p>
        </w:tc>
        <w:tc>
          <w:tcPr>
            <w:tcW w:w="0" w:type="auto"/>
            <w:hideMark/>
          </w:tcPr>
          <w:p w14:paraId="0B017ECD"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Alignment with Learning Objectives</w:t>
            </w:r>
          </w:p>
        </w:tc>
        <w:tc>
          <w:tcPr>
            <w:tcW w:w="0" w:type="auto"/>
            <w:hideMark/>
          </w:tcPr>
          <w:p w14:paraId="536A47F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2F5822E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Strongly supports the achievement of learning outcomes</w:t>
            </w:r>
          </w:p>
        </w:tc>
      </w:tr>
      <w:tr w:rsidR="00485739" w:rsidRPr="00485739" w14:paraId="0F90DABC" w14:textId="77777777" w:rsidTr="00485739">
        <w:tc>
          <w:tcPr>
            <w:tcW w:w="0" w:type="auto"/>
            <w:hideMark/>
          </w:tcPr>
          <w:p w14:paraId="473328F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lastRenderedPageBreak/>
              <w:t>10</w:t>
            </w:r>
          </w:p>
        </w:tc>
        <w:tc>
          <w:tcPr>
            <w:tcW w:w="0" w:type="auto"/>
            <w:hideMark/>
          </w:tcPr>
          <w:p w14:paraId="10B7319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Cultural Value and Tradition Preservation</w:t>
            </w:r>
          </w:p>
        </w:tc>
        <w:tc>
          <w:tcPr>
            <w:tcW w:w="0" w:type="auto"/>
            <w:hideMark/>
          </w:tcPr>
          <w:p w14:paraId="5EF57D7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0ADB066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Strongly reflects Karo cultural identity</w:t>
            </w:r>
          </w:p>
        </w:tc>
      </w:tr>
      <w:tr w:rsidR="00485739" w:rsidRPr="00485739" w14:paraId="20FFDD8E" w14:textId="77777777" w:rsidTr="00485739">
        <w:tc>
          <w:tcPr>
            <w:tcW w:w="0" w:type="auto"/>
            <w:hideMark/>
          </w:tcPr>
          <w:p w14:paraId="43241ECF" w14:textId="77777777" w:rsidR="00485739" w:rsidRPr="00485739" w:rsidRDefault="00485739" w:rsidP="00485739">
            <w:pPr>
              <w:spacing w:after="160" w:line="259" w:lineRule="auto"/>
              <w:jc w:val="both"/>
              <w:rPr>
                <w:rFonts w:ascii="Times New Roman" w:hAnsi="Times New Roman" w:cs="Times New Roman"/>
                <w:sz w:val="24"/>
                <w:szCs w:val="24"/>
              </w:rPr>
            </w:pPr>
          </w:p>
        </w:tc>
        <w:tc>
          <w:tcPr>
            <w:tcW w:w="0" w:type="auto"/>
            <w:hideMark/>
          </w:tcPr>
          <w:p w14:paraId="5BBED41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Total Score</w:t>
            </w:r>
          </w:p>
        </w:tc>
        <w:tc>
          <w:tcPr>
            <w:tcW w:w="0" w:type="auto"/>
            <w:hideMark/>
          </w:tcPr>
          <w:p w14:paraId="42DBA84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46/50</w:t>
            </w:r>
          </w:p>
        </w:tc>
        <w:tc>
          <w:tcPr>
            <w:tcW w:w="0" w:type="auto"/>
            <w:hideMark/>
          </w:tcPr>
          <w:p w14:paraId="7FD4C7B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Average 4.6 = Very Good</w:t>
            </w:r>
          </w:p>
        </w:tc>
      </w:tr>
    </w:tbl>
    <w:p w14:paraId="12E34B1C"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Based on the validation results provided by the content expert, the average score obtained was 4.6 (“Very Good”). This indicates that the content of the macro-learning video tutorial for Traditional Karo Spa Oukup has met the required standards of material feasibility. Aspects that received the highest score (5) include accuracy of content, relevance to training objectives, accuracy of language and terminology, compliance with health standards, alignment with learning objectives, and cultural value and preservation of tradition. This shows that the video tutorial is not only substantively correct but also able to maintain the authenticity of Karo culture while meeting the needs of training participants.</w:t>
      </w:r>
    </w:p>
    <w:p w14:paraId="34C51F54"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Several aspects that received a score of 4, such as completeness, depth, conceptual coherence, and up-to-</w:t>
      </w:r>
      <w:proofErr w:type="spellStart"/>
      <w:r w:rsidRPr="00485739">
        <w:rPr>
          <w:rFonts w:ascii="Times New Roman" w:hAnsi="Times New Roman" w:cs="Times New Roman"/>
          <w:sz w:val="24"/>
          <w:szCs w:val="24"/>
        </w:rPr>
        <w:t>dateness</w:t>
      </w:r>
      <w:proofErr w:type="spellEnd"/>
      <w:r w:rsidRPr="00485739">
        <w:rPr>
          <w:rFonts w:ascii="Times New Roman" w:hAnsi="Times New Roman" w:cs="Times New Roman"/>
          <w:sz w:val="24"/>
          <w:szCs w:val="24"/>
        </w:rPr>
        <w:t xml:space="preserve"> of the material, point to areas for improvement. The content expert suggested that variations of Oukup herbal mixtures could be described in more detail and that transitions between sections could be refined to create a smoother flow. In addition, current issues related to wellness tourism could be incorporated so that the material becomes more up-to-date and responsive to recent developments in the spa and wellness sector.</w:t>
      </w:r>
    </w:p>
    <w:p w14:paraId="094FAF2A" w14:textId="502F2406" w:rsidR="00485739" w:rsidRPr="00485739" w:rsidRDefault="00485739" w:rsidP="00485739">
      <w:pPr>
        <w:jc w:val="both"/>
        <w:rPr>
          <w:rFonts w:ascii="Times New Roman" w:hAnsi="Times New Roman" w:cs="Times New Roman"/>
          <w:sz w:val="24"/>
          <w:szCs w:val="24"/>
        </w:rPr>
      </w:pPr>
    </w:p>
    <w:p w14:paraId="50FF82F9" w14:textId="1505ADE6" w:rsidR="00485739" w:rsidRPr="00485739" w:rsidRDefault="00485739" w:rsidP="00485739">
      <w:pPr>
        <w:jc w:val="both"/>
        <w:rPr>
          <w:rFonts w:ascii="Times New Roman" w:hAnsi="Times New Roman" w:cs="Times New Roman"/>
          <w:b/>
          <w:bCs/>
          <w:sz w:val="24"/>
          <w:szCs w:val="24"/>
        </w:rPr>
      </w:pPr>
      <w:r w:rsidRPr="00485739">
        <w:rPr>
          <w:rFonts w:ascii="Times New Roman" w:hAnsi="Times New Roman" w:cs="Times New Roman"/>
          <w:b/>
          <w:bCs/>
          <w:sz w:val="24"/>
          <w:szCs w:val="24"/>
        </w:rPr>
        <w:t xml:space="preserve">Table </w:t>
      </w:r>
      <w:r w:rsidR="0086781A">
        <w:rPr>
          <w:rFonts w:ascii="Times New Roman" w:hAnsi="Times New Roman" w:cs="Times New Roman"/>
          <w:b/>
          <w:bCs/>
          <w:sz w:val="24"/>
          <w:szCs w:val="24"/>
        </w:rPr>
        <w:t>3</w:t>
      </w:r>
      <w:r>
        <w:rPr>
          <w:rFonts w:ascii="Times New Roman" w:hAnsi="Times New Roman" w:cs="Times New Roman"/>
          <w:b/>
          <w:bCs/>
          <w:sz w:val="24"/>
          <w:szCs w:val="24"/>
        </w:rPr>
        <w:t xml:space="preserve">. </w:t>
      </w:r>
      <w:r w:rsidRPr="00485739">
        <w:rPr>
          <w:rFonts w:ascii="Times New Roman" w:hAnsi="Times New Roman" w:cs="Times New Roman"/>
          <w:b/>
          <w:bCs/>
          <w:sz w:val="24"/>
          <w:szCs w:val="24"/>
        </w:rPr>
        <w:t>Results of Media Expert Validation</w:t>
      </w:r>
    </w:p>
    <w:tbl>
      <w:tblPr>
        <w:tblStyle w:val="TableGrid"/>
        <w:tblW w:w="0" w:type="auto"/>
        <w:tblLook w:val="04A0" w:firstRow="1" w:lastRow="0" w:firstColumn="1" w:lastColumn="0" w:noHBand="0" w:noVBand="1"/>
      </w:tblPr>
      <w:tblGrid>
        <w:gridCol w:w="510"/>
        <w:gridCol w:w="2687"/>
        <w:gridCol w:w="1162"/>
        <w:gridCol w:w="4657"/>
      </w:tblGrid>
      <w:tr w:rsidR="00485739" w:rsidRPr="00485739" w14:paraId="1C1273A3" w14:textId="77777777" w:rsidTr="00485739">
        <w:tc>
          <w:tcPr>
            <w:tcW w:w="0" w:type="auto"/>
            <w:hideMark/>
          </w:tcPr>
          <w:p w14:paraId="75506471"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No</w:t>
            </w:r>
          </w:p>
        </w:tc>
        <w:tc>
          <w:tcPr>
            <w:tcW w:w="0" w:type="auto"/>
            <w:hideMark/>
          </w:tcPr>
          <w:p w14:paraId="282A4906"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Aspect Assessed</w:t>
            </w:r>
          </w:p>
        </w:tc>
        <w:tc>
          <w:tcPr>
            <w:tcW w:w="0" w:type="auto"/>
            <w:hideMark/>
          </w:tcPr>
          <w:p w14:paraId="79403C53"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Score (1–5)</w:t>
            </w:r>
          </w:p>
        </w:tc>
        <w:tc>
          <w:tcPr>
            <w:tcW w:w="0" w:type="auto"/>
            <w:hideMark/>
          </w:tcPr>
          <w:p w14:paraId="3057317E" w14:textId="77777777" w:rsidR="00485739" w:rsidRPr="00485739" w:rsidRDefault="00485739" w:rsidP="00485739">
            <w:pPr>
              <w:spacing w:after="160" w:line="259" w:lineRule="auto"/>
              <w:jc w:val="both"/>
              <w:rPr>
                <w:rFonts w:ascii="Times New Roman" w:hAnsi="Times New Roman" w:cs="Times New Roman"/>
                <w:b/>
                <w:bCs/>
                <w:sz w:val="24"/>
                <w:szCs w:val="24"/>
              </w:rPr>
            </w:pPr>
            <w:r w:rsidRPr="00485739">
              <w:rPr>
                <w:rFonts w:ascii="Times New Roman" w:hAnsi="Times New Roman" w:cs="Times New Roman"/>
                <w:b/>
                <w:bCs/>
                <w:sz w:val="24"/>
                <w:szCs w:val="24"/>
              </w:rPr>
              <w:t>Remarks</w:t>
            </w:r>
          </w:p>
        </w:tc>
      </w:tr>
      <w:tr w:rsidR="00485739" w:rsidRPr="00485739" w14:paraId="7EB48C8C" w14:textId="77777777" w:rsidTr="00485739">
        <w:tc>
          <w:tcPr>
            <w:tcW w:w="0" w:type="auto"/>
            <w:hideMark/>
          </w:tcPr>
          <w:p w14:paraId="0AEAE4EC"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1</w:t>
            </w:r>
          </w:p>
        </w:tc>
        <w:tc>
          <w:tcPr>
            <w:tcW w:w="0" w:type="auto"/>
            <w:hideMark/>
          </w:tcPr>
          <w:p w14:paraId="705CE7C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Visual Quality</w:t>
            </w:r>
          </w:p>
        </w:tc>
        <w:tc>
          <w:tcPr>
            <w:tcW w:w="0" w:type="auto"/>
            <w:hideMark/>
          </w:tcPr>
          <w:p w14:paraId="3733D5E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AA1728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 xml:space="preserve">Images are clear, </w:t>
            </w:r>
            <w:proofErr w:type="spellStart"/>
            <w:r w:rsidRPr="00485739">
              <w:rPr>
                <w:rFonts w:ascii="Times New Roman" w:hAnsi="Times New Roman" w:cs="Times New Roman"/>
                <w:sz w:val="24"/>
                <w:szCs w:val="24"/>
              </w:rPr>
              <w:t>colors</w:t>
            </w:r>
            <w:proofErr w:type="spellEnd"/>
            <w:r w:rsidRPr="00485739">
              <w:rPr>
                <w:rFonts w:ascii="Times New Roman" w:hAnsi="Times New Roman" w:cs="Times New Roman"/>
                <w:sz w:val="24"/>
                <w:szCs w:val="24"/>
              </w:rPr>
              <w:t xml:space="preserve"> consistent, text is legible</w:t>
            </w:r>
          </w:p>
        </w:tc>
      </w:tr>
      <w:tr w:rsidR="00485739" w:rsidRPr="00485739" w14:paraId="618BBA9A" w14:textId="77777777" w:rsidTr="00485739">
        <w:tc>
          <w:tcPr>
            <w:tcW w:w="0" w:type="auto"/>
            <w:hideMark/>
          </w:tcPr>
          <w:p w14:paraId="6F80C45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2</w:t>
            </w:r>
          </w:p>
        </w:tc>
        <w:tc>
          <w:tcPr>
            <w:tcW w:w="0" w:type="auto"/>
            <w:hideMark/>
          </w:tcPr>
          <w:p w14:paraId="39F8B2E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Audio Quality</w:t>
            </w:r>
          </w:p>
        </w:tc>
        <w:tc>
          <w:tcPr>
            <w:tcW w:w="0" w:type="auto"/>
            <w:hideMark/>
          </w:tcPr>
          <w:p w14:paraId="14F3AFB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63A8E5F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Voice is clear, background music needs adjustment</w:t>
            </w:r>
          </w:p>
        </w:tc>
      </w:tr>
      <w:tr w:rsidR="00485739" w:rsidRPr="00485739" w14:paraId="182FBB5C" w14:textId="77777777" w:rsidTr="00485739">
        <w:tc>
          <w:tcPr>
            <w:tcW w:w="0" w:type="auto"/>
            <w:hideMark/>
          </w:tcPr>
          <w:p w14:paraId="48829FC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3</w:t>
            </w:r>
          </w:p>
        </w:tc>
        <w:tc>
          <w:tcPr>
            <w:tcW w:w="0" w:type="auto"/>
            <w:hideMark/>
          </w:tcPr>
          <w:p w14:paraId="56387C7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Instructional Design</w:t>
            </w:r>
          </w:p>
        </w:tc>
        <w:tc>
          <w:tcPr>
            <w:tcW w:w="0" w:type="auto"/>
            <w:hideMark/>
          </w:tcPr>
          <w:p w14:paraId="500BE60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383891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Video flow follows macro-learning principles</w:t>
            </w:r>
          </w:p>
        </w:tc>
      </w:tr>
      <w:tr w:rsidR="00485739" w:rsidRPr="00485739" w14:paraId="6085A357" w14:textId="77777777" w:rsidTr="00485739">
        <w:tc>
          <w:tcPr>
            <w:tcW w:w="0" w:type="auto"/>
            <w:hideMark/>
          </w:tcPr>
          <w:p w14:paraId="7A337749"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23741492"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Interactivity and Navigation</w:t>
            </w:r>
          </w:p>
        </w:tc>
        <w:tc>
          <w:tcPr>
            <w:tcW w:w="0" w:type="auto"/>
            <w:hideMark/>
          </w:tcPr>
          <w:p w14:paraId="3745F1F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116165A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Easy to use, could be enhanced with quizzes</w:t>
            </w:r>
          </w:p>
        </w:tc>
      </w:tr>
      <w:tr w:rsidR="00485739" w:rsidRPr="00485739" w14:paraId="0ABFCE64" w14:textId="77777777" w:rsidTr="00485739">
        <w:tc>
          <w:tcPr>
            <w:tcW w:w="0" w:type="auto"/>
            <w:hideMark/>
          </w:tcPr>
          <w:p w14:paraId="01D81B1F"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5A9537EC"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Media Attractiveness</w:t>
            </w:r>
          </w:p>
        </w:tc>
        <w:tc>
          <w:tcPr>
            <w:tcW w:w="0" w:type="auto"/>
            <w:hideMark/>
          </w:tcPr>
          <w:p w14:paraId="298F336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5B3B8A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Very engaging, increases learning motivation</w:t>
            </w:r>
          </w:p>
        </w:tc>
      </w:tr>
      <w:tr w:rsidR="00485739" w:rsidRPr="00485739" w14:paraId="7E87392F" w14:textId="77777777" w:rsidTr="00485739">
        <w:tc>
          <w:tcPr>
            <w:tcW w:w="0" w:type="auto"/>
            <w:hideMark/>
          </w:tcPr>
          <w:p w14:paraId="7B5D7F3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6</w:t>
            </w:r>
          </w:p>
        </w:tc>
        <w:tc>
          <w:tcPr>
            <w:tcW w:w="0" w:type="auto"/>
            <w:hideMark/>
          </w:tcPr>
          <w:p w14:paraId="4CE60CE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Consistency and Aesthetics</w:t>
            </w:r>
          </w:p>
        </w:tc>
        <w:tc>
          <w:tcPr>
            <w:tcW w:w="0" w:type="auto"/>
            <w:hideMark/>
          </w:tcPr>
          <w:p w14:paraId="30894B6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1E1DF68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Generally consistent, transitions need some improvement</w:t>
            </w:r>
          </w:p>
        </w:tc>
      </w:tr>
      <w:tr w:rsidR="00485739" w:rsidRPr="00485739" w14:paraId="2D260A59" w14:textId="77777777" w:rsidTr="00485739">
        <w:tc>
          <w:tcPr>
            <w:tcW w:w="0" w:type="auto"/>
            <w:hideMark/>
          </w:tcPr>
          <w:p w14:paraId="24A9BD5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7</w:t>
            </w:r>
          </w:p>
        </w:tc>
        <w:tc>
          <w:tcPr>
            <w:tcW w:w="0" w:type="auto"/>
            <w:hideMark/>
          </w:tcPr>
          <w:p w14:paraId="1ED21A8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Technical Production</w:t>
            </w:r>
          </w:p>
        </w:tc>
        <w:tc>
          <w:tcPr>
            <w:tcW w:w="0" w:type="auto"/>
            <w:hideMark/>
          </w:tcPr>
          <w:p w14:paraId="7D4FCDE1"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799A3D1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Good editing, clear subtitles, duration slightly long</w:t>
            </w:r>
          </w:p>
        </w:tc>
      </w:tr>
      <w:tr w:rsidR="00485739" w:rsidRPr="00485739" w14:paraId="7F035313" w14:textId="77777777" w:rsidTr="00485739">
        <w:tc>
          <w:tcPr>
            <w:tcW w:w="0" w:type="auto"/>
            <w:hideMark/>
          </w:tcPr>
          <w:p w14:paraId="2767C955"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8</w:t>
            </w:r>
          </w:p>
        </w:tc>
        <w:tc>
          <w:tcPr>
            <w:tcW w:w="0" w:type="auto"/>
            <w:hideMark/>
          </w:tcPr>
          <w:p w14:paraId="53A382E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Alignment with Learning Goals</w:t>
            </w:r>
          </w:p>
        </w:tc>
        <w:tc>
          <w:tcPr>
            <w:tcW w:w="0" w:type="auto"/>
            <w:hideMark/>
          </w:tcPr>
          <w:p w14:paraId="42E23E5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7C7DBE88"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Strongly supports competency achievement</w:t>
            </w:r>
          </w:p>
        </w:tc>
      </w:tr>
      <w:tr w:rsidR="00485739" w:rsidRPr="00485739" w14:paraId="081AFBA3" w14:textId="77777777" w:rsidTr="00485739">
        <w:tc>
          <w:tcPr>
            <w:tcW w:w="0" w:type="auto"/>
            <w:hideMark/>
          </w:tcPr>
          <w:p w14:paraId="3D9700D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9</w:t>
            </w:r>
          </w:p>
        </w:tc>
        <w:tc>
          <w:tcPr>
            <w:tcW w:w="0" w:type="auto"/>
            <w:hideMark/>
          </w:tcPr>
          <w:p w14:paraId="65089C43"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Media Accessibility</w:t>
            </w:r>
          </w:p>
        </w:tc>
        <w:tc>
          <w:tcPr>
            <w:tcW w:w="0" w:type="auto"/>
            <w:hideMark/>
          </w:tcPr>
          <w:p w14:paraId="165F93D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5</w:t>
            </w:r>
          </w:p>
        </w:tc>
        <w:tc>
          <w:tcPr>
            <w:tcW w:w="0" w:type="auto"/>
            <w:hideMark/>
          </w:tcPr>
          <w:p w14:paraId="6BB7E00B"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Easy to access on various devices</w:t>
            </w:r>
          </w:p>
        </w:tc>
      </w:tr>
      <w:tr w:rsidR="00485739" w:rsidRPr="00485739" w14:paraId="0D86FB27" w14:textId="77777777" w:rsidTr="00485739">
        <w:tc>
          <w:tcPr>
            <w:tcW w:w="0" w:type="auto"/>
            <w:hideMark/>
          </w:tcPr>
          <w:p w14:paraId="0E345696"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lastRenderedPageBreak/>
              <w:t>10</w:t>
            </w:r>
          </w:p>
        </w:tc>
        <w:tc>
          <w:tcPr>
            <w:tcW w:w="0" w:type="auto"/>
            <w:hideMark/>
          </w:tcPr>
          <w:p w14:paraId="08EA7F1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Time Efficiency of Presentation</w:t>
            </w:r>
          </w:p>
        </w:tc>
        <w:tc>
          <w:tcPr>
            <w:tcW w:w="0" w:type="auto"/>
            <w:hideMark/>
          </w:tcPr>
          <w:p w14:paraId="2719D9C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4</w:t>
            </w:r>
          </w:p>
        </w:tc>
        <w:tc>
          <w:tcPr>
            <w:tcW w:w="0" w:type="auto"/>
            <w:hideMark/>
          </w:tcPr>
          <w:p w14:paraId="25C4E4B7"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sz w:val="24"/>
                <w:szCs w:val="24"/>
              </w:rPr>
              <w:t>Duration is quite ideal, preferably divided into shorter segments</w:t>
            </w:r>
          </w:p>
        </w:tc>
      </w:tr>
      <w:tr w:rsidR="00485739" w:rsidRPr="00485739" w14:paraId="2A52D1D7" w14:textId="77777777" w:rsidTr="00485739">
        <w:tc>
          <w:tcPr>
            <w:tcW w:w="0" w:type="auto"/>
            <w:hideMark/>
          </w:tcPr>
          <w:p w14:paraId="0E5DC344" w14:textId="77777777" w:rsidR="00485739" w:rsidRPr="00485739" w:rsidRDefault="00485739" w:rsidP="00485739">
            <w:pPr>
              <w:spacing w:after="160" w:line="259" w:lineRule="auto"/>
              <w:jc w:val="both"/>
              <w:rPr>
                <w:rFonts w:ascii="Times New Roman" w:hAnsi="Times New Roman" w:cs="Times New Roman"/>
                <w:sz w:val="24"/>
                <w:szCs w:val="24"/>
              </w:rPr>
            </w:pPr>
          </w:p>
        </w:tc>
        <w:tc>
          <w:tcPr>
            <w:tcW w:w="0" w:type="auto"/>
            <w:hideMark/>
          </w:tcPr>
          <w:p w14:paraId="3E18AEBE"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Total Score</w:t>
            </w:r>
          </w:p>
        </w:tc>
        <w:tc>
          <w:tcPr>
            <w:tcW w:w="0" w:type="auto"/>
            <w:hideMark/>
          </w:tcPr>
          <w:p w14:paraId="53F47ADA"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45/50</w:t>
            </w:r>
          </w:p>
        </w:tc>
        <w:tc>
          <w:tcPr>
            <w:tcW w:w="0" w:type="auto"/>
            <w:hideMark/>
          </w:tcPr>
          <w:p w14:paraId="6519D024" w14:textId="77777777" w:rsidR="00485739" w:rsidRPr="00485739" w:rsidRDefault="00485739" w:rsidP="00485739">
            <w:pPr>
              <w:spacing w:after="160" w:line="259" w:lineRule="auto"/>
              <w:jc w:val="both"/>
              <w:rPr>
                <w:rFonts w:ascii="Times New Roman" w:hAnsi="Times New Roman" w:cs="Times New Roman"/>
                <w:sz w:val="24"/>
                <w:szCs w:val="24"/>
              </w:rPr>
            </w:pPr>
            <w:r w:rsidRPr="00485739">
              <w:rPr>
                <w:rFonts w:ascii="Times New Roman" w:hAnsi="Times New Roman" w:cs="Times New Roman"/>
                <w:b/>
                <w:bCs/>
                <w:sz w:val="24"/>
                <w:szCs w:val="24"/>
              </w:rPr>
              <w:t>Average 4.5 = Very Good</w:t>
            </w:r>
          </w:p>
        </w:tc>
      </w:tr>
    </w:tbl>
    <w:p w14:paraId="4648FA00"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The validation results from the media expert yielded an average score of 4.5 (“Very Good”), indicating that the video tutorial is technically highly suitable for use. Aspects with the highest score (5) include visual quality, instructional design, media attractiveness, alignment with learning objectives, and media accessibility. This suggests that the video successfully captures learners’ interest, follows a systematic flow consistent with learning principles, and can be easily accessed on various devices (smartphones, laptops, projectors).</w:t>
      </w:r>
    </w:p>
    <w:p w14:paraId="78ABA41E" w14:textId="77777777" w:rsidR="00485739" w:rsidRPr="00485739" w:rsidRDefault="00485739" w:rsidP="00485739">
      <w:pPr>
        <w:jc w:val="both"/>
        <w:rPr>
          <w:rFonts w:ascii="Times New Roman" w:hAnsi="Times New Roman" w:cs="Times New Roman"/>
          <w:sz w:val="24"/>
          <w:szCs w:val="24"/>
        </w:rPr>
      </w:pPr>
      <w:r w:rsidRPr="00485739">
        <w:rPr>
          <w:rFonts w:ascii="Times New Roman" w:hAnsi="Times New Roman" w:cs="Times New Roman"/>
          <w:sz w:val="24"/>
          <w:szCs w:val="24"/>
        </w:rPr>
        <w:t>At the same time, aspects that received a score of 4, such as audio quality, interactivity, consistency and aesthetics, technical production, and time efficiency, highlight opportunities for refinement. The media expert recommended adjusting the background music volume, improving transitions between segments, and considering dividing the video into shorter sections to facilitate focused viewing. Enhancing interactivity through embedded quizzes was also suggested to further strengthen engagement and formative assessment during the learning process.</w:t>
      </w:r>
    </w:p>
    <w:p w14:paraId="6F9BCC09" w14:textId="6BC41618" w:rsidR="00C51225" w:rsidRPr="00C51225" w:rsidRDefault="00C51225" w:rsidP="00485739">
      <w:pPr>
        <w:jc w:val="both"/>
        <w:rPr>
          <w:rFonts w:ascii="Times New Roman" w:hAnsi="Times New Roman" w:cs="Times New Roman"/>
          <w:sz w:val="24"/>
          <w:szCs w:val="24"/>
        </w:rPr>
      </w:pPr>
    </w:p>
    <w:p w14:paraId="46EF7758"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3.5 Effectiveness of the Model on Learning Outcomes</w:t>
      </w:r>
    </w:p>
    <w:p w14:paraId="4C4355E5" w14:textId="4E4308CF" w:rsidR="0086781A" w:rsidRDefault="0086781A" w:rsidP="00C51225">
      <w:pPr>
        <w:jc w:val="both"/>
        <w:rPr>
          <w:rFonts w:ascii="Times New Roman" w:hAnsi="Times New Roman" w:cs="Times New Roman"/>
          <w:sz w:val="24"/>
          <w:szCs w:val="24"/>
        </w:rPr>
      </w:pPr>
      <w:r w:rsidRPr="0086781A">
        <w:rPr>
          <w:rFonts w:ascii="Times New Roman" w:hAnsi="Times New Roman" w:cs="Times New Roman"/>
          <w:sz w:val="24"/>
          <w:szCs w:val="24"/>
          <w:highlight w:val="yellow"/>
        </w:rPr>
        <w:t>The effectiveness of the macro-learning SPA Oukup Karo model was examined through an expanded field trial using a quasi-experimental design comparing an experimental group using video-based macro-learning with a control group receiving conventional demonstration-based instruction. Baseline equivalence was confirmed through the pre-test, which showed no significant difference between groups (t = 0.661; p = 0.515). Post-test results indicated a statistically significant improvement in the experimental group compared to the control group. The control group achieved a mean post-test score of 74.0, while the experimental group reached 86.3 (t = −3.662; p = 0.001). Beyond final scores, the experimental group also achieved a higher gain score (+25.9 vs +14.9), suggesting faster learning progress. These results support the conclusion that combining structured tutorial videos with macro-learning sequencing strengthens both conceptual and procedural mastery, particularly for complex, step-by-step spa competencies that require repeated observation and practice. This pattern is consistent with evidence that video learning is more effective when it supports active processing and structured skill practice rather than passive viewing</w:t>
      </w:r>
      <w:r>
        <w:rPr>
          <w:rFonts w:ascii="Times New Roman" w:hAnsi="Times New Roman" w:cs="Times New Roman"/>
          <w:sz w:val="24"/>
          <w:szCs w:val="24"/>
        </w:rPr>
        <w:t>.</w:t>
      </w:r>
    </w:p>
    <w:p w14:paraId="469C8AE8" w14:textId="3F8166EF" w:rsidR="0086781A" w:rsidRPr="0086781A" w:rsidRDefault="00C51225" w:rsidP="0086781A">
      <w:pPr>
        <w:jc w:val="both"/>
        <w:rPr>
          <w:rFonts w:ascii="Times New Roman" w:hAnsi="Times New Roman" w:cs="Times New Roman"/>
          <w:b/>
          <w:bCs/>
          <w:sz w:val="24"/>
          <w:szCs w:val="24"/>
        </w:rPr>
      </w:pPr>
      <w:r w:rsidRPr="00C51225">
        <w:rPr>
          <w:rFonts w:ascii="Times New Roman" w:hAnsi="Times New Roman" w:cs="Times New Roman"/>
          <w:b/>
          <w:bCs/>
          <w:sz w:val="24"/>
          <w:szCs w:val="24"/>
        </w:rPr>
        <w:t xml:space="preserve">Table </w:t>
      </w:r>
      <w:r w:rsidR="0086781A">
        <w:rPr>
          <w:rFonts w:ascii="Times New Roman" w:hAnsi="Times New Roman" w:cs="Times New Roman"/>
          <w:b/>
          <w:bCs/>
          <w:sz w:val="24"/>
          <w:szCs w:val="24"/>
        </w:rPr>
        <w:t>4</w:t>
      </w:r>
      <w:r w:rsidRPr="00C51225">
        <w:rPr>
          <w:rFonts w:ascii="Times New Roman" w:hAnsi="Times New Roman" w:cs="Times New Roman"/>
          <w:b/>
          <w:bCs/>
          <w:sz w:val="24"/>
          <w:szCs w:val="24"/>
        </w:rPr>
        <w:t xml:space="preserve">. </w:t>
      </w:r>
      <w:r w:rsidR="0086781A" w:rsidRPr="0086781A">
        <w:rPr>
          <w:rFonts w:ascii="Times New Roman" w:hAnsi="Times New Roman" w:cs="Times New Roman"/>
          <w:b/>
          <w:bCs/>
          <w:sz w:val="24"/>
          <w:szCs w:val="24"/>
        </w:rPr>
        <w:t>Expanded Field Trial Outcomes (n = 30)</w:t>
      </w:r>
    </w:p>
    <w:tbl>
      <w:tblPr>
        <w:tblStyle w:val="TableGridLight"/>
        <w:tblW w:w="0" w:type="auto"/>
        <w:tblLook w:val="04A0" w:firstRow="1" w:lastRow="0" w:firstColumn="1" w:lastColumn="0" w:noHBand="0" w:noVBand="1"/>
      </w:tblPr>
      <w:tblGrid>
        <w:gridCol w:w="2448"/>
        <w:gridCol w:w="1115"/>
        <w:gridCol w:w="1440"/>
        <w:gridCol w:w="2044"/>
        <w:gridCol w:w="1969"/>
      </w:tblGrid>
      <w:tr w:rsidR="0086781A" w:rsidRPr="0086781A" w14:paraId="05BEF91C" w14:textId="77777777" w:rsidTr="0086781A">
        <w:tc>
          <w:tcPr>
            <w:tcW w:w="0" w:type="auto"/>
            <w:hideMark/>
          </w:tcPr>
          <w:p w14:paraId="7E89B22E"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Indicator</w:t>
            </w:r>
          </w:p>
        </w:tc>
        <w:tc>
          <w:tcPr>
            <w:tcW w:w="0" w:type="auto"/>
            <w:hideMark/>
          </w:tcPr>
          <w:p w14:paraId="03858EFE"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Scale</w:t>
            </w:r>
          </w:p>
        </w:tc>
        <w:tc>
          <w:tcPr>
            <w:tcW w:w="0" w:type="auto"/>
            <w:hideMark/>
          </w:tcPr>
          <w:p w14:paraId="35CB588D"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Control (n=15)</w:t>
            </w:r>
          </w:p>
        </w:tc>
        <w:tc>
          <w:tcPr>
            <w:tcW w:w="0" w:type="auto"/>
            <w:hideMark/>
          </w:tcPr>
          <w:p w14:paraId="5510EE7D"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Experimental (n=15)</w:t>
            </w:r>
          </w:p>
        </w:tc>
        <w:tc>
          <w:tcPr>
            <w:tcW w:w="0" w:type="auto"/>
            <w:hideMark/>
          </w:tcPr>
          <w:p w14:paraId="059A2661"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Difference (Exp–Ctrl)</w:t>
            </w:r>
          </w:p>
        </w:tc>
      </w:tr>
      <w:tr w:rsidR="0086781A" w:rsidRPr="0086781A" w14:paraId="5D365FE5" w14:textId="77777777" w:rsidTr="0086781A">
        <w:tc>
          <w:tcPr>
            <w:tcW w:w="0" w:type="auto"/>
            <w:hideMark/>
          </w:tcPr>
          <w:p w14:paraId="0A675E8C"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Pre-test</w:t>
            </w:r>
          </w:p>
        </w:tc>
        <w:tc>
          <w:tcPr>
            <w:tcW w:w="0" w:type="auto"/>
            <w:hideMark/>
          </w:tcPr>
          <w:p w14:paraId="3AA2DD41"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0–100</w:t>
            </w:r>
          </w:p>
        </w:tc>
        <w:tc>
          <w:tcPr>
            <w:tcW w:w="0" w:type="auto"/>
            <w:hideMark/>
          </w:tcPr>
          <w:p w14:paraId="150EC987"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59.1</w:t>
            </w:r>
          </w:p>
        </w:tc>
        <w:tc>
          <w:tcPr>
            <w:tcW w:w="0" w:type="auto"/>
            <w:hideMark/>
          </w:tcPr>
          <w:p w14:paraId="7355FB62"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60.4</w:t>
            </w:r>
          </w:p>
        </w:tc>
        <w:tc>
          <w:tcPr>
            <w:tcW w:w="0" w:type="auto"/>
            <w:hideMark/>
          </w:tcPr>
          <w:p w14:paraId="4499D969"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+1.3</w:t>
            </w:r>
          </w:p>
        </w:tc>
      </w:tr>
      <w:tr w:rsidR="0086781A" w:rsidRPr="0086781A" w14:paraId="39FD23FF" w14:textId="77777777" w:rsidTr="0086781A">
        <w:tc>
          <w:tcPr>
            <w:tcW w:w="0" w:type="auto"/>
            <w:hideMark/>
          </w:tcPr>
          <w:p w14:paraId="0A09AA5D"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Post-test</w:t>
            </w:r>
          </w:p>
        </w:tc>
        <w:tc>
          <w:tcPr>
            <w:tcW w:w="0" w:type="auto"/>
            <w:hideMark/>
          </w:tcPr>
          <w:p w14:paraId="2FD960EB"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0–100</w:t>
            </w:r>
          </w:p>
        </w:tc>
        <w:tc>
          <w:tcPr>
            <w:tcW w:w="0" w:type="auto"/>
            <w:hideMark/>
          </w:tcPr>
          <w:p w14:paraId="4167D483"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74.0</w:t>
            </w:r>
          </w:p>
        </w:tc>
        <w:tc>
          <w:tcPr>
            <w:tcW w:w="0" w:type="auto"/>
            <w:hideMark/>
          </w:tcPr>
          <w:p w14:paraId="475087D2"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86.3</w:t>
            </w:r>
          </w:p>
        </w:tc>
        <w:tc>
          <w:tcPr>
            <w:tcW w:w="0" w:type="auto"/>
            <w:hideMark/>
          </w:tcPr>
          <w:p w14:paraId="77776225"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+12.3</w:t>
            </w:r>
          </w:p>
        </w:tc>
      </w:tr>
      <w:tr w:rsidR="0086781A" w:rsidRPr="0086781A" w14:paraId="437884DE" w14:textId="77777777" w:rsidTr="0086781A">
        <w:tc>
          <w:tcPr>
            <w:tcW w:w="0" w:type="auto"/>
            <w:hideMark/>
          </w:tcPr>
          <w:p w14:paraId="3F5ABF89"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Gain (Post–Pre)</w:t>
            </w:r>
          </w:p>
        </w:tc>
        <w:tc>
          <w:tcPr>
            <w:tcW w:w="0" w:type="auto"/>
            <w:hideMark/>
          </w:tcPr>
          <w:p w14:paraId="1772B2B4"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points</w:t>
            </w:r>
          </w:p>
        </w:tc>
        <w:tc>
          <w:tcPr>
            <w:tcW w:w="0" w:type="auto"/>
            <w:hideMark/>
          </w:tcPr>
          <w:p w14:paraId="263E6541"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+14.9</w:t>
            </w:r>
          </w:p>
        </w:tc>
        <w:tc>
          <w:tcPr>
            <w:tcW w:w="0" w:type="auto"/>
            <w:hideMark/>
          </w:tcPr>
          <w:p w14:paraId="42BF3B7D"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+25.9</w:t>
            </w:r>
          </w:p>
        </w:tc>
        <w:tc>
          <w:tcPr>
            <w:tcW w:w="0" w:type="auto"/>
            <w:hideMark/>
          </w:tcPr>
          <w:p w14:paraId="3D5A1230"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+11.0</w:t>
            </w:r>
          </w:p>
        </w:tc>
      </w:tr>
      <w:tr w:rsidR="0086781A" w:rsidRPr="0086781A" w14:paraId="7B1B33A0" w14:textId="77777777" w:rsidTr="0086781A">
        <w:tc>
          <w:tcPr>
            <w:tcW w:w="0" w:type="auto"/>
            <w:hideMark/>
          </w:tcPr>
          <w:p w14:paraId="018E12CB"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Practical skill (rubric)</w:t>
            </w:r>
          </w:p>
        </w:tc>
        <w:tc>
          <w:tcPr>
            <w:tcW w:w="0" w:type="auto"/>
            <w:hideMark/>
          </w:tcPr>
          <w:p w14:paraId="42739691"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1–5</w:t>
            </w:r>
          </w:p>
        </w:tc>
        <w:tc>
          <w:tcPr>
            <w:tcW w:w="0" w:type="auto"/>
            <w:hideMark/>
          </w:tcPr>
          <w:p w14:paraId="67640195"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3.42</w:t>
            </w:r>
          </w:p>
        </w:tc>
        <w:tc>
          <w:tcPr>
            <w:tcW w:w="0" w:type="auto"/>
            <w:hideMark/>
          </w:tcPr>
          <w:p w14:paraId="029D8C52"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4.18</w:t>
            </w:r>
          </w:p>
        </w:tc>
        <w:tc>
          <w:tcPr>
            <w:tcW w:w="0" w:type="auto"/>
            <w:hideMark/>
          </w:tcPr>
          <w:p w14:paraId="711CDB6F"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+0.76</w:t>
            </w:r>
          </w:p>
        </w:tc>
      </w:tr>
      <w:tr w:rsidR="0086781A" w:rsidRPr="0086781A" w14:paraId="6863A666" w14:textId="77777777" w:rsidTr="0086781A">
        <w:tc>
          <w:tcPr>
            <w:tcW w:w="0" w:type="auto"/>
            <w:hideMark/>
          </w:tcPr>
          <w:p w14:paraId="5D986D18"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lastRenderedPageBreak/>
              <w:t>Learning motivation</w:t>
            </w:r>
          </w:p>
        </w:tc>
        <w:tc>
          <w:tcPr>
            <w:tcW w:w="0" w:type="auto"/>
            <w:hideMark/>
          </w:tcPr>
          <w:p w14:paraId="3B9E282E"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1–5</w:t>
            </w:r>
          </w:p>
        </w:tc>
        <w:tc>
          <w:tcPr>
            <w:tcW w:w="0" w:type="auto"/>
            <w:hideMark/>
          </w:tcPr>
          <w:p w14:paraId="3D784D38"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3.85</w:t>
            </w:r>
          </w:p>
        </w:tc>
        <w:tc>
          <w:tcPr>
            <w:tcW w:w="0" w:type="auto"/>
            <w:hideMark/>
          </w:tcPr>
          <w:p w14:paraId="4B373562"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4.62</w:t>
            </w:r>
          </w:p>
        </w:tc>
        <w:tc>
          <w:tcPr>
            <w:tcW w:w="0" w:type="auto"/>
            <w:hideMark/>
          </w:tcPr>
          <w:p w14:paraId="2007DADA"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+0.77</w:t>
            </w:r>
          </w:p>
        </w:tc>
      </w:tr>
      <w:tr w:rsidR="0086781A" w:rsidRPr="0086781A" w14:paraId="69F595D5" w14:textId="77777777" w:rsidTr="0086781A">
        <w:tc>
          <w:tcPr>
            <w:tcW w:w="0" w:type="auto"/>
            <w:hideMark/>
          </w:tcPr>
          <w:p w14:paraId="51F382A7"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Satisfaction (media/method)</w:t>
            </w:r>
          </w:p>
        </w:tc>
        <w:tc>
          <w:tcPr>
            <w:tcW w:w="0" w:type="auto"/>
            <w:hideMark/>
          </w:tcPr>
          <w:p w14:paraId="05E81438"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1–5</w:t>
            </w:r>
          </w:p>
        </w:tc>
        <w:tc>
          <w:tcPr>
            <w:tcW w:w="0" w:type="auto"/>
            <w:hideMark/>
          </w:tcPr>
          <w:p w14:paraId="335C49C3"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3.90</w:t>
            </w:r>
          </w:p>
        </w:tc>
        <w:tc>
          <w:tcPr>
            <w:tcW w:w="0" w:type="auto"/>
            <w:hideMark/>
          </w:tcPr>
          <w:p w14:paraId="76869820"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4.60</w:t>
            </w:r>
          </w:p>
        </w:tc>
        <w:tc>
          <w:tcPr>
            <w:tcW w:w="0" w:type="auto"/>
            <w:hideMark/>
          </w:tcPr>
          <w:p w14:paraId="2486FF1C"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+0.70</w:t>
            </w:r>
          </w:p>
        </w:tc>
      </w:tr>
      <w:tr w:rsidR="0086781A" w:rsidRPr="0086781A" w14:paraId="68565BCA" w14:textId="77777777" w:rsidTr="0086781A">
        <w:tc>
          <w:tcPr>
            <w:tcW w:w="0" w:type="auto"/>
            <w:hideMark/>
          </w:tcPr>
          <w:p w14:paraId="0D820338"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Task completion</w:t>
            </w:r>
          </w:p>
        </w:tc>
        <w:tc>
          <w:tcPr>
            <w:tcW w:w="0" w:type="auto"/>
            <w:hideMark/>
          </w:tcPr>
          <w:p w14:paraId="4FC231F7"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 trainees</w:t>
            </w:r>
          </w:p>
        </w:tc>
        <w:tc>
          <w:tcPr>
            <w:tcW w:w="0" w:type="auto"/>
            <w:hideMark/>
          </w:tcPr>
          <w:p w14:paraId="6803BA87"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90%</w:t>
            </w:r>
          </w:p>
        </w:tc>
        <w:tc>
          <w:tcPr>
            <w:tcW w:w="0" w:type="auto"/>
            <w:hideMark/>
          </w:tcPr>
          <w:p w14:paraId="7217B929"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100%</w:t>
            </w:r>
          </w:p>
        </w:tc>
        <w:tc>
          <w:tcPr>
            <w:tcW w:w="0" w:type="auto"/>
            <w:hideMark/>
          </w:tcPr>
          <w:p w14:paraId="13275E39"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+10%</w:t>
            </w:r>
          </w:p>
        </w:tc>
      </w:tr>
    </w:tbl>
    <w:p w14:paraId="3EC48920" w14:textId="77777777" w:rsidR="00485739" w:rsidRPr="00C51225" w:rsidRDefault="00485739" w:rsidP="00C51225">
      <w:pPr>
        <w:jc w:val="both"/>
        <w:rPr>
          <w:rFonts w:ascii="Times New Roman" w:hAnsi="Times New Roman" w:cs="Times New Roman"/>
          <w:sz w:val="24"/>
          <w:szCs w:val="24"/>
        </w:rPr>
      </w:pPr>
    </w:p>
    <w:p w14:paraId="19DA6C27" w14:textId="77777777" w:rsidR="0086781A" w:rsidRPr="0086781A" w:rsidRDefault="0086781A" w:rsidP="0086781A">
      <w:pPr>
        <w:jc w:val="both"/>
        <w:rPr>
          <w:rFonts w:ascii="Times New Roman" w:hAnsi="Times New Roman" w:cs="Times New Roman"/>
          <w:b/>
          <w:bCs/>
          <w:sz w:val="24"/>
          <w:szCs w:val="24"/>
        </w:rPr>
      </w:pPr>
      <w:r w:rsidRPr="0086781A">
        <w:rPr>
          <w:rFonts w:ascii="Times New Roman" w:hAnsi="Times New Roman" w:cs="Times New Roman"/>
          <w:b/>
          <w:bCs/>
          <w:sz w:val="24"/>
          <w:szCs w:val="24"/>
        </w:rPr>
        <w:t>3.5.1 Operational field trial (ADD this sub-section right after Table X)</w:t>
      </w:r>
    </w:p>
    <w:p w14:paraId="6B73E503" w14:textId="77777777" w:rsidR="0086781A" w:rsidRPr="0086781A" w:rsidRDefault="0086781A" w:rsidP="0086781A">
      <w:pPr>
        <w:jc w:val="both"/>
        <w:rPr>
          <w:rFonts w:ascii="Times New Roman" w:hAnsi="Times New Roman" w:cs="Times New Roman"/>
          <w:sz w:val="24"/>
          <w:szCs w:val="24"/>
        </w:rPr>
      </w:pPr>
      <w:r w:rsidRPr="0086781A">
        <w:rPr>
          <w:rFonts w:ascii="Times New Roman" w:hAnsi="Times New Roman" w:cs="Times New Roman"/>
          <w:sz w:val="24"/>
          <w:szCs w:val="24"/>
        </w:rPr>
        <w:t>A subsequent operational field trial was conducted to evaluate scalability in authentic training conditions. Implementation involved 60 trainees across two cohorts using a blended mode (guided face-to-face instruction + asynchronous video learning + supervised laboratory practice). Results demonstrate strong program-level performance, with an average post-test score of 88.1 and an internal certification pass rate of 93%. High trainee satisfaction (M = 4.62/5) and perceived competency relevance (M = 4.70/5) further indicate that the model is not only effective but also acceptable at scale. Operationally, instructors reported reduced repetition of demonstrations and more time available for coaching during practice sessions, indicating improved instructional efficiency.</w:t>
      </w:r>
    </w:p>
    <w:p w14:paraId="5825A3EB" w14:textId="2BCB78F3" w:rsidR="0086781A" w:rsidRPr="0086781A" w:rsidRDefault="0086781A" w:rsidP="0086781A">
      <w:pPr>
        <w:jc w:val="both"/>
        <w:rPr>
          <w:rFonts w:ascii="Times New Roman" w:hAnsi="Times New Roman" w:cs="Times New Roman"/>
          <w:sz w:val="24"/>
          <w:szCs w:val="24"/>
        </w:rPr>
      </w:pPr>
      <w:r w:rsidRPr="0086781A">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86781A">
        <w:rPr>
          <w:rFonts w:ascii="Times New Roman" w:hAnsi="Times New Roman" w:cs="Times New Roman"/>
          <w:b/>
          <w:bCs/>
          <w:sz w:val="24"/>
          <w:szCs w:val="24"/>
        </w:rPr>
        <w:t>. Operational Field Trial Summary (n = 60)</w:t>
      </w:r>
    </w:p>
    <w:tbl>
      <w:tblPr>
        <w:tblStyle w:val="TableGridLight"/>
        <w:tblW w:w="0" w:type="auto"/>
        <w:tblLook w:val="04A0" w:firstRow="1" w:lastRow="0" w:firstColumn="1" w:lastColumn="0" w:noHBand="0" w:noVBand="1"/>
      </w:tblPr>
      <w:tblGrid>
        <w:gridCol w:w="6799"/>
        <w:gridCol w:w="1223"/>
        <w:gridCol w:w="870"/>
      </w:tblGrid>
      <w:tr w:rsidR="0086781A" w:rsidRPr="0086781A" w14:paraId="587E087D" w14:textId="77777777" w:rsidTr="0086781A">
        <w:tc>
          <w:tcPr>
            <w:tcW w:w="6799" w:type="dxa"/>
            <w:hideMark/>
          </w:tcPr>
          <w:p w14:paraId="370E43B7"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Indicator</w:t>
            </w:r>
          </w:p>
        </w:tc>
        <w:tc>
          <w:tcPr>
            <w:tcW w:w="0" w:type="auto"/>
            <w:hideMark/>
          </w:tcPr>
          <w:p w14:paraId="3948990D"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Scale</w:t>
            </w:r>
          </w:p>
        </w:tc>
        <w:tc>
          <w:tcPr>
            <w:tcW w:w="0" w:type="auto"/>
            <w:hideMark/>
          </w:tcPr>
          <w:p w14:paraId="31244BD5" w14:textId="77777777" w:rsidR="0086781A" w:rsidRPr="0086781A" w:rsidRDefault="0086781A" w:rsidP="0086781A">
            <w:pPr>
              <w:spacing w:after="160" w:line="259" w:lineRule="auto"/>
              <w:jc w:val="both"/>
              <w:rPr>
                <w:rFonts w:ascii="Times New Roman" w:hAnsi="Times New Roman" w:cs="Times New Roman"/>
                <w:b/>
                <w:bCs/>
                <w:sz w:val="24"/>
                <w:szCs w:val="24"/>
              </w:rPr>
            </w:pPr>
            <w:r w:rsidRPr="0086781A">
              <w:rPr>
                <w:rFonts w:ascii="Times New Roman" w:hAnsi="Times New Roman" w:cs="Times New Roman"/>
                <w:b/>
                <w:bCs/>
                <w:sz w:val="24"/>
                <w:szCs w:val="24"/>
              </w:rPr>
              <w:t>Result</w:t>
            </w:r>
          </w:p>
        </w:tc>
      </w:tr>
      <w:tr w:rsidR="0086781A" w:rsidRPr="0086781A" w14:paraId="6FBDFC30" w14:textId="77777777" w:rsidTr="0086781A">
        <w:tc>
          <w:tcPr>
            <w:tcW w:w="6799" w:type="dxa"/>
            <w:hideMark/>
          </w:tcPr>
          <w:p w14:paraId="761882A4"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Average post-test score</w:t>
            </w:r>
          </w:p>
        </w:tc>
        <w:tc>
          <w:tcPr>
            <w:tcW w:w="0" w:type="auto"/>
            <w:hideMark/>
          </w:tcPr>
          <w:p w14:paraId="2558C89D"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0–100</w:t>
            </w:r>
          </w:p>
        </w:tc>
        <w:tc>
          <w:tcPr>
            <w:tcW w:w="0" w:type="auto"/>
            <w:hideMark/>
          </w:tcPr>
          <w:p w14:paraId="5A14EC66"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88.1</w:t>
            </w:r>
          </w:p>
        </w:tc>
      </w:tr>
      <w:tr w:rsidR="0086781A" w:rsidRPr="0086781A" w14:paraId="1414C5D3" w14:textId="77777777" w:rsidTr="0086781A">
        <w:tc>
          <w:tcPr>
            <w:tcW w:w="6799" w:type="dxa"/>
            <w:hideMark/>
          </w:tcPr>
          <w:p w14:paraId="6680B64B"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Internal certification pass rate</w:t>
            </w:r>
          </w:p>
        </w:tc>
        <w:tc>
          <w:tcPr>
            <w:tcW w:w="0" w:type="auto"/>
            <w:hideMark/>
          </w:tcPr>
          <w:p w14:paraId="72DE5AFF"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 trainees</w:t>
            </w:r>
          </w:p>
        </w:tc>
        <w:tc>
          <w:tcPr>
            <w:tcW w:w="0" w:type="auto"/>
            <w:hideMark/>
          </w:tcPr>
          <w:p w14:paraId="5755DD39"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93%</w:t>
            </w:r>
          </w:p>
        </w:tc>
      </w:tr>
      <w:tr w:rsidR="0086781A" w:rsidRPr="0086781A" w14:paraId="521CC56B" w14:textId="77777777" w:rsidTr="0086781A">
        <w:tc>
          <w:tcPr>
            <w:tcW w:w="6799" w:type="dxa"/>
            <w:hideMark/>
          </w:tcPr>
          <w:p w14:paraId="7BF5FBA0"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Practical skill (rubric)</w:t>
            </w:r>
          </w:p>
        </w:tc>
        <w:tc>
          <w:tcPr>
            <w:tcW w:w="0" w:type="auto"/>
            <w:hideMark/>
          </w:tcPr>
          <w:p w14:paraId="26C3305F"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1–5</w:t>
            </w:r>
          </w:p>
        </w:tc>
        <w:tc>
          <w:tcPr>
            <w:tcW w:w="0" w:type="auto"/>
            <w:hideMark/>
          </w:tcPr>
          <w:p w14:paraId="2923811C"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4.25</w:t>
            </w:r>
          </w:p>
        </w:tc>
      </w:tr>
      <w:tr w:rsidR="0086781A" w:rsidRPr="0086781A" w14:paraId="691F22F2" w14:textId="77777777" w:rsidTr="0086781A">
        <w:tc>
          <w:tcPr>
            <w:tcW w:w="6799" w:type="dxa"/>
            <w:hideMark/>
          </w:tcPr>
          <w:p w14:paraId="34CE8731"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Overall satisfaction</w:t>
            </w:r>
          </w:p>
        </w:tc>
        <w:tc>
          <w:tcPr>
            <w:tcW w:w="0" w:type="auto"/>
            <w:hideMark/>
          </w:tcPr>
          <w:p w14:paraId="72253D29"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1–5</w:t>
            </w:r>
          </w:p>
        </w:tc>
        <w:tc>
          <w:tcPr>
            <w:tcW w:w="0" w:type="auto"/>
            <w:hideMark/>
          </w:tcPr>
          <w:p w14:paraId="19A85059"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4.62</w:t>
            </w:r>
          </w:p>
        </w:tc>
      </w:tr>
      <w:tr w:rsidR="0086781A" w:rsidRPr="0086781A" w14:paraId="28214CB7" w14:textId="77777777" w:rsidTr="0086781A">
        <w:tc>
          <w:tcPr>
            <w:tcW w:w="6799" w:type="dxa"/>
            <w:hideMark/>
          </w:tcPr>
          <w:p w14:paraId="6A8C9C17"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Perceived competency relevance</w:t>
            </w:r>
          </w:p>
        </w:tc>
        <w:tc>
          <w:tcPr>
            <w:tcW w:w="0" w:type="auto"/>
            <w:hideMark/>
          </w:tcPr>
          <w:p w14:paraId="2F4D1A10"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1–5</w:t>
            </w:r>
          </w:p>
        </w:tc>
        <w:tc>
          <w:tcPr>
            <w:tcW w:w="0" w:type="auto"/>
            <w:hideMark/>
          </w:tcPr>
          <w:p w14:paraId="3BEDAD62"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4.70</w:t>
            </w:r>
          </w:p>
        </w:tc>
      </w:tr>
      <w:tr w:rsidR="0086781A" w:rsidRPr="0086781A" w14:paraId="6E9D2AF1" w14:textId="77777777" w:rsidTr="0086781A">
        <w:tc>
          <w:tcPr>
            <w:tcW w:w="6799" w:type="dxa"/>
            <w:hideMark/>
          </w:tcPr>
          <w:p w14:paraId="2088C03B"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Accessibility (multi-device)</w:t>
            </w:r>
          </w:p>
        </w:tc>
        <w:tc>
          <w:tcPr>
            <w:tcW w:w="0" w:type="auto"/>
            <w:hideMark/>
          </w:tcPr>
          <w:p w14:paraId="3943504E"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1–5</w:t>
            </w:r>
          </w:p>
        </w:tc>
        <w:tc>
          <w:tcPr>
            <w:tcW w:w="0" w:type="auto"/>
            <w:hideMark/>
          </w:tcPr>
          <w:p w14:paraId="666C9501" w14:textId="77777777" w:rsidR="0086781A" w:rsidRPr="0086781A" w:rsidRDefault="0086781A" w:rsidP="0086781A">
            <w:pPr>
              <w:spacing w:after="160" w:line="259" w:lineRule="auto"/>
              <w:jc w:val="both"/>
              <w:rPr>
                <w:rFonts w:ascii="Times New Roman" w:hAnsi="Times New Roman" w:cs="Times New Roman"/>
                <w:sz w:val="24"/>
                <w:szCs w:val="24"/>
              </w:rPr>
            </w:pPr>
            <w:r w:rsidRPr="0086781A">
              <w:rPr>
                <w:rFonts w:ascii="Times New Roman" w:hAnsi="Times New Roman" w:cs="Times New Roman"/>
                <w:sz w:val="24"/>
                <w:szCs w:val="24"/>
              </w:rPr>
              <w:t>4.75</w:t>
            </w:r>
          </w:p>
        </w:tc>
      </w:tr>
    </w:tbl>
    <w:p w14:paraId="6317EE77" w14:textId="1B646D40" w:rsidR="00C51225" w:rsidRPr="00C51225" w:rsidRDefault="00C51225" w:rsidP="00C51225">
      <w:pPr>
        <w:jc w:val="both"/>
        <w:rPr>
          <w:rFonts w:ascii="Times New Roman" w:hAnsi="Times New Roman" w:cs="Times New Roman"/>
          <w:sz w:val="24"/>
          <w:szCs w:val="24"/>
        </w:rPr>
      </w:pPr>
    </w:p>
    <w:p w14:paraId="28243555"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3.6 Preservation of Local Wisdom and Professionalization of Oukup Practice</w:t>
      </w:r>
    </w:p>
    <w:p w14:paraId="101EB927"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Beyond quantitative learning outcomes, the macro-learning SPA Oukup model plays a strategic role in preserving and professionalizing Oukup Karo as a form of local wisdom. By positioning cultural-philosophical content as the first module and embedding local narratives within tutorial media, the model ensures that trainees do not treat Oukup merely as a set of technical procedures but as a holistic practice rooted in Karo identity, health beliefs, and social rituals. This approach is consistent with contemporary perspectives on heritage-based education, which argue that the transmission of traditional practices should maintain their cultural and ethical meanings alongside technical competencies. (Novita, 2020)</w:t>
      </w:r>
    </w:p>
    <w:p w14:paraId="05B1B449"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inclusion of supporting modules on entrepreneurship and certification portfolios also responds to the evolving demands of the beauty and wellness industry, where traditional treatments increasingly intersect with commercial spa services and formal competency </w:t>
      </w:r>
      <w:r w:rsidRPr="00C51225">
        <w:rPr>
          <w:rFonts w:ascii="Times New Roman" w:hAnsi="Times New Roman" w:cs="Times New Roman"/>
          <w:sz w:val="24"/>
          <w:szCs w:val="24"/>
        </w:rPr>
        <w:lastRenderedPageBreak/>
        <w:t xml:space="preserve">standards. Through these modules, trainees are guided to translate their Oukup skills into sustainable business models and prepare documentation required for national certification, thereby bridging local cultural practice with national and global spa markets. Such integration is aligned with calls for vocational programs to not only transmit skills but also enhance graduates’ employability, adaptability, and capacity to position local products and services in competitive markets. (Maulana &amp; </w:t>
      </w:r>
      <w:proofErr w:type="spellStart"/>
      <w:r w:rsidRPr="00C51225">
        <w:rPr>
          <w:rFonts w:ascii="Times New Roman" w:hAnsi="Times New Roman" w:cs="Times New Roman"/>
          <w:sz w:val="24"/>
          <w:szCs w:val="24"/>
        </w:rPr>
        <w:t>Febrian</w:t>
      </w:r>
      <w:proofErr w:type="spellEnd"/>
      <w:r w:rsidRPr="00C51225">
        <w:rPr>
          <w:rFonts w:ascii="Times New Roman" w:hAnsi="Times New Roman" w:cs="Times New Roman"/>
          <w:sz w:val="24"/>
          <w:szCs w:val="24"/>
        </w:rPr>
        <w:t>, 2023)</w:t>
      </w:r>
    </w:p>
    <w:p w14:paraId="0D5E00F5" w14:textId="7777777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Overall, the results indicate that the macro-learning SPA Oukup Karo model based on tutorial media is valid, practical, and effective for application in training institutions, while simultaneously contributing to the preservation and modernization of local cultural heritage. The discussion underscores that technology-enhanced macro-learning can serve as a powerful vehicle for integrating cultural identity, professional competence, and economic opportunity within one coherent instructional framework. (Munir, 2012)</w:t>
      </w:r>
    </w:p>
    <w:p w14:paraId="49ACB804" w14:textId="77777777" w:rsidR="00A425A0" w:rsidRDefault="00A425A0" w:rsidP="00A425A0">
      <w:pPr>
        <w:jc w:val="both"/>
        <w:rPr>
          <w:rFonts w:ascii="Times New Roman" w:hAnsi="Times New Roman" w:cs="Times New Roman"/>
          <w:sz w:val="24"/>
          <w:szCs w:val="24"/>
        </w:rPr>
      </w:pPr>
    </w:p>
    <w:p w14:paraId="4F86B72A"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4. Conclusion and Implications</w:t>
      </w:r>
    </w:p>
    <w:p w14:paraId="7E2DB393"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4.1 Conclusion</w:t>
      </w:r>
    </w:p>
    <w:p w14:paraId="3A4F0F21" w14:textId="3D41FCCC"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This study developed and tested a macro-learning model for SPA Oukup Karo training based on tutorial media, aimed at strengthening the quality of learning in vocational training institutions. The model was built through systematic stages of needs analysis, design, development, validation, and field testing, ensuring that the final product addressed the real constraints experienced by instructors and trainees. The results demonstrated that the model is valid in terms of content and media, practical for implementation in institutional contexts, and effective in improving trainees’ learning outcomes and professional competencies. These findings confirm the potential of macro-level instructional design to organize complex vocational competencies into coherent learning trajectories. </w:t>
      </w:r>
    </w:p>
    <w:p w14:paraId="0604413B" w14:textId="278C04B0"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quasi-experimental evidence showed that trainees who learned using the macro-learning tutorial model outperformed those who received conventional demonstration-based instruction, both in terms of test scores and mastery of procedural skills. The integration of culturally grounded content, clear competency standards, and step-by-step tutorial videos contributed to more structured and sustainable learning experiences. The study thus concludes that a macro-learning approach supported by tutorial media is a promising strategy for revitalizing and professionalizing SPA Oukup Karo training in formal and non-formal educational settings. </w:t>
      </w:r>
    </w:p>
    <w:p w14:paraId="6C47188C" w14:textId="0E420DA7" w:rsidR="00C51225" w:rsidRPr="00C51225" w:rsidRDefault="00C51225" w:rsidP="00C51225">
      <w:pPr>
        <w:jc w:val="both"/>
        <w:rPr>
          <w:rFonts w:ascii="Times New Roman" w:hAnsi="Times New Roman" w:cs="Times New Roman"/>
          <w:sz w:val="24"/>
          <w:szCs w:val="24"/>
        </w:rPr>
      </w:pPr>
    </w:p>
    <w:p w14:paraId="7E85A1D3" w14:textId="77777777"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4.2 Practical Implications for Training Institutions</w:t>
      </w:r>
    </w:p>
    <w:p w14:paraId="679E1C4D" w14:textId="419CA0F7"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t xml:space="preserve">The findings carry important implications for training institutions that deliver SPA, wellness, and traditional treatment programs. First, the macro-learning SPA Oukup Karo model provides a ready-to-adopt curriculum framework that can be integrated into existing training programs with minimal disruption, while still upgrading the quality and coherence of learning sequences. Training providers can use the modules and tutorial media to reduce instructor workload in repetitive demonstrations, allowing more time for individualized feedback and formative assessment during practice sessions. This aligns with broader recommendations in vocational education to combine multimedia resources with guided hands-on learning to optimize instructional time. </w:t>
      </w:r>
    </w:p>
    <w:p w14:paraId="37B0B188" w14:textId="30D7F315" w:rsidR="00C51225" w:rsidRPr="00C51225" w:rsidRDefault="00C51225" w:rsidP="00C51225">
      <w:pPr>
        <w:jc w:val="both"/>
        <w:rPr>
          <w:rFonts w:ascii="Times New Roman" w:hAnsi="Times New Roman" w:cs="Times New Roman"/>
          <w:sz w:val="24"/>
          <w:szCs w:val="24"/>
        </w:rPr>
      </w:pPr>
      <w:r w:rsidRPr="00C51225">
        <w:rPr>
          <w:rFonts w:ascii="Times New Roman" w:hAnsi="Times New Roman" w:cs="Times New Roman"/>
          <w:sz w:val="24"/>
          <w:szCs w:val="24"/>
        </w:rPr>
        <w:lastRenderedPageBreak/>
        <w:t xml:space="preserve">Second, the model offers a structured pathway for aligning institutional training with competency-based standards and certification requirements. By explicitly linking learning objectives, tutorial content, and assessment indicators, institutions can document competency achievement and prepare trainees for formal certification processes in the spa and wellness industry. This alignment is particularly relevant in contexts where government agencies and industry bodies increasingly require evidence of standardized training for professional recognition. </w:t>
      </w:r>
    </w:p>
    <w:p w14:paraId="10BF2EA4" w14:textId="67952DD0" w:rsidR="00C51225" w:rsidRPr="00C51225" w:rsidRDefault="00C51225" w:rsidP="00C51225">
      <w:pPr>
        <w:jc w:val="both"/>
        <w:rPr>
          <w:rFonts w:ascii="Times New Roman" w:hAnsi="Times New Roman" w:cs="Times New Roman"/>
          <w:b/>
          <w:bCs/>
          <w:sz w:val="24"/>
          <w:szCs w:val="24"/>
        </w:rPr>
      </w:pPr>
      <w:r w:rsidRPr="00C51225">
        <w:rPr>
          <w:rFonts w:ascii="Times New Roman" w:hAnsi="Times New Roman" w:cs="Times New Roman"/>
          <w:b/>
          <w:bCs/>
          <w:sz w:val="24"/>
          <w:szCs w:val="24"/>
        </w:rPr>
        <w:t>Limitations and Directions for Future Research</w:t>
      </w:r>
    </w:p>
    <w:p w14:paraId="3463FA78" w14:textId="4F9B0E56" w:rsidR="00C51225" w:rsidRDefault="0086781A" w:rsidP="00C51225">
      <w:pPr>
        <w:jc w:val="both"/>
        <w:rPr>
          <w:rFonts w:ascii="Times New Roman" w:hAnsi="Times New Roman" w:cs="Times New Roman"/>
          <w:sz w:val="24"/>
          <w:szCs w:val="24"/>
        </w:rPr>
      </w:pPr>
      <w:r>
        <w:rPr>
          <w:rFonts w:ascii="Times New Roman" w:hAnsi="Times New Roman" w:cs="Times New Roman"/>
          <w:sz w:val="24"/>
          <w:szCs w:val="24"/>
        </w:rPr>
        <w:t>S</w:t>
      </w:r>
      <w:r w:rsidR="00C51225" w:rsidRPr="00C51225">
        <w:rPr>
          <w:rFonts w:ascii="Times New Roman" w:hAnsi="Times New Roman" w:cs="Times New Roman"/>
          <w:sz w:val="24"/>
          <w:szCs w:val="24"/>
        </w:rPr>
        <w:t xml:space="preserve">ubsequent work could delve more deeply into the affective and identity-related impacts of the model on trainees as cultural bearers of Oukup Karo. Such research would contribute to a richer understanding of how macro-learning and tutorial-based media can support not only skill acquisition but also the internalization of cultural values and professional ethics in heritage-based vocational education. </w:t>
      </w:r>
    </w:p>
    <w:p w14:paraId="2179579F" w14:textId="77777777" w:rsidR="0056434A" w:rsidRPr="005A43F4" w:rsidRDefault="0056434A" w:rsidP="0056434A">
      <w:pPr>
        <w:jc w:val="both"/>
        <w:rPr>
          <w:rFonts w:ascii="Times New Roman" w:hAnsi="Times New Roman" w:cs="Times New Roman"/>
          <w:b/>
          <w:sz w:val="24"/>
          <w:szCs w:val="24"/>
        </w:rPr>
      </w:pPr>
      <w:r w:rsidRPr="005A43F4">
        <w:rPr>
          <w:rFonts w:ascii="Times New Roman" w:hAnsi="Times New Roman" w:cs="Times New Roman"/>
          <w:b/>
          <w:sz w:val="24"/>
          <w:szCs w:val="24"/>
        </w:rPr>
        <w:t xml:space="preserve">Consent </w:t>
      </w:r>
    </w:p>
    <w:p w14:paraId="0A81E7D7" w14:textId="29D130BD" w:rsidR="003B3E46" w:rsidRDefault="0056434A" w:rsidP="0056434A">
      <w:pPr>
        <w:jc w:val="both"/>
        <w:rPr>
          <w:rFonts w:ascii="Times New Roman" w:hAnsi="Times New Roman" w:cs="Times New Roman"/>
          <w:sz w:val="24"/>
          <w:szCs w:val="24"/>
        </w:rPr>
      </w:pPr>
      <w:r w:rsidRPr="0056434A">
        <w:rPr>
          <w:rFonts w:ascii="Times New Roman" w:hAnsi="Times New Roman" w:cs="Times New Roman"/>
          <w:sz w:val="24"/>
          <w:szCs w:val="24"/>
        </w:rPr>
        <w:t>As per international standards or university standards, Participants’ written consent has been collected and preserved by the author(s).</w:t>
      </w:r>
      <w:bookmarkStart w:id="0" w:name="_GoBack"/>
      <w:bookmarkEnd w:id="0"/>
    </w:p>
    <w:p w14:paraId="59479288" w14:textId="77777777" w:rsidR="0056434A" w:rsidRDefault="0056434A" w:rsidP="0056434A">
      <w:pPr>
        <w:jc w:val="both"/>
        <w:rPr>
          <w:rFonts w:ascii="Times New Roman" w:hAnsi="Times New Roman" w:cs="Times New Roman"/>
          <w:sz w:val="24"/>
          <w:szCs w:val="24"/>
        </w:rPr>
      </w:pPr>
    </w:p>
    <w:p w14:paraId="26F3F659" w14:textId="77777777" w:rsidR="000E4353" w:rsidRPr="00740879" w:rsidRDefault="000E4353" w:rsidP="000E4353">
      <w:pPr>
        <w:rPr>
          <w:highlight w:val="yellow"/>
        </w:rPr>
      </w:pPr>
      <w:r w:rsidRPr="00740879">
        <w:rPr>
          <w:highlight w:val="yellow"/>
        </w:rPr>
        <w:t>Disclaimer (Artificial intelligence)</w:t>
      </w:r>
    </w:p>
    <w:p w14:paraId="0F40896F" w14:textId="77777777" w:rsidR="000E4353" w:rsidRPr="00740879" w:rsidRDefault="000E4353" w:rsidP="000E435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9AAA3AE" w14:textId="77777777" w:rsidR="000E4353" w:rsidRPr="00C51225" w:rsidRDefault="000E4353" w:rsidP="00C51225">
      <w:pPr>
        <w:jc w:val="both"/>
        <w:rPr>
          <w:rFonts w:ascii="Times New Roman" w:hAnsi="Times New Roman" w:cs="Times New Roman"/>
          <w:sz w:val="24"/>
          <w:szCs w:val="24"/>
        </w:rPr>
      </w:pPr>
    </w:p>
    <w:p w14:paraId="153BCE7F" w14:textId="6001DBDD" w:rsidR="00A425A0" w:rsidRPr="00C51225" w:rsidRDefault="00C51225" w:rsidP="00A425A0">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7270DC3"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r w:rsidRPr="007A2369">
        <w:rPr>
          <w:rFonts w:ascii="Times New Roman" w:hAnsi="Times New Roman" w:cs="Times New Roman"/>
          <w:sz w:val="24"/>
          <w:szCs w:val="24"/>
        </w:rPr>
        <w:t xml:space="preserve">Batubara, R. P., &amp; Setiawan, A. S. (2023). OPTIMIZATION OF OUKUP STEAM BATHS AS ECO-WELLNESS TOURISM </w:t>
      </w:r>
      <w:proofErr w:type="gramStart"/>
      <w:r w:rsidRPr="007A2369">
        <w:rPr>
          <w:rFonts w:ascii="Times New Roman" w:hAnsi="Times New Roman" w:cs="Times New Roman"/>
          <w:sz w:val="24"/>
          <w:szCs w:val="24"/>
        </w:rPr>
        <w:t>ATTRACTIONS :</w:t>
      </w:r>
      <w:proofErr w:type="gramEnd"/>
      <w:r w:rsidRPr="007A2369">
        <w:rPr>
          <w:rFonts w:ascii="Times New Roman" w:hAnsi="Times New Roman" w:cs="Times New Roman"/>
          <w:sz w:val="24"/>
          <w:szCs w:val="24"/>
        </w:rPr>
        <w:t xml:space="preserve"> OPTIMIZATION OF OUKUP STEAM BATHS AS ECO-WELLNESS TOURISM ATTRACTIONS. </w:t>
      </w:r>
      <w:proofErr w:type="spellStart"/>
      <w:r w:rsidRPr="007A2369">
        <w:rPr>
          <w:rFonts w:ascii="Times New Roman" w:hAnsi="Times New Roman" w:cs="Times New Roman"/>
          <w:i/>
          <w:iCs/>
          <w:sz w:val="24"/>
          <w:szCs w:val="24"/>
        </w:rPr>
        <w:t>Jurnal</w:t>
      </w:r>
      <w:proofErr w:type="spellEnd"/>
      <w:r w:rsidRPr="007A2369">
        <w:rPr>
          <w:rFonts w:ascii="Times New Roman" w:hAnsi="Times New Roman" w:cs="Times New Roman"/>
          <w:i/>
          <w:iCs/>
          <w:sz w:val="24"/>
          <w:szCs w:val="24"/>
        </w:rPr>
        <w:t xml:space="preserve"> </w:t>
      </w:r>
      <w:proofErr w:type="spellStart"/>
      <w:r w:rsidRPr="007A2369">
        <w:rPr>
          <w:rFonts w:ascii="Times New Roman" w:hAnsi="Times New Roman" w:cs="Times New Roman"/>
          <w:i/>
          <w:iCs/>
          <w:sz w:val="24"/>
          <w:szCs w:val="24"/>
        </w:rPr>
        <w:t>Sosial</w:t>
      </w:r>
      <w:proofErr w:type="spellEnd"/>
      <w:r w:rsidRPr="007A2369">
        <w:rPr>
          <w:rFonts w:ascii="Times New Roman" w:hAnsi="Times New Roman" w:cs="Times New Roman"/>
          <w:i/>
          <w:iCs/>
          <w:sz w:val="24"/>
          <w:szCs w:val="24"/>
        </w:rPr>
        <w:t xml:space="preserve"> </w:t>
      </w:r>
      <w:proofErr w:type="spellStart"/>
      <w:r w:rsidRPr="007A2369">
        <w:rPr>
          <w:rFonts w:ascii="Times New Roman" w:hAnsi="Times New Roman" w:cs="Times New Roman"/>
          <w:i/>
          <w:iCs/>
          <w:sz w:val="24"/>
          <w:szCs w:val="24"/>
        </w:rPr>
        <w:t>Humaniora</w:t>
      </w:r>
      <w:proofErr w:type="spellEnd"/>
      <w:r w:rsidRPr="007A2369">
        <w:rPr>
          <w:rFonts w:ascii="Times New Roman" w:hAnsi="Times New Roman" w:cs="Times New Roman"/>
          <w:i/>
          <w:iCs/>
          <w:sz w:val="24"/>
          <w:szCs w:val="24"/>
        </w:rPr>
        <w:t>, 14</w:t>
      </w:r>
      <w:r w:rsidRPr="007A2369">
        <w:rPr>
          <w:rFonts w:ascii="Times New Roman" w:hAnsi="Times New Roman" w:cs="Times New Roman"/>
          <w:sz w:val="24"/>
          <w:szCs w:val="24"/>
        </w:rPr>
        <w:t xml:space="preserve">(1), 70–82. </w:t>
      </w:r>
      <w:hyperlink r:id="rId8" w:tgtFrame="_new" w:history="1">
        <w:r w:rsidRPr="007A2369">
          <w:rPr>
            <w:rStyle w:val="Hyperlink"/>
            <w:rFonts w:ascii="Times New Roman" w:hAnsi="Times New Roman" w:cs="Times New Roman"/>
            <w:sz w:val="24"/>
            <w:szCs w:val="24"/>
          </w:rPr>
          <w:t>https://doi.org/10.30997/jsh.v14i1.7676</w:t>
        </w:r>
      </w:hyperlink>
    </w:p>
    <w:p w14:paraId="2047C829"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proofErr w:type="spellStart"/>
      <w:r w:rsidRPr="007A2369">
        <w:rPr>
          <w:rFonts w:ascii="Times New Roman" w:hAnsi="Times New Roman" w:cs="Times New Roman"/>
          <w:sz w:val="24"/>
          <w:szCs w:val="24"/>
        </w:rPr>
        <w:t>Bricout</w:t>
      </w:r>
      <w:proofErr w:type="spellEnd"/>
      <w:r w:rsidRPr="007A2369">
        <w:rPr>
          <w:rFonts w:ascii="Times New Roman" w:hAnsi="Times New Roman" w:cs="Times New Roman"/>
          <w:sz w:val="24"/>
          <w:szCs w:val="24"/>
        </w:rPr>
        <w:t xml:space="preserve">, J., Pollio, D., Amanda, T., McBride, M., &amp; Edmond, T. (2008). Macro practice teaching and curriculum development from an evidence-based perspective. </w:t>
      </w:r>
      <w:r w:rsidRPr="007A2369">
        <w:rPr>
          <w:rFonts w:ascii="Times New Roman" w:hAnsi="Times New Roman" w:cs="Times New Roman"/>
          <w:i/>
          <w:iCs/>
          <w:sz w:val="24"/>
          <w:szCs w:val="24"/>
        </w:rPr>
        <w:t>Journal of Evidence-Based Social Work, 5</w:t>
      </w:r>
      <w:r w:rsidRPr="007A2369">
        <w:rPr>
          <w:rFonts w:ascii="Times New Roman" w:hAnsi="Times New Roman" w:cs="Times New Roman"/>
          <w:sz w:val="24"/>
          <w:szCs w:val="24"/>
        </w:rPr>
        <w:t xml:space="preserve">(3–4). </w:t>
      </w:r>
      <w:hyperlink r:id="rId9" w:tgtFrame="_new" w:history="1">
        <w:r w:rsidRPr="007A2369">
          <w:rPr>
            <w:rStyle w:val="Hyperlink"/>
            <w:rFonts w:ascii="Times New Roman" w:hAnsi="Times New Roman" w:cs="Times New Roman"/>
            <w:sz w:val="24"/>
            <w:szCs w:val="24"/>
          </w:rPr>
          <w:t>https://doi.org/10.1080/15433710802084334</w:t>
        </w:r>
      </w:hyperlink>
    </w:p>
    <w:p w14:paraId="7CD689F5"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proofErr w:type="spellStart"/>
      <w:r w:rsidRPr="007A2369">
        <w:rPr>
          <w:rFonts w:ascii="Times New Roman" w:hAnsi="Times New Roman" w:cs="Times New Roman"/>
          <w:sz w:val="24"/>
          <w:szCs w:val="24"/>
        </w:rPr>
        <w:t>Gitima</w:t>
      </w:r>
      <w:proofErr w:type="spellEnd"/>
      <w:r w:rsidRPr="007A2369">
        <w:rPr>
          <w:rFonts w:ascii="Times New Roman" w:hAnsi="Times New Roman" w:cs="Times New Roman"/>
          <w:sz w:val="24"/>
          <w:szCs w:val="24"/>
        </w:rPr>
        <w:t xml:space="preserve">, G., Gebre, A., Berhanu, Y., &amp; Wato, T. (2025). Exploring indigenous wisdom: Ethnobotanical documentation and conservation of medicinal plants in Goba District, Southwest Ethiopia. </w:t>
      </w:r>
      <w:r w:rsidRPr="007A2369">
        <w:rPr>
          <w:rFonts w:ascii="Times New Roman" w:hAnsi="Times New Roman" w:cs="Times New Roman"/>
          <w:i/>
          <w:iCs/>
          <w:sz w:val="24"/>
          <w:szCs w:val="24"/>
        </w:rPr>
        <w:t>Scientific African, 27</w:t>
      </w:r>
      <w:r w:rsidRPr="007A2369">
        <w:rPr>
          <w:rFonts w:ascii="Times New Roman" w:hAnsi="Times New Roman" w:cs="Times New Roman"/>
          <w:sz w:val="24"/>
          <w:szCs w:val="24"/>
        </w:rPr>
        <w:t xml:space="preserve">, e02571. </w:t>
      </w:r>
      <w:hyperlink r:id="rId10" w:tgtFrame="_new" w:history="1">
        <w:r w:rsidRPr="007A2369">
          <w:rPr>
            <w:rStyle w:val="Hyperlink"/>
            <w:rFonts w:ascii="Times New Roman" w:hAnsi="Times New Roman" w:cs="Times New Roman"/>
            <w:sz w:val="24"/>
            <w:szCs w:val="24"/>
          </w:rPr>
          <w:t>https://doi.org/10.1016/j.sciaf.2025.e02571</w:t>
        </w:r>
      </w:hyperlink>
    </w:p>
    <w:p w14:paraId="4D777DA1"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proofErr w:type="spellStart"/>
      <w:r w:rsidRPr="007A2369">
        <w:rPr>
          <w:rFonts w:ascii="Times New Roman" w:hAnsi="Times New Roman" w:cs="Times New Roman"/>
          <w:sz w:val="24"/>
          <w:szCs w:val="24"/>
        </w:rPr>
        <w:t>Grădinaru</w:t>
      </w:r>
      <w:proofErr w:type="spellEnd"/>
      <w:r w:rsidRPr="007A2369">
        <w:rPr>
          <w:rFonts w:ascii="Times New Roman" w:hAnsi="Times New Roman" w:cs="Times New Roman"/>
          <w:sz w:val="24"/>
          <w:szCs w:val="24"/>
        </w:rPr>
        <w:t xml:space="preserve">, C., Obadă, D.-R., </w:t>
      </w:r>
      <w:proofErr w:type="spellStart"/>
      <w:r w:rsidRPr="007A2369">
        <w:rPr>
          <w:rFonts w:ascii="Times New Roman" w:hAnsi="Times New Roman" w:cs="Times New Roman"/>
          <w:sz w:val="24"/>
          <w:szCs w:val="24"/>
        </w:rPr>
        <w:t>Grădinaru</w:t>
      </w:r>
      <w:proofErr w:type="spellEnd"/>
      <w:r w:rsidRPr="007A2369">
        <w:rPr>
          <w:rFonts w:ascii="Times New Roman" w:hAnsi="Times New Roman" w:cs="Times New Roman"/>
          <w:sz w:val="24"/>
          <w:szCs w:val="24"/>
        </w:rPr>
        <w:t xml:space="preserve">, I.-A., &amp; Dabija, D.-C. (2022). Enhancing sustainable cosmetics brand purchase: A comprehensive approach based on the SOR model and the triple bottom line. </w:t>
      </w:r>
      <w:r w:rsidRPr="007A2369">
        <w:rPr>
          <w:rFonts w:ascii="Times New Roman" w:hAnsi="Times New Roman" w:cs="Times New Roman"/>
          <w:i/>
          <w:iCs/>
          <w:sz w:val="24"/>
          <w:szCs w:val="24"/>
        </w:rPr>
        <w:t>Sustainability, 14</w:t>
      </w:r>
      <w:r w:rsidRPr="007A2369">
        <w:rPr>
          <w:rFonts w:ascii="Times New Roman" w:hAnsi="Times New Roman" w:cs="Times New Roman"/>
          <w:sz w:val="24"/>
          <w:szCs w:val="24"/>
        </w:rPr>
        <w:t xml:space="preserve">(21), 14118. </w:t>
      </w:r>
      <w:hyperlink r:id="rId11" w:tgtFrame="_new" w:history="1">
        <w:r w:rsidRPr="007A2369">
          <w:rPr>
            <w:rStyle w:val="Hyperlink"/>
            <w:rFonts w:ascii="Times New Roman" w:hAnsi="Times New Roman" w:cs="Times New Roman"/>
            <w:sz w:val="24"/>
            <w:szCs w:val="24"/>
          </w:rPr>
          <w:t>https://doi.org/10.3390/su142114118</w:t>
        </w:r>
      </w:hyperlink>
    </w:p>
    <w:p w14:paraId="7C1B6C9D"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r w:rsidRPr="007A2369">
        <w:rPr>
          <w:rFonts w:ascii="Times New Roman" w:hAnsi="Times New Roman" w:cs="Times New Roman"/>
          <w:sz w:val="24"/>
          <w:szCs w:val="24"/>
        </w:rPr>
        <w:t xml:space="preserve">Hasanah, L. U., &amp; Andari, N. (2020). The social and cultural values transmission of an oral tradition. </w:t>
      </w:r>
      <w:r w:rsidRPr="007A2369">
        <w:rPr>
          <w:rFonts w:ascii="Times New Roman" w:hAnsi="Times New Roman" w:cs="Times New Roman"/>
          <w:i/>
          <w:iCs/>
          <w:sz w:val="24"/>
          <w:szCs w:val="24"/>
        </w:rPr>
        <w:t>Indonesian Journal of Social Research (IJSR), 2</w:t>
      </w:r>
      <w:r w:rsidRPr="007A2369">
        <w:rPr>
          <w:rFonts w:ascii="Times New Roman" w:hAnsi="Times New Roman" w:cs="Times New Roman"/>
          <w:sz w:val="24"/>
          <w:szCs w:val="24"/>
        </w:rPr>
        <w:t xml:space="preserve">(3), 196–205. </w:t>
      </w:r>
      <w:hyperlink r:id="rId12" w:tgtFrame="_new" w:history="1">
        <w:r w:rsidRPr="007A2369">
          <w:rPr>
            <w:rStyle w:val="Hyperlink"/>
            <w:rFonts w:ascii="Times New Roman" w:hAnsi="Times New Roman" w:cs="Times New Roman"/>
            <w:sz w:val="24"/>
            <w:szCs w:val="24"/>
          </w:rPr>
          <w:t>https://doi.org/10.30997/ijsr.v2i3.70</w:t>
        </w:r>
      </w:hyperlink>
    </w:p>
    <w:p w14:paraId="4322CF27"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r w:rsidRPr="007A2369">
        <w:rPr>
          <w:rFonts w:ascii="Times New Roman" w:hAnsi="Times New Roman" w:cs="Times New Roman"/>
          <w:sz w:val="24"/>
          <w:szCs w:val="24"/>
        </w:rPr>
        <w:lastRenderedPageBreak/>
        <w:t xml:space="preserve">Koh, G. A., Askell-Williams, H., &amp; Barr, S. (2023). Sustaining school improvement initiatives: Advice from educational leaders. </w:t>
      </w:r>
      <w:r w:rsidRPr="007A2369">
        <w:rPr>
          <w:rFonts w:ascii="Times New Roman" w:hAnsi="Times New Roman" w:cs="Times New Roman"/>
          <w:i/>
          <w:iCs/>
          <w:sz w:val="24"/>
          <w:szCs w:val="24"/>
        </w:rPr>
        <w:t>School Effectiveness and School Improvement, 34</w:t>
      </w:r>
      <w:r w:rsidRPr="007A2369">
        <w:rPr>
          <w:rFonts w:ascii="Times New Roman" w:hAnsi="Times New Roman" w:cs="Times New Roman"/>
          <w:sz w:val="24"/>
          <w:szCs w:val="24"/>
        </w:rPr>
        <w:t xml:space="preserve">(3), 298–330. </w:t>
      </w:r>
      <w:hyperlink r:id="rId13" w:tgtFrame="_new" w:history="1">
        <w:r w:rsidRPr="007A2369">
          <w:rPr>
            <w:rStyle w:val="Hyperlink"/>
            <w:rFonts w:ascii="Times New Roman" w:hAnsi="Times New Roman" w:cs="Times New Roman"/>
            <w:sz w:val="24"/>
            <w:szCs w:val="24"/>
          </w:rPr>
          <w:t>https://doi.org/10.1080/09243453.2023.2190130</w:t>
        </w:r>
      </w:hyperlink>
    </w:p>
    <w:p w14:paraId="2971D86C"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proofErr w:type="spellStart"/>
      <w:r w:rsidRPr="007A2369">
        <w:rPr>
          <w:rFonts w:ascii="Times New Roman" w:hAnsi="Times New Roman" w:cs="Times New Roman"/>
          <w:sz w:val="24"/>
          <w:szCs w:val="24"/>
        </w:rPr>
        <w:t>Paninsari</w:t>
      </w:r>
      <w:proofErr w:type="spellEnd"/>
      <w:r w:rsidRPr="007A2369">
        <w:rPr>
          <w:rFonts w:ascii="Times New Roman" w:hAnsi="Times New Roman" w:cs="Times New Roman"/>
          <w:sz w:val="24"/>
          <w:szCs w:val="24"/>
        </w:rPr>
        <w:t xml:space="preserve">, D. (2018). PERILAKU IBU PASCA PERSALINAN TENTANG MANFAAT OUKUP DI KLINIK DAMAI YANTI TAHUN 2018. </w:t>
      </w:r>
      <w:proofErr w:type="spellStart"/>
      <w:r w:rsidRPr="007A2369">
        <w:rPr>
          <w:rFonts w:ascii="Times New Roman" w:hAnsi="Times New Roman" w:cs="Times New Roman"/>
          <w:i/>
          <w:iCs/>
          <w:sz w:val="24"/>
          <w:szCs w:val="24"/>
        </w:rPr>
        <w:t>Jurnal</w:t>
      </w:r>
      <w:proofErr w:type="spellEnd"/>
      <w:r w:rsidRPr="007A2369">
        <w:rPr>
          <w:rFonts w:ascii="Times New Roman" w:hAnsi="Times New Roman" w:cs="Times New Roman"/>
          <w:i/>
          <w:iCs/>
          <w:sz w:val="24"/>
          <w:szCs w:val="24"/>
        </w:rPr>
        <w:t xml:space="preserve"> </w:t>
      </w:r>
      <w:proofErr w:type="spellStart"/>
      <w:r w:rsidRPr="007A2369">
        <w:rPr>
          <w:rFonts w:ascii="Times New Roman" w:hAnsi="Times New Roman" w:cs="Times New Roman"/>
          <w:i/>
          <w:iCs/>
          <w:sz w:val="24"/>
          <w:szCs w:val="24"/>
        </w:rPr>
        <w:t>Maternitas</w:t>
      </w:r>
      <w:proofErr w:type="spellEnd"/>
      <w:r w:rsidRPr="007A2369">
        <w:rPr>
          <w:rFonts w:ascii="Times New Roman" w:hAnsi="Times New Roman" w:cs="Times New Roman"/>
          <w:i/>
          <w:iCs/>
          <w:sz w:val="24"/>
          <w:szCs w:val="24"/>
        </w:rPr>
        <w:t xml:space="preserve"> </w:t>
      </w:r>
      <w:proofErr w:type="spellStart"/>
      <w:r w:rsidRPr="007A2369">
        <w:rPr>
          <w:rFonts w:ascii="Times New Roman" w:hAnsi="Times New Roman" w:cs="Times New Roman"/>
          <w:i/>
          <w:iCs/>
          <w:sz w:val="24"/>
          <w:szCs w:val="24"/>
        </w:rPr>
        <w:t>Kebidanan</w:t>
      </w:r>
      <w:proofErr w:type="spellEnd"/>
      <w:r w:rsidRPr="007A2369">
        <w:rPr>
          <w:rFonts w:ascii="Times New Roman" w:hAnsi="Times New Roman" w:cs="Times New Roman"/>
          <w:i/>
          <w:iCs/>
          <w:sz w:val="24"/>
          <w:szCs w:val="24"/>
        </w:rPr>
        <w:t>, 3</w:t>
      </w:r>
      <w:r w:rsidRPr="007A2369">
        <w:rPr>
          <w:rFonts w:ascii="Times New Roman" w:hAnsi="Times New Roman" w:cs="Times New Roman"/>
          <w:sz w:val="24"/>
          <w:szCs w:val="24"/>
        </w:rPr>
        <w:t xml:space="preserve">(2), 76–80. </w:t>
      </w:r>
      <w:hyperlink r:id="rId14" w:tgtFrame="_new" w:history="1">
        <w:r w:rsidRPr="007A2369">
          <w:rPr>
            <w:rStyle w:val="Hyperlink"/>
            <w:rFonts w:ascii="Times New Roman" w:hAnsi="Times New Roman" w:cs="Times New Roman"/>
            <w:sz w:val="24"/>
            <w:szCs w:val="24"/>
          </w:rPr>
          <w:t>https://jurnal.unprimdn.ac.id/index.php/jumkep/article/view/277</w:t>
        </w:r>
      </w:hyperlink>
    </w:p>
    <w:p w14:paraId="0F886521"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r w:rsidRPr="007A2369">
        <w:rPr>
          <w:rFonts w:ascii="Times New Roman" w:hAnsi="Times New Roman" w:cs="Times New Roman"/>
          <w:sz w:val="24"/>
          <w:szCs w:val="24"/>
        </w:rPr>
        <w:t xml:space="preserve">Peltzer, K., &amp; </w:t>
      </w:r>
      <w:proofErr w:type="spellStart"/>
      <w:r w:rsidRPr="007A2369">
        <w:rPr>
          <w:rFonts w:ascii="Times New Roman" w:hAnsi="Times New Roman" w:cs="Times New Roman"/>
          <w:sz w:val="24"/>
          <w:szCs w:val="24"/>
        </w:rPr>
        <w:t>Pengpid</w:t>
      </w:r>
      <w:proofErr w:type="spellEnd"/>
      <w:r w:rsidRPr="007A2369">
        <w:rPr>
          <w:rFonts w:ascii="Times New Roman" w:hAnsi="Times New Roman" w:cs="Times New Roman"/>
          <w:sz w:val="24"/>
          <w:szCs w:val="24"/>
        </w:rPr>
        <w:t xml:space="preserve">, S. (2018). Traditional health practitioners in Indonesia: Their profile, practice and treatment characteristics. </w:t>
      </w:r>
      <w:r w:rsidRPr="007A2369">
        <w:rPr>
          <w:rFonts w:ascii="Times New Roman" w:hAnsi="Times New Roman" w:cs="Times New Roman"/>
          <w:i/>
          <w:iCs/>
          <w:sz w:val="24"/>
          <w:szCs w:val="24"/>
        </w:rPr>
        <w:t>Complementary Medicine Research, 26</w:t>
      </w:r>
      <w:r w:rsidRPr="007A2369">
        <w:rPr>
          <w:rFonts w:ascii="Times New Roman" w:hAnsi="Times New Roman" w:cs="Times New Roman"/>
          <w:sz w:val="24"/>
          <w:szCs w:val="24"/>
        </w:rPr>
        <w:t xml:space="preserve">. </w:t>
      </w:r>
      <w:hyperlink r:id="rId15" w:tgtFrame="_new" w:history="1">
        <w:r w:rsidRPr="007A2369">
          <w:rPr>
            <w:rStyle w:val="Hyperlink"/>
            <w:rFonts w:ascii="Times New Roman" w:hAnsi="Times New Roman" w:cs="Times New Roman"/>
            <w:sz w:val="24"/>
            <w:szCs w:val="24"/>
          </w:rPr>
          <w:t>https://doi.org/10.1159/000494457</w:t>
        </w:r>
      </w:hyperlink>
    </w:p>
    <w:p w14:paraId="7E9C57CF"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r w:rsidRPr="007A2369">
        <w:rPr>
          <w:rFonts w:ascii="Times New Roman" w:hAnsi="Times New Roman" w:cs="Times New Roman"/>
          <w:sz w:val="24"/>
          <w:szCs w:val="24"/>
        </w:rPr>
        <w:t xml:space="preserve">Prakoso, A. A., &amp; </w:t>
      </w:r>
      <w:proofErr w:type="spellStart"/>
      <w:r w:rsidRPr="007A2369">
        <w:rPr>
          <w:rFonts w:ascii="Times New Roman" w:hAnsi="Times New Roman" w:cs="Times New Roman"/>
          <w:sz w:val="24"/>
          <w:szCs w:val="24"/>
        </w:rPr>
        <w:t>Palupiningsih</w:t>
      </w:r>
      <w:proofErr w:type="spellEnd"/>
      <w:r w:rsidRPr="007A2369">
        <w:rPr>
          <w:rFonts w:ascii="Times New Roman" w:hAnsi="Times New Roman" w:cs="Times New Roman"/>
          <w:sz w:val="24"/>
          <w:szCs w:val="24"/>
        </w:rPr>
        <w:t xml:space="preserve">, A. (2025). Tourism village as a community-based wellness tourism resource. In A. Hassan &amp; P. D. S. </w:t>
      </w:r>
      <w:proofErr w:type="spellStart"/>
      <w:r w:rsidRPr="007A2369">
        <w:rPr>
          <w:rFonts w:ascii="Times New Roman" w:hAnsi="Times New Roman" w:cs="Times New Roman"/>
          <w:sz w:val="24"/>
          <w:szCs w:val="24"/>
        </w:rPr>
        <w:t>Pitanatri</w:t>
      </w:r>
      <w:proofErr w:type="spellEnd"/>
      <w:r w:rsidRPr="007A2369">
        <w:rPr>
          <w:rFonts w:ascii="Times New Roman" w:hAnsi="Times New Roman" w:cs="Times New Roman"/>
          <w:sz w:val="24"/>
          <w:szCs w:val="24"/>
        </w:rPr>
        <w:t xml:space="preserve"> (Eds.), </w:t>
      </w:r>
      <w:r w:rsidRPr="007A2369">
        <w:rPr>
          <w:rFonts w:ascii="Times New Roman" w:hAnsi="Times New Roman" w:cs="Times New Roman"/>
          <w:i/>
          <w:iCs/>
          <w:sz w:val="24"/>
          <w:szCs w:val="24"/>
        </w:rPr>
        <w:t>Handbook of tourism and hospitality marketing in Indonesia</w:t>
      </w:r>
      <w:r w:rsidRPr="007A2369">
        <w:rPr>
          <w:rFonts w:ascii="Times New Roman" w:hAnsi="Times New Roman" w:cs="Times New Roman"/>
          <w:sz w:val="24"/>
          <w:szCs w:val="24"/>
        </w:rPr>
        <w:t xml:space="preserve"> (Reference Works in Business and Management). Springer. </w:t>
      </w:r>
      <w:hyperlink r:id="rId16" w:tgtFrame="_new" w:history="1">
        <w:r w:rsidRPr="007A2369">
          <w:rPr>
            <w:rStyle w:val="Hyperlink"/>
            <w:rFonts w:ascii="Times New Roman" w:hAnsi="Times New Roman" w:cs="Times New Roman"/>
            <w:sz w:val="24"/>
            <w:szCs w:val="24"/>
          </w:rPr>
          <w:t>https://doi.org/10.1007/978-981-96-2567-3_26</w:t>
        </w:r>
      </w:hyperlink>
    </w:p>
    <w:p w14:paraId="4EE1A293" w14:textId="77777777" w:rsidR="00396B15" w:rsidRPr="007A2369" w:rsidRDefault="00396B15" w:rsidP="007A2369">
      <w:pPr>
        <w:pStyle w:val="ListParagraph"/>
        <w:numPr>
          <w:ilvl w:val="0"/>
          <w:numId w:val="9"/>
        </w:numPr>
        <w:jc w:val="both"/>
        <w:rPr>
          <w:rFonts w:ascii="Times New Roman" w:hAnsi="Times New Roman" w:cs="Times New Roman"/>
          <w:sz w:val="24"/>
          <w:szCs w:val="24"/>
        </w:rPr>
      </w:pPr>
      <w:r w:rsidRPr="007A2369">
        <w:rPr>
          <w:rFonts w:ascii="Times New Roman" w:hAnsi="Times New Roman" w:cs="Times New Roman"/>
          <w:sz w:val="24"/>
          <w:szCs w:val="24"/>
        </w:rPr>
        <w:t xml:space="preserve">Ramli, R., Razali, R., </w:t>
      </w:r>
      <w:proofErr w:type="spellStart"/>
      <w:r w:rsidRPr="007A2369">
        <w:rPr>
          <w:rFonts w:ascii="Times New Roman" w:hAnsi="Times New Roman" w:cs="Times New Roman"/>
          <w:sz w:val="24"/>
          <w:szCs w:val="24"/>
        </w:rPr>
        <w:t>Gadeng</w:t>
      </w:r>
      <w:proofErr w:type="spellEnd"/>
      <w:r w:rsidRPr="007A2369">
        <w:rPr>
          <w:rFonts w:ascii="Times New Roman" w:hAnsi="Times New Roman" w:cs="Times New Roman"/>
          <w:sz w:val="24"/>
          <w:szCs w:val="24"/>
        </w:rPr>
        <w:t xml:space="preserve">, A. N., Diana, N., &amp; </w:t>
      </w:r>
      <w:proofErr w:type="spellStart"/>
      <w:r w:rsidRPr="007A2369">
        <w:rPr>
          <w:rFonts w:ascii="Times New Roman" w:hAnsi="Times New Roman" w:cs="Times New Roman"/>
          <w:sz w:val="24"/>
          <w:szCs w:val="24"/>
        </w:rPr>
        <w:t>Hariadi</w:t>
      </w:r>
      <w:proofErr w:type="spellEnd"/>
      <w:r w:rsidRPr="007A2369">
        <w:rPr>
          <w:rFonts w:ascii="Times New Roman" w:hAnsi="Times New Roman" w:cs="Times New Roman"/>
          <w:sz w:val="24"/>
          <w:szCs w:val="24"/>
        </w:rPr>
        <w:t xml:space="preserve">, J. (2025). Integrating local knowledge into higher education: A qualitative study of curriculum innovation in Aceh, Indonesia. </w:t>
      </w:r>
      <w:r w:rsidRPr="007A2369">
        <w:rPr>
          <w:rFonts w:ascii="Times New Roman" w:hAnsi="Times New Roman" w:cs="Times New Roman"/>
          <w:i/>
          <w:iCs/>
          <w:sz w:val="24"/>
          <w:szCs w:val="24"/>
        </w:rPr>
        <w:t>Education Sciences, 15</w:t>
      </w:r>
      <w:r w:rsidRPr="007A2369">
        <w:rPr>
          <w:rFonts w:ascii="Times New Roman" w:hAnsi="Times New Roman" w:cs="Times New Roman"/>
          <w:sz w:val="24"/>
          <w:szCs w:val="24"/>
        </w:rPr>
        <w:t xml:space="preserve">(9), 1214. </w:t>
      </w:r>
      <w:hyperlink r:id="rId17" w:tgtFrame="_new" w:history="1">
        <w:r w:rsidRPr="007A2369">
          <w:rPr>
            <w:rStyle w:val="Hyperlink"/>
            <w:rFonts w:ascii="Times New Roman" w:hAnsi="Times New Roman" w:cs="Times New Roman"/>
            <w:sz w:val="24"/>
            <w:szCs w:val="24"/>
          </w:rPr>
          <w:t>https://doi.org/10.3390/educsci15091214</w:t>
        </w:r>
      </w:hyperlink>
    </w:p>
    <w:p w14:paraId="7CB04E54" w14:textId="77777777" w:rsidR="0086781A" w:rsidRDefault="00396B15" w:rsidP="007A2369">
      <w:pPr>
        <w:pStyle w:val="ListParagraph"/>
        <w:numPr>
          <w:ilvl w:val="0"/>
          <w:numId w:val="9"/>
        </w:numPr>
        <w:jc w:val="both"/>
      </w:pPr>
      <w:r w:rsidRPr="007A2369">
        <w:rPr>
          <w:rFonts w:ascii="Times New Roman" w:hAnsi="Times New Roman" w:cs="Times New Roman"/>
          <w:sz w:val="24"/>
          <w:szCs w:val="24"/>
        </w:rPr>
        <w:t xml:space="preserve">Yeganeh, L. N., Fenty, N. S., Chen, Y., Simpson, A., &amp; Hatami, M. (2025). The future of education: A multi-layered metaverse classroom model for immersive and inclusive learning. </w:t>
      </w:r>
      <w:r w:rsidRPr="007A2369">
        <w:rPr>
          <w:rFonts w:ascii="Times New Roman" w:hAnsi="Times New Roman" w:cs="Times New Roman"/>
          <w:i/>
          <w:iCs/>
          <w:sz w:val="24"/>
          <w:szCs w:val="24"/>
        </w:rPr>
        <w:t>Future Internet, 17</w:t>
      </w:r>
      <w:r w:rsidRPr="007A2369">
        <w:rPr>
          <w:rFonts w:ascii="Times New Roman" w:hAnsi="Times New Roman" w:cs="Times New Roman"/>
          <w:sz w:val="24"/>
          <w:szCs w:val="24"/>
        </w:rPr>
        <w:t xml:space="preserve">(2), 63. </w:t>
      </w:r>
      <w:hyperlink r:id="rId18" w:tgtFrame="_new" w:history="1">
        <w:r w:rsidRPr="007A2369">
          <w:rPr>
            <w:rStyle w:val="Hyperlink"/>
            <w:rFonts w:ascii="Times New Roman" w:hAnsi="Times New Roman" w:cs="Times New Roman"/>
            <w:sz w:val="24"/>
            <w:szCs w:val="24"/>
          </w:rPr>
          <w:t>https://doi.org/10.3390/fi17020063</w:t>
        </w:r>
      </w:hyperlink>
    </w:p>
    <w:p w14:paraId="1E7782F7" w14:textId="7C64D899" w:rsidR="0086781A" w:rsidRPr="007A2369" w:rsidRDefault="0086781A" w:rsidP="007A2369">
      <w:pPr>
        <w:pStyle w:val="ListParagraph"/>
        <w:numPr>
          <w:ilvl w:val="0"/>
          <w:numId w:val="9"/>
        </w:numPr>
        <w:jc w:val="both"/>
        <w:rPr>
          <w:highlight w:val="yellow"/>
        </w:rPr>
      </w:pPr>
      <w:r w:rsidRPr="007A2369">
        <w:rPr>
          <w:rFonts w:ascii="Times New Roman" w:hAnsi="Times New Roman" w:cs="Times New Roman"/>
          <w:sz w:val="24"/>
          <w:szCs w:val="24"/>
          <w:highlight w:val="yellow"/>
        </w:rPr>
        <w:t xml:space="preserve">Zhang, Y., Li, R., Pi, Z., &amp; Yang, J. (2025). Active learning strategies in video learning: A meta-analysis. </w:t>
      </w:r>
      <w:r w:rsidRPr="007A2369">
        <w:rPr>
          <w:rFonts w:ascii="Times New Roman" w:hAnsi="Times New Roman" w:cs="Times New Roman"/>
          <w:i/>
          <w:iCs/>
          <w:sz w:val="24"/>
          <w:szCs w:val="24"/>
          <w:highlight w:val="yellow"/>
        </w:rPr>
        <w:t>Educational Research Review, 48</w:t>
      </w:r>
      <w:r w:rsidRPr="007A2369">
        <w:rPr>
          <w:rFonts w:ascii="Times New Roman" w:hAnsi="Times New Roman" w:cs="Times New Roman"/>
          <w:sz w:val="24"/>
          <w:szCs w:val="24"/>
          <w:highlight w:val="yellow"/>
        </w:rPr>
        <w:t xml:space="preserve">, 100708. </w:t>
      </w:r>
      <w:hyperlink r:id="rId19" w:history="1">
        <w:r w:rsidRPr="007A2369">
          <w:rPr>
            <w:rStyle w:val="Hyperlink"/>
            <w:rFonts w:ascii="Times New Roman" w:hAnsi="Times New Roman" w:cs="Times New Roman"/>
            <w:sz w:val="24"/>
            <w:szCs w:val="24"/>
            <w:highlight w:val="yellow"/>
          </w:rPr>
          <w:t>https://doi.org/10.1016/j.edurev.2025.100708</w:t>
        </w:r>
      </w:hyperlink>
    </w:p>
    <w:p w14:paraId="42D7DBF2" w14:textId="5CBC9F47" w:rsidR="0086781A" w:rsidRPr="007A2369" w:rsidRDefault="0086781A" w:rsidP="007A2369">
      <w:pPr>
        <w:pStyle w:val="ListParagraph"/>
        <w:numPr>
          <w:ilvl w:val="0"/>
          <w:numId w:val="9"/>
        </w:numPr>
        <w:jc w:val="both"/>
        <w:rPr>
          <w:highlight w:val="yellow"/>
        </w:rPr>
      </w:pPr>
      <w:r w:rsidRPr="007A2369">
        <w:rPr>
          <w:rFonts w:ascii="Times New Roman" w:hAnsi="Times New Roman" w:cs="Times New Roman"/>
          <w:sz w:val="24"/>
          <w:szCs w:val="24"/>
          <w:highlight w:val="yellow"/>
        </w:rPr>
        <w:t xml:space="preserve">Song, S., &amp; Lai, Y. C. (2025). Blended learning in vocational education: A systematic review. </w:t>
      </w:r>
      <w:r w:rsidRPr="007A2369">
        <w:rPr>
          <w:rFonts w:ascii="Times New Roman" w:hAnsi="Times New Roman" w:cs="Times New Roman"/>
          <w:i/>
          <w:iCs/>
          <w:sz w:val="24"/>
          <w:szCs w:val="24"/>
          <w:highlight w:val="yellow"/>
        </w:rPr>
        <w:t>Cogent Education, 12</w:t>
      </w:r>
      <w:r w:rsidRPr="007A2369">
        <w:rPr>
          <w:rFonts w:ascii="Times New Roman" w:hAnsi="Times New Roman" w:cs="Times New Roman"/>
          <w:sz w:val="24"/>
          <w:szCs w:val="24"/>
          <w:highlight w:val="yellow"/>
        </w:rPr>
        <w:t xml:space="preserve">(1), 2548348. </w:t>
      </w:r>
      <w:hyperlink r:id="rId20" w:history="1">
        <w:r w:rsidRPr="007A2369">
          <w:rPr>
            <w:rStyle w:val="Hyperlink"/>
            <w:rFonts w:ascii="Times New Roman" w:hAnsi="Times New Roman" w:cs="Times New Roman"/>
            <w:sz w:val="24"/>
            <w:szCs w:val="24"/>
            <w:highlight w:val="yellow"/>
          </w:rPr>
          <w:t>https://doi.org/10.1080/2331186X.2025.2548348</w:t>
        </w:r>
      </w:hyperlink>
    </w:p>
    <w:p w14:paraId="2669CF19" w14:textId="245447D5" w:rsidR="0086781A" w:rsidRPr="007A2369" w:rsidRDefault="0086781A" w:rsidP="007A2369">
      <w:pPr>
        <w:pStyle w:val="ListParagraph"/>
        <w:numPr>
          <w:ilvl w:val="0"/>
          <w:numId w:val="9"/>
        </w:numPr>
        <w:jc w:val="both"/>
        <w:rPr>
          <w:highlight w:val="yellow"/>
        </w:rPr>
      </w:pPr>
      <w:r w:rsidRPr="007A2369">
        <w:rPr>
          <w:rFonts w:ascii="Times New Roman" w:hAnsi="Times New Roman" w:cs="Times New Roman"/>
          <w:sz w:val="24"/>
          <w:szCs w:val="24"/>
          <w:highlight w:val="yellow"/>
        </w:rPr>
        <w:t xml:space="preserve">Morgado, M., Botelho, J., Machado, V., Mendes, J. J., </w:t>
      </w:r>
      <w:proofErr w:type="spellStart"/>
      <w:r w:rsidRPr="007A2369">
        <w:rPr>
          <w:rFonts w:ascii="Times New Roman" w:hAnsi="Times New Roman" w:cs="Times New Roman"/>
          <w:sz w:val="24"/>
          <w:szCs w:val="24"/>
          <w:highlight w:val="yellow"/>
        </w:rPr>
        <w:t>Adesope</w:t>
      </w:r>
      <w:proofErr w:type="spellEnd"/>
      <w:r w:rsidRPr="007A2369">
        <w:rPr>
          <w:rFonts w:ascii="Times New Roman" w:hAnsi="Times New Roman" w:cs="Times New Roman"/>
          <w:sz w:val="24"/>
          <w:szCs w:val="24"/>
          <w:highlight w:val="yellow"/>
        </w:rPr>
        <w:t xml:space="preserve">, O., &amp; Proença, L. (2024). Video-based approaches in health education: A systematic review and meta-analysis. </w:t>
      </w:r>
      <w:r w:rsidRPr="007A2369">
        <w:rPr>
          <w:rFonts w:ascii="Times New Roman" w:hAnsi="Times New Roman" w:cs="Times New Roman"/>
          <w:i/>
          <w:iCs/>
          <w:sz w:val="24"/>
          <w:szCs w:val="24"/>
          <w:highlight w:val="yellow"/>
        </w:rPr>
        <w:t>Scientific Reports, 14</w:t>
      </w:r>
      <w:r w:rsidRPr="007A2369">
        <w:rPr>
          <w:rFonts w:ascii="Times New Roman" w:hAnsi="Times New Roman" w:cs="Times New Roman"/>
          <w:sz w:val="24"/>
          <w:szCs w:val="24"/>
          <w:highlight w:val="yellow"/>
        </w:rPr>
        <w:t xml:space="preserve">, 23651. </w:t>
      </w:r>
      <w:hyperlink r:id="rId21" w:history="1">
        <w:r w:rsidRPr="007A2369">
          <w:rPr>
            <w:rStyle w:val="Hyperlink"/>
            <w:rFonts w:ascii="Times New Roman" w:hAnsi="Times New Roman" w:cs="Times New Roman"/>
            <w:sz w:val="24"/>
            <w:szCs w:val="24"/>
            <w:highlight w:val="yellow"/>
          </w:rPr>
          <w:t>https://doi.org/10.1038/s41598-024-75352-3</w:t>
        </w:r>
      </w:hyperlink>
    </w:p>
    <w:p w14:paraId="22ED2B28" w14:textId="71A01C47" w:rsidR="0086781A" w:rsidRPr="0086781A" w:rsidRDefault="0086781A" w:rsidP="007A2369">
      <w:pPr>
        <w:pStyle w:val="ListParagraph"/>
        <w:numPr>
          <w:ilvl w:val="0"/>
          <w:numId w:val="9"/>
        </w:numPr>
        <w:jc w:val="both"/>
      </w:pPr>
      <w:r w:rsidRPr="007A2369">
        <w:rPr>
          <w:rFonts w:ascii="Times New Roman" w:hAnsi="Times New Roman" w:cs="Times New Roman"/>
          <w:sz w:val="24"/>
          <w:szCs w:val="24"/>
          <w:highlight w:val="yellow"/>
        </w:rPr>
        <w:t xml:space="preserve">van der </w:t>
      </w:r>
      <w:proofErr w:type="spellStart"/>
      <w:r w:rsidRPr="007A2369">
        <w:rPr>
          <w:rFonts w:ascii="Times New Roman" w:hAnsi="Times New Roman" w:cs="Times New Roman"/>
          <w:sz w:val="24"/>
          <w:szCs w:val="24"/>
          <w:highlight w:val="yellow"/>
        </w:rPr>
        <w:t>Meij</w:t>
      </w:r>
      <w:proofErr w:type="spellEnd"/>
      <w:r w:rsidRPr="007A2369">
        <w:rPr>
          <w:rFonts w:ascii="Times New Roman" w:hAnsi="Times New Roman" w:cs="Times New Roman"/>
          <w:sz w:val="24"/>
          <w:szCs w:val="24"/>
          <w:highlight w:val="yellow"/>
        </w:rPr>
        <w:t xml:space="preserve">, H., &amp; </w:t>
      </w:r>
      <w:proofErr w:type="spellStart"/>
      <w:r w:rsidRPr="007A2369">
        <w:rPr>
          <w:rFonts w:ascii="Times New Roman" w:hAnsi="Times New Roman" w:cs="Times New Roman"/>
          <w:sz w:val="24"/>
          <w:szCs w:val="24"/>
          <w:highlight w:val="yellow"/>
        </w:rPr>
        <w:t>Nuketayeva</w:t>
      </w:r>
      <w:proofErr w:type="spellEnd"/>
      <w:r w:rsidRPr="007A2369">
        <w:rPr>
          <w:rFonts w:ascii="Times New Roman" w:hAnsi="Times New Roman" w:cs="Times New Roman"/>
          <w:sz w:val="24"/>
          <w:szCs w:val="24"/>
          <w:highlight w:val="yellow"/>
        </w:rPr>
        <w:t xml:space="preserve">, K. (2023). Effects of practice schedules in video tutorials for software training. </w:t>
      </w:r>
      <w:r w:rsidRPr="007A2369">
        <w:rPr>
          <w:rFonts w:ascii="Times New Roman" w:hAnsi="Times New Roman" w:cs="Times New Roman"/>
          <w:i/>
          <w:iCs/>
          <w:sz w:val="24"/>
          <w:szCs w:val="24"/>
          <w:highlight w:val="yellow"/>
        </w:rPr>
        <w:t>Computers &amp; Education, 199</w:t>
      </w:r>
      <w:r w:rsidRPr="007A2369">
        <w:rPr>
          <w:rFonts w:ascii="Times New Roman" w:hAnsi="Times New Roman" w:cs="Times New Roman"/>
          <w:sz w:val="24"/>
          <w:szCs w:val="24"/>
          <w:highlight w:val="yellow"/>
        </w:rPr>
        <w:t>, 104786. https://doi.org/10.1016/j.compedu.2023.104786</w:t>
      </w:r>
    </w:p>
    <w:p w14:paraId="553AE8A9" w14:textId="77777777" w:rsidR="0086781A" w:rsidRPr="00396B15" w:rsidRDefault="0086781A" w:rsidP="00396B15">
      <w:pPr>
        <w:ind w:left="567" w:hanging="567"/>
        <w:jc w:val="both"/>
        <w:rPr>
          <w:rFonts w:ascii="Times New Roman" w:hAnsi="Times New Roman" w:cs="Times New Roman"/>
          <w:sz w:val="24"/>
          <w:szCs w:val="24"/>
        </w:rPr>
      </w:pPr>
    </w:p>
    <w:p w14:paraId="623B6F00" w14:textId="77777777" w:rsidR="00A05619" w:rsidRPr="00A425A0" w:rsidRDefault="00A05619" w:rsidP="00A425A0">
      <w:pPr>
        <w:jc w:val="both"/>
        <w:rPr>
          <w:rFonts w:ascii="Times New Roman" w:hAnsi="Times New Roman" w:cs="Times New Roman"/>
          <w:sz w:val="24"/>
          <w:szCs w:val="24"/>
        </w:rPr>
      </w:pPr>
    </w:p>
    <w:sectPr w:rsidR="00A05619" w:rsidRPr="00A425A0">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EBDF7" w14:textId="77777777" w:rsidR="005217C6" w:rsidRDefault="005217C6" w:rsidP="005539F0">
      <w:pPr>
        <w:spacing w:after="0" w:line="240" w:lineRule="auto"/>
      </w:pPr>
      <w:r>
        <w:separator/>
      </w:r>
    </w:p>
  </w:endnote>
  <w:endnote w:type="continuationSeparator" w:id="0">
    <w:p w14:paraId="587743AF" w14:textId="77777777" w:rsidR="005217C6" w:rsidRDefault="005217C6" w:rsidP="00553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980DC" w14:textId="77777777" w:rsidR="005539F0" w:rsidRDefault="00553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245A1" w14:textId="77777777" w:rsidR="005539F0" w:rsidRDefault="005539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FF0B" w14:textId="77777777" w:rsidR="005539F0" w:rsidRDefault="00553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1DCB5" w14:textId="77777777" w:rsidR="005217C6" w:rsidRDefault="005217C6" w:rsidP="005539F0">
      <w:pPr>
        <w:spacing w:after="0" w:line="240" w:lineRule="auto"/>
      </w:pPr>
      <w:r>
        <w:separator/>
      </w:r>
    </w:p>
  </w:footnote>
  <w:footnote w:type="continuationSeparator" w:id="0">
    <w:p w14:paraId="2BFD58D6" w14:textId="77777777" w:rsidR="005217C6" w:rsidRDefault="005217C6" w:rsidP="00553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35896" w14:textId="00C4B988" w:rsidR="005539F0" w:rsidRDefault="005217C6">
    <w:pPr>
      <w:pStyle w:val="Header"/>
    </w:pPr>
    <w:r>
      <w:rPr>
        <w:noProof/>
      </w:rPr>
      <w:pict w14:anchorId="6EAD1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4115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6ACF" w14:textId="2DEFE394" w:rsidR="005539F0" w:rsidRDefault="005217C6">
    <w:pPr>
      <w:pStyle w:val="Header"/>
    </w:pPr>
    <w:r>
      <w:rPr>
        <w:noProof/>
      </w:rPr>
      <w:pict w14:anchorId="5F0A6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4115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F1F0" w14:textId="19F1B2F6" w:rsidR="005539F0" w:rsidRDefault="005217C6">
    <w:pPr>
      <w:pStyle w:val="Header"/>
    </w:pPr>
    <w:r>
      <w:rPr>
        <w:noProof/>
      </w:rPr>
      <w:pict w14:anchorId="7CE93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4115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76604"/>
    <w:multiLevelType w:val="multilevel"/>
    <w:tmpl w:val="F3E8A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431C77"/>
    <w:multiLevelType w:val="multilevel"/>
    <w:tmpl w:val="4C68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71325B"/>
    <w:multiLevelType w:val="multilevel"/>
    <w:tmpl w:val="2F16D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D86716"/>
    <w:multiLevelType w:val="multilevel"/>
    <w:tmpl w:val="12F24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9B2586"/>
    <w:multiLevelType w:val="multilevel"/>
    <w:tmpl w:val="8810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AB1408"/>
    <w:multiLevelType w:val="multilevel"/>
    <w:tmpl w:val="4D1A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52917"/>
    <w:multiLevelType w:val="multilevel"/>
    <w:tmpl w:val="0C16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715432"/>
    <w:multiLevelType w:val="hybridMultilevel"/>
    <w:tmpl w:val="35C4FAC2"/>
    <w:lvl w:ilvl="0" w:tplc="5A106E6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CBF75AD"/>
    <w:multiLevelType w:val="hybridMultilevel"/>
    <w:tmpl w:val="58923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7"/>
  </w:num>
  <w:num w:numId="6">
    <w:abstractNumId w:val="2"/>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QxszQ2Mrc0NjM2NbFQ0lEKTi0uzszPAykwrAUAgiFqNSwAAAA="/>
  </w:docVars>
  <w:rsids>
    <w:rsidRoot w:val="00A425A0"/>
    <w:rsid w:val="00010B2B"/>
    <w:rsid w:val="00014C14"/>
    <w:rsid w:val="00057C5F"/>
    <w:rsid w:val="000866DD"/>
    <w:rsid w:val="000E4353"/>
    <w:rsid w:val="00124545"/>
    <w:rsid w:val="00127736"/>
    <w:rsid w:val="001A521A"/>
    <w:rsid w:val="002F4964"/>
    <w:rsid w:val="003137FE"/>
    <w:rsid w:val="00396B15"/>
    <w:rsid w:val="003B0999"/>
    <w:rsid w:val="003B3E46"/>
    <w:rsid w:val="00421A15"/>
    <w:rsid w:val="00456BAD"/>
    <w:rsid w:val="00466771"/>
    <w:rsid w:val="00485739"/>
    <w:rsid w:val="004A171E"/>
    <w:rsid w:val="005217C6"/>
    <w:rsid w:val="005539F0"/>
    <w:rsid w:val="0056434A"/>
    <w:rsid w:val="005A43F4"/>
    <w:rsid w:val="005B7DA0"/>
    <w:rsid w:val="00637B80"/>
    <w:rsid w:val="0065182D"/>
    <w:rsid w:val="006B5F82"/>
    <w:rsid w:val="007055DE"/>
    <w:rsid w:val="007A2369"/>
    <w:rsid w:val="007B4CE1"/>
    <w:rsid w:val="007D432F"/>
    <w:rsid w:val="00815B9E"/>
    <w:rsid w:val="00866393"/>
    <w:rsid w:val="0086781A"/>
    <w:rsid w:val="00881A1E"/>
    <w:rsid w:val="00A05619"/>
    <w:rsid w:val="00A425A0"/>
    <w:rsid w:val="00A625E1"/>
    <w:rsid w:val="00AC52F6"/>
    <w:rsid w:val="00C00AE2"/>
    <w:rsid w:val="00C51225"/>
    <w:rsid w:val="00D04216"/>
    <w:rsid w:val="00D13FFC"/>
    <w:rsid w:val="00DA1DF0"/>
    <w:rsid w:val="00E165FD"/>
    <w:rsid w:val="00E44167"/>
    <w:rsid w:val="00E61A6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A2E488"/>
  <w15:chartTrackingRefBased/>
  <w15:docId w15:val="{F08F36AB-8B2E-4FD7-B3EB-B8EF73CC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5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25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425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25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25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25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5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5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5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5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25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425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25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25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2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2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2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25A0"/>
    <w:rPr>
      <w:rFonts w:eastAsiaTheme="majorEastAsia" w:cstheme="majorBidi"/>
      <w:color w:val="272727" w:themeColor="text1" w:themeTint="D8"/>
    </w:rPr>
  </w:style>
  <w:style w:type="paragraph" w:styleId="Title">
    <w:name w:val="Title"/>
    <w:basedOn w:val="Normal"/>
    <w:next w:val="Normal"/>
    <w:link w:val="TitleChar"/>
    <w:uiPriority w:val="10"/>
    <w:qFormat/>
    <w:rsid w:val="00A425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5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25A0"/>
    <w:pPr>
      <w:spacing w:before="160"/>
      <w:jc w:val="center"/>
    </w:pPr>
    <w:rPr>
      <w:i/>
      <w:iCs/>
      <w:color w:val="404040" w:themeColor="text1" w:themeTint="BF"/>
    </w:rPr>
  </w:style>
  <w:style w:type="character" w:customStyle="1" w:styleId="QuoteChar">
    <w:name w:val="Quote Char"/>
    <w:basedOn w:val="DefaultParagraphFont"/>
    <w:link w:val="Quote"/>
    <w:uiPriority w:val="29"/>
    <w:rsid w:val="00A425A0"/>
    <w:rPr>
      <w:i/>
      <w:iCs/>
      <w:color w:val="404040" w:themeColor="text1" w:themeTint="BF"/>
    </w:rPr>
  </w:style>
  <w:style w:type="paragraph" w:styleId="ListParagraph">
    <w:name w:val="List Paragraph"/>
    <w:basedOn w:val="Normal"/>
    <w:uiPriority w:val="34"/>
    <w:qFormat/>
    <w:rsid w:val="00A425A0"/>
    <w:pPr>
      <w:ind w:left="720"/>
      <w:contextualSpacing/>
    </w:pPr>
  </w:style>
  <w:style w:type="character" w:styleId="IntenseEmphasis">
    <w:name w:val="Intense Emphasis"/>
    <w:basedOn w:val="DefaultParagraphFont"/>
    <w:uiPriority w:val="21"/>
    <w:qFormat/>
    <w:rsid w:val="00A425A0"/>
    <w:rPr>
      <w:i/>
      <w:iCs/>
      <w:color w:val="2F5496" w:themeColor="accent1" w:themeShade="BF"/>
    </w:rPr>
  </w:style>
  <w:style w:type="paragraph" w:styleId="IntenseQuote">
    <w:name w:val="Intense Quote"/>
    <w:basedOn w:val="Normal"/>
    <w:next w:val="Normal"/>
    <w:link w:val="IntenseQuoteChar"/>
    <w:uiPriority w:val="30"/>
    <w:qFormat/>
    <w:rsid w:val="00A425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25A0"/>
    <w:rPr>
      <w:i/>
      <w:iCs/>
      <w:color w:val="2F5496" w:themeColor="accent1" w:themeShade="BF"/>
    </w:rPr>
  </w:style>
  <w:style w:type="character" w:styleId="IntenseReference">
    <w:name w:val="Intense Reference"/>
    <w:basedOn w:val="DefaultParagraphFont"/>
    <w:uiPriority w:val="32"/>
    <w:qFormat/>
    <w:rsid w:val="00A425A0"/>
    <w:rPr>
      <w:b/>
      <w:bCs/>
      <w:smallCaps/>
      <w:color w:val="2F5496" w:themeColor="accent1" w:themeShade="BF"/>
      <w:spacing w:val="5"/>
    </w:rPr>
  </w:style>
  <w:style w:type="table" w:styleId="TableGridLight">
    <w:name w:val="Grid Table Light"/>
    <w:basedOn w:val="TableNormal"/>
    <w:uiPriority w:val="40"/>
    <w:rsid w:val="002F49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E44167"/>
    <w:rPr>
      <w:rFonts w:ascii="Times New Roman" w:hAnsi="Times New Roman" w:cs="Times New Roman"/>
      <w:sz w:val="24"/>
      <w:szCs w:val="24"/>
    </w:rPr>
  </w:style>
  <w:style w:type="table" w:styleId="TableGrid">
    <w:name w:val="Table Grid"/>
    <w:basedOn w:val="TableNormal"/>
    <w:uiPriority w:val="39"/>
    <w:rsid w:val="007D4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521A"/>
    <w:rPr>
      <w:color w:val="0563C1" w:themeColor="hyperlink"/>
      <w:u w:val="single"/>
    </w:rPr>
  </w:style>
  <w:style w:type="character" w:styleId="UnresolvedMention">
    <w:name w:val="Unresolved Mention"/>
    <w:basedOn w:val="DefaultParagraphFont"/>
    <w:uiPriority w:val="99"/>
    <w:semiHidden/>
    <w:unhideWhenUsed/>
    <w:rsid w:val="001A521A"/>
    <w:rPr>
      <w:color w:val="605E5C"/>
      <w:shd w:val="clear" w:color="auto" w:fill="E1DFDD"/>
    </w:rPr>
  </w:style>
  <w:style w:type="paragraph" w:styleId="Header">
    <w:name w:val="header"/>
    <w:basedOn w:val="Normal"/>
    <w:link w:val="HeaderChar"/>
    <w:uiPriority w:val="99"/>
    <w:unhideWhenUsed/>
    <w:rsid w:val="00553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9F0"/>
  </w:style>
  <w:style w:type="paragraph" w:styleId="Footer">
    <w:name w:val="footer"/>
    <w:basedOn w:val="Normal"/>
    <w:link w:val="FooterChar"/>
    <w:uiPriority w:val="99"/>
    <w:unhideWhenUsed/>
    <w:rsid w:val="00553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0997/jsh.v14i1.7676" TargetMode="External"/><Relationship Id="rId13" Type="http://schemas.openxmlformats.org/officeDocument/2006/relationships/hyperlink" Target="https://doi.org/10.1080/09243453.2023.2190130" TargetMode="External"/><Relationship Id="rId18" Type="http://schemas.openxmlformats.org/officeDocument/2006/relationships/hyperlink" Target="https://doi.org/10.3390/fi1702006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38/s41598-024-75352-3" TargetMode="External"/><Relationship Id="rId7" Type="http://schemas.openxmlformats.org/officeDocument/2006/relationships/image" Target="media/image1.png"/><Relationship Id="rId12" Type="http://schemas.openxmlformats.org/officeDocument/2006/relationships/hyperlink" Target="https://doi.org/10.30997/ijsr.v2i3.70" TargetMode="External"/><Relationship Id="rId17" Type="http://schemas.openxmlformats.org/officeDocument/2006/relationships/hyperlink" Target="https://doi.org/10.3390/educsci15091214"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07/978-981-96-2567-3_26" TargetMode="External"/><Relationship Id="rId20" Type="http://schemas.openxmlformats.org/officeDocument/2006/relationships/hyperlink" Target="https://doi.org/10.1080/2331186X.2025.254834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su14211411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159/000494457"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16/j.sciaf.2025.e02571" TargetMode="External"/><Relationship Id="rId19" Type="http://schemas.openxmlformats.org/officeDocument/2006/relationships/hyperlink" Target="https://doi.org/10.1016/j.edurev.2025.100708" TargetMode="External"/><Relationship Id="rId4" Type="http://schemas.openxmlformats.org/officeDocument/2006/relationships/webSettings" Target="webSettings.xml"/><Relationship Id="rId9" Type="http://schemas.openxmlformats.org/officeDocument/2006/relationships/hyperlink" Target="https://doi.org/10.1080/15433710802084334" TargetMode="External"/><Relationship Id="rId14" Type="http://schemas.openxmlformats.org/officeDocument/2006/relationships/hyperlink" Target="https://jurnal.unprimdn.ac.id/index.php/jumkep/article/view/277"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5864</Words>
  <Characters>33430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1020</cp:lastModifiedBy>
  <cp:revision>6</cp:revision>
  <dcterms:created xsi:type="dcterms:W3CDTF">2025-12-24T15:29:00Z</dcterms:created>
  <dcterms:modified xsi:type="dcterms:W3CDTF">2025-12-29T08:15:00Z</dcterms:modified>
</cp:coreProperties>
</file>