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A94A" w14:textId="77777777" w:rsidR="009D463B" w:rsidRDefault="009D463B" w:rsidP="00EC22EF">
      <w:pPr>
        <w:spacing w:before="240" w:line="360" w:lineRule="auto"/>
        <w:jc w:val="right"/>
        <w:rPr>
          <w:rFonts w:ascii="Arial" w:hAnsi="Arial" w:cs="Arial"/>
          <w:b/>
          <w:bCs/>
          <w:sz w:val="32"/>
          <w:szCs w:val="32"/>
        </w:rPr>
      </w:pPr>
      <w:r w:rsidRPr="009D463B">
        <w:rPr>
          <w:rFonts w:ascii="Arial" w:hAnsi="Arial" w:cs="Arial"/>
          <w:b/>
          <w:bCs/>
          <w:sz w:val="32"/>
          <w:szCs w:val="32"/>
        </w:rPr>
        <w:t>Original Research Article</w:t>
      </w:r>
    </w:p>
    <w:p w14:paraId="0F6E5765" w14:textId="77777777" w:rsidR="009D463B" w:rsidRDefault="009D463B" w:rsidP="00EC22EF">
      <w:pPr>
        <w:spacing w:before="240" w:line="360" w:lineRule="auto"/>
        <w:jc w:val="right"/>
        <w:rPr>
          <w:rFonts w:ascii="Arial" w:hAnsi="Arial" w:cs="Arial"/>
          <w:b/>
          <w:bCs/>
          <w:sz w:val="32"/>
          <w:szCs w:val="32"/>
        </w:rPr>
      </w:pPr>
    </w:p>
    <w:p w14:paraId="59B2CC13" w14:textId="71637437" w:rsidR="00EC22EF" w:rsidRPr="0059717B" w:rsidRDefault="00EC22EF" w:rsidP="00EC22EF">
      <w:pPr>
        <w:spacing w:before="240" w:line="360" w:lineRule="auto"/>
        <w:jc w:val="right"/>
        <w:rPr>
          <w:rFonts w:ascii="Arial" w:hAnsi="Arial" w:cs="Arial"/>
          <w:b/>
          <w:bCs/>
          <w:sz w:val="32"/>
          <w:szCs w:val="32"/>
        </w:rPr>
      </w:pPr>
      <w:r w:rsidRPr="00EC22EF">
        <w:rPr>
          <w:rFonts w:ascii="Arial" w:hAnsi="Arial" w:cs="Arial"/>
          <w:b/>
          <w:bCs/>
          <w:sz w:val="32"/>
          <w:szCs w:val="32"/>
        </w:rPr>
        <w:t xml:space="preserve">Assessing </w:t>
      </w:r>
      <w:r>
        <w:rPr>
          <w:rFonts w:ascii="Arial" w:hAnsi="Arial" w:cs="Arial"/>
          <w:b/>
          <w:bCs/>
          <w:sz w:val="32"/>
          <w:szCs w:val="32"/>
        </w:rPr>
        <w:t>t</w:t>
      </w:r>
      <w:r w:rsidRPr="00EC22EF">
        <w:rPr>
          <w:rFonts w:ascii="Arial" w:hAnsi="Arial" w:cs="Arial"/>
          <w:b/>
          <w:bCs/>
          <w:sz w:val="32"/>
          <w:szCs w:val="32"/>
        </w:rPr>
        <w:t xml:space="preserve">he Challenges Faced </w:t>
      </w:r>
      <w:r>
        <w:rPr>
          <w:rFonts w:ascii="Arial" w:hAnsi="Arial" w:cs="Arial"/>
          <w:b/>
          <w:bCs/>
          <w:sz w:val="32"/>
          <w:szCs w:val="32"/>
        </w:rPr>
        <w:t>b</w:t>
      </w:r>
      <w:r w:rsidRPr="00EC22EF">
        <w:rPr>
          <w:rFonts w:ascii="Arial" w:hAnsi="Arial" w:cs="Arial"/>
          <w:b/>
          <w:bCs/>
          <w:sz w:val="32"/>
          <w:szCs w:val="32"/>
        </w:rPr>
        <w:t xml:space="preserve">y Women Gig Workers in the Malappuram District </w:t>
      </w:r>
      <w:r>
        <w:rPr>
          <w:rFonts w:ascii="Arial" w:hAnsi="Arial" w:cs="Arial"/>
          <w:b/>
          <w:bCs/>
          <w:sz w:val="32"/>
          <w:szCs w:val="32"/>
        </w:rPr>
        <w:t>o</w:t>
      </w:r>
      <w:r w:rsidRPr="00EC22EF">
        <w:rPr>
          <w:rFonts w:ascii="Arial" w:hAnsi="Arial" w:cs="Arial"/>
          <w:b/>
          <w:bCs/>
          <w:sz w:val="32"/>
          <w:szCs w:val="32"/>
        </w:rPr>
        <w:t>f Kerala: Logistic Regression Approach</w:t>
      </w:r>
    </w:p>
    <w:p w14:paraId="29AC2FE8" w14:textId="77777777" w:rsidR="008D252A" w:rsidRDefault="008D252A" w:rsidP="00EC22EF">
      <w:pPr>
        <w:spacing w:before="240" w:after="0" w:line="360" w:lineRule="auto"/>
        <w:jc w:val="both"/>
        <w:rPr>
          <w:rFonts w:ascii="Arial" w:hAnsi="Arial" w:cs="Arial"/>
          <w:b/>
          <w:bCs/>
        </w:rPr>
      </w:pPr>
    </w:p>
    <w:p w14:paraId="128387EB" w14:textId="0CAED19D" w:rsidR="005571C5" w:rsidRPr="0059717B" w:rsidRDefault="0059717B" w:rsidP="00EC22EF">
      <w:pPr>
        <w:spacing w:before="240" w:after="0" w:line="360" w:lineRule="auto"/>
        <w:jc w:val="both"/>
        <w:rPr>
          <w:rFonts w:ascii="Arial" w:hAnsi="Arial" w:cs="Arial"/>
          <w:b/>
          <w:bCs/>
        </w:rPr>
      </w:pPr>
      <w:r w:rsidRPr="0059717B">
        <w:rPr>
          <w:rFonts w:ascii="Arial" w:hAnsi="Arial" w:cs="Arial"/>
          <w:b/>
          <w:bCs/>
        </w:rPr>
        <w:t>ABSTRACT</w:t>
      </w:r>
    </w:p>
    <w:p w14:paraId="39CA9F1F" w14:textId="74AEAE54" w:rsidR="00825DB4" w:rsidRDefault="00825DB4" w:rsidP="00825DB4">
      <w:pPr>
        <w:spacing w:before="240" w:after="0" w:line="360" w:lineRule="auto"/>
        <w:jc w:val="both"/>
        <w:rPr>
          <w:rFonts w:ascii="Arial" w:hAnsi="Arial" w:cs="Arial"/>
          <w:sz w:val="20"/>
          <w:szCs w:val="20"/>
        </w:rPr>
      </w:pPr>
      <w:r w:rsidRPr="00825DB4">
        <w:rPr>
          <w:rFonts w:ascii="Arial" w:hAnsi="Arial" w:cs="Arial"/>
          <w:sz w:val="20"/>
          <w:szCs w:val="20"/>
        </w:rPr>
        <w:t xml:space="preserve">The rapid expansion of the gig economy has opened new income opportunities for women in Kerala; however, it has also introduced a distinct set of challenges that remain insufficiently examined. </w:t>
      </w:r>
      <w:r w:rsidR="007609E7" w:rsidRPr="007609E7">
        <w:rPr>
          <w:rFonts w:ascii="Arial" w:hAnsi="Arial" w:cs="Arial"/>
          <w:sz w:val="20"/>
          <w:szCs w:val="20"/>
        </w:rPr>
        <w:t>This study empirically assesses the factors associated with the difficulties experienced by women gig workers in Malappuram district, Kerala, with specific reference to economic, social, and occupational constraints</w:t>
      </w:r>
      <w:r w:rsidRPr="00825DB4">
        <w:rPr>
          <w:rFonts w:ascii="Arial" w:hAnsi="Arial" w:cs="Arial"/>
          <w:sz w:val="20"/>
          <w:szCs w:val="20"/>
        </w:rPr>
        <w:t xml:space="preserve">. </w:t>
      </w:r>
      <w:r w:rsidR="000446D9" w:rsidRPr="002B140D">
        <w:rPr>
          <w:rFonts w:ascii="Arial" w:hAnsi="Arial" w:cs="Arial"/>
          <w:sz w:val="20"/>
          <w:szCs w:val="20"/>
        </w:rPr>
        <w:t>A logistic regression model was applied to a dataset of 285 observations to estimate the likelihood that women engaged in gig work experience significant challenges. The dependent variable represents their earnings, coded as 1 for workers earning ₹10,000 or more and 0 for those earning less than ₹10,000.</w:t>
      </w:r>
      <w:r w:rsidRPr="00825DB4">
        <w:rPr>
          <w:rFonts w:ascii="Arial" w:hAnsi="Arial" w:cs="Arial"/>
          <w:sz w:val="20"/>
          <w:szCs w:val="20"/>
        </w:rPr>
        <w:t xml:space="preserve"> The empirical findings indicate that irregular earnings, absence of social security, household responsibilities, platform-based discrimination, and limited digital skills significantly increase the probability of experiencing adverse work conditions. The analysis highlights the multidimensional vulnerabilities embedded in platform-mediated employment. The </w:t>
      </w:r>
      <w:r w:rsidR="007609E7">
        <w:rPr>
          <w:rFonts w:ascii="Arial" w:hAnsi="Arial" w:cs="Arial"/>
          <w:sz w:val="20"/>
          <w:szCs w:val="20"/>
        </w:rPr>
        <w:t>paper</w:t>
      </w:r>
      <w:r w:rsidRPr="00825DB4">
        <w:rPr>
          <w:rFonts w:ascii="Arial" w:hAnsi="Arial" w:cs="Arial"/>
          <w:sz w:val="20"/>
          <w:szCs w:val="20"/>
        </w:rPr>
        <w:t xml:space="preserve"> underscores the need for targeted policy interventions and gender-responsive measures to improve income stability, enhance digital competencies, ensure safer work environments, and strengthen social protection mechanisms.</w:t>
      </w:r>
    </w:p>
    <w:p w14:paraId="4656FF0E" w14:textId="49EDE4F3" w:rsidR="005571C5" w:rsidRPr="0059717B" w:rsidRDefault="005571C5" w:rsidP="006177EA">
      <w:pPr>
        <w:spacing w:before="240" w:after="0" w:line="360" w:lineRule="auto"/>
        <w:jc w:val="both"/>
        <w:rPr>
          <w:rFonts w:ascii="Arial" w:hAnsi="Arial" w:cs="Arial"/>
          <w:i/>
          <w:iCs/>
          <w:sz w:val="20"/>
          <w:szCs w:val="20"/>
        </w:rPr>
      </w:pPr>
      <w:r w:rsidRPr="0059717B">
        <w:rPr>
          <w:rFonts w:ascii="Arial" w:hAnsi="Arial" w:cs="Arial"/>
          <w:b/>
          <w:bCs/>
          <w:i/>
          <w:iCs/>
          <w:sz w:val="20"/>
          <w:szCs w:val="20"/>
        </w:rPr>
        <w:t>Keywords:</w:t>
      </w:r>
      <w:r w:rsidRPr="0059717B">
        <w:rPr>
          <w:rFonts w:ascii="Arial" w:hAnsi="Arial" w:cs="Arial"/>
          <w:i/>
          <w:iCs/>
          <w:sz w:val="20"/>
          <w:szCs w:val="20"/>
        </w:rPr>
        <w:t xml:space="preserve"> </w:t>
      </w:r>
      <w:r w:rsidR="00825DB4" w:rsidRPr="00825DB4">
        <w:rPr>
          <w:rFonts w:ascii="Arial" w:hAnsi="Arial" w:cs="Arial"/>
          <w:i/>
          <w:iCs/>
          <w:sz w:val="20"/>
          <w:szCs w:val="20"/>
        </w:rPr>
        <w:t xml:space="preserve">Gig economy, </w:t>
      </w:r>
      <w:r w:rsidR="00773E3F" w:rsidRPr="00825DB4">
        <w:rPr>
          <w:rFonts w:ascii="Arial" w:hAnsi="Arial" w:cs="Arial"/>
          <w:i/>
          <w:iCs/>
          <w:sz w:val="20"/>
          <w:szCs w:val="20"/>
        </w:rPr>
        <w:t>women gig workers, logistic regression, platform economy, Malappuram, Kerala</w:t>
      </w:r>
      <w:r w:rsidR="00773E3F" w:rsidRPr="00825DB4">
        <w:rPr>
          <w:rFonts w:ascii="Arial" w:hAnsi="Arial" w:cs="Arial"/>
          <w:i/>
          <w:iCs/>
          <w:sz w:val="18"/>
          <w:szCs w:val="18"/>
        </w:rPr>
        <w:t xml:space="preserve"> </w:t>
      </w:r>
    </w:p>
    <w:p w14:paraId="2EA95ED6" w14:textId="2EA32E57" w:rsidR="00597C15" w:rsidRPr="00597C15" w:rsidRDefault="0059717B" w:rsidP="00597C15">
      <w:pPr>
        <w:spacing w:before="240" w:line="360" w:lineRule="auto"/>
        <w:jc w:val="both"/>
        <w:rPr>
          <w:rFonts w:ascii="Arial" w:hAnsi="Arial" w:cs="Arial"/>
          <w:b/>
          <w:bCs/>
        </w:rPr>
      </w:pPr>
      <w:r w:rsidRPr="0059717B">
        <w:rPr>
          <w:rFonts w:ascii="Arial" w:hAnsi="Arial" w:cs="Arial"/>
          <w:b/>
          <w:bCs/>
        </w:rPr>
        <w:t xml:space="preserve">1 INTRODUCTION </w:t>
      </w:r>
    </w:p>
    <w:p w14:paraId="0FAE493F" w14:textId="4C331999" w:rsidR="00E26B95" w:rsidRPr="0086458D" w:rsidRDefault="00F2072B" w:rsidP="00E26B95">
      <w:pPr>
        <w:spacing w:line="360" w:lineRule="auto"/>
        <w:jc w:val="both"/>
        <w:rPr>
          <w:rFonts w:ascii="Arial" w:hAnsi="Arial" w:cs="Arial"/>
          <w:sz w:val="20"/>
          <w:szCs w:val="20"/>
        </w:rPr>
      </w:pPr>
      <w:r w:rsidRPr="00F2072B">
        <w:rPr>
          <w:rFonts w:ascii="Arial" w:hAnsi="Arial" w:cs="Arial"/>
          <w:sz w:val="20"/>
          <w:szCs w:val="20"/>
        </w:rPr>
        <w:t xml:space="preserve">Labour markets worldwide are undergoing profound transformations driven by rapid technological advancements and evolving employment structures. </w:t>
      </w:r>
      <w:r w:rsidR="00C0367E" w:rsidRPr="00C0367E">
        <w:rPr>
          <w:rFonts w:ascii="Arial" w:hAnsi="Arial" w:cs="Arial"/>
          <w:sz w:val="20"/>
          <w:szCs w:val="20"/>
        </w:rPr>
        <w:t xml:space="preserve">Traditional full-time and long-term jobs are increasingly being replaced by flexible, non-standard forms of work such as freelance, contractual, and temporary engagements. </w:t>
      </w:r>
      <w:r w:rsidR="00C6393A" w:rsidRPr="00C0367E">
        <w:rPr>
          <w:rFonts w:ascii="Arial" w:hAnsi="Arial" w:cs="Arial"/>
          <w:sz w:val="20"/>
          <w:szCs w:val="20"/>
        </w:rPr>
        <w:t xml:space="preserve">Within this broader transformation, the gig economy has emerged as a significant and expanding segment of contemporary labour markets. </w:t>
      </w:r>
      <w:r>
        <w:rPr>
          <w:rFonts w:ascii="Arial" w:hAnsi="Arial" w:cs="Arial"/>
          <w:sz w:val="20"/>
          <w:szCs w:val="20"/>
        </w:rPr>
        <w:t>P</w:t>
      </w:r>
      <w:r w:rsidRPr="00C0367E">
        <w:rPr>
          <w:rFonts w:ascii="Arial" w:hAnsi="Arial" w:cs="Arial"/>
          <w:sz w:val="20"/>
          <w:szCs w:val="20"/>
        </w:rPr>
        <w:t>articipation in gig work generally involves low entry barriers, requiring minimal resources such as access to a smartphone and internet connectivity, and in certain cases, basic service-related assets like vehicles (Sundararajan, 2016; Ramachandran, Singh &amp; Narain, 2021).</w:t>
      </w:r>
      <w:r>
        <w:rPr>
          <w:rFonts w:ascii="Arial" w:hAnsi="Arial" w:cs="Arial"/>
          <w:sz w:val="20"/>
          <w:szCs w:val="20"/>
        </w:rPr>
        <w:t xml:space="preserve"> </w:t>
      </w:r>
      <w:r w:rsidRPr="00C0367E">
        <w:rPr>
          <w:rFonts w:ascii="Arial" w:hAnsi="Arial" w:cs="Arial"/>
          <w:sz w:val="20"/>
          <w:szCs w:val="20"/>
        </w:rPr>
        <w:t xml:space="preserve">The continued advancement of digital technologies has further </w:t>
      </w:r>
      <w:r w:rsidRPr="00C0367E">
        <w:rPr>
          <w:rFonts w:ascii="Arial" w:hAnsi="Arial" w:cs="Arial"/>
          <w:sz w:val="20"/>
          <w:szCs w:val="20"/>
        </w:rPr>
        <w:lastRenderedPageBreak/>
        <w:t>intensified these changes by altering how work is organised, accessed, and delivered.</w:t>
      </w:r>
      <w:r w:rsidR="00C6393A">
        <w:rPr>
          <w:rFonts w:ascii="Arial" w:hAnsi="Arial" w:cs="Arial"/>
          <w:sz w:val="20"/>
          <w:szCs w:val="20"/>
        </w:rPr>
        <w:t xml:space="preserve"> </w:t>
      </w:r>
      <w:r w:rsidR="00C0367E" w:rsidRPr="00C0367E">
        <w:rPr>
          <w:rFonts w:ascii="Arial" w:hAnsi="Arial" w:cs="Arial"/>
          <w:sz w:val="20"/>
          <w:szCs w:val="20"/>
        </w:rPr>
        <w:t xml:space="preserve">This </w:t>
      </w:r>
      <w:r w:rsidR="0092686F">
        <w:rPr>
          <w:rFonts w:ascii="Arial" w:hAnsi="Arial" w:cs="Arial"/>
          <w:sz w:val="20"/>
          <w:szCs w:val="20"/>
        </w:rPr>
        <w:t xml:space="preserve">gig work </w:t>
      </w:r>
      <w:r w:rsidR="00C0367E" w:rsidRPr="00C0367E">
        <w:rPr>
          <w:rFonts w:ascii="Arial" w:hAnsi="Arial" w:cs="Arial"/>
          <w:sz w:val="20"/>
          <w:szCs w:val="20"/>
        </w:rPr>
        <w:t xml:space="preserve">model offers workers considerable autonomy over their working hours and workload and is often promoted as a flexible alternative to conventional employment arrangements (Harris, 2017). </w:t>
      </w:r>
      <w:r w:rsidRPr="00F2072B">
        <w:rPr>
          <w:rFonts w:ascii="Arial" w:hAnsi="Arial" w:cs="Arial"/>
          <w:sz w:val="20"/>
          <w:szCs w:val="20"/>
        </w:rPr>
        <w:t>The perceived flexibility of gig work, frequently cited as a key factor facilitating women’s labour market participation, is expected to function as a catalyst for income generation and women’s empowerment (</w:t>
      </w:r>
      <w:r w:rsidRPr="007D410E">
        <w:rPr>
          <w:rFonts w:ascii="Arial" w:hAnsi="Arial" w:cs="Arial"/>
          <w:sz w:val="20"/>
          <w:szCs w:val="20"/>
        </w:rPr>
        <w:t>NITI Aayog, 2022</w:t>
      </w:r>
      <w:r w:rsidRPr="00F2072B">
        <w:rPr>
          <w:rFonts w:ascii="Arial" w:hAnsi="Arial" w:cs="Arial"/>
          <w:sz w:val="20"/>
          <w:szCs w:val="20"/>
        </w:rPr>
        <w:t xml:space="preserve">). </w:t>
      </w:r>
      <w:r w:rsidR="0092686F" w:rsidRPr="0092686F">
        <w:rPr>
          <w:rFonts w:ascii="Arial" w:hAnsi="Arial" w:cs="Arial"/>
          <w:sz w:val="20"/>
          <w:szCs w:val="20"/>
        </w:rPr>
        <w:t xml:space="preserve">In India, similar patterns are evident as digitalisation and the rapid growth of platform-mediated work are reshaping the labour market. </w:t>
      </w:r>
      <w:r w:rsidR="002E30DD" w:rsidRPr="00005A0F">
        <w:rPr>
          <w:rFonts w:ascii="Arial" w:hAnsi="Arial" w:cs="Arial"/>
          <w:color w:val="000000" w:themeColor="text1"/>
          <w:sz w:val="20"/>
          <w:szCs w:val="20"/>
        </w:rPr>
        <w:t>India stands out as one of the world’s largest and fastest-growing gig economies (Economic Survey, 2020–21).</w:t>
      </w:r>
      <w:r w:rsidR="002E30DD">
        <w:rPr>
          <w:rFonts w:ascii="Arial" w:hAnsi="Arial" w:cs="Arial"/>
          <w:color w:val="000000" w:themeColor="text1"/>
          <w:sz w:val="20"/>
          <w:szCs w:val="20"/>
        </w:rPr>
        <w:t xml:space="preserve"> </w:t>
      </w:r>
      <w:r w:rsidR="00E616D3" w:rsidRPr="00E616D3">
        <w:rPr>
          <w:rFonts w:ascii="Arial" w:hAnsi="Arial" w:cs="Arial"/>
          <w:sz w:val="20"/>
          <w:szCs w:val="20"/>
        </w:rPr>
        <w:t>Although recent developments have increased the availability of flexible employment, they have also intensified concerns regarding inadequate social security coverage, employment stability, labour protection, and overall job quality, particularly for women engaged in gig work.</w:t>
      </w:r>
      <w:r w:rsidR="00E616D3">
        <w:rPr>
          <w:rFonts w:ascii="Arial" w:hAnsi="Arial" w:cs="Arial"/>
          <w:sz w:val="20"/>
          <w:szCs w:val="20"/>
        </w:rPr>
        <w:t xml:space="preserve"> </w:t>
      </w:r>
      <w:r w:rsidR="00E616D3" w:rsidRPr="00C0367E">
        <w:rPr>
          <w:rFonts w:ascii="Arial" w:hAnsi="Arial" w:cs="Arial"/>
          <w:sz w:val="20"/>
          <w:szCs w:val="20"/>
        </w:rPr>
        <w:t>These shifts have contributed to heightened job insecurity and a reconfiguration of labour relations across economies (Bonet, Cappelli &amp; Hamori, 2013; Harvey et al., 2017).</w:t>
      </w:r>
    </w:p>
    <w:p w14:paraId="3645F4DF" w14:textId="3677BE9C" w:rsidR="000446D9" w:rsidRDefault="00E26B95" w:rsidP="000446D9">
      <w:pPr>
        <w:spacing w:line="360" w:lineRule="auto"/>
        <w:jc w:val="both"/>
        <w:rPr>
          <w:rFonts w:ascii="Arial" w:hAnsi="Arial" w:cs="Arial"/>
          <w:sz w:val="20"/>
          <w:szCs w:val="20"/>
        </w:rPr>
      </w:pPr>
      <w:r w:rsidRPr="0086458D">
        <w:rPr>
          <w:rFonts w:ascii="Arial" w:hAnsi="Arial" w:cs="Arial"/>
          <w:sz w:val="20"/>
          <w:szCs w:val="20"/>
        </w:rPr>
        <w:t xml:space="preserve">In this context, the growth of the gig economy in Kerala is particularly notable. Known for its high human development achievements and increasing digital literacy, the state has experienced rising participation in non-traditional forms of work. Malappuram district stands out with its young population and a growing number of women entering platform-based work. </w:t>
      </w:r>
      <w:r w:rsidR="0060131C" w:rsidRPr="0060131C">
        <w:rPr>
          <w:rFonts w:ascii="Arial" w:hAnsi="Arial" w:cs="Arial"/>
          <w:sz w:val="20"/>
          <w:szCs w:val="20"/>
        </w:rPr>
        <w:t xml:space="preserve">The district, situated in the northern part of Kerala, is administratively </w:t>
      </w:r>
      <w:r w:rsidR="0060131C">
        <w:rPr>
          <w:rFonts w:ascii="Arial" w:hAnsi="Arial" w:cs="Arial"/>
          <w:sz w:val="20"/>
          <w:szCs w:val="20"/>
        </w:rPr>
        <w:t>divided</w:t>
      </w:r>
      <w:r w:rsidR="0060131C" w:rsidRPr="0060131C">
        <w:rPr>
          <w:rFonts w:ascii="Arial" w:hAnsi="Arial" w:cs="Arial"/>
          <w:sz w:val="20"/>
          <w:szCs w:val="20"/>
        </w:rPr>
        <w:t xml:space="preserve"> into eight taluks and is characterised by relatively high levels of female literacy. Despite this educational attainment, significant gender disparities persist in labour force participation, and employment security. </w:t>
      </w:r>
      <w:r w:rsidRPr="0086458D">
        <w:rPr>
          <w:rFonts w:ascii="Arial" w:hAnsi="Arial" w:cs="Arial"/>
          <w:sz w:val="20"/>
          <w:szCs w:val="20"/>
        </w:rPr>
        <w:t xml:space="preserve">The rapid spread of digital platforms has enabled many individuals, especially youth and women, to engage in short-term online and offline gigs across sectors such as content creation, graphic design, web development, online marketing, and service delivery (Mishra &amp; Dastidar, 2023). </w:t>
      </w:r>
      <w:r w:rsidR="000446D9" w:rsidRPr="00432161">
        <w:rPr>
          <w:rFonts w:ascii="Arial" w:hAnsi="Arial" w:cs="Arial"/>
          <w:sz w:val="20"/>
          <w:szCs w:val="20"/>
        </w:rPr>
        <w:t xml:space="preserve">The study is significant as it provides empirical insights into the multifaceted challenges experienced by women gig workers in Malappuram, a group that remains largely underexamined in the platform-based labour discourse. </w:t>
      </w:r>
      <w:r w:rsidR="00D27812" w:rsidRPr="00D27812">
        <w:rPr>
          <w:rFonts w:ascii="Arial" w:hAnsi="Arial" w:cs="Arial"/>
          <w:sz w:val="20"/>
          <w:szCs w:val="20"/>
        </w:rPr>
        <w:t>The absence of robust econometric evidence limits the formulation of targeted policy interventions and platform-level reforms.</w:t>
      </w:r>
      <w:r w:rsidR="00D27812">
        <w:rPr>
          <w:rFonts w:ascii="Arial" w:hAnsi="Arial" w:cs="Arial"/>
          <w:sz w:val="20"/>
          <w:szCs w:val="20"/>
        </w:rPr>
        <w:t xml:space="preserve"> </w:t>
      </w:r>
      <w:r w:rsidR="000446D9" w:rsidRPr="00432161">
        <w:rPr>
          <w:rFonts w:ascii="Arial" w:hAnsi="Arial" w:cs="Arial"/>
          <w:sz w:val="20"/>
          <w:szCs w:val="20"/>
        </w:rPr>
        <w:t>By applying a logistic regression approach, the research offers evidence-based understanding that can guide policymakers and stakeholders in formulating targeted interventions to improve the socioeconomic conditions of women in the gig economy.</w:t>
      </w:r>
    </w:p>
    <w:p w14:paraId="45350897" w14:textId="2ACB4B08" w:rsidR="000D4AEE" w:rsidRPr="0059717B" w:rsidRDefault="0059717B" w:rsidP="00FE26A1">
      <w:pPr>
        <w:spacing w:before="240" w:line="360" w:lineRule="auto"/>
        <w:jc w:val="both"/>
        <w:rPr>
          <w:rFonts w:ascii="Arial" w:hAnsi="Arial" w:cs="Arial"/>
          <w:b/>
          <w:bCs/>
        </w:rPr>
      </w:pPr>
      <w:r w:rsidRPr="0059717B">
        <w:rPr>
          <w:rFonts w:ascii="Arial" w:hAnsi="Arial" w:cs="Arial"/>
          <w:b/>
          <w:bCs/>
        </w:rPr>
        <w:t>2</w:t>
      </w:r>
      <w:r w:rsidR="00D90791">
        <w:rPr>
          <w:rFonts w:ascii="Arial" w:hAnsi="Arial" w:cs="Arial"/>
          <w:b/>
          <w:bCs/>
        </w:rPr>
        <w:t xml:space="preserve"> </w:t>
      </w:r>
      <w:r w:rsidRPr="0059717B">
        <w:rPr>
          <w:rFonts w:ascii="Arial" w:hAnsi="Arial" w:cs="Arial"/>
          <w:b/>
          <w:bCs/>
        </w:rPr>
        <w:t>THEORETICAL PERSPECTIVES OF THE STUDY</w:t>
      </w:r>
    </w:p>
    <w:p w14:paraId="6800A32B" w14:textId="77777777" w:rsidR="00597C15" w:rsidRPr="00597C15" w:rsidRDefault="00597C15" w:rsidP="00597C15">
      <w:pPr>
        <w:spacing w:before="240" w:line="360" w:lineRule="auto"/>
        <w:jc w:val="both"/>
        <w:rPr>
          <w:rFonts w:ascii="Arial" w:hAnsi="Arial" w:cs="Arial"/>
          <w:sz w:val="20"/>
          <w:szCs w:val="20"/>
        </w:rPr>
      </w:pPr>
      <w:r w:rsidRPr="00597C15">
        <w:rPr>
          <w:rFonts w:ascii="Arial" w:hAnsi="Arial" w:cs="Arial"/>
          <w:sz w:val="20"/>
          <w:szCs w:val="20"/>
        </w:rPr>
        <w:t>The study on the challenges faced by women gig workers is grounded in multiple theoretical perspectives that explain the dynamics of gender, labour market participation, and digital platform work. These frameworks help to contextualize the socio-economic realities of women’s engagement in gig work and to interpret the results of the empirical analysis meaningfully. Feminist labour theory (</w:t>
      </w:r>
      <w:r w:rsidRPr="00597C15">
        <w:rPr>
          <w:rFonts w:ascii="Arial" w:hAnsi="Arial" w:cs="Arial"/>
          <w:color w:val="000000" w:themeColor="text1"/>
          <w:sz w:val="20"/>
          <w:szCs w:val="20"/>
        </w:rPr>
        <w:t>Costa &amp; James, 1972; Elson, 1999</w:t>
      </w:r>
      <w:r w:rsidRPr="00597C15">
        <w:rPr>
          <w:rFonts w:ascii="Arial" w:hAnsi="Arial" w:cs="Arial"/>
          <w:sz w:val="20"/>
          <w:szCs w:val="20"/>
        </w:rPr>
        <w:t xml:space="preserve">) provides the foundational lens for understanding gendered inequalities within the gig economy. It emphasizes that women’s participation in paid work is shaped by patriarchal structures, unpaid domestic responsibilities, and social expectations regarding gender roles. Within the gig economy, flexibility is often portrayed as empowering for women; however, feminist theorists argue </w:t>
      </w:r>
      <w:r w:rsidRPr="00597C15">
        <w:rPr>
          <w:rFonts w:ascii="Arial" w:hAnsi="Arial" w:cs="Arial"/>
          <w:sz w:val="20"/>
          <w:szCs w:val="20"/>
        </w:rPr>
        <w:lastRenderedPageBreak/>
        <w:t>that this flexibility can mask precarity, low pay, and the absence of social protection.</w:t>
      </w:r>
      <w:r w:rsidRPr="00597C15">
        <w:rPr>
          <w:rFonts w:ascii="Arial" w:hAnsi="Arial" w:cs="Arial"/>
          <w:b/>
          <w:bCs/>
          <w:sz w:val="20"/>
          <w:szCs w:val="20"/>
        </w:rPr>
        <w:t xml:space="preserve"> </w:t>
      </w:r>
      <w:r w:rsidRPr="00597C15">
        <w:rPr>
          <w:rFonts w:ascii="Arial" w:hAnsi="Arial" w:cs="Arial"/>
          <w:sz w:val="20"/>
          <w:szCs w:val="20"/>
        </w:rPr>
        <w:t xml:space="preserve">The dual labour market theory, introduced by </w:t>
      </w:r>
      <w:r w:rsidRPr="00597C15">
        <w:rPr>
          <w:rFonts w:ascii="Arial" w:hAnsi="Arial" w:cs="Arial"/>
          <w:color w:val="000000" w:themeColor="text1"/>
          <w:sz w:val="20"/>
          <w:szCs w:val="20"/>
        </w:rPr>
        <w:t xml:space="preserve">Doeringer and Piore (1971), </w:t>
      </w:r>
      <w:r w:rsidRPr="00597C15">
        <w:rPr>
          <w:rFonts w:ascii="Arial" w:hAnsi="Arial" w:cs="Arial"/>
          <w:sz w:val="20"/>
          <w:szCs w:val="20"/>
        </w:rPr>
        <w:t>divides the labour market into primary and secondary segments. The primary market offers stability, better wages, and career progression, while the secondary market is characterized by instability, low income, and limited upward mobility. Gig work typically belongs to the secondary segment. For women gig workers, the secondary nature of platform-based employment results in higher exposure to income uncertainty, algorithmic control, and lack of bargaining power. The theory explains why women are overrepresented in the informal and flexible gig sector, as structural barriers limit their entry into primary labour markets.</w:t>
      </w:r>
    </w:p>
    <w:p w14:paraId="33553C8C" w14:textId="2B4F7039" w:rsidR="00597C15" w:rsidRDefault="00597C15" w:rsidP="00597C15">
      <w:pPr>
        <w:spacing w:before="240" w:line="360" w:lineRule="auto"/>
        <w:jc w:val="both"/>
        <w:rPr>
          <w:rFonts w:ascii="Arial" w:hAnsi="Arial" w:cs="Arial"/>
          <w:sz w:val="20"/>
          <w:szCs w:val="20"/>
        </w:rPr>
      </w:pPr>
      <w:r w:rsidRPr="00597C15">
        <w:rPr>
          <w:rFonts w:ascii="Arial" w:hAnsi="Arial" w:cs="Arial"/>
          <w:sz w:val="20"/>
          <w:szCs w:val="20"/>
        </w:rPr>
        <w:t>Human Capital Theory (</w:t>
      </w:r>
      <w:r w:rsidRPr="00597C15">
        <w:rPr>
          <w:rFonts w:ascii="Arial" w:hAnsi="Arial" w:cs="Arial"/>
          <w:color w:val="000000" w:themeColor="text1"/>
          <w:sz w:val="20"/>
          <w:szCs w:val="20"/>
        </w:rPr>
        <w:t>Becker, 1964</w:t>
      </w:r>
      <w:r w:rsidRPr="00597C15">
        <w:rPr>
          <w:rFonts w:ascii="Arial" w:hAnsi="Arial" w:cs="Arial"/>
          <w:sz w:val="20"/>
          <w:szCs w:val="20"/>
        </w:rPr>
        <w:t>) explains disparities in participation and earnings through differences in education, digital literacy, and skill acquisition. Women with higher digital competence or specialized skills are better positioned to secure higher-paying gigs. Thus, the theory underscores the need for targeted interventions in education and digital training to reduce capability gaps. Social Exclusion Theory (</w:t>
      </w:r>
      <w:r w:rsidRPr="00597C15">
        <w:rPr>
          <w:rFonts w:ascii="Arial" w:hAnsi="Arial" w:cs="Arial"/>
          <w:color w:val="000000" w:themeColor="text1"/>
          <w:sz w:val="20"/>
          <w:szCs w:val="20"/>
        </w:rPr>
        <w:t>Silver, 1994; Sen, 2000; Levitas, 2006</w:t>
      </w:r>
      <w:r w:rsidRPr="00597C15">
        <w:rPr>
          <w:rFonts w:ascii="Arial" w:hAnsi="Arial" w:cs="Arial"/>
          <w:sz w:val="20"/>
          <w:szCs w:val="20"/>
        </w:rPr>
        <w:t>) reveals how gender bias, digital divides, and limited institutional support restrict women’s full economic engagement. This theory underscores that Gig work, while flexible, may not necessarily translate into empowerment if it fails to provide financial security or social recognition. Women gig workers, especially in semi-urban and rural settings, may face exclusion due to gender discrimination, digital divide, and lack of institutional support. Institutional and Structuralist approaches (</w:t>
      </w:r>
      <w:r w:rsidRPr="00597C15">
        <w:rPr>
          <w:rFonts w:ascii="Arial" w:hAnsi="Arial" w:cs="Arial"/>
          <w:color w:val="000000" w:themeColor="text1"/>
          <w:sz w:val="20"/>
          <w:szCs w:val="20"/>
        </w:rPr>
        <w:t>Stringhi, 2022</w:t>
      </w:r>
      <w:r w:rsidRPr="00597C15">
        <w:rPr>
          <w:rFonts w:ascii="Arial" w:hAnsi="Arial" w:cs="Arial"/>
          <w:sz w:val="20"/>
          <w:szCs w:val="20"/>
        </w:rPr>
        <w:t>) further highlight how labour laws, platform policies, and socio-cultural norms reinforce inequality within digital labour markets. Collectively, these perspectives demonstrate that the challenges faced by women in the gig economy arise not only from individual constraints but also from deeply rooted institutional and structural barriers.</w:t>
      </w:r>
    </w:p>
    <w:p w14:paraId="72AA2FB2" w14:textId="3A040F5D" w:rsidR="00403910" w:rsidRPr="0059717B" w:rsidRDefault="0059717B" w:rsidP="00403910">
      <w:pPr>
        <w:spacing w:line="360" w:lineRule="auto"/>
        <w:jc w:val="both"/>
        <w:rPr>
          <w:rFonts w:ascii="Arial" w:hAnsi="Arial" w:cs="Arial"/>
          <w:b/>
          <w:bCs/>
        </w:rPr>
      </w:pPr>
      <w:r w:rsidRPr="0059717B">
        <w:rPr>
          <w:rFonts w:ascii="Arial" w:hAnsi="Arial" w:cs="Arial"/>
          <w:b/>
          <w:bCs/>
        </w:rPr>
        <w:t>3 REVIEW OF LITERATURE</w:t>
      </w:r>
    </w:p>
    <w:p w14:paraId="65BDA0A1" w14:textId="57BA9E17" w:rsidR="00005A0F" w:rsidRDefault="00005A0F" w:rsidP="00005A0F">
      <w:pPr>
        <w:spacing w:line="360" w:lineRule="auto"/>
        <w:jc w:val="both"/>
        <w:rPr>
          <w:rFonts w:ascii="Arial" w:hAnsi="Arial" w:cs="Arial"/>
          <w:color w:val="000000" w:themeColor="text1"/>
          <w:sz w:val="20"/>
          <w:szCs w:val="20"/>
        </w:rPr>
      </w:pPr>
      <w:r w:rsidRPr="00005A0F">
        <w:rPr>
          <w:rFonts w:ascii="Arial" w:hAnsi="Arial" w:cs="Arial"/>
          <w:color w:val="000000" w:themeColor="text1"/>
          <w:sz w:val="20"/>
          <w:szCs w:val="20"/>
        </w:rPr>
        <w:t xml:space="preserve">The gig economy has emerged as a transformative force in global labour markets, reshaping traditional notions of employment and work organization. This transformation has resulted in the transfer of various responsibilities and employment-related costs from firms to individual workers, creating significant regulatory and legal ambiguities concerning their employment status (Collier, Dubal &amp; Carter, 2017; Fabo, Karanovic &amp; Dukova, 2017). As a digitally mediated mode of work, the gig economy represents a core element of the Fourth Industrial Revolution or Industry 4.0, reflecting the increasing integration of technology and labour markets (Jafar et al., 2024). The rapid expansion of digital labour platforms has been a defining feature of this transformation, with global reports indicating a fivefold increase in such platforms in recent years (ILO, 2021). Numerous studies highlight the vulnerabilities associated with gig work, including income instability, absence of social security benefits, excessive working hours, and limited skill development opportunities (Hunt et al., 2019; Rani &amp; Singh, 2019; ILO, 2021). Within this evolving labour ecosystem, women have emerged as a critical segment of the gig workforce. Their participation spans multiple sectors such as technology, creative industries, customer support, and domestic services, offering new avenues for income generation and labour market inclusion (Panda, 2020). Nevertheless, these opportunities coexist with challenges related to job security, gender bias, and unequal access to digital resources. </w:t>
      </w:r>
    </w:p>
    <w:p w14:paraId="74CD11CA" w14:textId="6F0AE7C2" w:rsidR="002E30DD" w:rsidRPr="00005A0F" w:rsidRDefault="002E30DD" w:rsidP="00005A0F">
      <w:pPr>
        <w:spacing w:line="360" w:lineRule="auto"/>
        <w:jc w:val="both"/>
        <w:rPr>
          <w:rFonts w:ascii="Arial" w:hAnsi="Arial" w:cs="Arial"/>
          <w:color w:val="000000" w:themeColor="text1"/>
          <w:sz w:val="20"/>
          <w:szCs w:val="20"/>
        </w:rPr>
      </w:pPr>
      <w:bookmarkStart w:id="0" w:name="_Hlk216693802"/>
      <w:r w:rsidRPr="002E30DD">
        <w:rPr>
          <w:rFonts w:ascii="Arial" w:hAnsi="Arial" w:cs="Arial"/>
          <w:color w:val="000000" w:themeColor="text1"/>
          <w:sz w:val="20"/>
          <w:szCs w:val="20"/>
        </w:rPr>
        <w:lastRenderedPageBreak/>
        <w:t>Feminist political economy highlights how unpaid care work, household power relations, and persistent gender norms shape women’s labour market participation and constraints (Elson, 1999). Sen’s capability approach extends this analysis by focusing on women’s substantive freedoms, recognising that gig work may enhance income opportunities and autonomy while simultaneously limiting time autonomy due to platform-imposed work intensities (Sen, 1999). Labour market segmentation theory explains women’s concentration in insecure, low-paid employment with restricted mobility, features commonly associated with gig work (Doeringer &amp; Piore, 1971). Precarity theory further conceptualises these conditions by emphasising employment insecurity, income instability, and heightened social and psychological risks, which are disproportionately borne by women due to entrenched gender norms and limited asset ownership (Kalleberg, 2009; Standing, 2011).</w:t>
      </w:r>
      <w:r>
        <w:rPr>
          <w:rFonts w:ascii="Arial" w:hAnsi="Arial" w:cs="Arial"/>
          <w:color w:val="000000" w:themeColor="text1"/>
          <w:sz w:val="20"/>
          <w:szCs w:val="20"/>
        </w:rPr>
        <w:t xml:space="preserve"> </w:t>
      </w:r>
      <w:r w:rsidRPr="00005A0F">
        <w:rPr>
          <w:rFonts w:ascii="Arial" w:hAnsi="Arial" w:cs="Arial"/>
          <w:color w:val="000000" w:themeColor="text1"/>
          <w:sz w:val="20"/>
          <w:szCs w:val="20"/>
        </w:rPr>
        <w:t xml:space="preserve">The rise of gig platforms has fundamentally altered the employer–employee relationship (Sehrawat et al., 2021), contributing to the gradual transformation of conventional labour norms (Graham, Hjorth &amp; Lehdonvirta, 2017). </w:t>
      </w:r>
    </w:p>
    <w:bookmarkEnd w:id="0"/>
    <w:p w14:paraId="36C81F80" w14:textId="4AF5B69E" w:rsidR="00005A0F" w:rsidRPr="00005A0F" w:rsidRDefault="00005A0F" w:rsidP="00005A0F">
      <w:pPr>
        <w:spacing w:line="360" w:lineRule="auto"/>
        <w:jc w:val="both"/>
        <w:rPr>
          <w:rFonts w:ascii="Arial" w:hAnsi="Arial" w:cs="Arial"/>
          <w:color w:val="000000" w:themeColor="text1"/>
          <w:sz w:val="20"/>
          <w:szCs w:val="20"/>
        </w:rPr>
      </w:pPr>
      <w:r w:rsidRPr="00005A0F">
        <w:rPr>
          <w:rFonts w:ascii="Arial" w:hAnsi="Arial" w:cs="Arial"/>
          <w:color w:val="000000" w:themeColor="text1"/>
          <w:sz w:val="20"/>
          <w:szCs w:val="20"/>
        </w:rPr>
        <w:t>Recent estimates by NITI Aayog (2022) reveal that India’s gig workforce comprised approximately 7.7 million individuals in 2020–21, representing 2.6 percent of the non-agricultural labour force and 1.5 percent of the total workforce. The report further projects that this number is likely to expand to about 23.5 million by 2029–30, accounting for 6.7 percent of the non-agricultural workforce and 4.1 percent of the overall labour force. Within the Indian context, Kerala stands out as a state with consistently high human development achievements (Oommen, 2008). Its demographic and infrastructural strengths—such as high literacy rates among both men and women (Ramachandran, 1997; Zachariah &amp; Rajan, 2004), strong digital connectivity, and widespread mobile phone usage—have created favourable conditions for the rapid growth of the gig economy in the region. The expansion of gig work presents significant potential for employment creation and income diversification, particularly benefiting women, who are increasingly participating in non-traditional and flexible labour markets characteristic of the 21</w:t>
      </w:r>
      <w:r w:rsidRPr="00005A0F">
        <w:rPr>
          <w:rFonts w:ascii="Arial" w:hAnsi="Arial" w:cs="Arial"/>
          <w:color w:val="000000" w:themeColor="text1"/>
          <w:sz w:val="20"/>
          <w:szCs w:val="20"/>
          <w:vertAlign w:val="superscript"/>
        </w:rPr>
        <w:t>st</w:t>
      </w:r>
      <w:r w:rsidRPr="00005A0F">
        <w:rPr>
          <w:rFonts w:ascii="Arial" w:hAnsi="Arial" w:cs="Arial"/>
          <w:color w:val="000000" w:themeColor="text1"/>
          <w:sz w:val="20"/>
          <w:szCs w:val="20"/>
        </w:rPr>
        <w:t xml:space="preserve"> century (Katz &amp; Krueger, 2016; Abraham et al., 2017; Katz &amp; Krueger, 2019). However, gender disparities persist in Kerala’s gig sector, where men continue to dominate many high-paying digital and platform-based jobs, while technological and digital divides further aggravate the exclusion of women (Sukumaran, 2023). Although scholarly interest in India’s gig economy has grown considerably, there remains a notable research gap concerning the specific experiences and challenges of women gig workers in Kerala. Addressing this </w:t>
      </w:r>
      <w:r w:rsidR="002E30DD">
        <w:rPr>
          <w:rFonts w:ascii="Arial" w:hAnsi="Arial" w:cs="Arial"/>
          <w:color w:val="000000" w:themeColor="text1"/>
          <w:sz w:val="20"/>
          <w:szCs w:val="20"/>
        </w:rPr>
        <w:t>gap</w:t>
      </w:r>
      <w:r w:rsidRPr="00005A0F">
        <w:rPr>
          <w:rFonts w:ascii="Arial" w:hAnsi="Arial" w:cs="Arial"/>
          <w:color w:val="000000" w:themeColor="text1"/>
          <w:sz w:val="20"/>
          <w:szCs w:val="20"/>
        </w:rPr>
        <w:t>, the present study focuses on identifying and analysing the multifaceted challenges encountered by women engaged in gig work within the Malappuram district of Kerala.</w:t>
      </w:r>
    </w:p>
    <w:p w14:paraId="77785FA8" w14:textId="28ACDFB5" w:rsidR="00DB5CC8" w:rsidRPr="0059717B" w:rsidRDefault="00005A0F" w:rsidP="00DB5CC8">
      <w:pPr>
        <w:spacing w:before="240" w:after="0" w:line="360" w:lineRule="auto"/>
        <w:jc w:val="both"/>
        <w:rPr>
          <w:rFonts w:ascii="Arial" w:hAnsi="Arial" w:cs="Arial"/>
          <w:b/>
          <w:bCs/>
        </w:rPr>
      </w:pPr>
      <w:r>
        <w:rPr>
          <w:rFonts w:ascii="Arial" w:hAnsi="Arial" w:cs="Arial"/>
          <w:b/>
          <w:bCs/>
        </w:rPr>
        <w:t>4</w:t>
      </w:r>
      <w:r w:rsidR="0059717B" w:rsidRPr="0059717B">
        <w:rPr>
          <w:rFonts w:ascii="Arial" w:hAnsi="Arial" w:cs="Arial"/>
          <w:b/>
          <w:bCs/>
        </w:rPr>
        <w:t xml:space="preserve"> METHODOLOGY</w:t>
      </w:r>
    </w:p>
    <w:p w14:paraId="60D645AB" w14:textId="2A596A9B" w:rsidR="00AE72DA" w:rsidRPr="00AE72DA" w:rsidRDefault="00AE72DA" w:rsidP="00AE72DA">
      <w:pPr>
        <w:spacing w:before="240" w:line="360" w:lineRule="auto"/>
        <w:jc w:val="both"/>
        <w:rPr>
          <w:rFonts w:ascii="Arial" w:hAnsi="Arial" w:cs="Arial"/>
          <w:sz w:val="20"/>
          <w:szCs w:val="20"/>
        </w:rPr>
      </w:pPr>
      <w:r w:rsidRPr="00AE72DA">
        <w:rPr>
          <w:rFonts w:ascii="Arial" w:hAnsi="Arial" w:cs="Arial"/>
          <w:sz w:val="20"/>
          <w:szCs w:val="20"/>
        </w:rPr>
        <w:t xml:space="preserve">This study adopts a cross-sectional quantitative research design to examine the constraints faced by women engaged in gig employment in the Malappuram district of Kerala. The analysis is primarily based on primary data collected from women gig workers, complemented by relevant secondary sources to enhance contextual understanding. Data were gathered through direct interaction with respondents and subsequently subjected to careful verification to ensure accuracy, consistency, and completeness. Binary logistic regression was employed to assess the direction and strength of the relationship between </w:t>
      </w:r>
      <w:r w:rsidRPr="00AE72DA">
        <w:rPr>
          <w:rFonts w:ascii="Arial" w:hAnsi="Arial" w:cs="Arial"/>
          <w:sz w:val="20"/>
          <w:szCs w:val="20"/>
        </w:rPr>
        <w:lastRenderedPageBreak/>
        <w:t>the dependent and independent variables, with low monthly earnings serving as the proxy for the outcome variable. The selection of explanatory variables was informed by established theoretical frameworks and prior empirical research on women’s participation in the gig economy. Descriptive tools such as proportions, tables, and bar charts were also used to present the findings in a clear and structured manner.</w:t>
      </w:r>
    </w:p>
    <w:p w14:paraId="68E4159D" w14:textId="222E9F89" w:rsidR="007601BD" w:rsidRPr="0059717B" w:rsidRDefault="00005A0F" w:rsidP="00DB5CC8">
      <w:pPr>
        <w:spacing w:before="240" w:after="0" w:line="360" w:lineRule="auto"/>
        <w:jc w:val="both"/>
        <w:rPr>
          <w:rFonts w:ascii="Arial" w:hAnsi="Arial" w:cs="Arial"/>
          <w:b/>
          <w:bCs/>
        </w:rPr>
      </w:pPr>
      <w:r>
        <w:rPr>
          <w:rFonts w:ascii="Arial" w:hAnsi="Arial" w:cs="Arial"/>
          <w:b/>
          <w:bCs/>
        </w:rPr>
        <w:t>4</w:t>
      </w:r>
      <w:r w:rsidR="009E7CF5" w:rsidRPr="0059717B">
        <w:rPr>
          <w:rFonts w:ascii="Arial" w:hAnsi="Arial" w:cs="Arial"/>
          <w:b/>
          <w:bCs/>
        </w:rPr>
        <w:t>.1 Data</w:t>
      </w:r>
    </w:p>
    <w:p w14:paraId="1E78830F" w14:textId="1F708A0F" w:rsidR="00005A0F" w:rsidRPr="00005A0F" w:rsidRDefault="00787827" w:rsidP="00005A0F">
      <w:pPr>
        <w:spacing w:before="240" w:line="360" w:lineRule="auto"/>
        <w:jc w:val="both"/>
        <w:rPr>
          <w:rFonts w:ascii="Arial" w:hAnsi="Arial" w:cs="Arial"/>
          <w:sz w:val="20"/>
          <w:szCs w:val="20"/>
        </w:rPr>
      </w:pPr>
      <w:r w:rsidRPr="00787827">
        <w:rPr>
          <w:rFonts w:ascii="Arial" w:hAnsi="Arial" w:cs="Arial"/>
          <w:sz w:val="20"/>
          <w:szCs w:val="20"/>
        </w:rPr>
        <w:t xml:space="preserve">Primary data were collected using a snowball sampling technique through field surveys, structured questionnaires, and direct interviews with women engaged in gig work. A total of 285 respondents were selected primarily from </w:t>
      </w:r>
      <w:r w:rsidR="00E26B95">
        <w:rPr>
          <w:rFonts w:ascii="Arial" w:hAnsi="Arial" w:cs="Arial"/>
          <w:sz w:val="20"/>
          <w:szCs w:val="20"/>
        </w:rPr>
        <w:t>four</w:t>
      </w:r>
      <w:r w:rsidRPr="00787827">
        <w:rPr>
          <w:rFonts w:ascii="Arial" w:hAnsi="Arial" w:cs="Arial"/>
          <w:sz w:val="20"/>
          <w:szCs w:val="20"/>
        </w:rPr>
        <w:t xml:space="preserve"> taluks in the Malappuram district of Kerala—Tirurangadi, Tirur, </w:t>
      </w:r>
      <w:r w:rsidR="00E26B95">
        <w:rPr>
          <w:rFonts w:ascii="Arial" w:hAnsi="Arial" w:cs="Arial"/>
          <w:sz w:val="20"/>
          <w:szCs w:val="20"/>
        </w:rPr>
        <w:t xml:space="preserve">Eranad, </w:t>
      </w:r>
      <w:r w:rsidRPr="00787827">
        <w:rPr>
          <w:rFonts w:ascii="Arial" w:hAnsi="Arial" w:cs="Arial"/>
          <w:sz w:val="20"/>
          <w:szCs w:val="20"/>
        </w:rPr>
        <w:t>and Kondotty. The field survey was conducted between May 2025 and August 2025.</w:t>
      </w:r>
      <w:r>
        <w:rPr>
          <w:rFonts w:ascii="Times New Roman" w:hAnsi="Times New Roman" w:cs="Times New Roman"/>
          <w:sz w:val="20"/>
          <w:szCs w:val="20"/>
        </w:rPr>
        <w:t xml:space="preserve"> </w:t>
      </w:r>
      <w:r w:rsidR="00005A0F" w:rsidRPr="00005A0F">
        <w:rPr>
          <w:rFonts w:ascii="Arial" w:hAnsi="Arial" w:cs="Arial"/>
          <w:sz w:val="20"/>
          <w:szCs w:val="20"/>
        </w:rPr>
        <w:t xml:space="preserve">The sample was carefully designed to represent women from diverse socio-economic backgrounds, including youth, married women, and individuals from various income groups. The </w:t>
      </w:r>
      <w:r w:rsidR="00494516">
        <w:rPr>
          <w:rFonts w:ascii="Arial" w:hAnsi="Arial" w:cs="Arial"/>
          <w:sz w:val="20"/>
          <w:szCs w:val="20"/>
        </w:rPr>
        <w:t>snowball</w:t>
      </w:r>
      <w:r w:rsidR="00005A0F" w:rsidRPr="00005A0F">
        <w:rPr>
          <w:rFonts w:ascii="Arial" w:hAnsi="Arial" w:cs="Arial"/>
          <w:sz w:val="20"/>
          <w:szCs w:val="20"/>
        </w:rPr>
        <w:t xml:space="preserve"> sampling strategy enabled the inclusion of women involved in a wide array of gig activities such as creative industries, home-based services, tutoring, freelancing, and micro-entrepreneurial ventures. To supplement the primary data, secondary sources were also consulted, including reports from NITI Aayog and the International Labour Organization (ILO), as well as official publications such as the Economic Survey, Union Budget, and the Kerala Economic Review.</w:t>
      </w:r>
    </w:p>
    <w:p w14:paraId="144E1B3D" w14:textId="35395F05" w:rsidR="009E7CF5" w:rsidRPr="0059717B" w:rsidRDefault="00005A0F" w:rsidP="009E7CF5">
      <w:pPr>
        <w:spacing w:before="240" w:after="0" w:line="360" w:lineRule="auto"/>
        <w:jc w:val="both"/>
        <w:rPr>
          <w:rFonts w:ascii="Arial" w:hAnsi="Arial" w:cs="Arial"/>
        </w:rPr>
      </w:pPr>
      <w:r>
        <w:rPr>
          <w:rFonts w:ascii="Arial" w:hAnsi="Arial" w:cs="Arial"/>
          <w:b/>
          <w:bCs/>
        </w:rPr>
        <w:t>4</w:t>
      </w:r>
      <w:r w:rsidR="009E7CF5" w:rsidRPr="0059717B">
        <w:rPr>
          <w:rFonts w:ascii="Arial" w:hAnsi="Arial" w:cs="Arial"/>
          <w:b/>
          <w:bCs/>
        </w:rPr>
        <w:t>.2 Method</w:t>
      </w:r>
    </w:p>
    <w:p w14:paraId="4B84A423" w14:textId="0F3A68FA" w:rsidR="00AE72DA" w:rsidRDefault="00AE72DA" w:rsidP="00005A0F">
      <w:pPr>
        <w:spacing w:before="240" w:line="360" w:lineRule="auto"/>
        <w:jc w:val="both"/>
        <w:rPr>
          <w:rFonts w:ascii="Arial" w:hAnsi="Arial" w:cs="Arial"/>
          <w:sz w:val="20"/>
          <w:szCs w:val="20"/>
        </w:rPr>
      </w:pPr>
      <w:r w:rsidRPr="00AE72DA">
        <w:rPr>
          <w:rFonts w:ascii="Arial" w:hAnsi="Arial" w:cs="Arial"/>
          <w:sz w:val="20"/>
          <w:szCs w:val="20"/>
        </w:rPr>
        <w:t xml:space="preserve">To analyse the determinants of significant challenges faced by women gig workers, a binary logistic regression model was employed. The dependent variable (MYᵢ) is a dichotomous measure capturing low monthly earnings, coded as </w:t>
      </w:r>
      <w:r w:rsidR="0033648C">
        <w:rPr>
          <w:rFonts w:ascii="Arial" w:hAnsi="Arial" w:cs="Arial"/>
          <w:sz w:val="20"/>
          <w:szCs w:val="20"/>
        </w:rPr>
        <w:t>1</w:t>
      </w:r>
      <w:r w:rsidRPr="00AE72DA">
        <w:rPr>
          <w:rFonts w:ascii="Arial" w:hAnsi="Arial" w:cs="Arial"/>
          <w:sz w:val="20"/>
          <w:szCs w:val="20"/>
        </w:rPr>
        <w:t xml:space="preserve"> when a worker experiences significant challenges—defined as monthly earnings below ₹10,000—and </w:t>
      </w:r>
      <w:r w:rsidR="0033648C">
        <w:rPr>
          <w:rFonts w:ascii="Arial" w:hAnsi="Arial" w:cs="Arial"/>
          <w:sz w:val="20"/>
          <w:szCs w:val="20"/>
        </w:rPr>
        <w:t>0</w:t>
      </w:r>
      <w:r>
        <w:rPr>
          <w:rFonts w:ascii="Arial" w:hAnsi="Arial" w:cs="Arial"/>
          <w:sz w:val="20"/>
          <w:szCs w:val="20"/>
        </w:rPr>
        <w:t xml:space="preserve"> </w:t>
      </w:r>
      <w:r w:rsidRPr="00AE72DA">
        <w:rPr>
          <w:rFonts w:ascii="Arial" w:hAnsi="Arial" w:cs="Arial"/>
          <w:sz w:val="20"/>
          <w:szCs w:val="20"/>
        </w:rPr>
        <w:t>otherwise, corresponding to earnings of ₹10,000 or above. This income threshold is used as a proxy for adverse working conditions, as it reflects income insecurity and the multidimensional vulnerabilities inherent in gig employment. The logistic regression model is specified as follows:</w:t>
      </w:r>
    </w:p>
    <w:p w14:paraId="04EA6124" w14:textId="5D96D837" w:rsidR="00AE72DA" w:rsidRPr="00AE72DA" w:rsidRDefault="00AE72DA" w:rsidP="00AE72DA">
      <w:pPr>
        <w:jc w:val="both"/>
        <w:rPr>
          <w:rFonts w:ascii="Arial" w:hAnsi="Arial" w:cs="Arial"/>
          <w:sz w:val="20"/>
          <w:szCs w:val="20"/>
        </w:rPr>
      </w:pPr>
      <m:oMathPara>
        <m:oMath>
          <m:r>
            <w:rPr>
              <w:rFonts w:ascii="Cambria Math" w:hAnsi="Cambria Math" w:cs="Arial"/>
              <w:sz w:val="20"/>
              <w:szCs w:val="20"/>
            </w:rPr>
            <m:t>P(M</m:t>
          </m:r>
          <m:sSub>
            <m:sSubPr>
              <m:ctrlPr>
                <w:rPr>
                  <w:rFonts w:ascii="Cambria Math" w:hAnsi="Cambria Math" w:cs="Arial"/>
                  <w:sz w:val="20"/>
                  <w:szCs w:val="20"/>
                </w:rPr>
              </m:ctrlPr>
            </m:sSubPr>
            <m:e>
              <m:r>
                <w:rPr>
                  <w:rFonts w:ascii="Cambria Math" w:hAnsi="Cambria Math" w:cs="Arial"/>
                  <w:sz w:val="20"/>
                  <w:szCs w:val="20"/>
                </w:rPr>
                <m:t>Y</m:t>
              </m:r>
            </m:e>
            <m:sub>
              <m:r>
                <w:rPr>
                  <w:rFonts w:ascii="Cambria Math" w:hAnsi="Cambria Math" w:cs="Arial"/>
                  <w:sz w:val="20"/>
                  <w:szCs w:val="20"/>
                </w:rPr>
                <m:t>i</m:t>
              </m:r>
            </m:sub>
          </m:sSub>
          <m:r>
            <w:rPr>
              <w:rFonts w:ascii="Cambria Math" w:hAnsi="Cambria Math" w:cs="Arial"/>
              <w:sz w:val="20"/>
              <w:szCs w:val="20"/>
            </w:rPr>
            <m:t>=1)=</m:t>
          </m:r>
          <m:f>
            <m:fPr>
              <m:ctrlPr>
                <w:rPr>
                  <w:rFonts w:ascii="Cambria Math" w:hAnsi="Cambria Math" w:cs="Arial"/>
                  <w:sz w:val="20"/>
                  <w:szCs w:val="20"/>
                </w:rPr>
              </m:ctrlPr>
            </m:fPr>
            <m:num>
              <m:r>
                <w:rPr>
                  <w:rFonts w:ascii="Cambria Math" w:hAnsi="Cambria Math" w:cs="Arial"/>
                  <w:sz w:val="20"/>
                  <w:szCs w:val="20"/>
                </w:rPr>
                <m:t>1</m:t>
              </m:r>
            </m:num>
            <m:den>
              <m:r>
                <w:rPr>
                  <w:rFonts w:ascii="Cambria Math" w:hAnsi="Cambria Math" w:cs="Arial"/>
                  <w:sz w:val="20"/>
                  <w:szCs w:val="20"/>
                </w:rPr>
                <m:t>1+</m:t>
              </m:r>
              <m:sSup>
                <m:sSupPr>
                  <m:ctrlPr>
                    <w:rPr>
                      <w:rFonts w:ascii="Cambria Math" w:hAnsi="Cambria Math" w:cs="Arial"/>
                      <w:sz w:val="20"/>
                      <w:szCs w:val="20"/>
                    </w:rPr>
                  </m:ctrlPr>
                </m:sSupPr>
                <m:e>
                  <m:r>
                    <w:rPr>
                      <w:rFonts w:ascii="Cambria Math" w:hAnsi="Cambria Math" w:cs="Arial"/>
                      <w:sz w:val="20"/>
                      <w:szCs w:val="20"/>
                    </w:rPr>
                    <m:t>e</m:t>
                  </m:r>
                </m:e>
                <m:sup>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1</m:t>
                      </m:r>
                    </m:sub>
                  </m:sSub>
                  <m:r>
                    <w:rPr>
                      <w:rFonts w:ascii="Cambria Math" w:hAnsi="Cambria Math" w:cs="Arial"/>
                      <w:sz w:val="20"/>
                      <w:szCs w:val="20"/>
                    </w:rPr>
                    <m:t>Y</m:t>
                  </m:r>
                  <m:sSub>
                    <m:sSubPr>
                      <m:ctrlPr>
                        <w:rPr>
                          <w:rFonts w:ascii="Cambria Math" w:hAnsi="Cambria Math" w:cs="Arial"/>
                          <w:sz w:val="20"/>
                          <w:szCs w:val="20"/>
                        </w:rPr>
                      </m:ctrlPr>
                    </m:sSubPr>
                    <m:e>
                      <m:r>
                        <w:rPr>
                          <w:rFonts w:ascii="Cambria Math" w:hAnsi="Cambria Math" w:cs="Arial"/>
                          <w:sz w:val="20"/>
                          <w:szCs w:val="20"/>
                        </w:rPr>
                        <m:t>v</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2</m:t>
                      </m:r>
                    </m:sub>
                  </m:sSub>
                  <m:r>
                    <w:rPr>
                      <w:rFonts w:ascii="Cambria Math" w:hAnsi="Cambria Math" w:cs="Arial"/>
                      <w:sz w:val="20"/>
                      <w:szCs w:val="20"/>
                    </w:rPr>
                    <m:t>Lm</m:t>
                  </m:r>
                  <m:sSub>
                    <m:sSubPr>
                      <m:ctrlPr>
                        <w:rPr>
                          <w:rFonts w:ascii="Cambria Math" w:hAnsi="Cambria Math" w:cs="Arial"/>
                          <w:sz w:val="20"/>
                          <w:szCs w:val="20"/>
                        </w:rPr>
                      </m:ctrlPr>
                    </m:sSubPr>
                    <m:e>
                      <m:r>
                        <w:rPr>
                          <w:rFonts w:ascii="Cambria Math" w:hAnsi="Cambria Math" w:cs="Arial"/>
                          <w:sz w:val="20"/>
                          <w:szCs w:val="20"/>
                        </w:rPr>
                        <m:t>w</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3</m:t>
                      </m:r>
                    </m:sub>
                  </m:sSub>
                  <m:r>
                    <w:rPr>
                      <w:rFonts w:ascii="Cambria Math" w:hAnsi="Cambria Math" w:cs="Arial"/>
                      <w:sz w:val="20"/>
                      <w:szCs w:val="20"/>
                    </w:rPr>
                    <m:t>Hc</m:t>
                  </m:r>
                  <m:sSub>
                    <m:sSubPr>
                      <m:ctrlPr>
                        <w:rPr>
                          <w:rFonts w:ascii="Cambria Math" w:hAnsi="Cambria Math" w:cs="Arial"/>
                          <w:sz w:val="20"/>
                          <w:szCs w:val="20"/>
                        </w:rPr>
                      </m:ctrlPr>
                    </m:sSubPr>
                    <m:e>
                      <m:r>
                        <w:rPr>
                          <w:rFonts w:ascii="Cambria Math" w:hAnsi="Cambria Math" w:cs="Arial"/>
                          <w:sz w:val="20"/>
                          <w:szCs w:val="20"/>
                        </w:rPr>
                        <m:t>w</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4</m:t>
                      </m:r>
                    </m:sub>
                  </m:sSub>
                  <m:r>
                    <w:rPr>
                      <w:rFonts w:ascii="Cambria Math" w:hAnsi="Cambria Math" w:cs="Arial"/>
                      <w:sz w:val="20"/>
                      <w:szCs w:val="20"/>
                    </w:rPr>
                    <m:t>Mc</m:t>
                  </m:r>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k</m:t>
                      </m:r>
                    </m:sub>
                  </m:sSub>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ki</m:t>
                      </m:r>
                    </m:sub>
                  </m:sSub>
                  <m:r>
                    <w:rPr>
                      <w:rFonts w:ascii="Cambria Math" w:hAnsi="Cambria Math" w:cs="Arial"/>
                      <w:sz w:val="20"/>
                      <w:szCs w:val="20"/>
                    </w:rPr>
                    <m:t>)</m:t>
                  </m:r>
                </m:sup>
              </m:sSup>
            </m:den>
          </m:f>
        </m:oMath>
      </m:oMathPara>
    </w:p>
    <w:p w14:paraId="2E9D648A" w14:textId="77777777" w:rsidR="00AE72DA" w:rsidRPr="00AE72DA" w:rsidRDefault="00AE72DA" w:rsidP="00AE72DA">
      <w:pPr>
        <w:spacing w:line="360" w:lineRule="auto"/>
        <w:jc w:val="both"/>
        <w:rPr>
          <w:rFonts w:ascii="Arial" w:hAnsi="Arial" w:cs="Arial"/>
          <w:sz w:val="20"/>
          <w:szCs w:val="20"/>
        </w:rPr>
      </w:pPr>
      <w:r w:rsidRPr="00AE72DA">
        <w:rPr>
          <w:rFonts w:ascii="Arial" w:hAnsi="Arial" w:cs="Arial"/>
          <w:sz w:val="20"/>
          <w:szCs w:val="20"/>
        </w:rPr>
        <w:t>Equivalently, in logit form:</w:t>
      </w:r>
    </w:p>
    <w:p w14:paraId="6726E064" w14:textId="77777777" w:rsidR="00AE72DA" w:rsidRPr="00AE72DA" w:rsidRDefault="00AE72DA" w:rsidP="00AE72DA">
      <w:pPr>
        <w:jc w:val="both"/>
        <w:rPr>
          <w:rFonts w:ascii="Arial" w:hAnsi="Arial" w:cs="Arial"/>
        </w:rPr>
      </w:pPr>
      <m:oMathPara>
        <m:oMath>
          <m:r>
            <m:rPr>
              <m:sty m:val="p"/>
            </m:rPr>
            <w:rPr>
              <w:rFonts w:ascii="Cambria Math" w:hAnsi="Cambria Math" w:cs="Arial"/>
              <w:sz w:val="20"/>
              <w:szCs w:val="20"/>
            </w:rPr>
            <m:t>ln</m:t>
          </m:r>
          <m:r>
            <w:rPr>
              <w:rFonts w:ascii="Cambria Math" w:hAnsi="Cambria Math" w:cs="Arial"/>
              <w:sz w:val="20"/>
              <w:szCs w:val="20"/>
            </w:rPr>
            <m:t>⁡</m:t>
          </m:r>
          <m:d>
            <m:dPr>
              <m:ctrlPr>
                <w:rPr>
                  <w:rFonts w:ascii="Cambria Math" w:hAnsi="Cambria Math" w:cs="Arial"/>
                  <w:sz w:val="20"/>
                  <w:szCs w:val="20"/>
                </w:rPr>
              </m:ctrlPr>
            </m:dPr>
            <m:e>
              <m:f>
                <m:fPr>
                  <m:ctrlPr>
                    <w:rPr>
                      <w:rFonts w:ascii="Cambria Math" w:hAnsi="Cambria Math" w:cs="Arial"/>
                      <w:sz w:val="20"/>
                      <w:szCs w:val="20"/>
                    </w:rPr>
                  </m:ctrlPr>
                </m:fPr>
                <m:num>
                  <m:r>
                    <w:rPr>
                      <w:rFonts w:ascii="Cambria Math" w:hAnsi="Cambria Math" w:cs="Arial"/>
                      <w:sz w:val="20"/>
                      <w:szCs w:val="20"/>
                    </w:rPr>
                    <m:t>P(M</m:t>
                  </m:r>
                  <m:sSub>
                    <m:sSubPr>
                      <m:ctrlPr>
                        <w:rPr>
                          <w:rFonts w:ascii="Cambria Math" w:hAnsi="Cambria Math" w:cs="Arial"/>
                          <w:sz w:val="20"/>
                          <w:szCs w:val="20"/>
                        </w:rPr>
                      </m:ctrlPr>
                    </m:sSubPr>
                    <m:e>
                      <m:r>
                        <w:rPr>
                          <w:rFonts w:ascii="Cambria Math" w:hAnsi="Cambria Math" w:cs="Arial"/>
                          <w:sz w:val="20"/>
                          <w:szCs w:val="20"/>
                        </w:rPr>
                        <m:t>Y</m:t>
                      </m:r>
                    </m:e>
                    <m:sub>
                      <m:r>
                        <w:rPr>
                          <w:rFonts w:ascii="Cambria Math" w:hAnsi="Cambria Math" w:cs="Arial"/>
                          <w:sz w:val="20"/>
                          <w:szCs w:val="20"/>
                        </w:rPr>
                        <m:t>i</m:t>
                      </m:r>
                    </m:sub>
                  </m:sSub>
                  <m:r>
                    <w:rPr>
                      <w:rFonts w:ascii="Cambria Math" w:hAnsi="Cambria Math" w:cs="Arial"/>
                      <w:sz w:val="20"/>
                      <w:szCs w:val="20"/>
                    </w:rPr>
                    <m:t>=1)</m:t>
                  </m:r>
                </m:num>
                <m:den>
                  <m:r>
                    <w:rPr>
                      <w:rFonts w:ascii="Cambria Math" w:hAnsi="Cambria Math" w:cs="Arial"/>
                      <w:sz w:val="20"/>
                      <w:szCs w:val="20"/>
                    </w:rPr>
                    <m:t>1-P(M</m:t>
                  </m:r>
                  <m:sSub>
                    <m:sSubPr>
                      <m:ctrlPr>
                        <w:rPr>
                          <w:rFonts w:ascii="Cambria Math" w:hAnsi="Cambria Math" w:cs="Arial"/>
                          <w:sz w:val="20"/>
                          <w:szCs w:val="20"/>
                        </w:rPr>
                      </m:ctrlPr>
                    </m:sSubPr>
                    <m:e>
                      <m:r>
                        <w:rPr>
                          <w:rFonts w:ascii="Cambria Math" w:hAnsi="Cambria Math" w:cs="Arial"/>
                          <w:sz w:val="20"/>
                          <w:szCs w:val="20"/>
                        </w:rPr>
                        <m:t>Y</m:t>
                      </m:r>
                    </m:e>
                    <m:sub>
                      <m:r>
                        <w:rPr>
                          <w:rFonts w:ascii="Cambria Math" w:hAnsi="Cambria Math" w:cs="Arial"/>
                          <w:sz w:val="20"/>
                          <w:szCs w:val="20"/>
                        </w:rPr>
                        <m:t>i</m:t>
                      </m:r>
                    </m:sub>
                  </m:sSub>
                  <m:r>
                    <w:rPr>
                      <w:rFonts w:ascii="Cambria Math" w:hAnsi="Cambria Math" w:cs="Arial"/>
                      <w:sz w:val="20"/>
                      <w:szCs w:val="20"/>
                    </w:rPr>
                    <m:t>=1)</m:t>
                  </m:r>
                </m:den>
              </m:f>
            </m:e>
          </m:d>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1</m:t>
              </m:r>
            </m:sub>
          </m:sSub>
          <m:r>
            <w:rPr>
              <w:rFonts w:ascii="Cambria Math" w:hAnsi="Cambria Math" w:cs="Arial"/>
              <w:sz w:val="20"/>
              <w:szCs w:val="20"/>
            </w:rPr>
            <m:t>Y</m:t>
          </m:r>
          <m:sSub>
            <m:sSubPr>
              <m:ctrlPr>
                <w:rPr>
                  <w:rFonts w:ascii="Cambria Math" w:hAnsi="Cambria Math" w:cs="Arial"/>
                  <w:sz w:val="20"/>
                  <w:szCs w:val="20"/>
                </w:rPr>
              </m:ctrlPr>
            </m:sSubPr>
            <m:e>
              <m:r>
                <w:rPr>
                  <w:rFonts w:ascii="Cambria Math" w:hAnsi="Cambria Math" w:cs="Arial"/>
                  <w:sz w:val="20"/>
                  <w:szCs w:val="20"/>
                </w:rPr>
                <m:t>v</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2</m:t>
              </m:r>
            </m:sub>
          </m:sSub>
          <m:r>
            <w:rPr>
              <w:rFonts w:ascii="Cambria Math" w:hAnsi="Cambria Math" w:cs="Arial"/>
              <w:sz w:val="20"/>
              <w:szCs w:val="20"/>
            </w:rPr>
            <m:t>Lm</m:t>
          </m:r>
          <m:sSub>
            <m:sSubPr>
              <m:ctrlPr>
                <w:rPr>
                  <w:rFonts w:ascii="Cambria Math" w:hAnsi="Cambria Math" w:cs="Arial"/>
                  <w:sz w:val="20"/>
                  <w:szCs w:val="20"/>
                </w:rPr>
              </m:ctrlPr>
            </m:sSubPr>
            <m:e>
              <m:r>
                <w:rPr>
                  <w:rFonts w:ascii="Cambria Math" w:hAnsi="Cambria Math" w:cs="Arial"/>
                  <w:sz w:val="20"/>
                  <w:szCs w:val="20"/>
                </w:rPr>
                <m:t>w</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3</m:t>
              </m:r>
            </m:sub>
          </m:sSub>
          <m:r>
            <w:rPr>
              <w:rFonts w:ascii="Cambria Math" w:hAnsi="Cambria Math" w:cs="Arial"/>
              <w:sz w:val="20"/>
              <w:szCs w:val="20"/>
            </w:rPr>
            <m:t>Hc</m:t>
          </m:r>
          <m:sSub>
            <m:sSubPr>
              <m:ctrlPr>
                <w:rPr>
                  <w:rFonts w:ascii="Cambria Math" w:hAnsi="Cambria Math" w:cs="Arial"/>
                  <w:sz w:val="20"/>
                  <w:szCs w:val="20"/>
                </w:rPr>
              </m:ctrlPr>
            </m:sSubPr>
            <m:e>
              <m:r>
                <w:rPr>
                  <w:rFonts w:ascii="Cambria Math" w:hAnsi="Cambria Math" w:cs="Arial"/>
                  <w:sz w:val="20"/>
                  <w:szCs w:val="20"/>
                </w:rPr>
                <m:t>w</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4</m:t>
              </m:r>
            </m:sub>
          </m:sSub>
          <m:r>
            <w:rPr>
              <w:rFonts w:ascii="Cambria Math" w:hAnsi="Cambria Math" w:cs="Arial"/>
              <w:sz w:val="20"/>
              <w:szCs w:val="20"/>
            </w:rPr>
            <m:t>Mc</m:t>
          </m:r>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k</m:t>
              </m:r>
            </m:sub>
          </m:sSub>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ki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i</m:t>
              </m:r>
            </m:sub>
          </m:sSub>
          <m:r>
            <m:rPr>
              <m:sty m:val="p"/>
            </m:rPr>
            <w:rPr>
              <w:rFonts w:ascii="Cambria Math" w:hAnsi="Cambria Math" w:cs="Arial"/>
              <w:sz w:val="20"/>
              <w:szCs w:val="20"/>
            </w:rPr>
            <w:br/>
          </m:r>
        </m:oMath>
      </m:oMathPara>
    </w:p>
    <w:p w14:paraId="597B497F" w14:textId="77777777" w:rsidR="00AE72DA" w:rsidRPr="00AE72DA" w:rsidRDefault="00AE72DA" w:rsidP="00AE72DA">
      <w:pPr>
        <w:spacing w:line="360" w:lineRule="auto"/>
        <w:jc w:val="both"/>
        <w:rPr>
          <w:rFonts w:ascii="Arial" w:hAnsi="Arial" w:cs="Arial"/>
          <w:sz w:val="20"/>
          <w:szCs w:val="20"/>
        </w:rPr>
      </w:pPr>
      <w:r w:rsidRPr="00AE72DA">
        <w:rPr>
          <w:rFonts w:ascii="Arial" w:hAnsi="Arial" w:cs="Arial"/>
          <w:sz w:val="20"/>
          <w:szCs w:val="20"/>
        </w:rPr>
        <w:t>where:</w:t>
      </w:r>
    </w:p>
    <w:p w14:paraId="69BF7FED" w14:textId="77777777" w:rsidR="00AE72DA" w:rsidRPr="00AE72DA" w:rsidRDefault="00000000" w:rsidP="00AE72DA">
      <w:pPr>
        <w:numPr>
          <w:ilvl w:val="0"/>
          <w:numId w:val="3"/>
        </w:numPr>
        <w:spacing w:line="36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0</m:t>
            </m:r>
          </m:sub>
        </m:sSub>
      </m:oMath>
      <w:r w:rsidR="00AE72DA" w:rsidRPr="00AE72DA">
        <w:rPr>
          <w:rFonts w:ascii="Arial" w:hAnsi="Arial" w:cs="Arial"/>
          <w:sz w:val="20"/>
          <w:szCs w:val="20"/>
        </w:rPr>
        <w:t>is the intercept,</w:t>
      </w:r>
    </w:p>
    <w:p w14:paraId="729B8B6D" w14:textId="77777777" w:rsidR="00AE72DA" w:rsidRPr="00AE72DA" w:rsidRDefault="00000000" w:rsidP="00AE72DA">
      <w:pPr>
        <w:numPr>
          <w:ilvl w:val="0"/>
          <w:numId w:val="3"/>
        </w:numPr>
        <w:spacing w:line="360" w:lineRule="auto"/>
        <w:jc w:val="both"/>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i</m:t>
            </m:r>
          </m:sub>
        </m:sSub>
      </m:oMath>
      <w:r w:rsidR="00AE72DA" w:rsidRPr="00AE72DA">
        <w:rPr>
          <w:rFonts w:ascii="Arial" w:hAnsi="Arial" w:cs="Arial"/>
          <w:sz w:val="20"/>
          <w:szCs w:val="20"/>
        </w:rPr>
        <w:t>is the error term,</w:t>
      </w:r>
    </w:p>
    <w:p w14:paraId="5440B6C1" w14:textId="77777777" w:rsidR="00AE72DA" w:rsidRPr="00AE72DA" w:rsidRDefault="00AE72DA" w:rsidP="00AE72DA">
      <w:pPr>
        <w:numPr>
          <w:ilvl w:val="0"/>
          <w:numId w:val="3"/>
        </w:numPr>
        <w:spacing w:line="360" w:lineRule="auto"/>
        <w:jc w:val="both"/>
        <w:rPr>
          <w:rFonts w:ascii="Arial" w:hAnsi="Arial" w:cs="Arial"/>
          <w:sz w:val="20"/>
          <w:szCs w:val="20"/>
        </w:rPr>
      </w:pPr>
      <w:r w:rsidRPr="00AE72DA">
        <w:rPr>
          <w:rFonts w:ascii="Arial" w:hAnsi="Arial" w:cs="Arial"/>
          <w:sz w:val="20"/>
          <w:szCs w:val="20"/>
        </w:rPr>
        <w:lastRenderedPageBreak/>
        <w:t>The independent variables (all dichotomous: Yes = 1, No = 0) are grouped into the following categories for comprehensive coverage of economic, social, platform-related, institutional, and wellbeing challenges:</w:t>
      </w:r>
    </w:p>
    <w:p w14:paraId="0F0313F0" w14:textId="004CC61D" w:rsidR="0033648C" w:rsidRDefault="0033648C" w:rsidP="00005A0F">
      <w:pPr>
        <w:spacing w:before="240" w:line="360" w:lineRule="auto"/>
        <w:jc w:val="both"/>
        <w:rPr>
          <w:rFonts w:ascii="Arial" w:hAnsi="Arial" w:cs="Arial"/>
          <w:sz w:val="20"/>
          <w:szCs w:val="20"/>
        </w:rPr>
      </w:pPr>
      <w:r w:rsidRPr="0033648C">
        <w:rPr>
          <w:rFonts w:ascii="Arial" w:hAnsi="Arial" w:cs="Arial"/>
          <w:sz w:val="20"/>
          <w:szCs w:val="20"/>
        </w:rPr>
        <w:t>The analysis incorporates multiple dimensions of challenges faced by women gig workers. Socio-economic challenges include income volatility and unpredictability (Yvᵢ), the absence of minimum-wage protection (Lmwᵢ), hidden work-related costs (Hcwᵢ), mobility and safety constraints, limited access to childcare services (Mcsᵢ), and experiences of stigma and social scrutiny. Digital and platform-related challenges encompass the digital divide and limited digital skills, gender bias embedded in customer rating systems, platform-mediated discrimination, and barriers to collective organisation. Legal and institutional challenges involve weak legal recognition arising from ambiguous employment status, the absence of social security benefits, and limited membership in workers’ associations. Health, safety, financial, and wellbeing challenges include physical and mental health risks, workplace and commuting safety concerns, lack of health insurance, restricted access to healthcare services, limited bank account ownership, constrained access to credit, inadequate training received during the past 12 months, and skill gaps or mismatches. The logistic regression model was estimated using the maximum likelihood method. Model fit was evaluated using the likelihood ratio chi-square statistic, log-likelihood values, and the pseudo-R² measure.</w:t>
      </w:r>
    </w:p>
    <w:p w14:paraId="08EDFEB7" w14:textId="6E525790" w:rsidR="005536A2" w:rsidRPr="0059717B" w:rsidRDefault="00005A0F" w:rsidP="005536A2">
      <w:pPr>
        <w:spacing w:before="240" w:after="0" w:line="360" w:lineRule="auto"/>
        <w:jc w:val="both"/>
        <w:rPr>
          <w:rFonts w:ascii="Arial" w:hAnsi="Arial" w:cs="Arial"/>
          <w:b/>
          <w:bCs/>
        </w:rPr>
      </w:pPr>
      <w:r>
        <w:rPr>
          <w:rFonts w:ascii="Arial" w:hAnsi="Arial" w:cs="Arial"/>
          <w:b/>
          <w:bCs/>
        </w:rPr>
        <w:t>5</w:t>
      </w:r>
      <w:r w:rsidR="0059717B" w:rsidRPr="0059717B">
        <w:rPr>
          <w:rFonts w:ascii="Arial" w:hAnsi="Arial" w:cs="Arial"/>
          <w:b/>
          <w:bCs/>
        </w:rPr>
        <w:t xml:space="preserve"> RESULTS AND DISCUSSION</w:t>
      </w:r>
    </w:p>
    <w:p w14:paraId="108A0AB6" w14:textId="77777777" w:rsidR="00005A0F" w:rsidRPr="00005A0F" w:rsidRDefault="00005A0F" w:rsidP="00005A0F">
      <w:pPr>
        <w:spacing w:before="240" w:line="360" w:lineRule="auto"/>
        <w:jc w:val="both"/>
        <w:rPr>
          <w:rFonts w:ascii="Arial" w:hAnsi="Arial" w:cs="Arial"/>
          <w:sz w:val="20"/>
          <w:szCs w:val="20"/>
        </w:rPr>
      </w:pPr>
      <w:r w:rsidRPr="00005A0F">
        <w:rPr>
          <w:rFonts w:ascii="Arial" w:hAnsi="Arial" w:cs="Arial"/>
          <w:sz w:val="20"/>
          <w:szCs w:val="20"/>
        </w:rPr>
        <w:t xml:space="preserve">Table 1 presents the socio-economic </w:t>
      </w:r>
      <w:r w:rsidRPr="00005A0F">
        <w:rPr>
          <w:rFonts w:ascii="Arial" w:hAnsi="Arial" w:cs="Arial"/>
          <w:color w:val="000000" w:themeColor="text1"/>
          <w:sz w:val="20"/>
          <w:szCs w:val="20"/>
        </w:rPr>
        <w:t>characteristics</w:t>
      </w:r>
      <w:r w:rsidRPr="00005A0F">
        <w:rPr>
          <w:rFonts w:ascii="Arial" w:hAnsi="Arial" w:cs="Arial"/>
          <w:sz w:val="20"/>
          <w:szCs w:val="20"/>
        </w:rPr>
        <w:t xml:space="preserve"> of the respondents, covering variables such as religion, caste, marital status, and economic conditions. This information is essential for understanding the challenges faced by women gig workers across different socio-economic groups. The data indicate that a majority of the participants (67.4%) identify as Muslim, while 32.6% belong to the Hindu community. With respect to caste composition, most respondents are from the Other Backward Classes (72.6%), followed by those from the General category (16.2%) and Scheduled Castes (11.2%).</w:t>
      </w:r>
    </w:p>
    <w:p w14:paraId="0FF84819" w14:textId="77777777" w:rsidR="00005A0F" w:rsidRPr="00005A0F" w:rsidRDefault="00005A0F" w:rsidP="00005A0F">
      <w:pPr>
        <w:autoSpaceDE w:val="0"/>
        <w:autoSpaceDN w:val="0"/>
        <w:adjustRightInd w:val="0"/>
        <w:spacing w:after="0" w:line="360" w:lineRule="auto"/>
        <w:jc w:val="center"/>
        <w:rPr>
          <w:rFonts w:ascii="Arial" w:hAnsi="Arial" w:cs="Arial"/>
          <w:b/>
          <w:bCs/>
          <w:sz w:val="20"/>
          <w:szCs w:val="20"/>
        </w:rPr>
      </w:pPr>
      <w:r w:rsidRPr="00005A0F">
        <w:rPr>
          <w:rFonts w:ascii="Arial" w:hAnsi="Arial" w:cs="Arial"/>
          <w:b/>
          <w:bCs/>
          <w:sz w:val="20"/>
          <w:szCs w:val="20"/>
        </w:rPr>
        <w:t>Table 1: Socio-economic Profile of the Respondents</w:t>
      </w:r>
    </w:p>
    <w:tbl>
      <w:tblPr>
        <w:tblStyle w:val="TableGrid"/>
        <w:tblW w:w="901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1083"/>
        <w:gridCol w:w="858"/>
        <w:gridCol w:w="865"/>
        <w:gridCol w:w="1080"/>
        <w:gridCol w:w="941"/>
        <w:gridCol w:w="1284"/>
        <w:gridCol w:w="968"/>
        <w:gridCol w:w="968"/>
      </w:tblGrid>
      <w:tr w:rsidR="00005A0F" w:rsidRPr="00005A0F" w14:paraId="32428D92" w14:textId="77777777" w:rsidTr="00005A0F">
        <w:trPr>
          <w:trHeight w:val="196"/>
          <w:jc w:val="center"/>
        </w:trPr>
        <w:tc>
          <w:tcPr>
            <w:tcW w:w="2052" w:type="dxa"/>
            <w:gridSpan w:val="2"/>
            <w:tcBorders>
              <w:bottom w:val="single" w:sz="4" w:space="0" w:color="auto"/>
            </w:tcBorders>
            <w:vAlign w:val="center"/>
          </w:tcPr>
          <w:p w14:paraId="42F2A6FF"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Religion</w:t>
            </w:r>
          </w:p>
        </w:tc>
        <w:tc>
          <w:tcPr>
            <w:tcW w:w="2803" w:type="dxa"/>
            <w:gridSpan w:val="3"/>
            <w:tcBorders>
              <w:bottom w:val="single" w:sz="4" w:space="0" w:color="auto"/>
            </w:tcBorders>
            <w:vAlign w:val="center"/>
          </w:tcPr>
          <w:p w14:paraId="71FD5C26"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Caste</w:t>
            </w:r>
          </w:p>
        </w:tc>
        <w:tc>
          <w:tcPr>
            <w:tcW w:w="2225" w:type="dxa"/>
            <w:gridSpan w:val="2"/>
            <w:tcBorders>
              <w:bottom w:val="single" w:sz="4" w:space="0" w:color="auto"/>
            </w:tcBorders>
            <w:vAlign w:val="center"/>
          </w:tcPr>
          <w:p w14:paraId="1FC52401"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Marital Status</w:t>
            </w:r>
          </w:p>
        </w:tc>
        <w:tc>
          <w:tcPr>
            <w:tcW w:w="1936" w:type="dxa"/>
            <w:gridSpan w:val="2"/>
            <w:tcBorders>
              <w:bottom w:val="single" w:sz="4" w:space="0" w:color="auto"/>
            </w:tcBorders>
          </w:tcPr>
          <w:p w14:paraId="6902FA20"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Economic Status</w:t>
            </w:r>
          </w:p>
        </w:tc>
      </w:tr>
      <w:tr w:rsidR="00005A0F" w:rsidRPr="00005A0F" w14:paraId="3D1FD075" w14:textId="77777777" w:rsidTr="00005A0F">
        <w:trPr>
          <w:trHeight w:val="69"/>
          <w:jc w:val="center"/>
        </w:trPr>
        <w:tc>
          <w:tcPr>
            <w:tcW w:w="969" w:type="dxa"/>
            <w:tcBorders>
              <w:top w:val="single" w:sz="4" w:space="0" w:color="auto"/>
              <w:bottom w:val="single" w:sz="4" w:space="0" w:color="auto"/>
            </w:tcBorders>
            <w:vAlign w:val="center"/>
          </w:tcPr>
          <w:p w14:paraId="3E3DDBC0"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Hindu</w:t>
            </w:r>
          </w:p>
        </w:tc>
        <w:tc>
          <w:tcPr>
            <w:tcW w:w="1083" w:type="dxa"/>
            <w:tcBorders>
              <w:top w:val="single" w:sz="4" w:space="0" w:color="auto"/>
              <w:bottom w:val="single" w:sz="4" w:space="0" w:color="auto"/>
            </w:tcBorders>
            <w:vAlign w:val="center"/>
          </w:tcPr>
          <w:p w14:paraId="66243A0D"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Muslim</w:t>
            </w:r>
          </w:p>
        </w:tc>
        <w:tc>
          <w:tcPr>
            <w:tcW w:w="858" w:type="dxa"/>
            <w:tcBorders>
              <w:top w:val="single" w:sz="4" w:space="0" w:color="auto"/>
              <w:bottom w:val="single" w:sz="4" w:space="0" w:color="auto"/>
            </w:tcBorders>
            <w:vAlign w:val="center"/>
          </w:tcPr>
          <w:p w14:paraId="16D3F4BE"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SC</w:t>
            </w:r>
          </w:p>
        </w:tc>
        <w:tc>
          <w:tcPr>
            <w:tcW w:w="865" w:type="dxa"/>
            <w:tcBorders>
              <w:top w:val="single" w:sz="4" w:space="0" w:color="auto"/>
              <w:bottom w:val="single" w:sz="4" w:space="0" w:color="auto"/>
            </w:tcBorders>
            <w:vAlign w:val="center"/>
          </w:tcPr>
          <w:p w14:paraId="5C60E5B4"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OBC</w:t>
            </w:r>
          </w:p>
        </w:tc>
        <w:tc>
          <w:tcPr>
            <w:tcW w:w="1080" w:type="dxa"/>
            <w:tcBorders>
              <w:top w:val="single" w:sz="4" w:space="0" w:color="auto"/>
              <w:bottom w:val="single" w:sz="4" w:space="0" w:color="auto"/>
            </w:tcBorders>
            <w:vAlign w:val="center"/>
          </w:tcPr>
          <w:p w14:paraId="0C590B93"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General</w:t>
            </w:r>
          </w:p>
        </w:tc>
        <w:tc>
          <w:tcPr>
            <w:tcW w:w="941" w:type="dxa"/>
            <w:tcBorders>
              <w:top w:val="single" w:sz="4" w:space="0" w:color="auto"/>
              <w:bottom w:val="single" w:sz="4" w:space="0" w:color="auto"/>
            </w:tcBorders>
          </w:tcPr>
          <w:p w14:paraId="4F1DD06E"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Single</w:t>
            </w:r>
          </w:p>
        </w:tc>
        <w:tc>
          <w:tcPr>
            <w:tcW w:w="1284" w:type="dxa"/>
            <w:tcBorders>
              <w:top w:val="single" w:sz="4" w:space="0" w:color="auto"/>
              <w:bottom w:val="single" w:sz="4" w:space="0" w:color="auto"/>
            </w:tcBorders>
          </w:tcPr>
          <w:p w14:paraId="45D1F77C"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Married</w:t>
            </w:r>
          </w:p>
        </w:tc>
        <w:tc>
          <w:tcPr>
            <w:tcW w:w="968" w:type="dxa"/>
            <w:tcBorders>
              <w:top w:val="single" w:sz="4" w:space="0" w:color="auto"/>
              <w:bottom w:val="single" w:sz="4" w:space="0" w:color="auto"/>
            </w:tcBorders>
          </w:tcPr>
          <w:p w14:paraId="23101CA0"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APL</w:t>
            </w:r>
          </w:p>
        </w:tc>
        <w:tc>
          <w:tcPr>
            <w:tcW w:w="968" w:type="dxa"/>
            <w:tcBorders>
              <w:top w:val="single" w:sz="4" w:space="0" w:color="auto"/>
              <w:bottom w:val="single" w:sz="4" w:space="0" w:color="auto"/>
            </w:tcBorders>
          </w:tcPr>
          <w:p w14:paraId="3C26F207" w14:textId="77777777" w:rsidR="00005A0F" w:rsidRPr="00005A0F" w:rsidRDefault="00005A0F" w:rsidP="006A769D">
            <w:pPr>
              <w:spacing w:line="360" w:lineRule="auto"/>
              <w:jc w:val="center"/>
              <w:rPr>
                <w:rFonts w:ascii="Arial" w:hAnsi="Arial" w:cs="Arial"/>
                <w:b/>
                <w:bCs/>
                <w:sz w:val="20"/>
                <w:szCs w:val="20"/>
              </w:rPr>
            </w:pPr>
            <w:r w:rsidRPr="00005A0F">
              <w:rPr>
                <w:rFonts w:ascii="Arial" w:hAnsi="Arial" w:cs="Arial"/>
                <w:b/>
                <w:bCs/>
                <w:sz w:val="20"/>
                <w:szCs w:val="20"/>
              </w:rPr>
              <w:t>BPL</w:t>
            </w:r>
          </w:p>
        </w:tc>
      </w:tr>
      <w:tr w:rsidR="00005A0F" w:rsidRPr="00005A0F" w14:paraId="626AD030" w14:textId="77777777" w:rsidTr="00005A0F">
        <w:trPr>
          <w:trHeight w:val="394"/>
          <w:jc w:val="center"/>
        </w:trPr>
        <w:tc>
          <w:tcPr>
            <w:tcW w:w="969" w:type="dxa"/>
            <w:tcBorders>
              <w:top w:val="single" w:sz="4" w:space="0" w:color="auto"/>
            </w:tcBorders>
            <w:vAlign w:val="center"/>
          </w:tcPr>
          <w:p w14:paraId="088CF126"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93</w:t>
            </w:r>
          </w:p>
          <w:p w14:paraId="220BEDB6"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(32.6)</w:t>
            </w:r>
          </w:p>
        </w:tc>
        <w:tc>
          <w:tcPr>
            <w:tcW w:w="1083" w:type="dxa"/>
            <w:tcBorders>
              <w:top w:val="single" w:sz="4" w:space="0" w:color="auto"/>
            </w:tcBorders>
            <w:vAlign w:val="center"/>
          </w:tcPr>
          <w:p w14:paraId="3EAB2DB8"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192</w:t>
            </w:r>
          </w:p>
          <w:p w14:paraId="4805B413"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(67.4)</w:t>
            </w:r>
          </w:p>
        </w:tc>
        <w:tc>
          <w:tcPr>
            <w:tcW w:w="858" w:type="dxa"/>
            <w:tcBorders>
              <w:top w:val="single" w:sz="4" w:space="0" w:color="auto"/>
            </w:tcBorders>
            <w:vAlign w:val="center"/>
          </w:tcPr>
          <w:p w14:paraId="1DDA1AA4"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32 (11.2)</w:t>
            </w:r>
          </w:p>
        </w:tc>
        <w:tc>
          <w:tcPr>
            <w:tcW w:w="865" w:type="dxa"/>
            <w:tcBorders>
              <w:top w:val="single" w:sz="4" w:space="0" w:color="auto"/>
            </w:tcBorders>
            <w:vAlign w:val="center"/>
          </w:tcPr>
          <w:p w14:paraId="533CC1F8"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207 (72.6)</w:t>
            </w:r>
          </w:p>
        </w:tc>
        <w:tc>
          <w:tcPr>
            <w:tcW w:w="1080" w:type="dxa"/>
            <w:tcBorders>
              <w:top w:val="single" w:sz="4" w:space="0" w:color="auto"/>
            </w:tcBorders>
            <w:vAlign w:val="center"/>
          </w:tcPr>
          <w:p w14:paraId="5CEA305E"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46</w:t>
            </w:r>
          </w:p>
          <w:p w14:paraId="1F4E67DB"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(16.2)</w:t>
            </w:r>
          </w:p>
        </w:tc>
        <w:tc>
          <w:tcPr>
            <w:tcW w:w="941" w:type="dxa"/>
            <w:tcBorders>
              <w:top w:val="single" w:sz="4" w:space="0" w:color="auto"/>
            </w:tcBorders>
          </w:tcPr>
          <w:p w14:paraId="1DF31101"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119</w:t>
            </w:r>
          </w:p>
          <w:p w14:paraId="10E0220B"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(41.8)</w:t>
            </w:r>
          </w:p>
        </w:tc>
        <w:tc>
          <w:tcPr>
            <w:tcW w:w="1284" w:type="dxa"/>
            <w:tcBorders>
              <w:top w:val="single" w:sz="4" w:space="0" w:color="auto"/>
            </w:tcBorders>
          </w:tcPr>
          <w:p w14:paraId="0186A8D6"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166</w:t>
            </w:r>
          </w:p>
          <w:p w14:paraId="2607CCFF"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(58.2)</w:t>
            </w:r>
          </w:p>
        </w:tc>
        <w:tc>
          <w:tcPr>
            <w:tcW w:w="968" w:type="dxa"/>
            <w:tcBorders>
              <w:top w:val="single" w:sz="4" w:space="0" w:color="auto"/>
            </w:tcBorders>
          </w:tcPr>
          <w:p w14:paraId="14500F68"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138</w:t>
            </w:r>
          </w:p>
          <w:p w14:paraId="5E6BD3AC"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(48.4)</w:t>
            </w:r>
          </w:p>
        </w:tc>
        <w:tc>
          <w:tcPr>
            <w:tcW w:w="968" w:type="dxa"/>
            <w:tcBorders>
              <w:top w:val="single" w:sz="4" w:space="0" w:color="auto"/>
            </w:tcBorders>
          </w:tcPr>
          <w:p w14:paraId="69A4493B"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147</w:t>
            </w:r>
          </w:p>
          <w:p w14:paraId="5E9A5990" w14:textId="77777777" w:rsidR="00005A0F" w:rsidRPr="00005A0F" w:rsidRDefault="00005A0F" w:rsidP="006A769D">
            <w:pPr>
              <w:spacing w:line="360" w:lineRule="auto"/>
              <w:jc w:val="center"/>
              <w:rPr>
                <w:rFonts w:ascii="Arial" w:hAnsi="Arial" w:cs="Arial"/>
                <w:sz w:val="20"/>
                <w:szCs w:val="20"/>
              </w:rPr>
            </w:pPr>
            <w:r w:rsidRPr="00005A0F">
              <w:rPr>
                <w:rFonts w:ascii="Arial" w:hAnsi="Arial" w:cs="Arial"/>
                <w:sz w:val="20"/>
                <w:szCs w:val="20"/>
              </w:rPr>
              <w:t>(51.6)</w:t>
            </w:r>
          </w:p>
        </w:tc>
      </w:tr>
    </w:tbl>
    <w:p w14:paraId="36C1AA57" w14:textId="77777777" w:rsidR="00005A0F" w:rsidRPr="00005A0F" w:rsidRDefault="00005A0F" w:rsidP="00005A0F">
      <w:pPr>
        <w:autoSpaceDE w:val="0"/>
        <w:autoSpaceDN w:val="0"/>
        <w:adjustRightInd w:val="0"/>
        <w:spacing w:after="0" w:line="360" w:lineRule="auto"/>
        <w:jc w:val="both"/>
        <w:rPr>
          <w:rFonts w:ascii="Arial" w:hAnsi="Arial" w:cs="Arial"/>
          <w:sz w:val="20"/>
          <w:szCs w:val="20"/>
        </w:rPr>
      </w:pPr>
      <w:r w:rsidRPr="00005A0F">
        <w:rPr>
          <w:rFonts w:ascii="Arial" w:hAnsi="Arial" w:cs="Arial"/>
          <w:sz w:val="20"/>
          <w:szCs w:val="20"/>
        </w:rPr>
        <w:t xml:space="preserve">Source: Survey Data </w:t>
      </w:r>
      <w:r w:rsidRPr="00005A0F">
        <w:rPr>
          <w:rFonts w:ascii="Arial" w:hAnsi="Arial" w:cs="Arial"/>
          <w:sz w:val="20"/>
          <w:szCs w:val="20"/>
        </w:rPr>
        <w:tab/>
        <w:t>(Figures in parenthesis are in percentages)</w:t>
      </w:r>
    </w:p>
    <w:p w14:paraId="23374EA4" w14:textId="77777777" w:rsidR="00005A0F" w:rsidRPr="005D6C46" w:rsidRDefault="00005A0F" w:rsidP="00005A0F">
      <w:pPr>
        <w:spacing w:before="240" w:line="360" w:lineRule="auto"/>
        <w:jc w:val="both"/>
        <w:rPr>
          <w:rFonts w:ascii="Arial" w:hAnsi="Arial" w:cs="Arial"/>
          <w:sz w:val="20"/>
          <w:szCs w:val="20"/>
        </w:rPr>
      </w:pPr>
      <w:r w:rsidRPr="005D6C46">
        <w:rPr>
          <w:rFonts w:ascii="Arial" w:hAnsi="Arial" w:cs="Arial"/>
          <w:sz w:val="20"/>
          <w:szCs w:val="20"/>
        </w:rPr>
        <w:t>The marital status profile reveals that 58.2% of respondents are married, whereas 41.8% are single. In terms of economic status, the sample is almost evenly split, with 51.6% falling under the Below Poverty Line (BPL) category and 48.4% classified as Above Poverty Line (APL).</w:t>
      </w:r>
      <w:r w:rsidRPr="00005A0F">
        <w:rPr>
          <w:rFonts w:ascii="Arial" w:hAnsi="Arial" w:cs="Arial"/>
          <w:sz w:val="20"/>
          <w:szCs w:val="20"/>
        </w:rPr>
        <w:t xml:space="preserve"> </w:t>
      </w:r>
      <w:r w:rsidRPr="005D6C46">
        <w:rPr>
          <w:rFonts w:ascii="Arial" w:hAnsi="Arial" w:cs="Arial"/>
          <w:sz w:val="20"/>
          <w:szCs w:val="20"/>
        </w:rPr>
        <w:t>Overall, the table shows that the respondent group is predominantly Muslim, largely from the OBC community, mostly married, and with a slight majority belonging to economically disadvantaged households.</w:t>
      </w:r>
    </w:p>
    <w:p w14:paraId="1D57FCDF" w14:textId="77777777" w:rsidR="0033648C" w:rsidRDefault="0033648C" w:rsidP="000455D8">
      <w:pPr>
        <w:spacing w:line="360" w:lineRule="auto"/>
        <w:jc w:val="both"/>
        <w:rPr>
          <w:rFonts w:ascii="Arial" w:hAnsi="Arial" w:cs="Arial"/>
          <w:b/>
          <w:bCs/>
        </w:rPr>
      </w:pPr>
    </w:p>
    <w:p w14:paraId="2100CA79" w14:textId="1C58FFBF" w:rsidR="000455D8" w:rsidRDefault="00005A0F" w:rsidP="000455D8">
      <w:pPr>
        <w:spacing w:line="360" w:lineRule="auto"/>
        <w:jc w:val="both"/>
        <w:rPr>
          <w:rFonts w:ascii="Arial" w:hAnsi="Arial" w:cs="Arial"/>
          <w:b/>
          <w:bCs/>
          <w:sz w:val="20"/>
          <w:szCs w:val="20"/>
        </w:rPr>
      </w:pPr>
      <w:r>
        <w:rPr>
          <w:rFonts w:ascii="Arial" w:hAnsi="Arial" w:cs="Arial"/>
          <w:b/>
          <w:bCs/>
        </w:rPr>
        <w:lastRenderedPageBreak/>
        <w:t>5</w:t>
      </w:r>
      <w:r w:rsidR="000455D8" w:rsidRPr="0059717B">
        <w:rPr>
          <w:rFonts w:ascii="Arial" w:hAnsi="Arial" w:cs="Arial"/>
          <w:b/>
          <w:bCs/>
        </w:rPr>
        <w:t>.1</w:t>
      </w:r>
      <w:r w:rsidR="000455D8" w:rsidRPr="0059717B">
        <w:rPr>
          <w:rFonts w:ascii="Arial" w:hAnsi="Arial" w:cs="Arial"/>
        </w:rPr>
        <w:t xml:space="preserve"> </w:t>
      </w:r>
      <w:r w:rsidRPr="00005A0F">
        <w:rPr>
          <w:rFonts w:ascii="Arial" w:hAnsi="Arial" w:cs="Arial"/>
          <w:b/>
          <w:bCs/>
        </w:rPr>
        <w:t>Educational Characteristics of the Surveyed Group</w:t>
      </w:r>
      <w:r w:rsidRPr="00005A0F">
        <w:rPr>
          <w:rFonts w:ascii="Arial" w:hAnsi="Arial" w:cs="Arial"/>
          <w:b/>
          <w:bCs/>
          <w:sz w:val="20"/>
          <w:szCs w:val="20"/>
        </w:rPr>
        <w:t xml:space="preserve"> </w:t>
      </w:r>
    </w:p>
    <w:p w14:paraId="2E8BA00F" w14:textId="782B7E6B" w:rsidR="00FA5F0C" w:rsidRDefault="008E34EC" w:rsidP="00FA5F0C">
      <w:pPr>
        <w:spacing w:line="360" w:lineRule="auto"/>
        <w:jc w:val="both"/>
        <w:rPr>
          <w:rFonts w:ascii="Arial" w:hAnsi="Arial" w:cs="Arial"/>
          <w:sz w:val="20"/>
          <w:szCs w:val="20"/>
        </w:rPr>
      </w:pPr>
      <w:r w:rsidRPr="008E34EC">
        <w:rPr>
          <w:rFonts w:ascii="Arial" w:hAnsi="Arial" w:cs="Arial"/>
          <w:sz w:val="20"/>
          <w:szCs w:val="20"/>
        </w:rPr>
        <w:t>The discussion on the respondents’ educational attainment helps in understanding their academic qualifications and the types of challenges experienced by women gig workers. The general trend indicates that a higher level of education enables workers to pursue quality jobs and better navigate existing challenges.</w:t>
      </w:r>
      <w:r>
        <w:rPr>
          <w:rFonts w:ascii="Arial" w:hAnsi="Arial" w:cs="Arial"/>
          <w:sz w:val="20"/>
          <w:szCs w:val="20"/>
        </w:rPr>
        <w:t xml:space="preserve"> </w:t>
      </w:r>
      <w:r w:rsidR="00FA5F0C" w:rsidRPr="00FA5F0C">
        <w:rPr>
          <w:rFonts w:ascii="Arial" w:hAnsi="Arial" w:cs="Arial"/>
          <w:sz w:val="20"/>
          <w:szCs w:val="20"/>
        </w:rPr>
        <w:t>Figure</w:t>
      </w:r>
      <w:r w:rsidR="00FA5F0C" w:rsidRPr="005D6C46">
        <w:rPr>
          <w:rFonts w:ascii="Arial" w:hAnsi="Arial" w:cs="Arial"/>
          <w:sz w:val="20"/>
          <w:szCs w:val="20"/>
        </w:rPr>
        <w:t xml:space="preserve"> 1 presents the educational profile of the respondents. The data indicate that a substantial proportion of the participants have attained education at the higher secondary level, accounting for 36.49% of the sample. This is followed by respondents with a degree-level qualification (31.22%), reflecting a considerable presence of individuals with tertiary education. Meanwhile, 13.33% of the respondents hold a postgraduate degree or higher qualification.</w:t>
      </w:r>
    </w:p>
    <w:p w14:paraId="5F1FCFDE" w14:textId="32706E3E" w:rsidR="00FA5F0C" w:rsidRPr="00FA5F0C" w:rsidRDefault="00FA5F0C" w:rsidP="00584A49">
      <w:pPr>
        <w:spacing w:line="360" w:lineRule="auto"/>
        <w:jc w:val="center"/>
        <w:rPr>
          <w:rFonts w:ascii="Arial" w:hAnsi="Arial" w:cs="Arial"/>
          <w:b/>
          <w:bCs/>
          <w:sz w:val="20"/>
          <w:szCs w:val="20"/>
        </w:rPr>
      </w:pPr>
      <w:r w:rsidRPr="00FA5F0C">
        <w:rPr>
          <w:rFonts w:ascii="Arial" w:hAnsi="Arial" w:cs="Arial"/>
          <w:b/>
          <w:bCs/>
          <w:sz w:val="20"/>
          <w:szCs w:val="20"/>
        </w:rPr>
        <w:t>Figure 1: Education Profile of the Respondents</w:t>
      </w:r>
    </w:p>
    <w:p w14:paraId="167F5925" w14:textId="699E0843" w:rsidR="00FA5F0C" w:rsidRPr="0059717B" w:rsidRDefault="00FA5F0C" w:rsidP="00FA5F0C">
      <w:pPr>
        <w:spacing w:after="0" w:line="360" w:lineRule="auto"/>
        <w:jc w:val="center"/>
        <w:rPr>
          <w:rFonts w:ascii="Arial" w:hAnsi="Arial" w:cs="Arial"/>
          <w:b/>
          <w:bCs/>
        </w:rPr>
      </w:pPr>
      <w:r w:rsidRPr="00FA5F0C">
        <w:rPr>
          <w:rFonts w:ascii="Arial" w:hAnsi="Arial" w:cs="Arial"/>
          <w:noProof/>
          <w:sz w:val="20"/>
          <w:szCs w:val="20"/>
        </w:rPr>
        <w:drawing>
          <wp:inline distT="0" distB="0" distL="0" distR="0" wp14:anchorId="6EAFDA1D" wp14:editId="2C897D12">
            <wp:extent cx="5029200" cy="3022600"/>
            <wp:effectExtent l="0" t="0" r="0" b="6350"/>
            <wp:docPr id="1930996902" name="Chart 1">
              <a:extLst xmlns:a="http://schemas.openxmlformats.org/drawingml/2006/main">
                <a:ext uri="{FF2B5EF4-FFF2-40B4-BE49-F238E27FC236}">
                  <a16:creationId xmlns:a16="http://schemas.microsoft.com/office/drawing/2014/main" id="{E046C122-6C60-79D5-2C99-3F31825FAB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347936F" w14:textId="2EA5F63F" w:rsidR="00FA5F0C" w:rsidRPr="00FA5F0C" w:rsidRDefault="00FA5F0C" w:rsidP="00FA5F0C">
      <w:pPr>
        <w:spacing w:after="0" w:line="360" w:lineRule="auto"/>
        <w:jc w:val="both"/>
        <w:rPr>
          <w:rFonts w:ascii="Arial" w:hAnsi="Arial" w:cs="Arial"/>
          <w:sz w:val="20"/>
          <w:szCs w:val="20"/>
        </w:rPr>
      </w:pPr>
      <w:r>
        <w:rPr>
          <w:rFonts w:ascii="Times New Roman" w:hAnsi="Times New Roman" w:cs="Times New Roman"/>
          <w:sz w:val="24"/>
          <w:szCs w:val="24"/>
        </w:rPr>
        <w:t xml:space="preserve">          </w:t>
      </w:r>
      <w:r w:rsidR="00584A49">
        <w:rPr>
          <w:rFonts w:ascii="Times New Roman" w:hAnsi="Times New Roman" w:cs="Times New Roman"/>
          <w:sz w:val="24"/>
          <w:szCs w:val="24"/>
        </w:rPr>
        <w:t xml:space="preserve">   </w:t>
      </w:r>
      <w:r w:rsidRPr="00FA5F0C">
        <w:rPr>
          <w:rFonts w:ascii="Arial" w:hAnsi="Arial" w:cs="Arial"/>
          <w:sz w:val="20"/>
          <w:szCs w:val="20"/>
        </w:rPr>
        <w:t>Source: Primary Data</w:t>
      </w:r>
    </w:p>
    <w:p w14:paraId="052BD764" w14:textId="596A8A3D" w:rsidR="00FA5F0C" w:rsidRDefault="00FA5F0C" w:rsidP="00584A49">
      <w:pPr>
        <w:spacing w:line="360" w:lineRule="auto"/>
        <w:jc w:val="both"/>
        <w:rPr>
          <w:rFonts w:ascii="Arial" w:hAnsi="Arial" w:cs="Arial"/>
          <w:sz w:val="20"/>
          <w:szCs w:val="20"/>
        </w:rPr>
      </w:pPr>
      <w:r w:rsidRPr="005D6C46">
        <w:rPr>
          <w:rFonts w:ascii="Arial" w:hAnsi="Arial" w:cs="Arial"/>
          <w:sz w:val="20"/>
          <w:szCs w:val="20"/>
        </w:rPr>
        <w:t>At the lower end of the educational spectrum, 11.58% of the respondents have completed SSLC, while 7.37% possess educational qualifications below the SSLC level. Overall, the distribution suggests that the sample is relatively well-educated, with the majority having completed higher secondary or higher levels of education.</w:t>
      </w:r>
    </w:p>
    <w:p w14:paraId="2111A15D" w14:textId="76783A7A" w:rsidR="001617E1" w:rsidRPr="00FA5F0C" w:rsidRDefault="00FA5F0C" w:rsidP="001617E1">
      <w:pPr>
        <w:spacing w:line="360" w:lineRule="auto"/>
        <w:jc w:val="both"/>
        <w:rPr>
          <w:rFonts w:ascii="Arial" w:hAnsi="Arial" w:cs="Arial"/>
          <w:b/>
          <w:bCs/>
        </w:rPr>
      </w:pPr>
      <w:r w:rsidRPr="00FA5F0C">
        <w:rPr>
          <w:rFonts w:ascii="Arial" w:hAnsi="Arial" w:cs="Arial"/>
          <w:b/>
          <w:bCs/>
        </w:rPr>
        <w:t>5</w:t>
      </w:r>
      <w:r w:rsidR="00E87686" w:rsidRPr="00FA5F0C">
        <w:rPr>
          <w:rFonts w:ascii="Arial" w:hAnsi="Arial" w:cs="Arial"/>
          <w:b/>
          <w:bCs/>
        </w:rPr>
        <w:t xml:space="preserve">.2 </w:t>
      </w:r>
      <w:r w:rsidRPr="00FA5F0C">
        <w:rPr>
          <w:rFonts w:ascii="Arial" w:hAnsi="Arial" w:cs="Arial"/>
          <w:b/>
          <w:bCs/>
        </w:rPr>
        <w:t>Descriptive Statistics of the Variables</w:t>
      </w:r>
    </w:p>
    <w:p w14:paraId="5DE09A4C" w14:textId="3F40C182" w:rsidR="00584A49" w:rsidRDefault="00FA5F0C" w:rsidP="00584A49">
      <w:pPr>
        <w:spacing w:line="360" w:lineRule="auto"/>
        <w:jc w:val="both"/>
        <w:rPr>
          <w:rFonts w:ascii="Arial" w:hAnsi="Arial" w:cs="Arial"/>
          <w:sz w:val="20"/>
          <w:szCs w:val="20"/>
        </w:rPr>
      </w:pPr>
      <w:r w:rsidRPr="00FA5F0C">
        <w:rPr>
          <w:rFonts w:ascii="Arial" w:hAnsi="Arial" w:cs="Arial"/>
          <w:sz w:val="20"/>
          <w:szCs w:val="20"/>
        </w:rPr>
        <w:t xml:space="preserve">The table 2 include the descriptive statistics of 285 respondents of key variables used in the binary logistic regression analysis. The mean value for earnings indicates that approximately 61% of respondents earn ₹10,000 or less per month. A substantial share of women </w:t>
      </w:r>
      <w:r w:rsidR="008E34EC" w:rsidRPr="00FA5F0C">
        <w:rPr>
          <w:rFonts w:ascii="Arial" w:hAnsi="Arial" w:cs="Arial"/>
          <w:sz w:val="20"/>
          <w:szCs w:val="20"/>
        </w:rPr>
        <w:t>reports</w:t>
      </w:r>
      <w:r w:rsidRPr="00FA5F0C">
        <w:rPr>
          <w:rFonts w:ascii="Arial" w:hAnsi="Arial" w:cs="Arial"/>
          <w:sz w:val="20"/>
          <w:szCs w:val="20"/>
        </w:rPr>
        <w:t xml:space="preserve"> socio-economic challenges, including income volatility (76%), hidden work-related costs (75%), lack of minimum-wage protection (68%), and mobility or safety constraints (81%). About 54% also experience stigma or social scrutiny.</w:t>
      </w:r>
      <w:r w:rsidR="00584A49">
        <w:rPr>
          <w:rFonts w:ascii="Arial" w:hAnsi="Arial" w:cs="Arial"/>
          <w:sz w:val="20"/>
          <w:szCs w:val="20"/>
        </w:rPr>
        <w:t xml:space="preserve"> </w:t>
      </w:r>
    </w:p>
    <w:p w14:paraId="55B6365B" w14:textId="707BF12F" w:rsidR="00FA5F0C" w:rsidRPr="00584A49" w:rsidRDefault="00584A49" w:rsidP="00584A49">
      <w:pPr>
        <w:spacing w:line="360" w:lineRule="auto"/>
        <w:jc w:val="center"/>
        <w:rPr>
          <w:rFonts w:ascii="Arial" w:hAnsi="Arial" w:cs="Arial"/>
          <w:b/>
          <w:bCs/>
          <w:sz w:val="20"/>
          <w:szCs w:val="20"/>
        </w:rPr>
      </w:pPr>
      <w:r w:rsidRPr="00FA5F0C">
        <w:rPr>
          <w:rFonts w:ascii="Arial" w:hAnsi="Arial" w:cs="Arial"/>
          <w:b/>
          <w:bCs/>
          <w:sz w:val="20"/>
          <w:szCs w:val="20"/>
        </w:rPr>
        <w:t>Table 2: Descriptive Statistics of the Variables Used for the Study</w:t>
      </w:r>
    </w:p>
    <w:tbl>
      <w:tblPr>
        <w:tblpPr w:leftFromText="180" w:rightFromText="180" w:vertAnchor="page" w:horzAnchor="margin" w:tblpY="1411"/>
        <w:tblW w:w="9016" w:type="dxa"/>
        <w:tblBorders>
          <w:top w:val="single" w:sz="4" w:space="0" w:color="auto"/>
          <w:bottom w:val="single" w:sz="4" w:space="0" w:color="auto"/>
        </w:tblBorders>
        <w:tblLook w:val="04A0" w:firstRow="1" w:lastRow="0" w:firstColumn="1" w:lastColumn="0" w:noHBand="0" w:noVBand="1"/>
      </w:tblPr>
      <w:tblGrid>
        <w:gridCol w:w="4815"/>
        <w:gridCol w:w="1277"/>
        <w:gridCol w:w="1229"/>
        <w:gridCol w:w="847"/>
        <w:gridCol w:w="848"/>
      </w:tblGrid>
      <w:tr w:rsidR="00584A49" w:rsidRPr="00584A49" w14:paraId="2BFED235" w14:textId="77777777" w:rsidTr="00584A49">
        <w:trPr>
          <w:trHeight w:val="300"/>
        </w:trPr>
        <w:tc>
          <w:tcPr>
            <w:tcW w:w="4815" w:type="dxa"/>
            <w:tcBorders>
              <w:bottom w:val="single" w:sz="4" w:space="0" w:color="auto"/>
            </w:tcBorders>
            <w:noWrap/>
            <w:vAlign w:val="center"/>
            <w:hideMark/>
          </w:tcPr>
          <w:p w14:paraId="1B89985E" w14:textId="77777777" w:rsidR="00584A49" w:rsidRPr="00584A49" w:rsidRDefault="00584A49" w:rsidP="00584A49">
            <w:pPr>
              <w:pStyle w:val="NoSpacing"/>
              <w:jc w:val="center"/>
              <w:rPr>
                <w:rFonts w:ascii="Arial" w:hAnsi="Arial" w:cs="Arial"/>
                <w:b/>
                <w:bCs/>
                <w:sz w:val="20"/>
                <w:szCs w:val="20"/>
                <w:lang w:eastAsia="en-IN"/>
              </w:rPr>
            </w:pPr>
            <w:r w:rsidRPr="00584A49">
              <w:rPr>
                <w:rFonts w:ascii="Arial" w:hAnsi="Arial" w:cs="Arial"/>
                <w:b/>
                <w:bCs/>
                <w:sz w:val="20"/>
                <w:szCs w:val="20"/>
                <w:lang w:eastAsia="en-IN"/>
              </w:rPr>
              <w:lastRenderedPageBreak/>
              <w:t>Variables</w:t>
            </w:r>
          </w:p>
        </w:tc>
        <w:tc>
          <w:tcPr>
            <w:tcW w:w="1277" w:type="dxa"/>
            <w:tcBorders>
              <w:bottom w:val="single" w:sz="4" w:space="0" w:color="auto"/>
            </w:tcBorders>
            <w:noWrap/>
            <w:vAlign w:val="center"/>
            <w:hideMark/>
          </w:tcPr>
          <w:p w14:paraId="08A70DFE" w14:textId="77777777" w:rsidR="00584A49" w:rsidRPr="00584A49" w:rsidRDefault="00584A49" w:rsidP="00584A49">
            <w:pPr>
              <w:pStyle w:val="NoSpacing"/>
              <w:jc w:val="center"/>
              <w:rPr>
                <w:rFonts w:ascii="Arial" w:hAnsi="Arial" w:cs="Arial"/>
                <w:b/>
                <w:bCs/>
                <w:sz w:val="20"/>
                <w:szCs w:val="20"/>
                <w:lang w:eastAsia="en-IN"/>
              </w:rPr>
            </w:pPr>
            <w:r w:rsidRPr="00584A49">
              <w:rPr>
                <w:rFonts w:ascii="Arial" w:hAnsi="Arial" w:cs="Arial"/>
                <w:b/>
                <w:bCs/>
                <w:sz w:val="20"/>
                <w:szCs w:val="20"/>
                <w:lang w:eastAsia="en-IN"/>
              </w:rPr>
              <w:t>Mean</w:t>
            </w:r>
          </w:p>
        </w:tc>
        <w:tc>
          <w:tcPr>
            <w:tcW w:w="1229" w:type="dxa"/>
            <w:tcBorders>
              <w:bottom w:val="single" w:sz="4" w:space="0" w:color="auto"/>
            </w:tcBorders>
            <w:noWrap/>
            <w:vAlign w:val="center"/>
            <w:hideMark/>
          </w:tcPr>
          <w:p w14:paraId="0BD07376" w14:textId="77777777" w:rsidR="00584A49" w:rsidRPr="00584A49" w:rsidRDefault="00584A49" w:rsidP="00584A49">
            <w:pPr>
              <w:pStyle w:val="NoSpacing"/>
              <w:jc w:val="center"/>
              <w:rPr>
                <w:rFonts w:ascii="Arial" w:hAnsi="Arial" w:cs="Arial"/>
                <w:b/>
                <w:bCs/>
                <w:sz w:val="20"/>
                <w:szCs w:val="20"/>
                <w:lang w:eastAsia="en-IN"/>
              </w:rPr>
            </w:pPr>
            <w:r w:rsidRPr="00584A49">
              <w:rPr>
                <w:rFonts w:ascii="Arial" w:hAnsi="Arial" w:cs="Arial"/>
                <w:b/>
                <w:bCs/>
                <w:sz w:val="20"/>
                <w:szCs w:val="20"/>
                <w:lang w:eastAsia="en-IN"/>
              </w:rPr>
              <w:t>SD</w:t>
            </w:r>
          </w:p>
        </w:tc>
        <w:tc>
          <w:tcPr>
            <w:tcW w:w="847" w:type="dxa"/>
            <w:tcBorders>
              <w:bottom w:val="single" w:sz="4" w:space="0" w:color="auto"/>
            </w:tcBorders>
            <w:noWrap/>
            <w:vAlign w:val="center"/>
            <w:hideMark/>
          </w:tcPr>
          <w:p w14:paraId="56EA3375" w14:textId="77777777" w:rsidR="00584A49" w:rsidRPr="00584A49" w:rsidRDefault="00584A49" w:rsidP="00584A49">
            <w:pPr>
              <w:pStyle w:val="NoSpacing"/>
              <w:jc w:val="center"/>
              <w:rPr>
                <w:rFonts w:ascii="Arial" w:hAnsi="Arial" w:cs="Arial"/>
                <w:b/>
                <w:bCs/>
                <w:sz w:val="20"/>
                <w:szCs w:val="20"/>
                <w:lang w:eastAsia="en-IN"/>
              </w:rPr>
            </w:pPr>
            <w:r w:rsidRPr="00584A49">
              <w:rPr>
                <w:rFonts w:ascii="Arial" w:hAnsi="Arial" w:cs="Arial"/>
                <w:b/>
                <w:bCs/>
                <w:sz w:val="20"/>
                <w:szCs w:val="20"/>
                <w:lang w:eastAsia="en-IN"/>
              </w:rPr>
              <w:t>Min</w:t>
            </w:r>
          </w:p>
        </w:tc>
        <w:tc>
          <w:tcPr>
            <w:tcW w:w="848" w:type="dxa"/>
            <w:tcBorders>
              <w:bottom w:val="single" w:sz="4" w:space="0" w:color="auto"/>
            </w:tcBorders>
            <w:noWrap/>
            <w:vAlign w:val="center"/>
            <w:hideMark/>
          </w:tcPr>
          <w:p w14:paraId="71C4F52E" w14:textId="77777777" w:rsidR="00584A49" w:rsidRPr="00584A49" w:rsidRDefault="00584A49" w:rsidP="00584A49">
            <w:pPr>
              <w:pStyle w:val="NoSpacing"/>
              <w:jc w:val="center"/>
              <w:rPr>
                <w:rFonts w:ascii="Arial" w:hAnsi="Arial" w:cs="Arial"/>
                <w:b/>
                <w:bCs/>
                <w:sz w:val="20"/>
                <w:szCs w:val="20"/>
                <w:lang w:eastAsia="en-IN"/>
              </w:rPr>
            </w:pPr>
            <w:r w:rsidRPr="00584A49">
              <w:rPr>
                <w:rFonts w:ascii="Arial" w:hAnsi="Arial" w:cs="Arial"/>
                <w:b/>
                <w:bCs/>
                <w:sz w:val="20"/>
                <w:szCs w:val="20"/>
                <w:lang w:eastAsia="en-IN"/>
              </w:rPr>
              <w:t>Max</w:t>
            </w:r>
          </w:p>
        </w:tc>
      </w:tr>
      <w:tr w:rsidR="00584A49" w:rsidRPr="00584A49" w14:paraId="70B478B1" w14:textId="77777777" w:rsidTr="00584A49">
        <w:trPr>
          <w:trHeight w:val="300"/>
        </w:trPr>
        <w:tc>
          <w:tcPr>
            <w:tcW w:w="4815" w:type="dxa"/>
            <w:tcBorders>
              <w:top w:val="single" w:sz="4" w:space="0" w:color="auto"/>
              <w:bottom w:val="single" w:sz="4" w:space="0" w:color="auto"/>
            </w:tcBorders>
            <w:noWrap/>
            <w:vAlign w:val="center"/>
            <w:hideMark/>
          </w:tcPr>
          <w:p w14:paraId="69D315B1" w14:textId="77777777" w:rsidR="00584A49" w:rsidRPr="00584A49" w:rsidRDefault="00584A49" w:rsidP="00584A49">
            <w:pPr>
              <w:rPr>
                <w:rFonts w:ascii="Arial" w:hAnsi="Arial" w:cs="Arial"/>
                <w:sz w:val="20"/>
                <w:szCs w:val="20"/>
              </w:rPr>
            </w:pPr>
            <w:r w:rsidRPr="00584A49">
              <w:rPr>
                <w:rFonts w:ascii="Arial" w:hAnsi="Arial" w:cs="Arial"/>
                <w:sz w:val="20"/>
                <w:szCs w:val="20"/>
              </w:rPr>
              <w:t>Women gig workers’ earnings</w:t>
            </w:r>
          </w:p>
          <w:p w14:paraId="61F40A5B" w14:textId="77777777" w:rsidR="00584A49" w:rsidRPr="00584A49" w:rsidRDefault="00584A49" w:rsidP="00584A49">
            <w:pPr>
              <w:rPr>
                <w:rFonts w:ascii="Arial" w:hAnsi="Arial" w:cs="Arial"/>
                <w:sz w:val="20"/>
                <w:szCs w:val="20"/>
              </w:rPr>
            </w:pPr>
            <w:r w:rsidRPr="00584A49">
              <w:rPr>
                <w:rFonts w:ascii="Arial" w:hAnsi="Arial" w:cs="Arial"/>
                <w:sz w:val="20"/>
                <w:szCs w:val="20"/>
              </w:rPr>
              <w:t>1= ₹10000; 0&gt;₹10000</w:t>
            </w:r>
          </w:p>
        </w:tc>
        <w:tc>
          <w:tcPr>
            <w:tcW w:w="1277" w:type="dxa"/>
            <w:tcBorders>
              <w:top w:val="single" w:sz="4" w:space="0" w:color="auto"/>
              <w:bottom w:val="single" w:sz="4" w:space="0" w:color="auto"/>
            </w:tcBorders>
            <w:noWrap/>
            <w:vAlign w:val="center"/>
            <w:hideMark/>
          </w:tcPr>
          <w:p w14:paraId="6A3E23D7"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0.6140351</w:t>
            </w:r>
          </w:p>
        </w:tc>
        <w:tc>
          <w:tcPr>
            <w:tcW w:w="1229" w:type="dxa"/>
            <w:tcBorders>
              <w:top w:val="single" w:sz="4" w:space="0" w:color="auto"/>
              <w:bottom w:val="single" w:sz="4" w:space="0" w:color="auto"/>
            </w:tcBorders>
            <w:noWrap/>
            <w:vAlign w:val="center"/>
            <w:hideMark/>
          </w:tcPr>
          <w:p w14:paraId="6CF1E6B0"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0.487679</w:t>
            </w:r>
          </w:p>
        </w:tc>
        <w:tc>
          <w:tcPr>
            <w:tcW w:w="847" w:type="dxa"/>
            <w:tcBorders>
              <w:top w:val="single" w:sz="4" w:space="0" w:color="auto"/>
              <w:bottom w:val="single" w:sz="4" w:space="0" w:color="auto"/>
            </w:tcBorders>
            <w:noWrap/>
            <w:vAlign w:val="center"/>
            <w:hideMark/>
          </w:tcPr>
          <w:p w14:paraId="172BEA3F"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top w:val="single" w:sz="4" w:space="0" w:color="auto"/>
              <w:bottom w:val="single" w:sz="4" w:space="0" w:color="auto"/>
            </w:tcBorders>
            <w:noWrap/>
            <w:vAlign w:val="center"/>
            <w:hideMark/>
          </w:tcPr>
          <w:p w14:paraId="0AC6338E"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1922C72E" w14:textId="77777777" w:rsidTr="00584A49">
        <w:trPr>
          <w:trHeight w:val="300"/>
        </w:trPr>
        <w:tc>
          <w:tcPr>
            <w:tcW w:w="9016" w:type="dxa"/>
            <w:gridSpan w:val="5"/>
            <w:tcBorders>
              <w:top w:val="single" w:sz="4" w:space="0" w:color="auto"/>
              <w:bottom w:val="single" w:sz="4" w:space="0" w:color="auto"/>
            </w:tcBorders>
            <w:noWrap/>
            <w:vAlign w:val="center"/>
          </w:tcPr>
          <w:p w14:paraId="568721A6" w14:textId="77777777" w:rsidR="00584A49" w:rsidRPr="00584A49" w:rsidRDefault="00584A49" w:rsidP="00584A49">
            <w:pPr>
              <w:pStyle w:val="NoSpacing"/>
              <w:rPr>
                <w:rFonts w:ascii="Arial" w:hAnsi="Arial" w:cs="Arial"/>
                <w:b/>
                <w:bCs/>
                <w:sz w:val="20"/>
                <w:szCs w:val="20"/>
                <w:lang w:eastAsia="en-IN"/>
              </w:rPr>
            </w:pPr>
            <w:r w:rsidRPr="00584A49">
              <w:rPr>
                <w:rFonts w:ascii="Arial" w:hAnsi="Arial" w:cs="Arial"/>
                <w:b/>
                <w:bCs/>
                <w:sz w:val="20"/>
                <w:szCs w:val="20"/>
              </w:rPr>
              <w:t>Socio-Economic Challenges</w:t>
            </w:r>
          </w:p>
        </w:tc>
      </w:tr>
      <w:tr w:rsidR="00584A49" w:rsidRPr="00584A49" w14:paraId="5EE82BFC" w14:textId="77777777" w:rsidTr="00584A49">
        <w:trPr>
          <w:trHeight w:val="300"/>
        </w:trPr>
        <w:tc>
          <w:tcPr>
            <w:tcW w:w="4815" w:type="dxa"/>
            <w:tcBorders>
              <w:top w:val="single" w:sz="4" w:space="0" w:color="auto"/>
            </w:tcBorders>
            <w:noWrap/>
            <w:vAlign w:val="center"/>
            <w:hideMark/>
          </w:tcPr>
          <w:p w14:paraId="3FC42E87" w14:textId="33643AB6" w:rsidR="00584A49" w:rsidRPr="00584A49" w:rsidRDefault="00584A49" w:rsidP="00584A49">
            <w:pPr>
              <w:rPr>
                <w:rFonts w:ascii="Arial" w:hAnsi="Arial" w:cs="Arial"/>
                <w:sz w:val="20"/>
                <w:szCs w:val="20"/>
              </w:rPr>
            </w:pPr>
            <w:r w:rsidRPr="00584A49">
              <w:rPr>
                <w:rFonts w:ascii="Arial" w:hAnsi="Arial" w:cs="Arial"/>
                <w:sz w:val="20"/>
                <w:szCs w:val="20"/>
              </w:rPr>
              <w:t>Income volatility and unpredictability</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tc>
        <w:tc>
          <w:tcPr>
            <w:tcW w:w="1277" w:type="dxa"/>
            <w:tcBorders>
              <w:top w:val="single" w:sz="4" w:space="0" w:color="auto"/>
            </w:tcBorders>
            <w:noWrap/>
            <w:vAlign w:val="center"/>
            <w:hideMark/>
          </w:tcPr>
          <w:p w14:paraId="6439C2B7"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0.7578947</w:t>
            </w:r>
          </w:p>
        </w:tc>
        <w:tc>
          <w:tcPr>
            <w:tcW w:w="1229" w:type="dxa"/>
            <w:tcBorders>
              <w:top w:val="single" w:sz="4" w:space="0" w:color="auto"/>
            </w:tcBorders>
            <w:noWrap/>
            <w:vAlign w:val="center"/>
            <w:hideMark/>
          </w:tcPr>
          <w:p w14:paraId="16EFBFDF"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0.429111</w:t>
            </w:r>
          </w:p>
        </w:tc>
        <w:tc>
          <w:tcPr>
            <w:tcW w:w="847" w:type="dxa"/>
            <w:tcBorders>
              <w:top w:val="single" w:sz="4" w:space="0" w:color="auto"/>
            </w:tcBorders>
            <w:noWrap/>
            <w:vAlign w:val="center"/>
            <w:hideMark/>
          </w:tcPr>
          <w:p w14:paraId="06A09C3E"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top w:val="single" w:sz="4" w:space="0" w:color="auto"/>
            </w:tcBorders>
            <w:noWrap/>
            <w:vAlign w:val="center"/>
            <w:hideMark/>
          </w:tcPr>
          <w:p w14:paraId="5A969BE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4BB95B8C" w14:textId="77777777" w:rsidTr="00584A49">
        <w:trPr>
          <w:trHeight w:val="300"/>
        </w:trPr>
        <w:tc>
          <w:tcPr>
            <w:tcW w:w="4815" w:type="dxa"/>
            <w:noWrap/>
            <w:vAlign w:val="center"/>
            <w:hideMark/>
          </w:tcPr>
          <w:p w14:paraId="01E3A77C" w14:textId="0980F119" w:rsidR="00584A49" w:rsidRPr="00584A49" w:rsidRDefault="00584A49" w:rsidP="00584A49">
            <w:pPr>
              <w:rPr>
                <w:rFonts w:ascii="Arial" w:hAnsi="Arial" w:cs="Arial"/>
                <w:sz w:val="20"/>
                <w:szCs w:val="20"/>
              </w:rPr>
            </w:pPr>
            <w:r w:rsidRPr="00584A49">
              <w:rPr>
                <w:rFonts w:ascii="Arial" w:hAnsi="Arial" w:cs="Arial"/>
                <w:sz w:val="20"/>
                <w:szCs w:val="20"/>
              </w:rPr>
              <w:t>Lack of minimum-wage protection</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p w14:paraId="159CEF54"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4096349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0.6842105</w:t>
            </w:r>
          </w:p>
        </w:tc>
        <w:tc>
          <w:tcPr>
            <w:tcW w:w="1229" w:type="dxa"/>
            <w:noWrap/>
            <w:vAlign w:val="center"/>
            <w:hideMark/>
          </w:tcPr>
          <w:p w14:paraId="5D6C9C36"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0.465647</w:t>
            </w:r>
          </w:p>
        </w:tc>
        <w:tc>
          <w:tcPr>
            <w:tcW w:w="847" w:type="dxa"/>
            <w:noWrap/>
            <w:vAlign w:val="center"/>
            <w:hideMark/>
          </w:tcPr>
          <w:p w14:paraId="2AB19A2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7A73E8DD"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366A4A0B" w14:textId="77777777" w:rsidTr="00584A49">
        <w:trPr>
          <w:trHeight w:val="300"/>
        </w:trPr>
        <w:tc>
          <w:tcPr>
            <w:tcW w:w="4815" w:type="dxa"/>
            <w:noWrap/>
            <w:vAlign w:val="center"/>
            <w:hideMark/>
          </w:tcPr>
          <w:p w14:paraId="20F9EE0A"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Hidden costs of work </w:t>
            </w:r>
            <w:r w:rsidRPr="00584A49">
              <w:rPr>
                <w:rFonts w:ascii="Arial" w:eastAsia="Times New Roman" w:hAnsi="Arial" w:cs="Arial"/>
                <w:kern w:val="0"/>
                <w:sz w:val="20"/>
                <w:szCs w:val="20"/>
                <w:lang w:eastAsia="en-IN"/>
                <w14:ligatures w14:val="none"/>
              </w:rPr>
              <w:t>(Yes=1; No=0)</w:t>
            </w:r>
          </w:p>
          <w:p w14:paraId="2F2DC9DB" w14:textId="77777777" w:rsidR="00584A49" w:rsidRPr="00584A49" w:rsidRDefault="00584A49" w:rsidP="00584A49">
            <w:pPr>
              <w:rPr>
                <w:rFonts w:ascii="Arial" w:hAnsi="Arial" w:cs="Arial"/>
                <w:sz w:val="20"/>
                <w:szCs w:val="20"/>
                <w:lang w:eastAsia="en-IN"/>
              </w:rPr>
            </w:pPr>
          </w:p>
        </w:tc>
        <w:tc>
          <w:tcPr>
            <w:tcW w:w="1277" w:type="dxa"/>
            <w:noWrap/>
            <w:vAlign w:val="center"/>
            <w:hideMark/>
          </w:tcPr>
          <w:p w14:paraId="0AA5905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0.7508772</w:t>
            </w:r>
          </w:p>
        </w:tc>
        <w:tc>
          <w:tcPr>
            <w:tcW w:w="1229" w:type="dxa"/>
            <w:noWrap/>
            <w:vAlign w:val="center"/>
            <w:hideMark/>
          </w:tcPr>
          <w:p w14:paraId="0C9EC21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0.433266</w:t>
            </w:r>
          </w:p>
        </w:tc>
        <w:tc>
          <w:tcPr>
            <w:tcW w:w="847" w:type="dxa"/>
            <w:noWrap/>
            <w:vAlign w:val="center"/>
            <w:hideMark/>
          </w:tcPr>
          <w:p w14:paraId="418851C2"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25B546CF"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07DBBFCE" w14:textId="77777777" w:rsidTr="00584A49">
        <w:trPr>
          <w:trHeight w:val="300"/>
        </w:trPr>
        <w:tc>
          <w:tcPr>
            <w:tcW w:w="4815" w:type="dxa"/>
            <w:noWrap/>
            <w:vAlign w:val="center"/>
            <w:hideMark/>
          </w:tcPr>
          <w:p w14:paraId="26A74F7B" w14:textId="77777777" w:rsidR="00584A49" w:rsidRPr="00584A49" w:rsidRDefault="00584A49" w:rsidP="00584A49">
            <w:pPr>
              <w:rPr>
                <w:rFonts w:ascii="Arial" w:hAnsi="Arial" w:cs="Arial"/>
                <w:sz w:val="20"/>
                <w:szCs w:val="20"/>
              </w:rPr>
            </w:pPr>
            <w:r w:rsidRPr="00584A49">
              <w:rPr>
                <w:rFonts w:ascii="Arial" w:hAnsi="Arial" w:cs="Arial"/>
                <w:sz w:val="20"/>
                <w:szCs w:val="20"/>
              </w:rPr>
              <w:t>Mobility constraints and safety concerns</w:t>
            </w:r>
          </w:p>
          <w:p w14:paraId="7BA0E018" w14:textId="77777777" w:rsidR="00584A49" w:rsidRPr="00584A49" w:rsidRDefault="00584A49" w:rsidP="00584A49">
            <w:pPr>
              <w:rPr>
                <w:rFonts w:ascii="Arial" w:hAnsi="Arial" w:cs="Arial"/>
                <w:sz w:val="20"/>
                <w:szCs w:val="20"/>
              </w:rPr>
            </w:pPr>
            <w:r w:rsidRPr="00584A49">
              <w:rPr>
                <w:rFonts w:ascii="Arial" w:eastAsia="Times New Roman" w:hAnsi="Arial" w:cs="Arial"/>
                <w:kern w:val="0"/>
                <w:sz w:val="20"/>
                <w:szCs w:val="20"/>
                <w:lang w:eastAsia="en-IN"/>
                <w14:ligatures w14:val="none"/>
              </w:rPr>
              <w:t>(Yes=1; No=0)</w:t>
            </w:r>
          </w:p>
          <w:p w14:paraId="65C204AF"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5F3A931A"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0.8105263</w:t>
            </w:r>
          </w:p>
        </w:tc>
        <w:tc>
          <w:tcPr>
            <w:tcW w:w="1229" w:type="dxa"/>
            <w:noWrap/>
            <w:vAlign w:val="center"/>
            <w:hideMark/>
          </w:tcPr>
          <w:p w14:paraId="652A2B01"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0.392574</w:t>
            </w:r>
          </w:p>
        </w:tc>
        <w:tc>
          <w:tcPr>
            <w:tcW w:w="847" w:type="dxa"/>
            <w:noWrap/>
            <w:vAlign w:val="center"/>
            <w:hideMark/>
          </w:tcPr>
          <w:p w14:paraId="1DC0A80C"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02FB904E"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3602980D" w14:textId="77777777" w:rsidTr="00584A49">
        <w:trPr>
          <w:trHeight w:val="300"/>
        </w:trPr>
        <w:tc>
          <w:tcPr>
            <w:tcW w:w="4815" w:type="dxa"/>
            <w:noWrap/>
            <w:vAlign w:val="center"/>
            <w:hideMark/>
          </w:tcPr>
          <w:p w14:paraId="1459EF8C"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Stigma and social scrutiny </w:t>
            </w:r>
            <w:r w:rsidRPr="00584A49">
              <w:rPr>
                <w:rFonts w:ascii="Arial" w:eastAsia="Times New Roman" w:hAnsi="Arial" w:cs="Arial"/>
                <w:kern w:val="0"/>
                <w:sz w:val="20"/>
                <w:szCs w:val="20"/>
                <w:lang w:eastAsia="en-IN"/>
                <w14:ligatures w14:val="none"/>
              </w:rPr>
              <w:t>(Yes=1; No=0)</w:t>
            </w:r>
          </w:p>
          <w:p w14:paraId="594790AF"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29867B6E"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0.5403509</w:t>
            </w:r>
          </w:p>
        </w:tc>
        <w:tc>
          <w:tcPr>
            <w:tcW w:w="1229" w:type="dxa"/>
            <w:noWrap/>
            <w:vAlign w:val="center"/>
            <w:hideMark/>
          </w:tcPr>
          <w:p w14:paraId="2739F1B2"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0.565393</w:t>
            </w:r>
          </w:p>
        </w:tc>
        <w:tc>
          <w:tcPr>
            <w:tcW w:w="847" w:type="dxa"/>
            <w:noWrap/>
            <w:vAlign w:val="center"/>
            <w:hideMark/>
          </w:tcPr>
          <w:p w14:paraId="74F9FF1F"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35BD30B6"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5</w:t>
            </w:r>
          </w:p>
        </w:tc>
      </w:tr>
      <w:tr w:rsidR="00584A49" w:rsidRPr="00584A49" w14:paraId="62F8D4F5" w14:textId="77777777" w:rsidTr="00584A49">
        <w:trPr>
          <w:trHeight w:val="300"/>
        </w:trPr>
        <w:tc>
          <w:tcPr>
            <w:tcW w:w="4815" w:type="dxa"/>
            <w:tcBorders>
              <w:bottom w:val="single" w:sz="4" w:space="0" w:color="auto"/>
            </w:tcBorders>
            <w:noWrap/>
            <w:vAlign w:val="center"/>
            <w:hideMark/>
          </w:tcPr>
          <w:p w14:paraId="1C8FEDB6"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Lack of childcare availability </w:t>
            </w:r>
            <w:r w:rsidRPr="00584A49">
              <w:rPr>
                <w:rFonts w:ascii="Arial" w:eastAsia="Times New Roman" w:hAnsi="Arial" w:cs="Arial"/>
                <w:kern w:val="0"/>
                <w:sz w:val="20"/>
                <w:szCs w:val="20"/>
                <w:lang w:eastAsia="en-IN"/>
                <w14:ligatures w14:val="none"/>
              </w:rPr>
              <w:t>(Yes=1; No=0)</w:t>
            </w:r>
          </w:p>
          <w:p w14:paraId="589F216D" w14:textId="77777777" w:rsidR="00584A49" w:rsidRPr="00584A49" w:rsidRDefault="00584A49" w:rsidP="00584A49">
            <w:pPr>
              <w:pStyle w:val="NoSpacing"/>
              <w:rPr>
                <w:rFonts w:ascii="Arial" w:hAnsi="Arial" w:cs="Arial"/>
                <w:sz w:val="20"/>
                <w:szCs w:val="20"/>
                <w:lang w:eastAsia="en-IN"/>
              </w:rPr>
            </w:pPr>
          </w:p>
        </w:tc>
        <w:tc>
          <w:tcPr>
            <w:tcW w:w="1277" w:type="dxa"/>
            <w:tcBorders>
              <w:bottom w:val="single" w:sz="4" w:space="0" w:color="auto"/>
            </w:tcBorders>
            <w:noWrap/>
            <w:vAlign w:val="center"/>
            <w:hideMark/>
          </w:tcPr>
          <w:p w14:paraId="6BD24948"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0.6385965</w:t>
            </w:r>
          </w:p>
        </w:tc>
        <w:tc>
          <w:tcPr>
            <w:tcW w:w="1229" w:type="dxa"/>
            <w:tcBorders>
              <w:bottom w:val="single" w:sz="4" w:space="0" w:color="auto"/>
            </w:tcBorders>
            <w:noWrap/>
            <w:vAlign w:val="center"/>
            <w:hideMark/>
          </w:tcPr>
          <w:p w14:paraId="7D524491"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0.481252</w:t>
            </w:r>
          </w:p>
        </w:tc>
        <w:tc>
          <w:tcPr>
            <w:tcW w:w="847" w:type="dxa"/>
            <w:tcBorders>
              <w:bottom w:val="single" w:sz="4" w:space="0" w:color="auto"/>
            </w:tcBorders>
            <w:noWrap/>
            <w:vAlign w:val="center"/>
            <w:hideMark/>
          </w:tcPr>
          <w:p w14:paraId="581D60CA"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bottom w:val="single" w:sz="4" w:space="0" w:color="auto"/>
            </w:tcBorders>
            <w:noWrap/>
            <w:vAlign w:val="center"/>
            <w:hideMark/>
          </w:tcPr>
          <w:p w14:paraId="7A1717CC"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71CC41F6" w14:textId="77777777" w:rsidTr="00584A49">
        <w:trPr>
          <w:trHeight w:val="300"/>
        </w:trPr>
        <w:tc>
          <w:tcPr>
            <w:tcW w:w="9016" w:type="dxa"/>
            <w:gridSpan w:val="5"/>
            <w:tcBorders>
              <w:top w:val="single" w:sz="4" w:space="0" w:color="auto"/>
              <w:bottom w:val="single" w:sz="4" w:space="0" w:color="auto"/>
            </w:tcBorders>
            <w:noWrap/>
            <w:vAlign w:val="center"/>
          </w:tcPr>
          <w:p w14:paraId="7F0EB1E9" w14:textId="77777777" w:rsidR="00584A49" w:rsidRPr="00584A49" w:rsidRDefault="00584A49" w:rsidP="00584A49">
            <w:pPr>
              <w:pStyle w:val="NoSpacing"/>
              <w:rPr>
                <w:rFonts w:ascii="Arial" w:hAnsi="Arial" w:cs="Arial"/>
                <w:b/>
                <w:bCs/>
                <w:sz w:val="20"/>
                <w:szCs w:val="20"/>
                <w:lang w:eastAsia="en-IN"/>
              </w:rPr>
            </w:pPr>
            <w:r w:rsidRPr="00584A49">
              <w:rPr>
                <w:rFonts w:ascii="Arial" w:hAnsi="Arial" w:cs="Arial"/>
                <w:b/>
                <w:bCs/>
                <w:sz w:val="20"/>
                <w:szCs w:val="20"/>
              </w:rPr>
              <w:t>Digital &amp; Platform Dynamics</w:t>
            </w:r>
          </w:p>
        </w:tc>
      </w:tr>
      <w:tr w:rsidR="00584A49" w:rsidRPr="00584A49" w14:paraId="3640AD1E" w14:textId="77777777" w:rsidTr="00584A49">
        <w:trPr>
          <w:trHeight w:val="300"/>
        </w:trPr>
        <w:tc>
          <w:tcPr>
            <w:tcW w:w="4815" w:type="dxa"/>
            <w:tcBorders>
              <w:top w:val="single" w:sz="4" w:space="0" w:color="auto"/>
            </w:tcBorders>
            <w:noWrap/>
            <w:vAlign w:val="center"/>
            <w:hideMark/>
          </w:tcPr>
          <w:p w14:paraId="440B6032"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Digital divide </w:t>
            </w:r>
            <w:r w:rsidRPr="00584A49">
              <w:rPr>
                <w:rFonts w:ascii="Arial" w:eastAsia="Times New Roman" w:hAnsi="Arial" w:cs="Arial"/>
                <w:kern w:val="0"/>
                <w:sz w:val="20"/>
                <w:szCs w:val="20"/>
                <w:lang w:eastAsia="en-IN"/>
                <w14:ligatures w14:val="none"/>
              </w:rPr>
              <w:t>(Yes=1; No=0)</w:t>
            </w:r>
          </w:p>
          <w:p w14:paraId="03763250" w14:textId="77777777" w:rsidR="00584A49" w:rsidRPr="00584A49" w:rsidRDefault="00584A49" w:rsidP="00584A49">
            <w:pPr>
              <w:pStyle w:val="NoSpacing"/>
              <w:rPr>
                <w:rFonts w:ascii="Arial" w:hAnsi="Arial" w:cs="Arial"/>
                <w:sz w:val="20"/>
                <w:szCs w:val="20"/>
                <w:lang w:eastAsia="en-IN"/>
              </w:rPr>
            </w:pPr>
          </w:p>
        </w:tc>
        <w:tc>
          <w:tcPr>
            <w:tcW w:w="1277" w:type="dxa"/>
            <w:tcBorders>
              <w:top w:val="single" w:sz="4" w:space="0" w:color="auto"/>
            </w:tcBorders>
            <w:noWrap/>
            <w:vAlign w:val="center"/>
            <w:hideMark/>
          </w:tcPr>
          <w:p w14:paraId="6874D9DD"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0.8350877</w:t>
            </w:r>
          </w:p>
        </w:tc>
        <w:tc>
          <w:tcPr>
            <w:tcW w:w="1229" w:type="dxa"/>
            <w:tcBorders>
              <w:top w:val="single" w:sz="4" w:space="0" w:color="auto"/>
            </w:tcBorders>
            <w:noWrap/>
            <w:vAlign w:val="center"/>
            <w:hideMark/>
          </w:tcPr>
          <w:p w14:paraId="65D6D2F7"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0.371754</w:t>
            </w:r>
          </w:p>
        </w:tc>
        <w:tc>
          <w:tcPr>
            <w:tcW w:w="847" w:type="dxa"/>
            <w:tcBorders>
              <w:top w:val="single" w:sz="4" w:space="0" w:color="auto"/>
            </w:tcBorders>
            <w:noWrap/>
            <w:vAlign w:val="center"/>
            <w:hideMark/>
          </w:tcPr>
          <w:p w14:paraId="7D684C3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top w:val="single" w:sz="4" w:space="0" w:color="auto"/>
            </w:tcBorders>
            <w:noWrap/>
            <w:vAlign w:val="center"/>
            <w:hideMark/>
          </w:tcPr>
          <w:p w14:paraId="25407E7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000D0586" w14:textId="77777777" w:rsidTr="00584A49">
        <w:trPr>
          <w:trHeight w:val="300"/>
        </w:trPr>
        <w:tc>
          <w:tcPr>
            <w:tcW w:w="4815" w:type="dxa"/>
            <w:noWrap/>
            <w:vAlign w:val="center"/>
            <w:hideMark/>
          </w:tcPr>
          <w:p w14:paraId="6A3E2479" w14:textId="77777777" w:rsidR="00584A49" w:rsidRPr="00584A49" w:rsidRDefault="00584A49" w:rsidP="00584A49">
            <w:pPr>
              <w:rPr>
                <w:rFonts w:ascii="Arial" w:hAnsi="Arial" w:cs="Arial"/>
                <w:sz w:val="20"/>
                <w:szCs w:val="20"/>
              </w:rPr>
            </w:pPr>
            <w:r w:rsidRPr="00584A49">
              <w:rPr>
                <w:rFonts w:ascii="Arial" w:hAnsi="Arial" w:cs="Arial"/>
                <w:sz w:val="20"/>
                <w:szCs w:val="20"/>
              </w:rPr>
              <w:t>Customer rating systems and gender bias</w:t>
            </w:r>
          </w:p>
          <w:p w14:paraId="6D0A2838" w14:textId="77777777" w:rsidR="00584A49" w:rsidRPr="00584A49" w:rsidRDefault="00584A49" w:rsidP="00584A49">
            <w:pPr>
              <w:rPr>
                <w:rFonts w:ascii="Arial" w:hAnsi="Arial" w:cs="Arial"/>
                <w:sz w:val="20"/>
                <w:szCs w:val="20"/>
              </w:rPr>
            </w:pPr>
            <w:r w:rsidRPr="00584A49">
              <w:rPr>
                <w:rFonts w:ascii="Arial" w:eastAsia="Times New Roman" w:hAnsi="Arial" w:cs="Arial"/>
                <w:kern w:val="0"/>
                <w:sz w:val="20"/>
                <w:szCs w:val="20"/>
                <w:lang w:eastAsia="en-IN"/>
                <w14:ligatures w14:val="none"/>
              </w:rPr>
              <w:t>(Yes=1; No=0)</w:t>
            </w:r>
          </w:p>
          <w:p w14:paraId="39B5EC9F"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13436868"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0.8280702</w:t>
            </w:r>
          </w:p>
        </w:tc>
        <w:tc>
          <w:tcPr>
            <w:tcW w:w="1229" w:type="dxa"/>
            <w:noWrap/>
            <w:vAlign w:val="center"/>
            <w:hideMark/>
          </w:tcPr>
          <w:p w14:paraId="1C090CB0"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0.377983</w:t>
            </w:r>
          </w:p>
        </w:tc>
        <w:tc>
          <w:tcPr>
            <w:tcW w:w="847" w:type="dxa"/>
            <w:noWrap/>
            <w:vAlign w:val="center"/>
            <w:hideMark/>
          </w:tcPr>
          <w:p w14:paraId="22388A8A"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6E27985C"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2A976085" w14:textId="77777777" w:rsidTr="00584A49">
        <w:trPr>
          <w:trHeight w:val="300"/>
        </w:trPr>
        <w:tc>
          <w:tcPr>
            <w:tcW w:w="4815" w:type="dxa"/>
            <w:tcBorders>
              <w:bottom w:val="single" w:sz="4" w:space="0" w:color="auto"/>
            </w:tcBorders>
            <w:noWrap/>
            <w:vAlign w:val="center"/>
            <w:hideMark/>
          </w:tcPr>
          <w:p w14:paraId="36EE55B0" w14:textId="56D33266" w:rsidR="00584A49" w:rsidRPr="00584A49" w:rsidRDefault="00584A49" w:rsidP="00584A49">
            <w:pPr>
              <w:rPr>
                <w:rFonts w:ascii="Arial" w:hAnsi="Arial" w:cs="Arial"/>
                <w:sz w:val="20"/>
                <w:szCs w:val="20"/>
              </w:rPr>
            </w:pPr>
            <w:r w:rsidRPr="00584A49">
              <w:rPr>
                <w:rFonts w:ascii="Arial" w:hAnsi="Arial" w:cs="Arial"/>
                <w:sz w:val="20"/>
                <w:szCs w:val="20"/>
              </w:rPr>
              <w:t>Barriers to collective organisation</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p w14:paraId="705A05D0" w14:textId="77777777" w:rsidR="00584A49" w:rsidRPr="00584A49" w:rsidRDefault="00584A49" w:rsidP="00584A49">
            <w:pPr>
              <w:pStyle w:val="NoSpacing"/>
              <w:rPr>
                <w:rFonts w:ascii="Arial" w:hAnsi="Arial" w:cs="Arial"/>
                <w:sz w:val="20"/>
                <w:szCs w:val="20"/>
                <w:lang w:eastAsia="en-IN"/>
              </w:rPr>
            </w:pPr>
          </w:p>
        </w:tc>
        <w:tc>
          <w:tcPr>
            <w:tcW w:w="1277" w:type="dxa"/>
            <w:tcBorders>
              <w:bottom w:val="single" w:sz="4" w:space="0" w:color="auto"/>
            </w:tcBorders>
            <w:noWrap/>
            <w:vAlign w:val="center"/>
            <w:hideMark/>
          </w:tcPr>
          <w:p w14:paraId="489DF220"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0.7824561</w:t>
            </w:r>
          </w:p>
        </w:tc>
        <w:tc>
          <w:tcPr>
            <w:tcW w:w="1229" w:type="dxa"/>
            <w:tcBorders>
              <w:bottom w:val="single" w:sz="4" w:space="0" w:color="auto"/>
            </w:tcBorders>
            <w:noWrap/>
            <w:vAlign w:val="center"/>
            <w:hideMark/>
          </w:tcPr>
          <w:p w14:paraId="6E5E8F50"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0.413301</w:t>
            </w:r>
          </w:p>
        </w:tc>
        <w:tc>
          <w:tcPr>
            <w:tcW w:w="847" w:type="dxa"/>
            <w:tcBorders>
              <w:bottom w:val="single" w:sz="4" w:space="0" w:color="auto"/>
            </w:tcBorders>
            <w:noWrap/>
            <w:vAlign w:val="center"/>
            <w:hideMark/>
          </w:tcPr>
          <w:p w14:paraId="3CACDA2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bottom w:val="single" w:sz="4" w:space="0" w:color="auto"/>
            </w:tcBorders>
            <w:noWrap/>
            <w:vAlign w:val="center"/>
            <w:hideMark/>
          </w:tcPr>
          <w:p w14:paraId="4E3A3887"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2557A45D" w14:textId="77777777" w:rsidTr="00584A49">
        <w:trPr>
          <w:trHeight w:val="300"/>
        </w:trPr>
        <w:tc>
          <w:tcPr>
            <w:tcW w:w="9016" w:type="dxa"/>
            <w:gridSpan w:val="5"/>
            <w:tcBorders>
              <w:top w:val="single" w:sz="4" w:space="0" w:color="auto"/>
              <w:bottom w:val="single" w:sz="4" w:space="0" w:color="auto"/>
            </w:tcBorders>
            <w:noWrap/>
            <w:vAlign w:val="center"/>
            <w:hideMark/>
          </w:tcPr>
          <w:p w14:paraId="0C5EA11E" w14:textId="77777777" w:rsidR="00584A49" w:rsidRPr="00584A49" w:rsidRDefault="00584A49" w:rsidP="00584A49">
            <w:pPr>
              <w:pStyle w:val="NoSpacing"/>
              <w:rPr>
                <w:rFonts w:ascii="Arial" w:hAnsi="Arial" w:cs="Arial"/>
                <w:b/>
                <w:bCs/>
                <w:sz w:val="20"/>
                <w:szCs w:val="20"/>
                <w:lang w:eastAsia="en-IN"/>
              </w:rPr>
            </w:pPr>
            <w:r w:rsidRPr="00584A49">
              <w:rPr>
                <w:rFonts w:ascii="Arial" w:hAnsi="Arial" w:cs="Arial"/>
                <w:b/>
                <w:bCs/>
                <w:sz w:val="20"/>
                <w:szCs w:val="20"/>
                <w:lang w:eastAsia="en-IN"/>
              </w:rPr>
              <w:t>Legal, Institutional &amp; Social Protection Gaps</w:t>
            </w:r>
          </w:p>
        </w:tc>
      </w:tr>
      <w:tr w:rsidR="00584A49" w:rsidRPr="00584A49" w14:paraId="6F3FE495" w14:textId="77777777" w:rsidTr="00584A49">
        <w:trPr>
          <w:trHeight w:val="300"/>
        </w:trPr>
        <w:tc>
          <w:tcPr>
            <w:tcW w:w="4815" w:type="dxa"/>
            <w:tcBorders>
              <w:top w:val="single" w:sz="4" w:space="0" w:color="auto"/>
            </w:tcBorders>
            <w:noWrap/>
            <w:vAlign w:val="center"/>
            <w:hideMark/>
          </w:tcPr>
          <w:p w14:paraId="2E493A8F"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Weak legal recognition and ambiguous employment status </w:t>
            </w:r>
            <w:r w:rsidRPr="00584A49">
              <w:rPr>
                <w:rFonts w:ascii="Arial" w:eastAsia="Times New Roman" w:hAnsi="Arial" w:cs="Arial"/>
                <w:kern w:val="0"/>
                <w:sz w:val="20"/>
                <w:szCs w:val="20"/>
                <w:lang w:eastAsia="en-IN"/>
                <w14:ligatures w14:val="none"/>
              </w:rPr>
              <w:t>(Yes=1; No=0)</w:t>
            </w:r>
          </w:p>
          <w:p w14:paraId="4A585152" w14:textId="77777777" w:rsidR="00584A49" w:rsidRPr="00584A49" w:rsidRDefault="00584A49" w:rsidP="00584A49">
            <w:pPr>
              <w:pStyle w:val="NoSpacing"/>
              <w:rPr>
                <w:rFonts w:ascii="Arial" w:hAnsi="Arial" w:cs="Arial"/>
                <w:sz w:val="20"/>
                <w:szCs w:val="20"/>
                <w:lang w:eastAsia="en-IN"/>
              </w:rPr>
            </w:pPr>
          </w:p>
        </w:tc>
        <w:tc>
          <w:tcPr>
            <w:tcW w:w="1277" w:type="dxa"/>
            <w:tcBorders>
              <w:top w:val="single" w:sz="4" w:space="0" w:color="auto"/>
            </w:tcBorders>
            <w:noWrap/>
            <w:vAlign w:val="center"/>
            <w:hideMark/>
          </w:tcPr>
          <w:p w14:paraId="39349AAB"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0.7368421</w:t>
            </w:r>
          </w:p>
        </w:tc>
        <w:tc>
          <w:tcPr>
            <w:tcW w:w="1229" w:type="dxa"/>
            <w:tcBorders>
              <w:top w:val="single" w:sz="4" w:space="0" w:color="auto"/>
            </w:tcBorders>
            <w:noWrap/>
            <w:vAlign w:val="center"/>
            <w:hideMark/>
          </w:tcPr>
          <w:p w14:paraId="321E70D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0.441122</w:t>
            </w:r>
          </w:p>
        </w:tc>
        <w:tc>
          <w:tcPr>
            <w:tcW w:w="847" w:type="dxa"/>
            <w:tcBorders>
              <w:top w:val="single" w:sz="4" w:space="0" w:color="auto"/>
            </w:tcBorders>
            <w:noWrap/>
            <w:vAlign w:val="center"/>
            <w:hideMark/>
          </w:tcPr>
          <w:p w14:paraId="54DB65A2"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top w:val="single" w:sz="4" w:space="0" w:color="auto"/>
            </w:tcBorders>
            <w:noWrap/>
            <w:vAlign w:val="center"/>
            <w:hideMark/>
          </w:tcPr>
          <w:p w14:paraId="7FD6D1E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6FC8A037" w14:textId="77777777" w:rsidTr="00584A49">
        <w:trPr>
          <w:trHeight w:val="300"/>
        </w:trPr>
        <w:tc>
          <w:tcPr>
            <w:tcW w:w="4815" w:type="dxa"/>
            <w:noWrap/>
            <w:vAlign w:val="center"/>
          </w:tcPr>
          <w:p w14:paraId="01311B99" w14:textId="77777777" w:rsidR="00584A49" w:rsidRPr="00584A49" w:rsidRDefault="00584A49" w:rsidP="00584A49">
            <w:pPr>
              <w:rPr>
                <w:rFonts w:ascii="Arial" w:hAnsi="Arial" w:cs="Arial"/>
                <w:sz w:val="20"/>
                <w:szCs w:val="20"/>
              </w:rPr>
            </w:pPr>
            <w:r w:rsidRPr="00584A49">
              <w:rPr>
                <w:rFonts w:ascii="Arial" w:hAnsi="Arial" w:cs="Arial"/>
                <w:sz w:val="20"/>
                <w:szCs w:val="20"/>
              </w:rPr>
              <w:t>Absence of social security and benefits</w:t>
            </w:r>
          </w:p>
          <w:p w14:paraId="53FC6C9C" w14:textId="77777777" w:rsidR="00584A49" w:rsidRPr="00584A49" w:rsidRDefault="00584A49" w:rsidP="00584A49">
            <w:pPr>
              <w:rPr>
                <w:rFonts w:ascii="Arial" w:hAnsi="Arial" w:cs="Arial"/>
                <w:sz w:val="20"/>
                <w:szCs w:val="20"/>
              </w:rPr>
            </w:pPr>
            <w:r w:rsidRPr="00584A49">
              <w:rPr>
                <w:rFonts w:ascii="Arial" w:eastAsia="Times New Roman" w:hAnsi="Arial" w:cs="Arial"/>
                <w:kern w:val="0"/>
                <w:sz w:val="20"/>
                <w:szCs w:val="20"/>
                <w:lang w:eastAsia="en-IN"/>
                <w14:ligatures w14:val="none"/>
              </w:rPr>
              <w:t>(Yes=1; No=0)</w:t>
            </w:r>
          </w:p>
        </w:tc>
        <w:tc>
          <w:tcPr>
            <w:tcW w:w="1277" w:type="dxa"/>
            <w:noWrap/>
            <w:vAlign w:val="center"/>
          </w:tcPr>
          <w:p w14:paraId="15DF8713"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0.8877193</w:t>
            </w:r>
          </w:p>
        </w:tc>
        <w:tc>
          <w:tcPr>
            <w:tcW w:w="1229" w:type="dxa"/>
            <w:noWrap/>
            <w:vAlign w:val="center"/>
          </w:tcPr>
          <w:p w14:paraId="3B4DA02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0.316267</w:t>
            </w:r>
          </w:p>
        </w:tc>
        <w:tc>
          <w:tcPr>
            <w:tcW w:w="847" w:type="dxa"/>
            <w:noWrap/>
            <w:vAlign w:val="center"/>
          </w:tcPr>
          <w:p w14:paraId="2C0586C8"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tcPr>
          <w:p w14:paraId="6B106A3D"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61B7F179" w14:textId="77777777" w:rsidTr="00584A49">
        <w:trPr>
          <w:trHeight w:val="300"/>
        </w:trPr>
        <w:tc>
          <w:tcPr>
            <w:tcW w:w="4815" w:type="dxa"/>
            <w:noWrap/>
            <w:vAlign w:val="center"/>
            <w:hideMark/>
          </w:tcPr>
          <w:p w14:paraId="5B09C9CE" w14:textId="07B9B8A9" w:rsidR="00584A49" w:rsidRPr="00584A49" w:rsidRDefault="00584A49" w:rsidP="00584A49">
            <w:pPr>
              <w:rPr>
                <w:rFonts w:ascii="Arial" w:hAnsi="Arial" w:cs="Arial"/>
                <w:sz w:val="20"/>
                <w:szCs w:val="20"/>
              </w:rPr>
            </w:pPr>
            <w:r w:rsidRPr="00584A49">
              <w:rPr>
                <w:rFonts w:ascii="Arial" w:hAnsi="Arial" w:cs="Arial"/>
                <w:sz w:val="20"/>
                <w:szCs w:val="20"/>
              </w:rPr>
              <w:t>Member of a workers’ association</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p w14:paraId="218FBCA1"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2244295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0.4385965</w:t>
            </w:r>
          </w:p>
        </w:tc>
        <w:tc>
          <w:tcPr>
            <w:tcW w:w="1229" w:type="dxa"/>
            <w:noWrap/>
            <w:vAlign w:val="center"/>
            <w:hideMark/>
          </w:tcPr>
          <w:p w14:paraId="2BF2683D"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0.497088</w:t>
            </w:r>
          </w:p>
        </w:tc>
        <w:tc>
          <w:tcPr>
            <w:tcW w:w="847" w:type="dxa"/>
            <w:noWrap/>
            <w:vAlign w:val="center"/>
            <w:hideMark/>
          </w:tcPr>
          <w:p w14:paraId="0D95B52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4352FCC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35E24675" w14:textId="77777777" w:rsidTr="00584A49">
        <w:trPr>
          <w:trHeight w:val="300"/>
        </w:trPr>
        <w:tc>
          <w:tcPr>
            <w:tcW w:w="4815" w:type="dxa"/>
            <w:noWrap/>
            <w:vAlign w:val="center"/>
            <w:hideMark/>
          </w:tcPr>
          <w:p w14:paraId="66E7AAAC" w14:textId="119A6D8D" w:rsidR="00584A49" w:rsidRPr="00584A49" w:rsidRDefault="00584A49" w:rsidP="00584A49">
            <w:pPr>
              <w:rPr>
                <w:rFonts w:ascii="Arial" w:hAnsi="Arial" w:cs="Arial"/>
                <w:sz w:val="20"/>
                <w:szCs w:val="20"/>
              </w:rPr>
            </w:pPr>
            <w:r w:rsidRPr="00584A49">
              <w:rPr>
                <w:rFonts w:ascii="Arial" w:hAnsi="Arial" w:cs="Arial"/>
                <w:sz w:val="20"/>
                <w:szCs w:val="20"/>
              </w:rPr>
              <w:t>Physical and mental health risks</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p w14:paraId="608B750E"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61167B7E"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0.7368421</w:t>
            </w:r>
          </w:p>
        </w:tc>
        <w:tc>
          <w:tcPr>
            <w:tcW w:w="1229" w:type="dxa"/>
            <w:noWrap/>
            <w:vAlign w:val="center"/>
            <w:hideMark/>
          </w:tcPr>
          <w:p w14:paraId="368C6FB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0.441122</w:t>
            </w:r>
          </w:p>
        </w:tc>
        <w:tc>
          <w:tcPr>
            <w:tcW w:w="847" w:type="dxa"/>
            <w:noWrap/>
            <w:vAlign w:val="center"/>
            <w:hideMark/>
          </w:tcPr>
          <w:p w14:paraId="44A651EA"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3BA14BB6"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7749B0A5" w14:textId="77777777" w:rsidTr="00584A49">
        <w:trPr>
          <w:trHeight w:val="300"/>
        </w:trPr>
        <w:tc>
          <w:tcPr>
            <w:tcW w:w="4815" w:type="dxa"/>
            <w:tcBorders>
              <w:bottom w:val="single" w:sz="4" w:space="0" w:color="auto"/>
            </w:tcBorders>
            <w:noWrap/>
            <w:vAlign w:val="center"/>
            <w:hideMark/>
          </w:tcPr>
          <w:p w14:paraId="44B5B8F7"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Safety issues at the workplace and during commute </w:t>
            </w:r>
            <w:r w:rsidRPr="00584A49">
              <w:rPr>
                <w:rFonts w:ascii="Arial" w:eastAsia="Times New Roman" w:hAnsi="Arial" w:cs="Arial"/>
                <w:kern w:val="0"/>
                <w:sz w:val="20"/>
                <w:szCs w:val="20"/>
                <w:lang w:eastAsia="en-IN"/>
                <w14:ligatures w14:val="none"/>
              </w:rPr>
              <w:t>(Yes=1; No=0)</w:t>
            </w:r>
          </w:p>
          <w:p w14:paraId="0A85B9FE" w14:textId="77777777" w:rsidR="00584A49" w:rsidRPr="00584A49" w:rsidRDefault="00584A49" w:rsidP="00584A49">
            <w:pPr>
              <w:pStyle w:val="NoSpacing"/>
              <w:rPr>
                <w:rFonts w:ascii="Arial" w:hAnsi="Arial" w:cs="Arial"/>
                <w:sz w:val="20"/>
                <w:szCs w:val="20"/>
                <w:lang w:eastAsia="en-IN"/>
              </w:rPr>
            </w:pPr>
          </w:p>
        </w:tc>
        <w:tc>
          <w:tcPr>
            <w:tcW w:w="1277" w:type="dxa"/>
            <w:tcBorders>
              <w:bottom w:val="single" w:sz="4" w:space="0" w:color="auto"/>
            </w:tcBorders>
            <w:noWrap/>
            <w:vAlign w:val="center"/>
            <w:hideMark/>
          </w:tcPr>
          <w:p w14:paraId="473D0C1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0.6245614</w:t>
            </w:r>
          </w:p>
        </w:tc>
        <w:tc>
          <w:tcPr>
            <w:tcW w:w="1229" w:type="dxa"/>
            <w:tcBorders>
              <w:bottom w:val="single" w:sz="4" w:space="0" w:color="auto"/>
            </w:tcBorders>
            <w:noWrap/>
            <w:vAlign w:val="center"/>
            <w:hideMark/>
          </w:tcPr>
          <w:p w14:paraId="0C054E0F"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0.526843</w:t>
            </w:r>
          </w:p>
        </w:tc>
        <w:tc>
          <w:tcPr>
            <w:tcW w:w="847" w:type="dxa"/>
            <w:tcBorders>
              <w:bottom w:val="single" w:sz="4" w:space="0" w:color="auto"/>
            </w:tcBorders>
            <w:noWrap/>
            <w:vAlign w:val="center"/>
            <w:hideMark/>
          </w:tcPr>
          <w:p w14:paraId="4290536A"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bottom w:val="single" w:sz="4" w:space="0" w:color="auto"/>
            </w:tcBorders>
            <w:noWrap/>
            <w:vAlign w:val="center"/>
            <w:hideMark/>
          </w:tcPr>
          <w:p w14:paraId="35DCEBAA"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3</w:t>
            </w:r>
          </w:p>
        </w:tc>
      </w:tr>
      <w:tr w:rsidR="00584A49" w:rsidRPr="00584A49" w14:paraId="718CFAD8" w14:textId="77777777" w:rsidTr="00584A49">
        <w:trPr>
          <w:trHeight w:val="300"/>
        </w:trPr>
        <w:tc>
          <w:tcPr>
            <w:tcW w:w="9016" w:type="dxa"/>
            <w:gridSpan w:val="5"/>
            <w:tcBorders>
              <w:top w:val="single" w:sz="4" w:space="0" w:color="auto"/>
              <w:bottom w:val="single" w:sz="4" w:space="0" w:color="auto"/>
            </w:tcBorders>
            <w:noWrap/>
            <w:vAlign w:val="center"/>
            <w:hideMark/>
          </w:tcPr>
          <w:p w14:paraId="610AAC9D" w14:textId="77777777" w:rsidR="00584A49" w:rsidRPr="00584A49" w:rsidRDefault="00584A49" w:rsidP="00584A49">
            <w:pPr>
              <w:pStyle w:val="NoSpacing"/>
              <w:rPr>
                <w:rFonts w:ascii="Arial" w:hAnsi="Arial" w:cs="Arial"/>
                <w:b/>
                <w:bCs/>
                <w:sz w:val="20"/>
                <w:szCs w:val="20"/>
                <w:lang w:eastAsia="en-IN"/>
              </w:rPr>
            </w:pPr>
            <w:r w:rsidRPr="00584A49">
              <w:rPr>
                <w:rFonts w:ascii="Arial" w:hAnsi="Arial" w:cs="Arial"/>
                <w:b/>
                <w:bCs/>
                <w:sz w:val="20"/>
                <w:szCs w:val="20"/>
                <w:lang w:eastAsia="en-IN"/>
              </w:rPr>
              <w:t>Health, Finance, Safety &amp; Wellbeing Risks</w:t>
            </w:r>
          </w:p>
        </w:tc>
      </w:tr>
      <w:tr w:rsidR="00584A49" w:rsidRPr="00584A49" w14:paraId="3070EB7B" w14:textId="77777777" w:rsidTr="00584A49">
        <w:trPr>
          <w:trHeight w:val="300"/>
        </w:trPr>
        <w:tc>
          <w:tcPr>
            <w:tcW w:w="4815" w:type="dxa"/>
            <w:tcBorders>
              <w:top w:val="single" w:sz="4" w:space="0" w:color="auto"/>
            </w:tcBorders>
            <w:noWrap/>
            <w:vAlign w:val="center"/>
            <w:hideMark/>
          </w:tcPr>
          <w:p w14:paraId="75A4CD29" w14:textId="23B93CAB" w:rsidR="00584A49" w:rsidRPr="00584A49" w:rsidRDefault="00584A49" w:rsidP="00584A49">
            <w:pPr>
              <w:rPr>
                <w:rFonts w:ascii="Arial" w:hAnsi="Arial" w:cs="Arial"/>
                <w:sz w:val="20"/>
                <w:szCs w:val="20"/>
              </w:rPr>
            </w:pPr>
            <w:r w:rsidRPr="00584A49">
              <w:rPr>
                <w:rFonts w:ascii="Arial" w:hAnsi="Arial" w:cs="Arial"/>
                <w:sz w:val="20"/>
                <w:szCs w:val="20"/>
              </w:rPr>
              <w:t>Avail any health insurance policy</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p w14:paraId="4E5F9CD3" w14:textId="77777777" w:rsidR="00584A49" w:rsidRPr="00584A49" w:rsidRDefault="00584A49" w:rsidP="00584A49">
            <w:pPr>
              <w:pStyle w:val="NoSpacing"/>
              <w:rPr>
                <w:rFonts w:ascii="Arial" w:hAnsi="Arial" w:cs="Arial"/>
                <w:sz w:val="20"/>
                <w:szCs w:val="20"/>
                <w:lang w:eastAsia="en-IN"/>
              </w:rPr>
            </w:pPr>
          </w:p>
        </w:tc>
        <w:tc>
          <w:tcPr>
            <w:tcW w:w="1277" w:type="dxa"/>
            <w:tcBorders>
              <w:top w:val="single" w:sz="4" w:space="0" w:color="auto"/>
            </w:tcBorders>
            <w:noWrap/>
            <w:vAlign w:val="center"/>
            <w:hideMark/>
          </w:tcPr>
          <w:p w14:paraId="4510191A"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0.4736842</w:t>
            </w:r>
          </w:p>
        </w:tc>
        <w:tc>
          <w:tcPr>
            <w:tcW w:w="1229" w:type="dxa"/>
            <w:tcBorders>
              <w:top w:val="single" w:sz="4" w:space="0" w:color="auto"/>
            </w:tcBorders>
            <w:noWrap/>
            <w:vAlign w:val="center"/>
            <w:hideMark/>
          </w:tcPr>
          <w:p w14:paraId="159FDB1B"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0.500185</w:t>
            </w:r>
          </w:p>
        </w:tc>
        <w:tc>
          <w:tcPr>
            <w:tcW w:w="847" w:type="dxa"/>
            <w:tcBorders>
              <w:top w:val="single" w:sz="4" w:space="0" w:color="auto"/>
            </w:tcBorders>
            <w:noWrap/>
            <w:vAlign w:val="center"/>
            <w:hideMark/>
          </w:tcPr>
          <w:p w14:paraId="30A55A6D"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tcBorders>
              <w:top w:val="single" w:sz="4" w:space="0" w:color="auto"/>
            </w:tcBorders>
            <w:noWrap/>
            <w:vAlign w:val="center"/>
            <w:hideMark/>
          </w:tcPr>
          <w:p w14:paraId="528AC33D"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21EF0294" w14:textId="77777777" w:rsidTr="00584A49">
        <w:trPr>
          <w:trHeight w:val="300"/>
        </w:trPr>
        <w:tc>
          <w:tcPr>
            <w:tcW w:w="4815" w:type="dxa"/>
            <w:noWrap/>
            <w:vAlign w:val="center"/>
            <w:hideMark/>
          </w:tcPr>
          <w:p w14:paraId="77068BDF"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Poor access to healthcare </w:t>
            </w:r>
            <w:r w:rsidRPr="00584A49">
              <w:rPr>
                <w:rFonts w:ascii="Arial" w:eastAsia="Times New Roman" w:hAnsi="Arial" w:cs="Arial"/>
                <w:kern w:val="0"/>
                <w:sz w:val="20"/>
                <w:szCs w:val="20"/>
                <w:lang w:eastAsia="en-IN"/>
                <w14:ligatures w14:val="none"/>
              </w:rPr>
              <w:t>(Yes=1; No=0)</w:t>
            </w:r>
          </w:p>
          <w:p w14:paraId="5130E112"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5B376181"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0.5508772</w:t>
            </w:r>
          </w:p>
        </w:tc>
        <w:tc>
          <w:tcPr>
            <w:tcW w:w="1229" w:type="dxa"/>
            <w:noWrap/>
            <w:vAlign w:val="center"/>
            <w:hideMark/>
          </w:tcPr>
          <w:p w14:paraId="76A47644"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0.505297</w:t>
            </w:r>
          </w:p>
        </w:tc>
        <w:tc>
          <w:tcPr>
            <w:tcW w:w="847" w:type="dxa"/>
            <w:noWrap/>
            <w:vAlign w:val="center"/>
            <w:hideMark/>
          </w:tcPr>
          <w:p w14:paraId="1E59F7D4"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7C8553DB"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2</w:t>
            </w:r>
          </w:p>
        </w:tc>
      </w:tr>
      <w:tr w:rsidR="00584A49" w:rsidRPr="00584A49" w14:paraId="5CFDBFC9" w14:textId="77777777" w:rsidTr="00584A49">
        <w:trPr>
          <w:trHeight w:val="300"/>
        </w:trPr>
        <w:tc>
          <w:tcPr>
            <w:tcW w:w="4815" w:type="dxa"/>
            <w:noWrap/>
            <w:vAlign w:val="center"/>
            <w:hideMark/>
          </w:tcPr>
          <w:p w14:paraId="6942B1B8"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Bank account status </w:t>
            </w:r>
            <w:r w:rsidRPr="00584A49">
              <w:rPr>
                <w:rFonts w:ascii="Arial" w:eastAsia="Times New Roman" w:hAnsi="Arial" w:cs="Arial"/>
                <w:kern w:val="0"/>
                <w:sz w:val="20"/>
                <w:szCs w:val="20"/>
                <w:lang w:eastAsia="en-IN"/>
                <w14:ligatures w14:val="none"/>
              </w:rPr>
              <w:t>(Yes=1; No=0)</w:t>
            </w:r>
          </w:p>
          <w:p w14:paraId="3EA8C466"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6B834DC0"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0.8947368</w:t>
            </w:r>
          </w:p>
        </w:tc>
        <w:tc>
          <w:tcPr>
            <w:tcW w:w="1229" w:type="dxa"/>
            <w:noWrap/>
            <w:vAlign w:val="center"/>
            <w:hideMark/>
          </w:tcPr>
          <w:p w14:paraId="274AB0A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0.307432</w:t>
            </w:r>
          </w:p>
        </w:tc>
        <w:tc>
          <w:tcPr>
            <w:tcW w:w="847" w:type="dxa"/>
            <w:noWrap/>
            <w:vAlign w:val="center"/>
            <w:hideMark/>
          </w:tcPr>
          <w:p w14:paraId="77676103"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54019D56"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7297A89C" w14:textId="77777777" w:rsidTr="00584A49">
        <w:trPr>
          <w:trHeight w:val="300"/>
        </w:trPr>
        <w:tc>
          <w:tcPr>
            <w:tcW w:w="4815" w:type="dxa"/>
            <w:noWrap/>
            <w:vAlign w:val="center"/>
            <w:hideMark/>
          </w:tcPr>
          <w:p w14:paraId="37E2D58C" w14:textId="3AE17976" w:rsidR="00584A49" w:rsidRPr="00584A49" w:rsidRDefault="00584A49" w:rsidP="00584A49">
            <w:pPr>
              <w:rPr>
                <w:rFonts w:ascii="Arial" w:hAnsi="Arial" w:cs="Arial"/>
                <w:sz w:val="20"/>
                <w:szCs w:val="20"/>
              </w:rPr>
            </w:pPr>
            <w:r w:rsidRPr="00584A49">
              <w:rPr>
                <w:rFonts w:ascii="Arial" w:hAnsi="Arial" w:cs="Arial"/>
                <w:sz w:val="20"/>
                <w:szCs w:val="20"/>
              </w:rPr>
              <w:t>Access to loans for gig workers</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p w14:paraId="142730FB"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3E8ECDD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0.8035088</w:t>
            </w:r>
          </w:p>
        </w:tc>
        <w:tc>
          <w:tcPr>
            <w:tcW w:w="1229" w:type="dxa"/>
            <w:noWrap/>
            <w:vAlign w:val="center"/>
            <w:hideMark/>
          </w:tcPr>
          <w:p w14:paraId="077BCE4F"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0.738757</w:t>
            </w:r>
          </w:p>
        </w:tc>
        <w:tc>
          <w:tcPr>
            <w:tcW w:w="847" w:type="dxa"/>
            <w:noWrap/>
            <w:vAlign w:val="center"/>
            <w:hideMark/>
          </w:tcPr>
          <w:p w14:paraId="33A66353"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113D2A97"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11</w:t>
            </w:r>
          </w:p>
        </w:tc>
      </w:tr>
      <w:tr w:rsidR="00584A49" w:rsidRPr="00584A49" w14:paraId="6B01146D" w14:textId="77777777" w:rsidTr="00584A49">
        <w:trPr>
          <w:trHeight w:val="300"/>
        </w:trPr>
        <w:tc>
          <w:tcPr>
            <w:tcW w:w="4815" w:type="dxa"/>
            <w:noWrap/>
            <w:vAlign w:val="center"/>
            <w:hideMark/>
          </w:tcPr>
          <w:p w14:paraId="3F2C6CFF" w14:textId="77777777" w:rsidR="00584A49" w:rsidRPr="00584A49" w:rsidRDefault="00584A49" w:rsidP="00584A49">
            <w:pPr>
              <w:rPr>
                <w:rFonts w:ascii="Arial" w:hAnsi="Arial" w:cs="Arial"/>
                <w:sz w:val="20"/>
                <w:szCs w:val="20"/>
              </w:rPr>
            </w:pPr>
            <w:r w:rsidRPr="00584A49">
              <w:rPr>
                <w:rFonts w:ascii="Arial" w:hAnsi="Arial" w:cs="Arial"/>
                <w:sz w:val="20"/>
                <w:szCs w:val="20"/>
              </w:rPr>
              <w:t xml:space="preserve">Received training during the past 12 months </w:t>
            </w:r>
            <w:r w:rsidRPr="00584A49">
              <w:rPr>
                <w:rFonts w:ascii="Arial" w:eastAsia="Times New Roman" w:hAnsi="Arial" w:cs="Arial"/>
                <w:kern w:val="0"/>
                <w:sz w:val="20"/>
                <w:szCs w:val="20"/>
                <w:lang w:eastAsia="en-IN"/>
                <w14:ligatures w14:val="none"/>
              </w:rPr>
              <w:t>(Yes=1; No=0)</w:t>
            </w:r>
          </w:p>
          <w:p w14:paraId="265E4416"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0966C47B"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0.4140351</w:t>
            </w:r>
          </w:p>
        </w:tc>
        <w:tc>
          <w:tcPr>
            <w:tcW w:w="1229" w:type="dxa"/>
            <w:noWrap/>
            <w:vAlign w:val="center"/>
            <w:hideMark/>
          </w:tcPr>
          <w:p w14:paraId="468C56E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0.493421</w:t>
            </w:r>
          </w:p>
        </w:tc>
        <w:tc>
          <w:tcPr>
            <w:tcW w:w="847" w:type="dxa"/>
            <w:noWrap/>
            <w:vAlign w:val="center"/>
            <w:hideMark/>
          </w:tcPr>
          <w:p w14:paraId="10EEF347"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39F79AF9"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r w:rsidR="00584A49" w:rsidRPr="00584A49" w14:paraId="0D910363" w14:textId="77777777" w:rsidTr="00584A49">
        <w:trPr>
          <w:trHeight w:val="300"/>
        </w:trPr>
        <w:tc>
          <w:tcPr>
            <w:tcW w:w="4815" w:type="dxa"/>
            <w:noWrap/>
            <w:vAlign w:val="center"/>
            <w:hideMark/>
          </w:tcPr>
          <w:p w14:paraId="096A721B" w14:textId="73FAAF60" w:rsidR="00584A49" w:rsidRPr="00584A49" w:rsidRDefault="00584A49" w:rsidP="00584A49">
            <w:pPr>
              <w:rPr>
                <w:rFonts w:ascii="Arial" w:hAnsi="Arial" w:cs="Arial"/>
                <w:sz w:val="20"/>
                <w:szCs w:val="20"/>
              </w:rPr>
            </w:pPr>
            <w:r w:rsidRPr="00584A49">
              <w:rPr>
                <w:rFonts w:ascii="Arial" w:hAnsi="Arial" w:cs="Arial"/>
                <w:sz w:val="20"/>
                <w:szCs w:val="20"/>
              </w:rPr>
              <w:t>Experience a skills gap or mismatch</w:t>
            </w:r>
            <w:r>
              <w:rPr>
                <w:rFonts w:ascii="Arial" w:hAnsi="Arial" w:cs="Arial"/>
                <w:sz w:val="20"/>
                <w:szCs w:val="20"/>
              </w:rPr>
              <w:t xml:space="preserve"> </w:t>
            </w:r>
            <w:r w:rsidRPr="00584A49">
              <w:rPr>
                <w:rFonts w:ascii="Arial" w:eastAsia="Times New Roman" w:hAnsi="Arial" w:cs="Arial"/>
                <w:kern w:val="0"/>
                <w:sz w:val="20"/>
                <w:szCs w:val="20"/>
                <w:lang w:eastAsia="en-IN"/>
                <w14:ligatures w14:val="none"/>
              </w:rPr>
              <w:t>(Yes=1; No=0)</w:t>
            </w:r>
          </w:p>
          <w:p w14:paraId="53A823AA" w14:textId="77777777" w:rsidR="00584A49" w:rsidRPr="00584A49" w:rsidRDefault="00584A49" w:rsidP="00584A49">
            <w:pPr>
              <w:pStyle w:val="NoSpacing"/>
              <w:rPr>
                <w:rFonts w:ascii="Arial" w:hAnsi="Arial" w:cs="Arial"/>
                <w:sz w:val="20"/>
                <w:szCs w:val="20"/>
                <w:lang w:eastAsia="en-IN"/>
              </w:rPr>
            </w:pPr>
          </w:p>
        </w:tc>
        <w:tc>
          <w:tcPr>
            <w:tcW w:w="1277" w:type="dxa"/>
            <w:noWrap/>
            <w:vAlign w:val="center"/>
            <w:hideMark/>
          </w:tcPr>
          <w:p w14:paraId="746D10E3"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0.7403509</w:t>
            </w:r>
          </w:p>
        </w:tc>
        <w:tc>
          <w:tcPr>
            <w:tcW w:w="1229" w:type="dxa"/>
            <w:noWrap/>
            <w:vAlign w:val="center"/>
            <w:hideMark/>
          </w:tcPr>
          <w:p w14:paraId="172DD665"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0.439213</w:t>
            </w:r>
          </w:p>
        </w:tc>
        <w:tc>
          <w:tcPr>
            <w:tcW w:w="847" w:type="dxa"/>
            <w:noWrap/>
            <w:vAlign w:val="center"/>
            <w:hideMark/>
          </w:tcPr>
          <w:p w14:paraId="548692F8"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0</w:t>
            </w:r>
          </w:p>
        </w:tc>
        <w:tc>
          <w:tcPr>
            <w:tcW w:w="848" w:type="dxa"/>
            <w:noWrap/>
            <w:vAlign w:val="center"/>
            <w:hideMark/>
          </w:tcPr>
          <w:p w14:paraId="49C1095D" w14:textId="77777777" w:rsidR="00584A49" w:rsidRPr="00584A49" w:rsidRDefault="00584A49" w:rsidP="00584A49">
            <w:pPr>
              <w:pStyle w:val="NoSpacing"/>
              <w:jc w:val="center"/>
              <w:rPr>
                <w:rFonts w:ascii="Arial" w:hAnsi="Arial" w:cs="Arial"/>
                <w:sz w:val="20"/>
                <w:szCs w:val="20"/>
                <w:lang w:eastAsia="en-IN"/>
              </w:rPr>
            </w:pPr>
            <w:r w:rsidRPr="00584A49">
              <w:rPr>
                <w:rFonts w:ascii="Arial" w:hAnsi="Arial" w:cs="Arial"/>
                <w:sz w:val="20"/>
                <w:szCs w:val="20"/>
                <w:lang w:eastAsia="en-IN"/>
              </w:rPr>
              <w:t>1</w:t>
            </w:r>
          </w:p>
        </w:tc>
      </w:tr>
    </w:tbl>
    <w:p w14:paraId="10C6FBB4" w14:textId="77777777" w:rsidR="00FA5F0C" w:rsidRPr="00584A49" w:rsidRDefault="00FA5F0C" w:rsidP="00FA5F0C">
      <w:pPr>
        <w:spacing w:line="360" w:lineRule="auto"/>
        <w:jc w:val="both"/>
        <w:rPr>
          <w:rFonts w:ascii="Arial" w:hAnsi="Arial" w:cs="Arial"/>
          <w:sz w:val="20"/>
          <w:szCs w:val="20"/>
        </w:rPr>
      </w:pPr>
      <w:r w:rsidRPr="00584A49">
        <w:rPr>
          <w:rFonts w:ascii="Arial" w:hAnsi="Arial" w:cs="Arial"/>
          <w:sz w:val="20"/>
          <w:szCs w:val="20"/>
        </w:rPr>
        <w:t>Source: Primary Data</w:t>
      </w:r>
    </w:p>
    <w:p w14:paraId="5872CC19" w14:textId="77777777" w:rsidR="00584A49" w:rsidRPr="00584A49" w:rsidRDefault="00584A49" w:rsidP="00584A49">
      <w:pPr>
        <w:spacing w:line="360" w:lineRule="auto"/>
        <w:jc w:val="both"/>
        <w:rPr>
          <w:rFonts w:ascii="Arial" w:hAnsi="Arial" w:cs="Arial"/>
          <w:sz w:val="20"/>
          <w:szCs w:val="20"/>
        </w:rPr>
      </w:pPr>
      <w:r w:rsidRPr="00584A49">
        <w:rPr>
          <w:rFonts w:ascii="Arial" w:hAnsi="Arial" w:cs="Arial"/>
          <w:sz w:val="20"/>
          <w:szCs w:val="20"/>
        </w:rPr>
        <w:t xml:space="preserve">In terms of digital and platform-related factors, a large majority face issues such as a digital divide (84%), gender bias in customer rating systems (83%), and barriers to collective organisation (78%). Legal and institutional vulnerabilities are also prominent: nearly 74% report weak employment </w:t>
      </w:r>
      <w:r w:rsidRPr="00584A49">
        <w:rPr>
          <w:rFonts w:ascii="Arial" w:hAnsi="Arial" w:cs="Arial"/>
          <w:sz w:val="20"/>
          <w:szCs w:val="20"/>
        </w:rPr>
        <w:lastRenderedPageBreak/>
        <w:t>recognition, while around 89% lack access to social security benefits. Only 44% are members of any workers’ association. Additionally, 74% experience physical or mental health risks, and 62% report safety-related concerns. Across health, financial, and wellbeing indicators, less than half (47%) possess health insurance, and 55% report inadequate access to healthcare. While most respondents have a bank account (89%), access to loans remains limited, with considerable variability in loan-related experiences. Only 41% received any form of training in the past year, whereas 74% report a skills mismatch. Overall, the descriptive results highlight substantial economic, social, legal, and technological challenges that shape the livelihood sustainability of women gig workers.</w:t>
      </w:r>
    </w:p>
    <w:p w14:paraId="70596BC5" w14:textId="0D962472" w:rsidR="0073518E" w:rsidRPr="006966FD" w:rsidRDefault="006966FD" w:rsidP="006966FD">
      <w:pPr>
        <w:spacing w:before="240" w:after="0" w:line="360" w:lineRule="auto"/>
        <w:rPr>
          <w:rFonts w:ascii="Arial" w:hAnsi="Arial" w:cs="Arial"/>
          <w:b/>
          <w:bCs/>
        </w:rPr>
      </w:pPr>
      <w:r w:rsidRPr="006966FD">
        <w:rPr>
          <w:rFonts w:ascii="Arial" w:hAnsi="Arial" w:cs="Arial"/>
          <w:b/>
          <w:bCs/>
        </w:rPr>
        <w:t>5</w:t>
      </w:r>
      <w:r w:rsidR="002D1F76" w:rsidRPr="006966FD">
        <w:rPr>
          <w:rFonts w:ascii="Arial" w:hAnsi="Arial" w:cs="Arial"/>
          <w:b/>
          <w:bCs/>
        </w:rPr>
        <w:t xml:space="preserve">.3 </w:t>
      </w:r>
      <w:r w:rsidRPr="006966FD">
        <w:rPr>
          <w:rFonts w:ascii="Arial" w:hAnsi="Arial" w:cs="Arial"/>
          <w:b/>
          <w:bCs/>
        </w:rPr>
        <w:t>Challenges Faced by Women Gig Workers: Logistic Regression Results</w:t>
      </w:r>
    </w:p>
    <w:p w14:paraId="08003F6E" w14:textId="77777777" w:rsidR="006966FD" w:rsidRPr="006966FD" w:rsidRDefault="006966FD" w:rsidP="006966FD">
      <w:pPr>
        <w:spacing w:before="240" w:line="360" w:lineRule="auto"/>
        <w:jc w:val="both"/>
        <w:rPr>
          <w:rFonts w:ascii="Arial" w:hAnsi="Arial" w:cs="Arial"/>
          <w:sz w:val="20"/>
          <w:szCs w:val="20"/>
        </w:rPr>
      </w:pPr>
      <w:r w:rsidRPr="006966FD">
        <w:rPr>
          <w:rFonts w:ascii="Arial" w:hAnsi="Arial" w:cs="Arial"/>
          <w:sz w:val="20"/>
          <w:szCs w:val="20"/>
        </w:rPr>
        <w:t xml:space="preserve">A binary logistic regression model was estimated to examine the factors influencing the key challenges faced by women engaged in gig work. The model, based on a sample of 285 respondents, demonstrates strong overall fit as shown in table 2. The likelihood ratio chi-square value of 145.43 (df = 20, </w:t>
      </w:r>
      <w:r w:rsidRPr="006966FD">
        <w:rPr>
          <w:rFonts w:ascii="Arial" w:hAnsi="Arial" w:cs="Arial"/>
          <w:i/>
          <w:iCs/>
          <w:sz w:val="20"/>
          <w:szCs w:val="20"/>
        </w:rPr>
        <w:t>p</w:t>
      </w:r>
      <w:r w:rsidRPr="006966FD">
        <w:rPr>
          <w:rFonts w:ascii="Arial" w:hAnsi="Arial" w:cs="Arial"/>
          <w:sz w:val="20"/>
          <w:szCs w:val="20"/>
        </w:rPr>
        <w:t xml:space="preserve"> &lt; 0.001) indicates that the set of predictors jointly contributes significantly to explaining variations in the dependent variable. The model’s log-likelihood is –117.35, and the pseudo R² value of 0.3826 suggests a reasonably good explanatory power for a behavioural dataset.</w:t>
      </w:r>
    </w:p>
    <w:p w14:paraId="6A4273C5" w14:textId="77777777" w:rsidR="006966FD" w:rsidRPr="006966FD" w:rsidRDefault="006966FD" w:rsidP="006966FD">
      <w:pPr>
        <w:spacing w:before="240" w:after="0" w:line="360" w:lineRule="auto"/>
        <w:jc w:val="center"/>
        <w:rPr>
          <w:rFonts w:ascii="Arial" w:hAnsi="Arial" w:cs="Arial"/>
          <w:b/>
          <w:bCs/>
          <w:sz w:val="20"/>
          <w:szCs w:val="20"/>
        </w:rPr>
      </w:pPr>
      <w:r w:rsidRPr="006966FD">
        <w:rPr>
          <w:rFonts w:ascii="Arial" w:hAnsi="Arial" w:cs="Arial"/>
          <w:b/>
          <w:bCs/>
          <w:sz w:val="20"/>
          <w:szCs w:val="20"/>
        </w:rPr>
        <w:t>Table 3: Key Challenges Experienced by Women Gig Workers: Binary Logistic Regression Results</w:t>
      </w:r>
    </w:p>
    <w:tbl>
      <w:tblPr>
        <w:tblW w:w="5249" w:type="pct"/>
        <w:tblBorders>
          <w:top w:val="single" w:sz="4" w:space="0" w:color="auto"/>
          <w:bottom w:val="single" w:sz="4" w:space="0" w:color="auto"/>
        </w:tblBorders>
        <w:tblLook w:val="04A0" w:firstRow="1" w:lastRow="0" w:firstColumn="1" w:lastColumn="0" w:noHBand="0" w:noVBand="1"/>
      </w:tblPr>
      <w:tblGrid>
        <w:gridCol w:w="2494"/>
        <w:gridCol w:w="1135"/>
        <w:gridCol w:w="939"/>
        <w:gridCol w:w="834"/>
        <w:gridCol w:w="717"/>
        <w:gridCol w:w="1051"/>
        <w:gridCol w:w="2305"/>
      </w:tblGrid>
      <w:tr w:rsidR="006966FD" w:rsidRPr="006966FD" w14:paraId="6CA65400" w14:textId="77777777" w:rsidTr="006966FD">
        <w:trPr>
          <w:trHeight w:val="237"/>
        </w:trPr>
        <w:tc>
          <w:tcPr>
            <w:tcW w:w="2410" w:type="pct"/>
            <w:gridSpan w:val="3"/>
            <w:vMerge w:val="restart"/>
            <w:noWrap/>
            <w:vAlign w:val="center"/>
            <w:hideMark/>
          </w:tcPr>
          <w:p w14:paraId="12603B3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Logistic regression</w:t>
            </w:r>
          </w:p>
        </w:tc>
        <w:tc>
          <w:tcPr>
            <w:tcW w:w="845" w:type="pct"/>
            <w:gridSpan w:val="2"/>
            <w:noWrap/>
            <w:vAlign w:val="center"/>
            <w:hideMark/>
          </w:tcPr>
          <w:p w14:paraId="10CD5181" w14:textId="77777777" w:rsidR="006966FD" w:rsidRPr="006966FD" w:rsidRDefault="006966FD" w:rsidP="006A769D">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Sample size</w:t>
            </w:r>
          </w:p>
        </w:tc>
        <w:tc>
          <w:tcPr>
            <w:tcW w:w="1745" w:type="pct"/>
            <w:gridSpan w:val="2"/>
            <w:noWrap/>
            <w:vAlign w:val="center"/>
            <w:hideMark/>
          </w:tcPr>
          <w:p w14:paraId="2FBC7A2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285</w:t>
            </w:r>
          </w:p>
        </w:tc>
      </w:tr>
      <w:tr w:rsidR="006966FD" w:rsidRPr="006966FD" w14:paraId="54F99E73" w14:textId="77777777" w:rsidTr="006966FD">
        <w:trPr>
          <w:trHeight w:val="237"/>
        </w:trPr>
        <w:tc>
          <w:tcPr>
            <w:tcW w:w="2410" w:type="pct"/>
            <w:gridSpan w:val="3"/>
            <w:vMerge/>
            <w:vAlign w:val="center"/>
            <w:hideMark/>
          </w:tcPr>
          <w:p w14:paraId="43F1622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p>
        </w:tc>
        <w:tc>
          <w:tcPr>
            <w:tcW w:w="845" w:type="pct"/>
            <w:gridSpan w:val="2"/>
            <w:noWrap/>
            <w:vAlign w:val="center"/>
            <w:hideMark/>
          </w:tcPr>
          <w:p w14:paraId="1E508B5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 xml:space="preserve">LR chi2(20)     </w:t>
            </w:r>
          </w:p>
        </w:tc>
        <w:tc>
          <w:tcPr>
            <w:tcW w:w="1745" w:type="pct"/>
            <w:gridSpan w:val="2"/>
            <w:noWrap/>
            <w:vAlign w:val="center"/>
            <w:hideMark/>
          </w:tcPr>
          <w:p w14:paraId="12FED337"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145.43</w:t>
            </w:r>
          </w:p>
        </w:tc>
      </w:tr>
      <w:tr w:rsidR="006966FD" w:rsidRPr="006966FD" w14:paraId="3FD426BD" w14:textId="77777777" w:rsidTr="006966FD">
        <w:trPr>
          <w:trHeight w:val="237"/>
        </w:trPr>
        <w:tc>
          <w:tcPr>
            <w:tcW w:w="2410" w:type="pct"/>
            <w:gridSpan w:val="3"/>
            <w:vMerge/>
            <w:tcBorders>
              <w:bottom w:val="nil"/>
            </w:tcBorders>
            <w:vAlign w:val="center"/>
            <w:hideMark/>
          </w:tcPr>
          <w:p w14:paraId="074087D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p>
        </w:tc>
        <w:tc>
          <w:tcPr>
            <w:tcW w:w="845" w:type="pct"/>
            <w:gridSpan w:val="2"/>
            <w:tcBorders>
              <w:bottom w:val="nil"/>
            </w:tcBorders>
            <w:noWrap/>
            <w:vAlign w:val="center"/>
            <w:hideMark/>
          </w:tcPr>
          <w:p w14:paraId="51A7B8F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 xml:space="preserve">Prob &gt; chi2     </w:t>
            </w:r>
          </w:p>
        </w:tc>
        <w:tc>
          <w:tcPr>
            <w:tcW w:w="1745" w:type="pct"/>
            <w:gridSpan w:val="2"/>
            <w:tcBorders>
              <w:bottom w:val="nil"/>
            </w:tcBorders>
            <w:noWrap/>
            <w:vAlign w:val="center"/>
            <w:hideMark/>
          </w:tcPr>
          <w:p w14:paraId="2A70AE1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w:t>
            </w:r>
          </w:p>
        </w:tc>
      </w:tr>
      <w:tr w:rsidR="006966FD" w:rsidRPr="006966FD" w14:paraId="405B2DD5" w14:textId="77777777" w:rsidTr="00F656A8">
        <w:trPr>
          <w:trHeight w:val="387"/>
        </w:trPr>
        <w:tc>
          <w:tcPr>
            <w:tcW w:w="2410" w:type="pct"/>
            <w:gridSpan w:val="3"/>
            <w:tcBorders>
              <w:top w:val="nil"/>
              <w:bottom w:val="single" w:sz="4" w:space="0" w:color="auto"/>
            </w:tcBorders>
            <w:noWrap/>
            <w:vAlign w:val="center"/>
            <w:hideMark/>
          </w:tcPr>
          <w:p w14:paraId="48DEEDD6"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Log likelihood = -117.35453</w:t>
            </w:r>
          </w:p>
        </w:tc>
        <w:tc>
          <w:tcPr>
            <w:tcW w:w="845" w:type="pct"/>
            <w:gridSpan w:val="2"/>
            <w:tcBorders>
              <w:top w:val="nil"/>
              <w:bottom w:val="single" w:sz="4" w:space="0" w:color="auto"/>
            </w:tcBorders>
            <w:noWrap/>
            <w:vAlign w:val="center"/>
            <w:hideMark/>
          </w:tcPr>
          <w:p w14:paraId="2B57080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 xml:space="preserve">Pseudo R2       </w:t>
            </w:r>
          </w:p>
        </w:tc>
        <w:tc>
          <w:tcPr>
            <w:tcW w:w="1745" w:type="pct"/>
            <w:gridSpan w:val="2"/>
            <w:tcBorders>
              <w:top w:val="nil"/>
              <w:bottom w:val="single" w:sz="4" w:space="0" w:color="auto"/>
            </w:tcBorders>
            <w:noWrap/>
            <w:vAlign w:val="center"/>
            <w:hideMark/>
          </w:tcPr>
          <w:p w14:paraId="44DBD3DA"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0.3826</w:t>
            </w:r>
          </w:p>
        </w:tc>
      </w:tr>
      <w:tr w:rsidR="006966FD" w:rsidRPr="006966FD" w14:paraId="035F993D" w14:textId="77777777" w:rsidTr="00F656A8">
        <w:trPr>
          <w:trHeight w:val="640"/>
        </w:trPr>
        <w:tc>
          <w:tcPr>
            <w:tcW w:w="1335" w:type="pct"/>
            <w:tcBorders>
              <w:top w:val="single" w:sz="4" w:space="0" w:color="auto"/>
              <w:bottom w:val="single" w:sz="4" w:space="0" w:color="auto"/>
            </w:tcBorders>
            <w:vAlign w:val="center"/>
            <w:hideMark/>
          </w:tcPr>
          <w:p w14:paraId="04FA23D7" w14:textId="77777777" w:rsidR="006966FD" w:rsidRPr="006966FD" w:rsidRDefault="006966FD" w:rsidP="006A769D">
            <w:pPr>
              <w:spacing w:after="0" w:line="240" w:lineRule="auto"/>
              <w:jc w:val="center"/>
              <w:rPr>
                <w:rFonts w:ascii="Arial" w:eastAsia="Times New Roman" w:hAnsi="Arial" w:cs="Arial"/>
                <w:b/>
                <w:bCs/>
                <w:color w:val="000000"/>
                <w:kern w:val="0"/>
                <w:sz w:val="20"/>
                <w:szCs w:val="20"/>
                <w:lang w:eastAsia="en-IN"/>
                <w14:ligatures w14:val="none"/>
              </w:rPr>
            </w:pPr>
            <w:r w:rsidRPr="006966FD">
              <w:rPr>
                <w:rFonts w:ascii="Arial" w:eastAsia="Times New Roman" w:hAnsi="Arial" w:cs="Arial"/>
                <w:b/>
                <w:bCs/>
                <w:color w:val="000000"/>
                <w:kern w:val="0"/>
                <w:sz w:val="20"/>
                <w:szCs w:val="20"/>
                <w:lang w:eastAsia="en-IN"/>
                <w14:ligatures w14:val="none"/>
              </w:rPr>
              <w:t>Variable</w:t>
            </w:r>
          </w:p>
        </w:tc>
        <w:tc>
          <w:tcPr>
            <w:tcW w:w="618" w:type="pct"/>
            <w:tcBorders>
              <w:top w:val="single" w:sz="4" w:space="0" w:color="auto"/>
              <w:bottom w:val="single" w:sz="4" w:space="0" w:color="auto"/>
            </w:tcBorders>
            <w:vAlign w:val="center"/>
            <w:hideMark/>
          </w:tcPr>
          <w:p w14:paraId="0B3DB252" w14:textId="77777777" w:rsidR="006966FD" w:rsidRPr="006966FD" w:rsidRDefault="006966FD" w:rsidP="006A769D">
            <w:pPr>
              <w:spacing w:after="0" w:line="240" w:lineRule="auto"/>
              <w:jc w:val="center"/>
              <w:rPr>
                <w:rFonts w:ascii="Arial" w:eastAsia="Times New Roman" w:hAnsi="Arial" w:cs="Arial"/>
                <w:b/>
                <w:bCs/>
                <w:color w:val="000000"/>
                <w:kern w:val="0"/>
                <w:sz w:val="20"/>
                <w:szCs w:val="20"/>
                <w:lang w:eastAsia="en-IN"/>
                <w14:ligatures w14:val="none"/>
              </w:rPr>
            </w:pPr>
            <w:r w:rsidRPr="006966FD">
              <w:rPr>
                <w:rFonts w:ascii="Arial" w:eastAsia="Times New Roman" w:hAnsi="Arial" w:cs="Arial"/>
                <w:b/>
                <w:bCs/>
                <w:color w:val="000000"/>
                <w:kern w:val="0"/>
                <w:sz w:val="20"/>
                <w:szCs w:val="20"/>
                <w:lang w:eastAsia="en-IN"/>
                <w14:ligatures w14:val="none"/>
              </w:rPr>
              <w:t>Coef.</w:t>
            </w:r>
          </w:p>
        </w:tc>
        <w:tc>
          <w:tcPr>
            <w:tcW w:w="457" w:type="pct"/>
            <w:tcBorders>
              <w:top w:val="single" w:sz="4" w:space="0" w:color="auto"/>
              <w:bottom w:val="single" w:sz="4" w:space="0" w:color="auto"/>
            </w:tcBorders>
            <w:vAlign w:val="center"/>
            <w:hideMark/>
          </w:tcPr>
          <w:p w14:paraId="58EEA4A4" w14:textId="77777777" w:rsidR="006966FD" w:rsidRPr="006966FD" w:rsidRDefault="006966FD" w:rsidP="006A769D">
            <w:pPr>
              <w:spacing w:after="0" w:line="240" w:lineRule="auto"/>
              <w:jc w:val="center"/>
              <w:rPr>
                <w:rFonts w:ascii="Arial" w:eastAsia="Times New Roman" w:hAnsi="Arial" w:cs="Arial"/>
                <w:b/>
                <w:bCs/>
                <w:color w:val="000000"/>
                <w:kern w:val="0"/>
                <w:sz w:val="20"/>
                <w:szCs w:val="20"/>
                <w:lang w:eastAsia="en-IN"/>
                <w14:ligatures w14:val="none"/>
              </w:rPr>
            </w:pPr>
            <w:r w:rsidRPr="006966FD">
              <w:rPr>
                <w:rFonts w:ascii="Arial" w:eastAsia="Times New Roman" w:hAnsi="Arial" w:cs="Arial"/>
                <w:b/>
                <w:bCs/>
                <w:color w:val="000000"/>
                <w:kern w:val="0"/>
                <w:sz w:val="20"/>
                <w:szCs w:val="20"/>
                <w:lang w:eastAsia="en-IN"/>
                <w14:ligatures w14:val="none"/>
              </w:rPr>
              <w:t>Std. Err.</w:t>
            </w:r>
          </w:p>
        </w:tc>
        <w:tc>
          <w:tcPr>
            <w:tcW w:w="459" w:type="pct"/>
            <w:tcBorders>
              <w:top w:val="single" w:sz="4" w:space="0" w:color="auto"/>
              <w:bottom w:val="single" w:sz="4" w:space="0" w:color="auto"/>
            </w:tcBorders>
            <w:vAlign w:val="center"/>
            <w:hideMark/>
          </w:tcPr>
          <w:p w14:paraId="562F11E6" w14:textId="77777777" w:rsidR="006966FD" w:rsidRPr="006966FD" w:rsidRDefault="006966FD" w:rsidP="006A769D">
            <w:pPr>
              <w:spacing w:after="0" w:line="240" w:lineRule="auto"/>
              <w:jc w:val="center"/>
              <w:rPr>
                <w:rFonts w:ascii="Arial" w:eastAsia="Times New Roman" w:hAnsi="Arial" w:cs="Arial"/>
                <w:b/>
                <w:bCs/>
                <w:color w:val="000000"/>
                <w:kern w:val="0"/>
                <w:sz w:val="20"/>
                <w:szCs w:val="20"/>
                <w:lang w:eastAsia="en-IN"/>
                <w14:ligatures w14:val="none"/>
              </w:rPr>
            </w:pPr>
            <w:r w:rsidRPr="006966FD">
              <w:rPr>
                <w:rFonts w:ascii="Arial" w:eastAsia="Times New Roman" w:hAnsi="Arial" w:cs="Arial"/>
                <w:b/>
                <w:bCs/>
                <w:color w:val="000000"/>
                <w:kern w:val="0"/>
                <w:sz w:val="20"/>
                <w:szCs w:val="20"/>
                <w:lang w:eastAsia="en-IN"/>
                <w14:ligatures w14:val="none"/>
              </w:rPr>
              <w:t>z</w:t>
            </w:r>
          </w:p>
        </w:tc>
        <w:tc>
          <w:tcPr>
            <w:tcW w:w="386" w:type="pct"/>
            <w:tcBorders>
              <w:top w:val="single" w:sz="4" w:space="0" w:color="auto"/>
              <w:bottom w:val="single" w:sz="4" w:space="0" w:color="auto"/>
            </w:tcBorders>
            <w:vAlign w:val="center"/>
            <w:hideMark/>
          </w:tcPr>
          <w:p w14:paraId="66CE9B17" w14:textId="77777777" w:rsidR="006966FD" w:rsidRPr="006966FD" w:rsidRDefault="006966FD" w:rsidP="006A769D">
            <w:pPr>
              <w:spacing w:after="0" w:line="240" w:lineRule="auto"/>
              <w:jc w:val="center"/>
              <w:rPr>
                <w:rFonts w:ascii="Arial" w:eastAsia="Times New Roman" w:hAnsi="Arial" w:cs="Arial"/>
                <w:b/>
                <w:bCs/>
                <w:color w:val="000000"/>
                <w:kern w:val="0"/>
                <w:sz w:val="20"/>
                <w:szCs w:val="20"/>
                <w:lang w:eastAsia="en-IN"/>
                <w14:ligatures w14:val="none"/>
              </w:rPr>
            </w:pPr>
            <w:r w:rsidRPr="006966FD">
              <w:rPr>
                <w:rFonts w:ascii="Arial" w:eastAsia="Times New Roman" w:hAnsi="Arial" w:cs="Arial"/>
                <w:b/>
                <w:bCs/>
                <w:color w:val="000000"/>
                <w:kern w:val="0"/>
                <w:sz w:val="20"/>
                <w:szCs w:val="20"/>
                <w:lang w:eastAsia="en-IN"/>
                <w14:ligatures w14:val="none"/>
              </w:rPr>
              <w:t>P&gt;z</w:t>
            </w:r>
          </w:p>
        </w:tc>
        <w:tc>
          <w:tcPr>
            <w:tcW w:w="571" w:type="pct"/>
            <w:tcBorders>
              <w:top w:val="single" w:sz="4" w:space="0" w:color="auto"/>
              <w:bottom w:val="single" w:sz="4" w:space="0" w:color="auto"/>
            </w:tcBorders>
            <w:vAlign w:val="center"/>
            <w:hideMark/>
          </w:tcPr>
          <w:p w14:paraId="1F20A8D5" w14:textId="77777777" w:rsidR="006966FD" w:rsidRPr="006966FD" w:rsidRDefault="006966FD" w:rsidP="006A769D">
            <w:pPr>
              <w:spacing w:after="0" w:line="240" w:lineRule="auto"/>
              <w:jc w:val="center"/>
              <w:rPr>
                <w:rFonts w:ascii="Arial" w:eastAsia="Times New Roman" w:hAnsi="Arial" w:cs="Arial"/>
                <w:b/>
                <w:bCs/>
                <w:color w:val="000000"/>
                <w:kern w:val="0"/>
                <w:sz w:val="20"/>
                <w:szCs w:val="20"/>
                <w:lang w:eastAsia="en-IN"/>
                <w14:ligatures w14:val="none"/>
              </w:rPr>
            </w:pPr>
            <w:r w:rsidRPr="006966FD">
              <w:rPr>
                <w:rFonts w:ascii="Arial" w:eastAsia="Times New Roman" w:hAnsi="Arial" w:cs="Arial"/>
                <w:b/>
                <w:bCs/>
                <w:color w:val="000000"/>
                <w:kern w:val="0"/>
                <w:sz w:val="20"/>
                <w:szCs w:val="20"/>
                <w:lang w:eastAsia="en-IN"/>
                <w14:ligatures w14:val="none"/>
              </w:rPr>
              <w:t>95% Conf. Int. (Lower)</w:t>
            </w:r>
          </w:p>
        </w:tc>
        <w:tc>
          <w:tcPr>
            <w:tcW w:w="1174" w:type="pct"/>
            <w:tcBorders>
              <w:top w:val="single" w:sz="4" w:space="0" w:color="auto"/>
              <w:bottom w:val="single" w:sz="4" w:space="0" w:color="auto"/>
            </w:tcBorders>
            <w:noWrap/>
            <w:vAlign w:val="center"/>
            <w:hideMark/>
          </w:tcPr>
          <w:p w14:paraId="42F9C74C" w14:textId="77777777" w:rsidR="006966FD" w:rsidRPr="006966FD" w:rsidRDefault="006966FD" w:rsidP="006A769D">
            <w:pPr>
              <w:spacing w:after="0" w:line="240" w:lineRule="auto"/>
              <w:jc w:val="center"/>
              <w:rPr>
                <w:rFonts w:ascii="Arial" w:eastAsia="Times New Roman" w:hAnsi="Arial" w:cs="Arial"/>
                <w:b/>
                <w:bCs/>
                <w:color w:val="000000"/>
                <w:kern w:val="0"/>
                <w:sz w:val="20"/>
                <w:szCs w:val="20"/>
                <w:lang w:eastAsia="en-IN"/>
                <w14:ligatures w14:val="none"/>
              </w:rPr>
            </w:pPr>
            <w:r w:rsidRPr="006966FD">
              <w:rPr>
                <w:rFonts w:ascii="Arial" w:eastAsia="Times New Roman" w:hAnsi="Arial" w:cs="Arial"/>
                <w:b/>
                <w:bCs/>
                <w:color w:val="000000"/>
                <w:kern w:val="0"/>
                <w:sz w:val="20"/>
                <w:szCs w:val="20"/>
                <w:lang w:eastAsia="en-IN"/>
                <w14:ligatures w14:val="none"/>
              </w:rPr>
              <w:t>95% Conf. Int. (Upper)</w:t>
            </w:r>
          </w:p>
        </w:tc>
      </w:tr>
      <w:tr w:rsidR="006966FD" w:rsidRPr="006966FD" w14:paraId="0DFD3DAE" w14:textId="77777777" w:rsidTr="00F656A8">
        <w:trPr>
          <w:trHeight w:val="363"/>
        </w:trPr>
        <w:tc>
          <w:tcPr>
            <w:tcW w:w="5000" w:type="pct"/>
            <w:gridSpan w:val="7"/>
            <w:tcBorders>
              <w:top w:val="single" w:sz="4" w:space="0" w:color="auto"/>
              <w:bottom w:val="single" w:sz="4" w:space="0" w:color="auto"/>
            </w:tcBorders>
            <w:vAlign w:val="center"/>
          </w:tcPr>
          <w:p w14:paraId="0586587C" w14:textId="77777777" w:rsidR="006966FD" w:rsidRPr="006966FD" w:rsidRDefault="006966FD" w:rsidP="006A769D">
            <w:pPr>
              <w:spacing w:after="0" w:line="240" w:lineRule="auto"/>
              <w:rPr>
                <w:rFonts w:ascii="Arial" w:eastAsia="Times New Roman" w:hAnsi="Arial" w:cs="Arial"/>
                <w:color w:val="000000"/>
                <w:kern w:val="0"/>
                <w:sz w:val="20"/>
                <w:szCs w:val="20"/>
                <w:lang w:eastAsia="en-IN"/>
                <w14:ligatures w14:val="none"/>
              </w:rPr>
            </w:pPr>
            <w:r w:rsidRPr="006966FD">
              <w:rPr>
                <w:rFonts w:ascii="Arial" w:hAnsi="Arial" w:cs="Arial"/>
                <w:b/>
                <w:bCs/>
                <w:sz w:val="20"/>
                <w:szCs w:val="20"/>
              </w:rPr>
              <w:t>Socio-Economic Challenges</w:t>
            </w:r>
          </w:p>
        </w:tc>
      </w:tr>
      <w:tr w:rsidR="006966FD" w:rsidRPr="006966FD" w14:paraId="1558E369" w14:textId="77777777" w:rsidTr="00F656A8">
        <w:trPr>
          <w:trHeight w:val="237"/>
        </w:trPr>
        <w:tc>
          <w:tcPr>
            <w:tcW w:w="1335" w:type="pct"/>
            <w:tcBorders>
              <w:top w:val="single" w:sz="4" w:space="0" w:color="auto"/>
            </w:tcBorders>
            <w:vAlign w:val="center"/>
            <w:hideMark/>
          </w:tcPr>
          <w:p w14:paraId="4733EB44" w14:textId="77777777" w:rsidR="006966FD" w:rsidRPr="006966FD" w:rsidRDefault="006966FD" w:rsidP="00F656A8">
            <w:pPr>
              <w:spacing w:after="0" w:line="278" w:lineRule="auto"/>
              <w:rPr>
                <w:rFonts w:ascii="Arial" w:hAnsi="Arial" w:cs="Arial"/>
                <w:sz w:val="20"/>
                <w:szCs w:val="20"/>
              </w:rPr>
            </w:pPr>
            <w:r w:rsidRPr="006966FD">
              <w:rPr>
                <w:rFonts w:ascii="Arial" w:hAnsi="Arial" w:cs="Arial"/>
                <w:sz w:val="20"/>
                <w:szCs w:val="20"/>
              </w:rPr>
              <w:t xml:space="preserve">Income volatility and unpredictability </w:t>
            </w:r>
          </w:p>
          <w:p w14:paraId="2DD56C3E" w14:textId="77777777" w:rsidR="006966FD" w:rsidRPr="006966FD" w:rsidRDefault="006966FD" w:rsidP="006A769D">
            <w:pPr>
              <w:spacing w:line="278" w:lineRule="auto"/>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tcBorders>
              <w:top w:val="single" w:sz="4" w:space="0" w:color="auto"/>
            </w:tcBorders>
            <w:vAlign w:val="center"/>
            <w:hideMark/>
          </w:tcPr>
          <w:p w14:paraId="6FA64682"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4.6145</w:t>
            </w:r>
          </w:p>
        </w:tc>
        <w:tc>
          <w:tcPr>
            <w:tcW w:w="457" w:type="pct"/>
            <w:tcBorders>
              <w:top w:val="single" w:sz="4" w:space="0" w:color="auto"/>
            </w:tcBorders>
            <w:vAlign w:val="center"/>
            <w:hideMark/>
          </w:tcPr>
          <w:p w14:paraId="58EBEE1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0.6163</w:t>
            </w:r>
          </w:p>
        </w:tc>
        <w:tc>
          <w:tcPr>
            <w:tcW w:w="459" w:type="pct"/>
            <w:tcBorders>
              <w:top w:val="single" w:sz="4" w:space="0" w:color="auto"/>
            </w:tcBorders>
            <w:vAlign w:val="center"/>
            <w:hideMark/>
          </w:tcPr>
          <w:p w14:paraId="6E192AB0"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7.49</w:t>
            </w:r>
          </w:p>
        </w:tc>
        <w:tc>
          <w:tcPr>
            <w:tcW w:w="386" w:type="pct"/>
            <w:tcBorders>
              <w:top w:val="single" w:sz="4" w:space="0" w:color="auto"/>
            </w:tcBorders>
            <w:vAlign w:val="center"/>
            <w:hideMark/>
          </w:tcPr>
          <w:p w14:paraId="56878F5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w:t>
            </w:r>
          </w:p>
        </w:tc>
        <w:tc>
          <w:tcPr>
            <w:tcW w:w="571" w:type="pct"/>
            <w:tcBorders>
              <w:top w:val="single" w:sz="4" w:space="0" w:color="auto"/>
            </w:tcBorders>
            <w:vAlign w:val="center"/>
            <w:hideMark/>
          </w:tcPr>
          <w:p w14:paraId="29929136"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3.40657</w:t>
            </w:r>
          </w:p>
        </w:tc>
        <w:tc>
          <w:tcPr>
            <w:tcW w:w="1174" w:type="pct"/>
            <w:tcBorders>
              <w:top w:val="single" w:sz="4" w:space="0" w:color="auto"/>
            </w:tcBorders>
            <w:vAlign w:val="center"/>
            <w:hideMark/>
          </w:tcPr>
          <w:p w14:paraId="76D99C94"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5.82243</w:t>
            </w:r>
          </w:p>
        </w:tc>
      </w:tr>
      <w:tr w:rsidR="006966FD" w:rsidRPr="006966FD" w14:paraId="10AF366E" w14:textId="77777777" w:rsidTr="006966FD">
        <w:trPr>
          <w:trHeight w:val="237"/>
        </w:trPr>
        <w:tc>
          <w:tcPr>
            <w:tcW w:w="1335" w:type="pct"/>
            <w:vAlign w:val="center"/>
            <w:hideMark/>
          </w:tcPr>
          <w:p w14:paraId="0E19008D" w14:textId="77777777" w:rsidR="006966FD" w:rsidRPr="006966FD" w:rsidRDefault="006966FD" w:rsidP="006A769D">
            <w:pPr>
              <w:rPr>
                <w:rFonts w:ascii="Arial" w:hAnsi="Arial" w:cs="Arial"/>
                <w:sz w:val="20"/>
                <w:szCs w:val="20"/>
              </w:rPr>
            </w:pPr>
            <w:r w:rsidRPr="006966FD">
              <w:rPr>
                <w:rFonts w:ascii="Arial" w:hAnsi="Arial" w:cs="Arial"/>
                <w:sz w:val="20"/>
                <w:szCs w:val="20"/>
              </w:rPr>
              <w:t xml:space="preserve">Lack of minimum-wage protection </w:t>
            </w:r>
            <w:r w:rsidRPr="006966FD">
              <w:rPr>
                <w:rFonts w:ascii="Arial" w:eastAsia="Times New Roman" w:hAnsi="Arial" w:cs="Arial"/>
                <w:kern w:val="0"/>
                <w:sz w:val="20"/>
                <w:szCs w:val="20"/>
                <w:lang w:eastAsia="en-IN"/>
                <w14:ligatures w14:val="none"/>
              </w:rPr>
              <w:t>(Yes=1; No=0)</w:t>
            </w:r>
          </w:p>
        </w:tc>
        <w:tc>
          <w:tcPr>
            <w:tcW w:w="618" w:type="pct"/>
            <w:vAlign w:val="center"/>
            <w:hideMark/>
          </w:tcPr>
          <w:p w14:paraId="7036C6A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-0.171988</w:t>
            </w:r>
          </w:p>
        </w:tc>
        <w:tc>
          <w:tcPr>
            <w:tcW w:w="457" w:type="pct"/>
            <w:vAlign w:val="center"/>
            <w:hideMark/>
          </w:tcPr>
          <w:p w14:paraId="007120E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0.41075</w:t>
            </w:r>
          </w:p>
        </w:tc>
        <w:tc>
          <w:tcPr>
            <w:tcW w:w="459" w:type="pct"/>
            <w:vAlign w:val="center"/>
            <w:hideMark/>
          </w:tcPr>
          <w:p w14:paraId="0F075AF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-0.42</w:t>
            </w:r>
          </w:p>
        </w:tc>
        <w:tc>
          <w:tcPr>
            <w:tcW w:w="386" w:type="pct"/>
            <w:vAlign w:val="center"/>
            <w:hideMark/>
          </w:tcPr>
          <w:p w14:paraId="2838850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0.675</w:t>
            </w:r>
          </w:p>
        </w:tc>
        <w:tc>
          <w:tcPr>
            <w:tcW w:w="571" w:type="pct"/>
            <w:vAlign w:val="center"/>
            <w:hideMark/>
          </w:tcPr>
          <w:p w14:paraId="1B551D3A"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-0.977035</w:t>
            </w:r>
          </w:p>
        </w:tc>
        <w:tc>
          <w:tcPr>
            <w:tcW w:w="1174" w:type="pct"/>
            <w:vAlign w:val="center"/>
            <w:hideMark/>
          </w:tcPr>
          <w:p w14:paraId="2B4EFF9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0.633059</w:t>
            </w:r>
          </w:p>
        </w:tc>
      </w:tr>
      <w:tr w:rsidR="006966FD" w:rsidRPr="006966FD" w14:paraId="61D83F51" w14:textId="77777777" w:rsidTr="006966FD">
        <w:trPr>
          <w:trHeight w:val="237"/>
        </w:trPr>
        <w:tc>
          <w:tcPr>
            <w:tcW w:w="1335" w:type="pct"/>
            <w:vAlign w:val="center"/>
            <w:hideMark/>
          </w:tcPr>
          <w:p w14:paraId="2CC7E680" w14:textId="77777777" w:rsidR="006966FD" w:rsidRPr="006966FD" w:rsidRDefault="006966FD" w:rsidP="006A769D">
            <w:pPr>
              <w:spacing w:line="278" w:lineRule="auto"/>
              <w:rPr>
                <w:rFonts w:ascii="Arial" w:hAnsi="Arial" w:cs="Arial"/>
                <w:sz w:val="20"/>
                <w:szCs w:val="20"/>
              </w:rPr>
            </w:pPr>
            <w:r w:rsidRPr="006966FD">
              <w:rPr>
                <w:rFonts w:ascii="Arial" w:hAnsi="Arial" w:cs="Arial"/>
                <w:sz w:val="20"/>
                <w:szCs w:val="20"/>
              </w:rPr>
              <w:t xml:space="preserve">Hidden costs of work </w:t>
            </w:r>
            <w:r w:rsidRPr="006966FD">
              <w:rPr>
                <w:rFonts w:ascii="Arial" w:eastAsia="Times New Roman" w:hAnsi="Arial" w:cs="Arial"/>
                <w:kern w:val="0"/>
                <w:sz w:val="20"/>
                <w:szCs w:val="20"/>
                <w:lang w:eastAsia="en-IN"/>
                <w14:ligatures w14:val="none"/>
              </w:rPr>
              <w:t>(Yes=1; No=0)</w:t>
            </w:r>
          </w:p>
        </w:tc>
        <w:tc>
          <w:tcPr>
            <w:tcW w:w="618" w:type="pct"/>
            <w:vAlign w:val="center"/>
            <w:hideMark/>
          </w:tcPr>
          <w:p w14:paraId="0BE2981A"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-0.256498</w:t>
            </w:r>
          </w:p>
        </w:tc>
        <w:tc>
          <w:tcPr>
            <w:tcW w:w="457" w:type="pct"/>
            <w:vAlign w:val="center"/>
            <w:hideMark/>
          </w:tcPr>
          <w:p w14:paraId="0EF1E63E"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0.43505</w:t>
            </w:r>
          </w:p>
        </w:tc>
        <w:tc>
          <w:tcPr>
            <w:tcW w:w="459" w:type="pct"/>
            <w:vAlign w:val="center"/>
            <w:hideMark/>
          </w:tcPr>
          <w:p w14:paraId="711A8A9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-0.59</w:t>
            </w:r>
          </w:p>
        </w:tc>
        <w:tc>
          <w:tcPr>
            <w:tcW w:w="386" w:type="pct"/>
            <w:vAlign w:val="center"/>
            <w:hideMark/>
          </w:tcPr>
          <w:p w14:paraId="2244801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0.555</w:t>
            </w:r>
          </w:p>
        </w:tc>
        <w:tc>
          <w:tcPr>
            <w:tcW w:w="571" w:type="pct"/>
            <w:vAlign w:val="center"/>
            <w:hideMark/>
          </w:tcPr>
          <w:p w14:paraId="38F1D1E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-1.10918</w:t>
            </w:r>
          </w:p>
        </w:tc>
        <w:tc>
          <w:tcPr>
            <w:tcW w:w="1174" w:type="pct"/>
            <w:vAlign w:val="center"/>
            <w:hideMark/>
          </w:tcPr>
          <w:p w14:paraId="300F9BC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0.596185</w:t>
            </w:r>
          </w:p>
        </w:tc>
      </w:tr>
      <w:tr w:rsidR="006966FD" w:rsidRPr="006966FD" w14:paraId="5EF6FCE6" w14:textId="77777777" w:rsidTr="006966FD">
        <w:trPr>
          <w:trHeight w:val="237"/>
        </w:trPr>
        <w:tc>
          <w:tcPr>
            <w:tcW w:w="1335" w:type="pct"/>
            <w:vAlign w:val="center"/>
            <w:hideMark/>
          </w:tcPr>
          <w:p w14:paraId="4001E356" w14:textId="77777777" w:rsidR="006966FD" w:rsidRPr="006966FD" w:rsidRDefault="006966FD" w:rsidP="00F656A8">
            <w:pPr>
              <w:spacing w:after="0"/>
              <w:rPr>
                <w:rFonts w:ascii="Arial" w:hAnsi="Arial" w:cs="Arial"/>
                <w:sz w:val="20"/>
                <w:szCs w:val="20"/>
              </w:rPr>
            </w:pPr>
            <w:r w:rsidRPr="006966FD">
              <w:rPr>
                <w:rFonts w:ascii="Arial" w:hAnsi="Arial" w:cs="Arial"/>
                <w:sz w:val="20"/>
                <w:szCs w:val="20"/>
              </w:rPr>
              <w:t>Mobility constraints and safety concerns</w:t>
            </w:r>
          </w:p>
          <w:p w14:paraId="237B3D13" w14:textId="77777777" w:rsidR="006966FD" w:rsidRPr="006966FD" w:rsidRDefault="006966FD" w:rsidP="006A769D">
            <w:pPr>
              <w:spacing w:line="278" w:lineRule="auto"/>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vAlign w:val="center"/>
            <w:hideMark/>
          </w:tcPr>
          <w:p w14:paraId="49E2CBC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0.472875</w:t>
            </w:r>
          </w:p>
        </w:tc>
        <w:tc>
          <w:tcPr>
            <w:tcW w:w="457" w:type="pct"/>
            <w:vAlign w:val="center"/>
            <w:hideMark/>
          </w:tcPr>
          <w:p w14:paraId="1CB0953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0.41776</w:t>
            </w:r>
          </w:p>
        </w:tc>
        <w:tc>
          <w:tcPr>
            <w:tcW w:w="459" w:type="pct"/>
            <w:vAlign w:val="center"/>
            <w:hideMark/>
          </w:tcPr>
          <w:p w14:paraId="3D5A405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1.13</w:t>
            </w:r>
          </w:p>
        </w:tc>
        <w:tc>
          <w:tcPr>
            <w:tcW w:w="386" w:type="pct"/>
            <w:vAlign w:val="center"/>
            <w:hideMark/>
          </w:tcPr>
          <w:p w14:paraId="4A633B1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0.258</w:t>
            </w:r>
          </w:p>
        </w:tc>
        <w:tc>
          <w:tcPr>
            <w:tcW w:w="571" w:type="pct"/>
            <w:vAlign w:val="center"/>
            <w:hideMark/>
          </w:tcPr>
          <w:p w14:paraId="5BDFF53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-0.345917</w:t>
            </w:r>
          </w:p>
        </w:tc>
        <w:tc>
          <w:tcPr>
            <w:tcW w:w="1174" w:type="pct"/>
            <w:vAlign w:val="center"/>
            <w:hideMark/>
          </w:tcPr>
          <w:p w14:paraId="39CF40D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1.29167</w:t>
            </w:r>
          </w:p>
        </w:tc>
      </w:tr>
      <w:tr w:rsidR="006966FD" w:rsidRPr="006966FD" w14:paraId="229D8075" w14:textId="77777777" w:rsidTr="006966FD">
        <w:trPr>
          <w:trHeight w:val="237"/>
        </w:trPr>
        <w:tc>
          <w:tcPr>
            <w:tcW w:w="1335" w:type="pct"/>
            <w:vAlign w:val="center"/>
            <w:hideMark/>
          </w:tcPr>
          <w:p w14:paraId="4450F55F" w14:textId="77777777" w:rsidR="006966FD" w:rsidRPr="006966FD" w:rsidRDefault="006966FD" w:rsidP="006A769D">
            <w:pPr>
              <w:spacing w:line="278" w:lineRule="auto"/>
              <w:rPr>
                <w:rFonts w:ascii="Arial" w:hAnsi="Arial" w:cs="Arial"/>
                <w:sz w:val="20"/>
                <w:szCs w:val="20"/>
              </w:rPr>
            </w:pPr>
            <w:r w:rsidRPr="006966FD">
              <w:rPr>
                <w:rFonts w:ascii="Arial" w:hAnsi="Arial" w:cs="Arial"/>
                <w:sz w:val="20"/>
                <w:szCs w:val="20"/>
              </w:rPr>
              <w:t xml:space="preserve">Stigma and social scrutiny </w:t>
            </w:r>
            <w:r w:rsidRPr="006966FD">
              <w:rPr>
                <w:rFonts w:ascii="Arial" w:eastAsia="Times New Roman" w:hAnsi="Arial" w:cs="Arial"/>
                <w:kern w:val="0"/>
                <w:sz w:val="20"/>
                <w:szCs w:val="20"/>
                <w:lang w:eastAsia="en-IN"/>
                <w14:ligatures w14:val="none"/>
              </w:rPr>
              <w:t>(Yes=1; No=0)</w:t>
            </w:r>
          </w:p>
        </w:tc>
        <w:tc>
          <w:tcPr>
            <w:tcW w:w="618" w:type="pct"/>
            <w:vAlign w:val="center"/>
            <w:hideMark/>
          </w:tcPr>
          <w:p w14:paraId="70E213FA"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0.156344</w:t>
            </w:r>
          </w:p>
        </w:tc>
        <w:tc>
          <w:tcPr>
            <w:tcW w:w="457" w:type="pct"/>
            <w:vAlign w:val="center"/>
            <w:hideMark/>
          </w:tcPr>
          <w:p w14:paraId="2C254F30"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0.32135</w:t>
            </w:r>
          </w:p>
        </w:tc>
        <w:tc>
          <w:tcPr>
            <w:tcW w:w="459" w:type="pct"/>
            <w:vAlign w:val="center"/>
            <w:hideMark/>
          </w:tcPr>
          <w:p w14:paraId="2E5BB78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0.49</w:t>
            </w:r>
          </w:p>
        </w:tc>
        <w:tc>
          <w:tcPr>
            <w:tcW w:w="386" w:type="pct"/>
            <w:vAlign w:val="center"/>
            <w:hideMark/>
          </w:tcPr>
          <w:p w14:paraId="0F9CC71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0.627</w:t>
            </w:r>
          </w:p>
        </w:tc>
        <w:tc>
          <w:tcPr>
            <w:tcW w:w="571" w:type="pct"/>
            <w:vAlign w:val="center"/>
            <w:hideMark/>
          </w:tcPr>
          <w:p w14:paraId="0C8F2377"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-0.473483</w:t>
            </w:r>
          </w:p>
        </w:tc>
        <w:tc>
          <w:tcPr>
            <w:tcW w:w="1174" w:type="pct"/>
            <w:vAlign w:val="center"/>
            <w:hideMark/>
          </w:tcPr>
          <w:p w14:paraId="6A5038B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0.786172</w:t>
            </w:r>
          </w:p>
        </w:tc>
      </w:tr>
      <w:tr w:rsidR="006966FD" w:rsidRPr="006966FD" w14:paraId="1CD6E582" w14:textId="77777777" w:rsidTr="00F656A8">
        <w:trPr>
          <w:trHeight w:val="237"/>
        </w:trPr>
        <w:tc>
          <w:tcPr>
            <w:tcW w:w="1335" w:type="pct"/>
            <w:tcBorders>
              <w:bottom w:val="single" w:sz="4" w:space="0" w:color="auto"/>
            </w:tcBorders>
            <w:vAlign w:val="center"/>
            <w:hideMark/>
          </w:tcPr>
          <w:p w14:paraId="0F55BB29" w14:textId="77777777" w:rsidR="006966FD" w:rsidRPr="006966FD" w:rsidRDefault="006966FD" w:rsidP="00F656A8">
            <w:pPr>
              <w:spacing w:line="278" w:lineRule="auto"/>
              <w:rPr>
                <w:rFonts w:ascii="Arial" w:hAnsi="Arial" w:cs="Arial"/>
                <w:sz w:val="20"/>
                <w:szCs w:val="20"/>
              </w:rPr>
            </w:pPr>
            <w:r w:rsidRPr="006966FD">
              <w:rPr>
                <w:rFonts w:ascii="Arial" w:hAnsi="Arial" w:cs="Arial"/>
                <w:sz w:val="20"/>
                <w:szCs w:val="20"/>
              </w:rPr>
              <w:t xml:space="preserve">Lack of childcare availability </w:t>
            </w:r>
          </w:p>
          <w:p w14:paraId="66F9BF47" w14:textId="77777777" w:rsidR="006966FD" w:rsidRPr="006966FD" w:rsidRDefault="006966FD" w:rsidP="00F656A8">
            <w:pPr>
              <w:spacing w:line="278" w:lineRule="auto"/>
              <w:rPr>
                <w:rFonts w:ascii="Arial" w:hAnsi="Arial" w:cs="Arial"/>
                <w:sz w:val="20"/>
                <w:szCs w:val="20"/>
              </w:rPr>
            </w:pPr>
            <w:r w:rsidRPr="006966FD">
              <w:rPr>
                <w:rFonts w:ascii="Arial" w:eastAsia="Times New Roman" w:hAnsi="Arial" w:cs="Arial"/>
                <w:kern w:val="0"/>
                <w:sz w:val="20"/>
                <w:szCs w:val="20"/>
                <w:lang w:eastAsia="en-IN"/>
                <w14:ligatures w14:val="none"/>
              </w:rPr>
              <w:lastRenderedPageBreak/>
              <w:t>(Yes=1; No=0)</w:t>
            </w:r>
          </w:p>
        </w:tc>
        <w:tc>
          <w:tcPr>
            <w:tcW w:w="618" w:type="pct"/>
            <w:tcBorders>
              <w:bottom w:val="single" w:sz="4" w:space="0" w:color="auto"/>
            </w:tcBorders>
            <w:vAlign w:val="center"/>
            <w:hideMark/>
          </w:tcPr>
          <w:p w14:paraId="162BE727" w14:textId="77777777" w:rsidR="006966FD" w:rsidRPr="006966FD" w:rsidRDefault="006966FD" w:rsidP="00F656A8">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lastRenderedPageBreak/>
              <w:t>-0.541818</w:t>
            </w:r>
          </w:p>
        </w:tc>
        <w:tc>
          <w:tcPr>
            <w:tcW w:w="457" w:type="pct"/>
            <w:tcBorders>
              <w:bottom w:val="single" w:sz="4" w:space="0" w:color="auto"/>
            </w:tcBorders>
            <w:vAlign w:val="center"/>
            <w:hideMark/>
          </w:tcPr>
          <w:p w14:paraId="2D4F8D46" w14:textId="77777777" w:rsidR="006966FD" w:rsidRPr="006966FD" w:rsidRDefault="006966FD" w:rsidP="00F656A8">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0.38583</w:t>
            </w:r>
          </w:p>
        </w:tc>
        <w:tc>
          <w:tcPr>
            <w:tcW w:w="459" w:type="pct"/>
            <w:tcBorders>
              <w:bottom w:val="single" w:sz="4" w:space="0" w:color="auto"/>
            </w:tcBorders>
            <w:vAlign w:val="center"/>
            <w:hideMark/>
          </w:tcPr>
          <w:p w14:paraId="5FEB828E" w14:textId="77777777" w:rsidR="006966FD" w:rsidRPr="006966FD" w:rsidRDefault="006966FD" w:rsidP="00F656A8">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-1.4</w:t>
            </w:r>
          </w:p>
        </w:tc>
        <w:tc>
          <w:tcPr>
            <w:tcW w:w="386" w:type="pct"/>
            <w:tcBorders>
              <w:bottom w:val="single" w:sz="4" w:space="0" w:color="auto"/>
            </w:tcBorders>
            <w:vAlign w:val="center"/>
            <w:hideMark/>
          </w:tcPr>
          <w:p w14:paraId="68FC7067" w14:textId="77777777" w:rsidR="006966FD" w:rsidRPr="006966FD" w:rsidRDefault="006966FD" w:rsidP="00F656A8">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0.16</w:t>
            </w:r>
          </w:p>
        </w:tc>
        <w:tc>
          <w:tcPr>
            <w:tcW w:w="571" w:type="pct"/>
            <w:tcBorders>
              <w:bottom w:val="single" w:sz="4" w:space="0" w:color="auto"/>
            </w:tcBorders>
            <w:vAlign w:val="center"/>
            <w:hideMark/>
          </w:tcPr>
          <w:p w14:paraId="3771120F" w14:textId="77777777" w:rsidR="006966FD" w:rsidRPr="006966FD" w:rsidRDefault="006966FD" w:rsidP="00F656A8">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-1.29802</w:t>
            </w:r>
          </w:p>
        </w:tc>
        <w:tc>
          <w:tcPr>
            <w:tcW w:w="1174" w:type="pct"/>
            <w:tcBorders>
              <w:bottom w:val="single" w:sz="4" w:space="0" w:color="auto"/>
            </w:tcBorders>
            <w:vAlign w:val="center"/>
            <w:hideMark/>
          </w:tcPr>
          <w:p w14:paraId="07CE9FD8" w14:textId="77777777" w:rsidR="006966FD" w:rsidRPr="006966FD" w:rsidRDefault="006966FD" w:rsidP="00F656A8">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0.214385</w:t>
            </w:r>
          </w:p>
        </w:tc>
      </w:tr>
      <w:tr w:rsidR="006966FD" w:rsidRPr="006966FD" w14:paraId="630FD2B7" w14:textId="77777777" w:rsidTr="00F656A8">
        <w:trPr>
          <w:trHeight w:val="237"/>
        </w:trPr>
        <w:tc>
          <w:tcPr>
            <w:tcW w:w="5000" w:type="pct"/>
            <w:gridSpan w:val="7"/>
            <w:tcBorders>
              <w:top w:val="single" w:sz="4" w:space="0" w:color="auto"/>
              <w:bottom w:val="single" w:sz="4" w:space="0" w:color="auto"/>
            </w:tcBorders>
            <w:vAlign w:val="center"/>
          </w:tcPr>
          <w:p w14:paraId="7B2F5D00" w14:textId="77777777" w:rsidR="006966FD" w:rsidRPr="006966FD" w:rsidRDefault="006966FD" w:rsidP="006A769D">
            <w:pPr>
              <w:spacing w:after="0" w:line="240" w:lineRule="auto"/>
              <w:rPr>
                <w:rFonts w:ascii="Arial" w:eastAsia="Times New Roman" w:hAnsi="Arial" w:cs="Arial"/>
                <w:color w:val="000000"/>
                <w:kern w:val="0"/>
                <w:sz w:val="20"/>
                <w:szCs w:val="20"/>
                <w:lang w:eastAsia="en-IN"/>
                <w14:ligatures w14:val="none"/>
              </w:rPr>
            </w:pPr>
            <w:r w:rsidRPr="006966FD">
              <w:rPr>
                <w:rFonts w:ascii="Arial" w:hAnsi="Arial" w:cs="Arial"/>
                <w:b/>
                <w:bCs/>
                <w:sz w:val="20"/>
                <w:szCs w:val="20"/>
              </w:rPr>
              <w:t>Digital &amp; Platform Dynamics</w:t>
            </w:r>
          </w:p>
        </w:tc>
      </w:tr>
      <w:tr w:rsidR="006966FD" w:rsidRPr="006966FD" w14:paraId="7D742F58" w14:textId="77777777" w:rsidTr="00F656A8">
        <w:trPr>
          <w:trHeight w:val="237"/>
        </w:trPr>
        <w:tc>
          <w:tcPr>
            <w:tcW w:w="1335" w:type="pct"/>
            <w:tcBorders>
              <w:top w:val="single" w:sz="4" w:space="0" w:color="auto"/>
            </w:tcBorders>
            <w:vAlign w:val="center"/>
            <w:hideMark/>
          </w:tcPr>
          <w:p w14:paraId="7113B149" w14:textId="77777777" w:rsidR="006966FD" w:rsidRPr="006966FD" w:rsidRDefault="006966FD" w:rsidP="00F656A8">
            <w:pPr>
              <w:spacing w:after="0" w:line="278" w:lineRule="auto"/>
              <w:rPr>
                <w:rFonts w:ascii="Arial" w:hAnsi="Arial" w:cs="Arial"/>
                <w:sz w:val="20"/>
                <w:szCs w:val="20"/>
              </w:rPr>
            </w:pPr>
            <w:r w:rsidRPr="006966FD">
              <w:rPr>
                <w:rFonts w:ascii="Arial" w:hAnsi="Arial" w:cs="Arial"/>
                <w:sz w:val="20"/>
                <w:szCs w:val="20"/>
              </w:rPr>
              <w:t xml:space="preserve">Digital divide </w:t>
            </w:r>
          </w:p>
          <w:p w14:paraId="1B85328F" w14:textId="77777777" w:rsidR="006966FD" w:rsidRPr="006966FD" w:rsidRDefault="006966FD" w:rsidP="006A769D">
            <w:pPr>
              <w:spacing w:line="278" w:lineRule="auto"/>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tcBorders>
              <w:top w:val="single" w:sz="4" w:space="0" w:color="auto"/>
            </w:tcBorders>
            <w:vAlign w:val="center"/>
            <w:hideMark/>
          </w:tcPr>
          <w:p w14:paraId="5FF1674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0.006778</w:t>
            </w:r>
          </w:p>
        </w:tc>
        <w:tc>
          <w:tcPr>
            <w:tcW w:w="457" w:type="pct"/>
            <w:tcBorders>
              <w:top w:val="single" w:sz="4" w:space="0" w:color="auto"/>
            </w:tcBorders>
            <w:vAlign w:val="center"/>
            <w:hideMark/>
          </w:tcPr>
          <w:p w14:paraId="4B14B62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0.52741</w:t>
            </w:r>
          </w:p>
        </w:tc>
        <w:tc>
          <w:tcPr>
            <w:tcW w:w="459" w:type="pct"/>
            <w:tcBorders>
              <w:top w:val="single" w:sz="4" w:space="0" w:color="auto"/>
            </w:tcBorders>
            <w:vAlign w:val="center"/>
            <w:hideMark/>
          </w:tcPr>
          <w:p w14:paraId="749D1DC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0.01</w:t>
            </w:r>
          </w:p>
        </w:tc>
        <w:tc>
          <w:tcPr>
            <w:tcW w:w="386" w:type="pct"/>
            <w:tcBorders>
              <w:top w:val="single" w:sz="4" w:space="0" w:color="auto"/>
            </w:tcBorders>
            <w:vAlign w:val="center"/>
            <w:hideMark/>
          </w:tcPr>
          <w:p w14:paraId="4A8C682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0.99</w:t>
            </w:r>
          </w:p>
        </w:tc>
        <w:tc>
          <w:tcPr>
            <w:tcW w:w="571" w:type="pct"/>
            <w:tcBorders>
              <w:top w:val="single" w:sz="4" w:space="0" w:color="auto"/>
            </w:tcBorders>
            <w:vAlign w:val="center"/>
            <w:hideMark/>
          </w:tcPr>
          <w:p w14:paraId="0784B2F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-1.02693</w:t>
            </w:r>
          </w:p>
        </w:tc>
        <w:tc>
          <w:tcPr>
            <w:tcW w:w="1174" w:type="pct"/>
            <w:tcBorders>
              <w:top w:val="single" w:sz="4" w:space="0" w:color="auto"/>
            </w:tcBorders>
            <w:vAlign w:val="center"/>
            <w:hideMark/>
          </w:tcPr>
          <w:p w14:paraId="08D20E1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1.04049</w:t>
            </w:r>
          </w:p>
        </w:tc>
      </w:tr>
      <w:tr w:rsidR="006966FD" w:rsidRPr="006966FD" w14:paraId="7025ED9E" w14:textId="77777777" w:rsidTr="006966FD">
        <w:trPr>
          <w:trHeight w:val="237"/>
        </w:trPr>
        <w:tc>
          <w:tcPr>
            <w:tcW w:w="1335" w:type="pct"/>
            <w:vAlign w:val="center"/>
            <w:hideMark/>
          </w:tcPr>
          <w:p w14:paraId="6D4947BD" w14:textId="77777777" w:rsidR="006966FD" w:rsidRPr="006966FD" w:rsidRDefault="006966FD" w:rsidP="00F656A8">
            <w:pPr>
              <w:spacing w:after="0" w:line="278" w:lineRule="auto"/>
              <w:rPr>
                <w:rFonts w:ascii="Arial" w:hAnsi="Arial" w:cs="Arial"/>
                <w:sz w:val="20"/>
                <w:szCs w:val="20"/>
              </w:rPr>
            </w:pPr>
            <w:r w:rsidRPr="006966FD">
              <w:rPr>
                <w:rFonts w:ascii="Arial" w:hAnsi="Arial" w:cs="Arial"/>
                <w:sz w:val="20"/>
                <w:szCs w:val="20"/>
              </w:rPr>
              <w:t xml:space="preserve">Customer rating systems and gender bias </w:t>
            </w:r>
          </w:p>
          <w:p w14:paraId="2F5218C5" w14:textId="77777777" w:rsidR="006966FD" w:rsidRPr="006966FD" w:rsidRDefault="006966FD" w:rsidP="006A769D">
            <w:pPr>
              <w:spacing w:line="278" w:lineRule="auto"/>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vAlign w:val="center"/>
            <w:hideMark/>
          </w:tcPr>
          <w:p w14:paraId="7B8D01D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-0.105298</w:t>
            </w:r>
          </w:p>
        </w:tc>
        <w:tc>
          <w:tcPr>
            <w:tcW w:w="457" w:type="pct"/>
            <w:vAlign w:val="center"/>
            <w:hideMark/>
          </w:tcPr>
          <w:p w14:paraId="6B8BE7B2"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0.4818</w:t>
            </w:r>
          </w:p>
        </w:tc>
        <w:tc>
          <w:tcPr>
            <w:tcW w:w="459" w:type="pct"/>
            <w:vAlign w:val="center"/>
            <w:hideMark/>
          </w:tcPr>
          <w:p w14:paraId="7144952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-0.22</w:t>
            </w:r>
          </w:p>
        </w:tc>
        <w:tc>
          <w:tcPr>
            <w:tcW w:w="386" w:type="pct"/>
            <w:vAlign w:val="center"/>
            <w:hideMark/>
          </w:tcPr>
          <w:p w14:paraId="6F1B760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0.827</w:t>
            </w:r>
          </w:p>
        </w:tc>
        <w:tc>
          <w:tcPr>
            <w:tcW w:w="571" w:type="pct"/>
            <w:vAlign w:val="center"/>
            <w:hideMark/>
          </w:tcPr>
          <w:p w14:paraId="0B8CAC10"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-1.0496</w:t>
            </w:r>
          </w:p>
        </w:tc>
        <w:tc>
          <w:tcPr>
            <w:tcW w:w="1174" w:type="pct"/>
            <w:vAlign w:val="center"/>
            <w:hideMark/>
          </w:tcPr>
          <w:p w14:paraId="2EB1A57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0.839002</w:t>
            </w:r>
          </w:p>
        </w:tc>
      </w:tr>
      <w:tr w:rsidR="006966FD" w:rsidRPr="006966FD" w14:paraId="77964A97" w14:textId="77777777" w:rsidTr="00F656A8">
        <w:trPr>
          <w:trHeight w:val="237"/>
        </w:trPr>
        <w:tc>
          <w:tcPr>
            <w:tcW w:w="1335" w:type="pct"/>
            <w:tcBorders>
              <w:bottom w:val="single" w:sz="4" w:space="0" w:color="auto"/>
            </w:tcBorders>
            <w:vAlign w:val="center"/>
          </w:tcPr>
          <w:p w14:paraId="7A19BE5B" w14:textId="77777777" w:rsidR="006966FD" w:rsidRPr="006966FD" w:rsidRDefault="006966FD" w:rsidP="00F656A8">
            <w:pPr>
              <w:spacing w:after="0"/>
              <w:rPr>
                <w:rFonts w:ascii="Arial" w:hAnsi="Arial" w:cs="Arial"/>
                <w:sz w:val="20"/>
                <w:szCs w:val="20"/>
              </w:rPr>
            </w:pPr>
            <w:r w:rsidRPr="006966FD">
              <w:rPr>
                <w:rFonts w:ascii="Arial" w:hAnsi="Arial" w:cs="Arial"/>
                <w:sz w:val="20"/>
                <w:szCs w:val="20"/>
              </w:rPr>
              <w:t>Barriers to collective organisation</w:t>
            </w:r>
          </w:p>
          <w:p w14:paraId="48A8A1EB" w14:textId="77777777" w:rsidR="006966FD" w:rsidRPr="006966FD" w:rsidRDefault="006966FD" w:rsidP="006A769D">
            <w:pPr>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tcBorders>
              <w:bottom w:val="single" w:sz="4" w:space="0" w:color="auto"/>
            </w:tcBorders>
            <w:vAlign w:val="center"/>
          </w:tcPr>
          <w:p w14:paraId="08588DC4"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-0.420362</w:t>
            </w:r>
          </w:p>
        </w:tc>
        <w:tc>
          <w:tcPr>
            <w:tcW w:w="457" w:type="pct"/>
            <w:tcBorders>
              <w:bottom w:val="single" w:sz="4" w:space="0" w:color="auto"/>
            </w:tcBorders>
            <w:vAlign w:val="center"/>
          </w:tcPr>
          <w:p w14:paraId="4843401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0.43632</w:t>
            </w:r>
          </w:p>
        </w:tc>
        <w:tc>
          <w:tcPr>
            <w:tcW w:w="459" w:type="pct"/>
            <w:tcBorders>
              <w:bottom w:val="single" w:sz="4" w:space="0" w:color="auto"/>
            </w:tcBorders>
            <w:vAlign w:val="center"/>
          </w:tcPr>
          <w:p w14:paraId="56FD97E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-0.96</w:t>
            </w:r>
          </w:p>
        </w:tc>
        <w:tc>
          <w:tcPr>
            <w:tcW w:w="386" w:type="pct"/>
            <w:tcBorders>
              <w:bottom w:val="single" w:sz="4" w:space="0" w:color="auto"/>
            </w:tcBorders>
            <w:vAlign w:val="center"/>
          </w:tcPr>
          <w:p w14:paraId="59BA5170"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0.335</w:t>
            </w:r>
          </w:p>
        </w:tc>
        <w:tc>
          <w:tcPr>
            <w:tcW w:w="571" w:type="pct"/>
            <w:tcBorders>
              <w:bottom w:val="single" w:sz="4" w:space="0" w:color="auto"/>
            </w:tcBorders>
            <w:vAlign w:val="center"/>
          </w:tcPr>
          <w:p w14:paraId="5BD31692"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-1.27553</w:t>
            </w:r>
          </w:p>
        </w:tc>
        <w:tc>
          <w:tcPr>
            <w:tcW w:w="1174" w:type="pct"/>
            <w:tcBorders>
              <w:bottom w:val="single" w:sz="4" w:space="0" w:color="auto"/>
            </w:tcBorders>
            <w:vAlign w:val="center"/>
          </w:tcPr>
          <w:p w14:paraId="4C15B38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0.434808</w:t>
            </w:r>
          </w:p>
        </w:tc>
      </w:tr>
      <w:tr w:rsidR="006966FD" w:rsidRPr="006966FD" w14:paraId="4E5261BF" w14:textId="77777777" w:rsidTr="00F656A8">
        <w:trPr>
          <w:trHeight w:val="237"/>
        </w:trPr>
        <w:tc>
          <w:tcPr>
            <w:tcW w:w="5000" w:type="pct"/>
            <w:gridSpan w:val="7"/>
            <w:tcBorders>
              <w:top w:val="single" w:sz="4" w:space="0" w:color="auto"/>
              <w:bottom w:val="single" w:sz="4" w:space="0" w:color="auto"/>
            </w:tcBorders>
            <w:vAlign w:val="center"/>
          </w:tcPr>
          <w:p w14:paraId="5BB8744C" w14:textId="77777777" w:rsidR="006966FD" w:rsidRPr="006966FD" w:rsidRDefault="006966FD" w:rsidP="006A769D">
            <w:pPr>
              <w:spacing w:after="0" w:line="240" w:lineRule="auto"/>
              <w:rPr>
                <w:rFonts w:ascii="Arial" w:eastAsia="Times New Roman" w:hAnsi="Arial" w:cs="Arial"/>
                <w:color w:val="000000"/>
                <w:kern w:val="0"/>
                <w:sz w:val="20"/>
                <w:szCs w:val="20"/>
                <w:lang w:eastAsia="en-IN"/>
                <w14:ligatures w14:val="none"/>
              </w:rPr>
            </w:pPr>
            <w:r w:rsidRPr="006966FD">
              <w:rPr>
                <w:rFonts w:ascii="Arial" w:hAnsi="Arial" w:cs="Arial"/>
                <w:b/>
                <w:bCs/>
                <w:sz w:val="20"/>
                <w:szCs w:val="20"/>
                <w:lang w:eastAsia="en-IN"/>
              </w:rPr>
              <w:t>Legal, Institutional &amp; Social Protection Gaps</w:t>
            </w:r>
          </w:p>
        </w:tc>
      </w:tr>
      <w:tr w:rsidR="006966FD" w:rsidRPr="006966FD" w14:paraId="6688A94D" w14:textId="77777777" w:rsidTr="00F656A8">
        <w:trPr>
          <w:trHeight w:val="237"/>
        </w:trPr>
        <w:tc>
          <w:tcPr>
            <w:tcW w:w="1335" w:type="pct"/>
            <w:tcBorders>
              <w:top w:val="single" w:sz="4" w:space="0" w:color="auto"/>
            </w:tcBorders>
            <w:vAlign w:val="center"/>
          </w:tcPr>
          <w:p w14:paraId="497CC9EE" w14:textId="77777777" w:rsidR="006966FD" w:rsidRPr="006966FD" w:rsidRDefault="006966FD" w:rsidP="006A769D">
            <w:pPr>
              <w:rPr>
                <w:rFonts w:ascii="Arial" w:hAnsi="Arial" w:cs="Arial"/>
                <w:sz w:val="20"/>
                <w:szCs w:val="20"/>
              </w:rPr>
            </w:pPr>
            <w:r w:rsidRPr="006966FD">
              <w:rPr>
                <w:rFonts w:ascii="Arial" w:hAnsi="Arial" w:cs="Arial"/>
                <w:sz w:val="20"/>
                <w:szCs w:val="20"/>
              </w:rPr>
              <w:t xml:space="preserve">Weak legal recognition and ambiguous employment status </w:t>
            </w:r>
            <w:r w:rsidRPr="006966FD">
              <w:rPr>
                <w:rFonts w:ascii="Arial" w:eastAsia="Times New Roman" w:hAnsi="Arial" w:cs="Arial"/>
                <w:kern w:val="0"/>
                <w:sz w:val="20"/>
                <w:szCs w:val="20"/>
                <w:lang w:eastAsia="en-IN"/>
                <w14:ligatures w14:val="none"/>
              </w:rPr>
              <w:t>(Yes=1; No=0)</w:t>
            </w:r>
          </w:p>
        </w:tc>
        <w:tc>
          <w:tcPr>
            <w:tcW w:w="618" w:type="pct"/>
            <w:tcBorders>
              <w:top w:val="single" w:sz="4" w:space="0" w:color="auto"/>
            </w:tcBorders>
            <w:vAlign w:val="center"/>
          </w:tcPr>
          <w:p w14:paraId="535B9EB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-0.229013</w:t>
            </w:r>
          </w:p>
        </w:tc>
        <w:tc>
          <w:tcPr>
            <w:tcW w:w="457" w:type="pct"/>
            <w:tcBorders>
              <w:top w:val="single" w:sz="4" w:space="0" w:color="auto"/>
            </w:tcBorders>
            <w:vAlign w:val="center"/>
          </w:tcPr>
          <w:p w14:paraId="7CE53BA7"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0.41134</w:t>
            </w:r>
          </w:p>
        </w:tc>
        <w:tc>
          <w:tcPr>
            <w:tcW w:w="459" w:type="pct"/>
            <w:tcBorders>
              <w:top w:val="single" w:sz="4" w:space="0" w:color="auto"/>
            </w:tcBorders>
            <w:vAlign w:val="center"/>
          </w:tcPr>
          <w:p w14:paraId="012E801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-0.56</w:t>
            </w:r>
          </w:p>
        </w:tc>
        <w:tc>
          <w:tcPr>
            <w:tcW w:w="386" w:type="pct"/>
            <w:tcBorders>
              <w:top w:val="single" w:sz="4" w:space="0" w:color="auto"/>
            </w:tcBorders>
            <w:vAlign w:val="center"/>
          </w:tcPr>
          <w:p w14:paraId="6FF3AC2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0.578</w:t>
            </w:r>
          </w:p>
        </w:tc>
        <w:tc>
          <w:tcPr>
            <w:tcW w:w="571" w:type="pct"/>
            <w:tcBorders>
              <w:top w:val="single" w:sz="4" w:space="0" w:color="auto"/>
            </w:tcBorders>
            <w:vAlign w:val="center"/>
          </w:tcPr>
          <w:p w14:paraId="7220DCF7"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-1.03523</w:t>
            </w:r>
          </w:p>
        </w:tc>
        <w:tc>
          <w:tcPr>
            <w:tcW w:w="1174" w:type="pct"/>
            <w:tcBorders>
              <w:top w:val="single" w:sz="4" w:space="0" w:color="auto"/>
            </w:tcBorders>
            <w:vAlign w:val="center"/>
          </w:tcPr>
          <w:p w14:paraId="71C9D1F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0.577203</w:t>
            </w:r>
          </w:p>
        </w:tc>
      </w:tr>
      <w:tr w:rsidR="006966FD" w:rsidRPr="006966FD" w14:paraId="5EA9049C" w14:textId="77777777" w:rsidTr="006966FD">
        <w:trPr>
          <w:trHeight w:val="237"/>
        </w:trPr>
        <w:tc>
          <w:tcPr>
            <w:tcW w:w="1335" w:type="pct"/>
            <w:vAlign w:val="center"/>
            <w:hideMark/>
          </w:tcPr>
          <w:p w14:paraId="23D3CE35" w14:textId="77777777" w:rsidR="006966FD" w:rsidRPr="006966FD" w:rsidRDefault="006966FD" w:rsidP="00F656A8">
            <w:pPr>
              <w:spacing w:after="0"/>
              <w:rPr>
                <w:rFonts w:ascii="Arial" w:hAnsi="Arial" w:cs="Arial"/>
                <w:sz w:val="20"/>
                <w:szCs w:val="20"/>
              </w:rPr>
            </w:pPr>
            <w:r w:rsidRPr="006966FD">
              <w:rPr>
                <w:rFonts w:ascii="Arial" w:hAnsi="Arial" w:cs="Arial"/>
                <w:sz w:val="20"/>
                <w:szCs w:val="20"/>
              </w:rPr>
              <w:t>Absence of social security and benefits</w:t>
            </w:r>
          </w:p>
          <w:p w14:paraId="0F9A9BED" w14:textId="77777777" w:rsidR="006966FD" w:rsidRPr="006966FD" w:rsidRDefault="006966FD" w:rsidP="006A769D">
            <w:pPr>
              <w:spacing w:after="0" w:line="240" w:lineRule="auto"/>
              <w:rPr>
                <w:rFonts w:ascii="Arial" w:eastAsia="Times New Roman" w:hAnsi="Arial" w:cs="Arial"/>
                <w:color w:val="000000"/>
                <w:kern w:val="0"/>
                <w:sz w:val="20"/>
                <w:szCs w:val="20"/>
                <w:lang w:eastAsia="en-IN"/>
                <w14:ligatures w14:val="none"/>
              </w:rPr>
            </w:pPr>
            <w:r w:rsidRPr="006966FD">
              <w:rPr>
                <w:rFonts w:ascii="Arial" w:eastAsia="Times New Roman" w:hAnsi="Arial" w:cs="Arial"/>
                <w:kern w:val="0"/>
                <w:sz w:val="20"/>
                <w:szCs w:val="20"/>
                <w:lang w:eastAsia="en-IN"/>
                <w14:ligatures w14:val="none"/>
              </w:rPr>
              <w:t>(Yes=1; No=0)</w:t>
            </w:r>
          </w:p>
        </w:tc>
        <w:tc>
          <w:tcPr>
            <w:tcW w:w="618" w:type="pct"/>
            <w:vAlign w:val="center"/>
            <w:hideMark/>
          </w:tcPr>
          <w:p w14:paraId="395C905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0.434884</w:t>
            </w:r>
          </w:p>
        </w:tc>
        <w:tc>
          <w:tcPr>
            <w:tcW w:w="457" w:type="pct"/>
            <w:vAlign w:val="center"/>
            <w:hideMark/>
          </w:tcPr>
          <w:p w14:paraId="2F19364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0.53235</w:t>
            </w:r>
          </w:p>
        </w:tc>
        <w:tc>
          <w:tcPr>
            <w:tcW w:w="459" w:type="pct"/>
            <w:vAlign w:val="center"/>
            <w:hideMark/>
          </w:tcPr>
          <w:p w14:paraId="7543831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0.82</w:t>
            </w:r>
          </w:p>
        </w:tc>
        <w:tc>
          <w:tcPr>
            <w:tcW w:w="386" w:type="pct"/>
            <w:vAlign w:val="center"/>
            <w:hideMark/>
          </w:tcPr>
          <w:p w14:paraId="3A086ED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0.414</w:t>
            </w:r>
          </w:p>
        </w:tc>
        <w:tc>
          <w:tcPr>
            <w:tcW w:w="571" w:type="pct"/>
            <w:vAlign w:val="center"/>
            <w:hideMark/>
          </w:tcPr>
          <w:p w14:paraId="7090AFD4"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-0.608507</w:t>
            </w:r>
          </w:p>
        </w:tc>
        <w:tc>
          <w:tcPr>
            <w:tcW w:w="1174" w:type="pct"/>
            <w:vAlign w:val="center"/>
            <w:hideMark/>
          </w:tcPr>
          <w:p w14:paraId="79B638A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1.47828</w:t>
            </w:r>
          </w:p>
        </w:tc>
      </w:tr>
      <w:tr w:rsidR="006966FD" w:rsidRPr="006966FD" w14:paraId="7879C39D" w14:textId="77777777" w:rsidTr="006966FD">
        <w:trPr>
          <w:trHeight w:val="237"/>
        </w:trPr>
        <w:tc>
          <w:tcPr>
            <w:tcW w:w="1335" w:type="pct"/>
            <w:vAlign w:val="center"/>
            <w:hideMark/>
          </w:tcPr>
          <w:p w14:paraId="1522C4B1" w14:textId="77777777" w:rsidR="006966FD" w:rsidRPr="006966FD" w:rsidRDefault="006966FD" w:rsidP="00F656A8">
            <w:pPr>
              <w:spacing w:before="240" w:after="0"/>
              <w:rPr>
                <w:rFonts w:ascii="Arial" w:hAnsi="Arial" w:cs="Arial"/>
                <w:sz w:val="20"/>
                <w:szCs w:val="20"/>
              </w:rPr>
            </w:pPr>
            <w:r w:rsidRPr="006966FD">
              <w:rPr>
                <w:rFonts w:ascii="Arial" w:hAnsi="Arial" w:cs="Arial"/>
                <w:sz w:val="20"/>
                <w:szCs w:val="20"/>
              </w:rPr>
              <w:t xml:space="preserve">Member of a workers’ association </w:t>
            </w:r>
          </w:p>
          <w:p w14:paraId="71E082FA" w14:textId="77777777" w:rsidR="006966FD" w:rsidRPr="006966FD" w:rsidRDefault="006966FD" w:rsidP="006A769D">
            <w:pPr>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vAlign w:val="center"/>
            <w:hideMark/>
          </w:tcPr>
          <w:p w14:paraId="4D0DB85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1.2894</w:t>
            </w:r>
          </w:p>
        </w:tc>
        <w:tc>
          <w:tcPr>
            <w:tcW w:w="457" w:type="pct"/>
            <w:vAlign w:val="center"/>
            <w:hideMark/>
          </w:tcPr>
          <w:p w14:paraId="2266B84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0.60086</w:t>
            </w:r>
          </w:p>
        </w:tc>
        <w:tc>
          <w:tcPr>
            <w:tcW w:w="459" w:type="pct"/>
            <w:vAlign w:val="center"/>
            <w:hideMark/>
          </w:tcPr>
          <w:p w14:paraId="59B761B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2.15</w:t>
            </w:r>
          </w:p>
        </w:tc>
        <w:tc>
          <w:tcPr>
            <w:tcW w:w="386" w:type="pct"/>
            <w:vAlign w:val="center"/>
            <w:hideMark/>
          </w:tcPr>
          <w:p w14:paraId="6B2D7E7A"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0.032</w:t>
            </w:r>
          </w:p>
        </w:tc>
        <w:tc>
          <w:tcPr>
            <w:tcW w:w="571" w:type="pct"/>
            <w:vAlign w:val="center"/>
            <w:hideMark/>
          </w:tcPr>
          <w:p w14:paraId="4B5A00F6"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0.111743</w:t>
            </w:r>
          </w:p>
        </w:tc>
        <w:tc>
          <w:tcPr>
            <w:tcW w:w="1174" w:type="pct"/>
            <w:vAlign w:val="center"/>
            <w:hideMark/>
          </w:tcPr>
          <w:p w14:paraId="56E3B3E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2.46706</w:t>
            </w:r>
          </w:p>
        </w:tc>
      </w:tr>
      <w:tr w:rsidR="006966FD" w:rsidRPr="006966FD" w14:paraId="42D4E878" w14:textId="77777777" w:rsidTr="006966FD">
        <w:trPr>
          <w:trHeight w:val="237"/>
        </w:trPr>
        <w:tc>
          <w:tcPr>
            <w:tcW w:w="1335" w:type="pct"/>
            <w:vAlign w:val="center"/>
            <w:hideMark/>
          </w:tcPr>
          <w:p w14:paraId="7252534C" w14:textId="77777777" w:rsidR="006966FD" w:rsidRPr="006966FD" w:rsidRDefault="006966FD" w:rsidP="00F656A8">
            <w:pPr>
              <w:spacing w:after="0"/>
              <w:rPr>
                <w:rFonts w:ascii="Arial" w:hAnsi="Arial" w:cs="Arial"/>
                <w:sz w:val="20"/>
                <w:szCs w:val="20"/>
              </w:rPr>
            </w:pPr>
            <w:r w:rsidRPr="006966FD">
              <w:rPr>
                <w:rFonts w:ascii="Arial" w:hAnsi="Arial" w:cs="Arial"/>
                <w:sz w:val="20"/>
                <w:szCs w:val="20"/>
              </w:rPr>
              <w:t>Physical and mental health risks</w:t>
            </w:r>
          </w:p>
          <w:p w14:paraId="5B526ECA" w14:textId="77777777" w:rsidR="006966FD" w:rsidRPr="006966FD" w:rsidRDefault="006966FD" w:rsidP="006A769D">
            <w:pPr>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vAlign w:val="center"/>
            <w:hideMark/>
          </w:tcPr>
          <w:p w14:paraId="04710FAE"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-0.271243</w:t>
            </w:r>
          </w:p>
        </w:tc>
        <w:tc>
          <w:tcPr>
            <w:tcW w:w="457" w:type="pct"/>
            <w:vAlign w:val="center"/>
            <w:hideMark/>
          </w:tcPr>
          <w:p w14:paraId="007346F4"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0.41761</w:t>
            </w:r>
          </w:p>
        </w:tc>
        <w:tc>
          <w:tcPr>
            <w:tcW w:w="459" w:type="pct"/>
            <w:vAlign w:val="center"/>
            <w:hideMark/>
          </w:tcPr>
          <w:p w14:paraId="6175AFB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-0.65</w:t>
            </w:r>
          </w:p>
        </w:tc>
        <w:tc>
          <w:tcPr>
            <w:tcW w:w="386" w:type="pct"/>
            <w:vAlign w:val="center"/>
            <w:hideMark/>
          </w:tcPr>
          <w:p w14:paraId="7AE2FEB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0.516</w:t>
            </w:r>
          </w:p>
        </w:tc>
        <w:tc>
          <w:tcPr>
            <w:tcW w:w="571" w:type="pct"/>
            <w:vAlign w:val="center"/>
            <w:hideMark/>
          </w:tcPr>
          <w:p w14:paraId="71525B6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-1.08975</w:t>
            </w:r>
          </w:p>
        </w:tc>
        <w:tc>
          <w:tcPr>
            <w:tcW w:w="1174" w:type="pct"/>
            <w:vAlign w:val="center"/>
            <w:hideMark/>
          </w:tcPr>
          <w:p w14:paraId="7F88EC0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0.547265</w:t>
            </w:r>
          </w:p>
        </w:tc>
      </w:tr>
      <w:tr w:rsidR="006966FD" w:rsidRPr="006966FD" w14:paraId="5F5756F1" w14:textId="77777777" w:rsidTr="00F656A8">
        <w:trPr>
          <w:trHeight w:val="237"/>
        </w:trPr>
        <w:tc>
          <w:tcPr>
            <w:tcW w:w="1335" w:type="pct"/>
            <w:tcBorders>
              <w:bottom w:val="single" w:sz="4" w:space="0" w:color="auto"/>
            </w:tcBorders>
            <w:vAlign w:val="center"/>
            <w:hideMark/>
          </w:tcPr>
          <w:p w14:paraId="7CE72885" w14:textId="77777777" w:rsidR="006966FD" w:rsidRPr="006966FD" w:rsidRDefault="006966FD" w:rsidP="006A769D">
            <w:pPr>
              <w:spacing w:line="278" w:lineRule="auto"/>
              <w:rPr>
                <w:rFonts w:ascii="Arial" w:hAnsi="Arial" w:cs="Arial"/>
                <w:sz w:val="20"/>
                <w:szCs w:val="20"/>
              </w:rPr>
            </w:pPr>
            <w:r w:rsidRPr="006966FD">
              <w:rPr>
                <w:rFonts w:ascii="Arial" w:hAnsi="Arial" w:cs="Arial"/>
                <w:sz w:val="20"/>
                <w:szCs w:val="20"/>
              </w:rPr>
              <w:t xml:space="preserve">Safety issues at the workplace and during commute </w:t>
            </w:r>
            <w:r w:rsidRPr="006966FD">
              <w:rPr>
                <w:rFonts w:ascii="Arial" w:eastAsia="Times New Roman" w:hAnsi="Arial" w:cs="Arial"/>
                <w:kern w:val="0"/>
                <w:sz w:val="20"/>
                <w:szCs w:val="20"/>
                <w:lang w:eastAsia="en-IN"/>
                <w14:ligatures w14:val="none"/>
              </w:rPr>
              <w:t>(Yes=1; No=0)</w:t>
            </w:r>
          </w:p>
        </w:tc>
        <w:tc>
          <w:tcPr>
            <w:tcW w:w="618" w:type="pct"/>
            <w:tcBorders>
              <w:bottom w:val="single" w:sz="4" w:space="0" w:color="auto"/>
            </w:tcBorders>
            <w:vAlign w:val="center"/>
            <w:hideMark/>
          </w:tcPr>
          <w:p w14:paraId="4B0A69D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0.106547</w:t>
            </w:r>
          </w:p>
        </w:tc>
        <w:tc>
          <w:tcPr>
            <w:tcW w:w="457" w:type="pct"/>
            <w:tcBorders>
              <w:bottom w:val="single" w:sz="4" w:space="0" w:color="auto"/>
            </w:tcBorders>
            <w:vAlign w:val="center"/>
            <w:hideMark/>
          </w:tcPr>
          <w:p w14:paraId="698BD3FE"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0.35897</w:t>
            </w:r>
          </w:p>
        </w:tc>
        <w:tc>
          <w:tcPr>
            <w:tcW w:w="459" w:type="pct"/>
            <w:tcBorders>
              <w:bottom w:val="single" w:sz="4" w:space="0" w:color="auto"/>
            </w:tcBorders>
            <w:vAlign w:val="center"/>
            <w:hideMark/>
          </w:tcPr>
          <w:p w14:paraId="3450A48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w:t>
            </w:r>
          </w:p>
        </w:tc>
        <w:tc>
          <w:tcPr>
            <w:tcW w:w="386" w:type="pct"/>
            <w:tcBorders>
              <w:bottom w:val="single" w:sz="4" w:space="0" w:color="auto"/>
            </w:tcBorders>
            <w:vAlign w:val="center"/>
            <w:hideMark/>
          </w:tcPr>
          <w:p w14:paraId="14C455B7"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0.767</w:t>
            </w:r>
          </w:p>
        </w:tc>
        <w:tc>
          <w:tcPr>
            <w:tcW w:w="571" w:type="pct"/>
            <w:tcBorders>
              <w:bottom w:val="single" w:sz="4" w:space="0" w:color="auto"/>
            </w:tcBorders>
            <w:vAlign w:val="center"/>
            <w:hideMark/>
          </w:tcPr>
          <w:p w14:paraId="4B19075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-0.597028</w:t>
            </w:r>
          </w:p>
        </w:tc>
        <w:tc>
          <w:tcPr>
            <w:tcW w:w="1174" w:type="pct"/>
            <w:tcBorders>
              <w:bottom w:val="single" w:sz="4" w:space="0" w:color="auto"/>
            </w:tcBorders>
            <w:vAlign w:val="center"/>
            <w:hideMark/>
          </w:tcPr>
          <w:p w14:paraId="1A3ADDB0"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0.810123</w:t>
            </w:r>
          </w:p>
        </w:tc>
      </w:tr>
      <w:tr w:rsidR="006966FD" w:rsidRPr="006966FD" w14:paraId="43A82C15" w14:textId="77777777" w:rsidTr="00F656A8">
        <w:trPr>
          <w:trHeight w:val="237"/>
        </w:trPr>
        <w:tc>
          <w:tcPr>
            <w:tcW w:w="5000" w:type="pct"/>
            <w:gridSpan w:val="7"/>
            <w:tcBorders>
              <w:top w:val="single" w:sz="4" w:space="0" w:color="auto"/>
              <w:bottom w:val="single" w:sz="4" w:space="0" w:color="auto"/>
            </w:tcBorders>
            <w:vAlign w:val="center"/>
          </w:tcPr>
          <w:p w14:paraId="34AF499F" w14:textId="77777777" w:rsidR="006966FD" w:rsidRPr="006966FD" w:rsidRDefault="006966FD" w:rsidP="006A769D">
            <w:pPr>
              <w:spacing w:after="0" w:line="240" w:lineRule="auto"/>
              <w:rPr>
                <w:rFonts w:ascii="Arial" w:eastAsia="Times New Roman" w:hAnsi="Arial" w:cs="Arial"/>
                <w:color w:val="000000"/>
                <w:kern w:val="0"/>
                <w:sz w:val="20"/>
                <w:szCs w:val="20"/>
                <w:lang w:eastAsia="en-IN"/>
                <w14:ligatures w14:val="none"/>
              </w:rPr>
            </w:pPr>
            <w:r w:rsidRPr="006966FD">
              <w:rPr>
                <w:rFonts w:ascii="Arial" w:hAnsi="Arial" w:cs="Arial"/>
                <w:b/>
                <w:bCs/>
                <w:sz w:val="20"/>
                <w:szCs w:val="20"/>
                <w:lang w:eastAsia="en-IN"/>
              </w:rPr>
              <w:t>Health, Finance, Safety &amp; Wellbeing Risks</w:t>
            </w:r>
          </w:p>
        </w:tc>
      </w:tr>
      <w:tr w:rsidR="006966FD" w:rsidRPr="006966FD" w14:paraId="181C3F6B" w14:textId="77777777" w:rsidTr="00F656A8">
        <w:trPr>
          <w:trHeight w:val="237"/>
        </w:trPr>
        <w:tc>
          <w:tcPr>
            <w:tcW w:w="1335" w:type="pct"/>
            <w:tcBorders>
              <w:top w:val="single" w:sz="4" w:space="0" w:color="auto"/>
            </w:tcBorders>
            <w:vAlign w:val="center"/>
          </w:tcPr>
          <w:p w14:paraId="25AFFADF" w14:textId="77777777" w:rsidR="006966FD" w:rsidRPr="006966FD" w:rsidRDefault="006966FD" w:rsidP="00F656A8">
            <w:pPr>
              <w:spacing w:after="0"/>
              <w:rPr>
                <w:rFonts w:ascii="Arial" w:hAnsi="Arial" w:cs="Arial"/>
                <w:sz w:val="20"/>
                <w:szCs w:val="20"/>
              </w:rPr>
            </w:pPr>
            <w:r w:rsidRPr="006966FD">
              <w:rPr>
                <w:rFonts w:ascii="Arial" w:hAnsi="Arial" w:cs="Arial"/>
                <w:sz w:val="20"/>
                <w:szCs w:val="20"/>
              </w:rPr>
              <w:t>Avail any health insurance policy</w:t>
            </w:r>
          </w:p>
          <w:p w14:paraId="6B37FD4C" w14:textId="77777777" w:rsidR="006966FD" w:rsidRPr="006966FD" w:rsidRDefault="006966FD" w:rsidP="006A769D">
            <w:pPr>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tcBorders>
              <w:top w:val="single" w:sz="4" w:space="0" w:color="auto"/>
            </w:tcBorders>
            <w:vAlign w:val="center"/>
          </w:tcPr>
          <w:p w14:paraId="5DFD46F7"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-0.808149</w:t>
            </w:r>
          </w:p>
        </w:tc>
        <w:tc>
          <w:tcPr>
            <w:tcW w:w="457" w:type="pct"/>
            <w:tcBorders>
              <w:top w:val="single" w:sz="4" w:space="0" w:color="auto"/>
            </w:tcBorders>
            <w:vAlign w:val="center"/>
          </w:tcPr>
          <w:p w14:paraId="5898636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0.58736</w:t>
            </w:r>
          </w:p>
        </w:tc>
        <w:tc>
          <w:tcPr>
            <w:tcW w:w="459" w:type="pct"/>
            <w:tcBorders>
              <w:top w:val="single" w:sz="4" w:space="0" w:color="auto"/>
            </w:tcBorders>
            <w:vAlign w:val="center"/>
          </w:tcPr>
          <w:p w14:paraId="692A089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-1.38</w:t>
            </w:r>
          </w:p>
        </w:tc>
        <w:tc>
          <w:tcPr>
            <w:tcW w:w="386" w:type="pct"/>
            <w:tcBorders>
              <w:top w:val="single" w:sz="4" w:space="0" w:color="auto"/>
            </w:tcBorders>
            <w:vAlign w:val="center"/>
          </w:tcPr>
          <w:p w14:paraId="0C9835BE"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0.169</w:t>
            </w:r>
          </w:p>
        </w:tc>
        <w:tc>
          <w:tcPr>
            <w:tcW w:w="571" w:type="pct"/>
            <w:tcBorders>
              <w:top w:val="single" w:sz="4" w:space="0" w:color="auto"/>
            </w:tcBorders>
            <w:vAlign w:val="center"/>
          </w:tcPr>
          <w:p w14:paraId="465265EE"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-1.95934</w:t>
            </w:r>
          </w:p>
        </w:tc>
        <w:tc>
          <w:tcPr>
            <w:tcW w:w="1174" w:type="pct"/>
            <w:tcBorders>
              <w:top w:val="single" w:sz="4" w:space="0" w:color="auto"/>
            </w:tcBorders>
            <w:vAlign w:val="center"/>
          </w:tcPr>
          <w:p w14:paraId="621D463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0.343046</w:t>
            </w:r>
          </w:p>
        </w:tc>
      </w:tr>
      <w:tr w:rsidR="006966FD" w:rsidRPr="006966FD" w14:paraId="7F2096B6" w14:textId="77777777" w:rsidTr="006966FD">
        <w:trPr>
          <w:trHeight w:val="237"/>
        </w:trPr>
        <w:tc>
          <w:tcPr>
            <w:tcW w:w="1335" w:type="pct"/>
            <w:vAlign w:val="center"/>
          </w:tcPr>
          <w:p w14:paraId="11DF7978" w14:textId="77777777" w:rsidR="00F656A8" w:rsidRDefault="006966FD" w:rsidP="00F656A8">
            <w:pPr>
              <w:spacing w:after="0"/>
              <w:rPr>
                <w:rFonts w:ascii="Arial" w:hAnsi="Arial" w:cs="Arial"/>
                <w:sz w:val="20"/>
                <w:szCs w:val="20"/>
              </w:rPr>
            </w:pPr>
            <w:r w:rsidRPr="006966FD">
              <w:rPr>
                <w:rFonts w:ascii="Arial" w:hAnsi="Arial" w:cs="Arial"/>
                <w:sz w:val="20"/>
                <w:szCs w:val="20"/>
              </w:rPr>
              <w:t xml:space="preserve">Poor access to healthcare </w:t>
            </w:r>
          </w:p>
          <w:p w14:paraId="0EB9BAA0" w14:textId="627A88D0" w:rsidR="006966FD" w:rsidRPr="006966FD" w:rsidRDefault="006966FD" w:rsidP="006A769D">
            <w:pPr>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vAlign w:val="center"/>
          </w:tcPr>
          <w:p w14:paraId="06393BE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-0.3147</w:t>
            </w:r>
          </w:p>
        </w:tc>
        <w:tc>
          <w:tcPr>
            <w:tcW w:w="457" w:type="pct"/>
            <w:vAlign w:val="center"/>
          </w:tcPr>
          <w:p w14:paraId="5CBCEEF4"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0.34903</w:t>
            </w:r>
          </w:p>
        </w:tc>
        <w:tc>
          <w:tcPr>
            <w:tcW w:w="459" w:type="pct"/>
            <w:vAlign w:val="center"/>
          </w:tcPr>
          <w:p w14:paraId="5727EA25"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-0.9</w:t>
            </w:r>
          </w:p>
        </w:tc>
        <w:tc>
          <w:tcPr>
            <w:tcW w:w="386" w:type="pct"/>
            <w:vAlign w:val="center"/>
          </w:tcPr>
          <w:p w14:paraId="314E6FA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0.367</w:t>
            </w:r>
          </w:p>
        </w:tc>
        <w:tc>
          <w:tcPr>
            <w:tcW w:w="571" w:type="pct"/>
            <w:vAlign w:val="center"/>
          </w:tcPr>
          <w:p w14:paraId="291EF85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-0.998776</w:t>
            </w:r>
          </w:p>
        </w:tc>
        <w:tc>
          <w:tcPr>
            <w:tcW w:w="1174" w:type="pct"/>
            <w:vAlign w:val="center"/>
          </w:tcPr>
          <w:p w14:paraId="242A202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0.369376</w:t>
            </w:r>
          </w:p>
        </w:tc>
      </w:tr>
      <w:tr w:rsidR="006966FD" w:rsidRPr="006966FD" w14:paraId="2719EC99" w14:textId="77777777" w:rsidTr="006966FD">
        <w:trPr>
          <w:trHeight w:val="237"/>
        </w:trPr>
        <w:tc>
          <w:tcPr>
            <w:tcW w:w="1335" w:type="pct"/>
            <w:vAlign w:val="center"/>
            <w:hideMark/>
          </w:tcPr>
          <w:p w14:paraId="2042D1CF" w14:textId="77777777" w:rsidR="006966FD" w:rsidRPr="006966FD" w:rsidRDefault="006966FD" w:rsidP="006A769D">
            <w:pPr>
              <w:spacing w:line="278" w:lineRule="auto"/>
              <w:rPr>
                <w:rFonts w:ascii="Arial" w:hAnsi="Arial" w:cs="Arial"/>
                <w:sz w:val="20"/>
                <w:szCs w:val="20"/>
              </w:rPr>
            </w:pPr>
            <w:r w:rsidRPr="006966FD">
              <w:rPr>
                <w:rFonts w:ascii="Arial" w:hAnsi="Arial" w:cs="Arial"/>
                <w:sz w:val="20"/>
                <w:szCs w:val="20"/>
              </w:rPr>
              <w:t xml:space="preserve">Bank account status </w:t>
            </w:r>
            <w:r w:rsidRPr="006966FD">
              <w:rPr>
                <w:rFonts w:ascii="Arial" w:eastAsia="Times New Roman" w:hAnsi="Arial" w:cs="Arial"/>
                <w:kern w:val="0"/>
                <w:sz w:val="20"/>
                <w:szCs w:val="20"/>
                <w:lang w:eastAsia="en-IN"/>
                <w14:ligatures w14:val="none"/>
              </w:rPr>
              <w:t>(Yes=1; No=0)</w:t>
            </w:r>
          </w:p>
        </w:tc>
        <w:tc>
          <w:tcPr>
            <w:tcW w:w="618" w:type="pct"/>
            <w:vAlign w:val="center"/>
            <w:hideMark/>
          </w:tcPr>
          <w:p w14:paraId="3E77B842"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-0.730223</w:t>
            </w:r>
          </w:p>
        </w:tc>
        <w:tc>
          <w:tcPr>
            <w:tcW w:w="457" w:type="pct"/>
            <w:vAlign w:val="center"/>
            <w:hideMark/>
          </w:tcPr>
          <w:p w14:paraId="11E48F7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0.60749</w:t>
            </w:r>
          </w:p>
        </w:tc>
        <w:tc>
          <w:tcPr>
            <w:tcW w:w="459" w:type="pct"/>
            <w:vAlign w:val="center"/>
            <w:hideMark/>
          </w:tcPr>
          <w:p w14:paraId="085FEF98"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-1.2</w:t>
            </w:r>
          </w:p>
        </w:tc>
        <w:tc>
          <w:tcPr>
            <w:tcW w:w="386" w:type="pct"/>
            <w:vAlign w:val="center"/>
            <w:hideMark/>
          </w:tcPr>
          <w:p w14:paraId="6377524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0.229</w:t>
            </w:r>
          </w:p>
        </w:tc>
        <w:tc>
          <w:tcPr>
            <w:tcW w:w="571" w:type="pct"/>
            <w:vAlign w:val="center"/>
            <w:hideMark/>
          </w:tcPr>
          <w:p w14:paraId="739BCF72"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-1.92088</w:t>
            </w:r>
          </w:p>
        </w:tc>
        <w:tc>
          <w:tcPr>
            <w:tcW w:w="1174" w:type="pct"/>
            <w:vAlign w:val="center"/>
            <w:hideMark/>
          </w:tcPr>
          <w:p w14:paraId="3B7232F6"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0.460432</w:t>
            </w:r>
          </w:p>
        </w:tc>
      </w:tr>
      <w:tr w:rsidR="006966FD" w:rsidRPr="006966FD" w14:paraId="08EB9008" w14:textId="77777777" w:rsidTr="006966FD">
        <w:trPr>
          <w:trHeight w:val="237"/>
        </w:trPr>
        <w:tc>
          <w:tcPr>
            <w:tcW w:w="1335" w:type="pct"/>
            <w:vAlign w:val="center"/>
            <w:hideMark/>
          </w:tcPr>
          <w:p w14:paraId="28966C45" w14:textId="77777777" w:rsidR="006966FD" w:rsidRPr="006966FD" w:rsidRDefault="006966FD" w:rsidP="006A769D">
            <w:pPr>
              <w:rPr>
                <w:rFonts w:ascii="Arial" w:hAnsi="Arial" w:cs="Arial"/>
                <w:sz w:val="20"/>
                <w:szCs w:val="20"/>
              </w:rPr>
            </w:pPr>
            <w:r w:rsidRPr="006966FD">
              <w:rPr>
                <w:rFonts w:ascii="Arial" w:hAnsi="Arial" w:cs="Arial"/>
                <w:sz w:val="20"/>
                <w:szCs w:val="20"/>
              </w:rPr>
              <w:t xml:space="preserve">Access to loans for gig workers </w:t>
            </w:r>
            <w:r w:rsidRPr="006966FD">
              <w:rPr>
                <w:rFonts w:ascii="Arial" w:eastAsia="Times New Roman" w:hAnsi="Arial" w:cs="Arial"/>
                <w:kern w:val="0"/>
                <w:sz w:val="20"/>
                <w:szCs w:val="20"/>
                <w:lang w:eastAsia="en-IN"/>
                <w14:ligatures w14:val="none"/>
              </w:rPr>
              <w:t>(Yes=1; No=0)</w:t>
            </w:r>
          </w:p>
        </w:tc>
        <w:tc>
          <w:tcPr>
            <w:tcW w:w="618" w:type="pct"/>
            <w:vAlign w:val="center"/>
            <w:hideMark/>
          </w:tcPr>
          <w:p w14:paraId="2DC45FD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0.25945</w:t>
            </w:r>
          </w:p>
        </w:tc>
        <w:tc>
          <w:tcPr>
            <w:tcW w:w="457" w:type="pct"/>
            <w:vAlign w:val="center"/>
            <w:hideMark/>
          </w:tcPr>
          <w:p w14:paraId="619EA874"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0.36544</w:t>
            </w:r>
          </w:p>
        </w:tc>
        <w:tc>
          <w:tcPr>
            <w:tcW w:w="459" w:type="pct"/>
            <w:vAlign w:val="center"/>
            <w:hideMark/>
          </w:tcPr>
          <w:p w14:paraId="1EB15E0F"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0.71</w:t>
            </w:r>
          </w:p>
        </w:tc>
        <w:tc>
          <w:tcPr>
            <w:tcW w:w="386" w:type="pct"/>
            <w:vAlign w:val="center"/>
            <w:hideMark/>
          </w:tcPr>
          <w:p w14:paraId="157218DA"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0.478</w:t>
            </w:r>
          </w:p>
        </w:tc>
        <w:tc>
          <w:tcPr>
            <w:tcW w:w="571" w:type="pct"/>
            <w:vAlign w:val="center"/>
            <w:hideMark/>
          </w:tcPr>
          <w:p w14:paraId="55302DE6"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-0.456805</w:t>
            </w:r>
          </w:p>
        </w:tc>
        <w:tc>
          <w:tcPr>
            <w:tcW w:w="1174" w:type="pct"/>
            <w:vAlign w:val="center"/>
            <w:hideMark/>
          </w:tcPr>
          <w:p w14:paraId="345DAE1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0.975705</w:t>
            </w:r>
          </w:p>
        </w:tc>
      </w:tr>
      <w:tr w:rsidR="006966FD" w:rsidRPr="006966FD" w14:paraId="31BF56F1" w14:textId="77777777" w:rsidTr="006966FD">
        <w:trPr>
          <w:trHeight w:val="237"/>
        </w:trPr>
        <w:tc>
          <w:tcPr>
            <w:tcW w:w="1335" w:type="pct"/>
            <w:vAlign w:val="center"/>
            <w:hideMark/>
          </w:tcPr>
          <w:p w14:paraId="50012BD1" w14:textId="77777777" w:rsidR="006966FD" w:rsidRPr="006966FD" w:rsidRDefault="006966FD" w:rsidP="006A769D">
            <w:pPr>
              <w:spacing w:line="278" w:lineRule="auto"/>
              <w:rPr>
                <w:rFonts w:ascii="Arial" w:hAnsi="Arial" w:cs="Arial"/>
                <w:sz w:val="20"/>
                <w:szCs w:val="20"/>
              </w:rPr>
            </w:pPr>
            <w:r w:rsidRPr="006966FD">
              <w:rPr>
                <w:rFonts w:ascii="Arial" w:hAnsi="Arial" w:cs="Arial"/>
                <w:sz w:val="20"/>
                <w:szCs w:val="20"/>
              </w:rPr>
              <w:t xml:space="preserve">Received training during the past 12 months </w:t>
            </w:r>
            <w:r w:rsidRPr="006966FD">
              <w:rPr>
                <w:rFonts w:ascii="Arial" w:eastAsia="Times New Roman" w:hAnsi="Arial" w:cs="Arial"/>
                <w:kern w:val="0"/>
                <w:sz w:val="20"/>
                <w:szCs w:val="20"/>
                <w:lang w:eastAsia="en-IN"/>
                <w14:ligatures w14:val="none"/>
              </w:rPr>
              <w:t>(Yes=1; No=0)</w:t>
            </w:r>
          </w:p>
        </w:tc>
        <w:tc>
          <w:tcPr>
            <w:tcW w:w="618" w:type="pct"/>
            <w:vAlign w:val="center"/>
            <w:hideMark/>
          </w:tcPr>
          <w:p w14:paraId="57FAD182"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0.36208</w:t>
            </w:r>
          </w:p>
        </w:tc>
        <w:tc>
          <w:tcPr>
            <w:tcW w:w="457" w:type="pct"/>
            <w:vAlign w:val="center"/>
            <w:hideMark/>
          </w:tcPr>
          <w:p w14:paraId="4C44473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0.36337</w:t>
            </w:r>
          </w:p>
        </w:tc>
        <w:tc>
          <w:tcPr>
            <w:tcW w:w="459" w:type="pct"/>
            <w:vAlign w:val="center"/>
            <w:hideMark/>
          </w:tcPr>
          <w:p w14:paraId="726DAEE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w:t>
            </w:r>
          </w:p>
        </w:tc>
        <w:tc>
          <w:tcPr>
            <w:tcW w:w="386" w:type="pct"/>
            <w:vAlign w:val="center"/>
            <w:hideMark/>
          </w:tcPr>
          <w:p w14:paraId="74DC83AD"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0.319</w:t>
            </w:r>
          </w:p>
        </w:tc>
        <w:tc>
          <w:tcPr>
            <w:tcW w:w="571" w:type="pct"/>
            <w:vAlign w:val="center"/>
            <w:hideMark/>
          </w:tcPr>
          <w:p w14:paraId="4AB46C13"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-0.350119</w:t>
            </w:r>
          </w:p>
        </w:tc>
        <w:tc>
          <w:tcPr>
            <w:tcW w:w="1174" w:type="pct"/>
            <w:vAlign w:val="center"/>
            <w:hideMark/>
          </w:tcPr>
          <w:p w14:paraId="06A2E1DC"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1.07428</w:t>
            </w:r>
          </w:p>
        </w:tc>
      </w:tr>
      <w:tr w:rsidR="006966FD" w:rsidRPr="006966FD" w14:paraId="306A55AE" w14:textId="77777777" w:rsidTr="006966FD">
        <w:trPr>
          <w:trHeight w:val="237"/>
        </w:trPr>
        <w:tc>
          <w:tcPr>
            <w:tcW w:w="1335" w:type="pct"/>
            <w:vAlign w:val="center"/>
            <w:hideMark/>
          </w:tcPr>
          <w:p w14:paraId="4F281624" w14:textId="77777777" w:rsidR="00F656A8" w:rsidRDefault="006966FD" w:rsidP="00F656A8">
            <w:pPr>
              <w:spacing w:after="0"/>
              <w:rPr>
                <w:rFonts w:ascii="Arial" w:hAnsi="Arial" w:cs="Arial"/>
                <w:sz w:val="20"/>
                <w:szCs w:val="20"/>
              </w:rPr>
            </w:pPr>
            <w:r w:rsidRPr="006966FD">
              <w:rPr>
                <w:rFonts w:ascii="Arial" w:hAnsi="Arial" w:cs="Arial"/>
                <w:sz w:val="20"/>
                <w:szCs w:val="20"/>
              </w:rPr>
              <w:t xml:space="preserve">Experience a skills gap or mismatch </w:t>
            </w:r>
          </w:p>
          <w:p w14:paraId="147720DD" w14:textId="4543A545" w:rsidR="006966FD" w:rsidRPr="006966FD" w:rsidRDefault="006966FD" w:rsidP="006A769D">
            <w:pPr>
              <w:rPr>
                <w:rFonts w:ascii="Arial" w:hAnsi="Arial" w:cs="Arial"/>
                <w:sz w:val="20"/>
                <w:szCs w:val="20"/>
              </w:rPr>
            </w:pPr>
            <w:r w:rsidRPr="006966FD">
              <w:rPr>
                <w:rFonts w:ascii="Arial" w:eastAsia="Times New Roman" w:hAnsi="Arial" w:cs="Arial"/>
                <w:kern w:val="0"/>
                <w:sz w:val="20"/>
                <w:szCs w:val="20"/>
                <w:lang w:eastAsia="en-IN"/>
                <w14:ligatures w14:val="none"/>
              </w:rPr>
              <w:t>(Yes=1; No=0)</w:t>
            </w:r>
          </w:p>
        </w:tc>
        <w:tc>
          <w:tcPr>
            <w:tcW w:w="618" w:type="pct"/>
            <w:vAlign w:val="center"/>
            <w:hideMark/>
          </w:tcPr>
          <w:p w14:paraId="39347270"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-0.556696</w:t>
            </w:r>
          </w:p>
        </w:tc>
        <w:tc>
          <w:tcPr>
            <w:tcW w:w="457" w:type="pct"/>
            <w:vAlign w:val="center"/>
            <w:hideMark/>
          </w:tcPr>
          <w:p w14:paraId="2C16F65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0.43737</w:t>
            </w:r>
          </w:p>
        </w:tc>
        <w:tc>
          <w:tcPr>
            <w:tcW w:w="459" w:type="pct"/>
            <w:vAlign w:val="center"/>
            <w:hideMark/>
          </w:tcPr>
          <w:p w14:paraId="07F58F00"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-1.27</w:t>
            </w:r>
          </w:p>
        </w:tc>
        <w:tc>
          <w:tcPr>
            <w:tcW w:w="386" w:type="pct"/>
            <w:vAlign w:val="center"/>
            <w:hideMark/>
          </w:tcPr>
          <w:p w14:paraId="727B9E3B"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0.203</w:t>
            </w:r>
          </w:p>
        </w:tc>
        <w:tc>
          <w:tcPr>
            <w:tcW w:w="571" w:type="pct"/>
            <w:vAlign w:val="center"/>
            <w:hideMark/>
          </w:tcPr>
          <w:p w14:paraId="0B723639"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-1.41392</w:t>
            </w:r>
          </w:p>
        </w:tc>
        <w:tc>
          <w:tcPr>
            <w:tcW w:w="1174" w:type="pct"/>
            <w:vAlign w:val="center"/>
            <w:hideMark/>
          </w:tcPr>
          <w:p w14:paraId="3796D4B1" w14:textId="77777777" w:rsidR="006966FD" w:rsidRPr="006966FD" w:rsidRDefault="006966FD" w:rsidP="006A769D">
            <w:pPr>
              <w:spacing w:after="0" w:line="240" w:lineRule="auto"/>
              <w:jc w:val="center"/>
              <w:rPr>
                <w:rFonts w:ascii="Arial" w:eastAsia="Times New Roman" w:hAnsi="Arial" w:cs="Arial"/>
                <w:color w:val="000000"/>
                <w:kern w:val="0"/>
                <w:sz w:val="20"/>
                <w:szCs w:val="20"/>
                <w:lang w:eastAsia="en-IN"/>
                <w14:ligatures w14:val="none"/>
              </w:rPr>
            </w:pPr>
            <w:r w:rsidRPr="006966FD">
              <w:rPr>
                <w:rFonts w:ascii="Arial" w:eastAsia="Times New Roman" w:hAnsi="Arial" w:cs="Arial"/>
                <w:color w:val="000000"/>
                <w:kern w:val="0"/>
                <w:sz w:val="20"/>
                <w:szCs w:val="20"/>
                <w:lang w:eastAsia="en-IN"/>
                <w14:ligatures w14:val="none"/>
              </w:rPr>
              <w:t>0.300529</w:t>
            </w:r>
          </w:p>
        </w:tc>
      </w:tr>
    </w:tbl>
    <w:p w14:paraId="7A65C3B5" w14:textId="77777777" w:rsidR="006966FD" w:rsidRPr="006966FD" w:rsidRDefault="006966FD" w:rsidP="006966FD">
      <w:pPr>
        <w:spacing w:line="360" w:lineRule="auto"/>
        <w:jc w:val="both"/>
        <w:rPr>
          <w:rFonts w:ascii="Arial" w:hAnsi="Arial" w:cs="Arial"/>
          <w:sz w:val="20"/>
          <w:szCs w:val="20"/>
        </w:rPr>
      </w:pPr>
      <w:r w:rsidRPr="006966FD">
        <w:rPr>
          <w:rFonts w:ascii="Arial" w:hAnsi="Arial" w:cs="Arial"/>
          <w:sz w:val="20"/>
          <w:szCs w:val="20"/>
        </w:rPr>
        <w:t>Source: Primary Data</w:t>
      </w:r>
    </w:p>
    <w:p w14:paraId="2D11EC3E" w14:textId="77777777" w:rsidR="006966FD" w:rsidRPr="006966FD" w:rsidRDefault="006966FD" w:rsidP="006966FD">
      <w:pPr>
        <w:spacing w:line="360" w:lineRule="auto"/>
        <w:jc w:val="both"/>
        <w:rPr>
          <w:rFonts w:ascii="Arial" w:hAnsi="Arial" w:cs="Arial"/>
          <w:sz w:val="20"/>
          <w:szCs w:val="20"/>
        </w:rPr>
      </w:pPr>
      <w:r w:rsidRPr="006966FD">
        <w:rPr>
          <w:rFonts w:ascii="Arial" w:hAnsi="Arial" w:cs="Arial"/>
          <w:sz w:val="20"/>
          <w:szCs w:val="20"/>
        </w:rPr>
        <w:lastRenderedPageBreak/>
        <w:t>Among the socio-economic challenges, income volatility and unpredictability emerged as a highly significant determinant. The coefficient (β = 4.61, p &lt; 0.001) shows a strong positive association, indicating that women who experience unstable earnings are substantially more likely to report heightened challenges in gig work. None of the other socio-economic variables—such as lack of minimum-wage protection, hidden costs of work, mobility constraints, stigma, or childcare limitations—showed statistically significant effects. Within the digital and platform-related factors, variables such as the digital divide, gender bias in customer rating systems, and barriers to collective organisation did not display significant associations with the outcome variable. Although several of these coefficients were in the expected directions, their large standard errors indicate considerable variability across respondents. Similarly, indicators reflecting legal, institutional, and social protection gaps—including ambiguous employment status and the absence of social security provisions—did not yield statistically significant coefficients. However, being a member of a workers’ association was positively and significantly associated with reported challenges (β = 1.29, p = 0.032), suggesting that organised workers may have greater awareness of or exposure to structural vulnerabilities within gig work.</w:t>
      </w:r>
    </w:p>
    <w:p w14:paraId="7E068EEE" w14:textId="77777777" w:rsidR="00631CB8" w:rsidRDefault="006966FD" w:rsidP="00631CB8">
      <w:pPr>
        <w:spacing w:line="360" w:lineRule="auto"/>
        <w:jc w:val="both"/>
        <w:rPr>
          <w:rFonts w:ascii="Arial" w:hAnsi="Arial" w:cs="Arial"/>
          <w:sz w:val="20"/>
          <w:szCs w:val="20"/>
        </w:rPr>
      </w:pPr>
      <w:r w:rsidRPr="006966FD">
        <w:rPr>
          <w:rFonts w:ascii="Arial" w:hAnsi="Arial" w:cs="Arial"/>
          <w:sz w:val="20"/>
          <w:szCs w:val="20"/>
        </w:rPr>
        <w:t xml:space="preserve">The model also incorporated variables reflecting health, financial, safety, and wellbeing risks. None of these factors—including access to health insurance, healthcare constraints, financial inclusion indicators, loan accessibility, training exposure, and skills mismatch—showed statistically significant effects, although several coefficients aligned with theoretical expectations regarding vulnerability. Women may prioritise financial needs over health concerns, or stress may arise only after entering gig work rather than during the decision-making stage. </w:t>
      </w:r>
      <w:r w:rsidR="00631CB8" w:rsidRPr="00631CB8">
        <w:rPr>
          <w:rFonts w:ascii="Arial" w:hAnsi="Arial" w:cs="Arial"/>
          <w:sz w:val="20"/>
          <w:szCs w:val="20"/>
        </w:rPr>
        <w:t>Overall, the regression results identify income instability as the most significant predictor of challenges faced by women gig workers, while other structural, institutional, and platform-related factors do not exhibit statistically significant associations in the present model. The findings are consistent with key insights from Feminist Labour Theory and Social Exclusion Theory, which emphasise the role of economic vulnerability in shaping labour market experiences. The analysis highlights the central importance of earnings volatility in influencing the lived realities of women engaged in platform-based work. Many of the challenges documented in earlier studies are also observed in this research and are empirically validated through logistic regression analysis. By doing so, the study adds to the growing body of literature on gendered dimensions of the gig economy and provides evidence-based insights for policymakers, digital platforms, and labour welfare institutions aiming to foster more equitable and sustainable gig work opportunities for women.</w:t>
      </w:r>
    </w:p>
    <w:p w14:paraId="5711C096" w14:textId="15F40BFA" w:rsidR="00F37D09" w:rsidRPr="0059717B" w:rsidRDefault="00F656A8" w:rsidP="00631CB8">
      <w:pPr>
        <w:spacing w:line="360" w:lineRule="auto"/>
        <w:jc w:val="both"/>
        <w:rPr>
          <w:rFonts w:ascii="Arial" w:hAnsi="Arial" w:cs="Arial"/>
          <w:b/>
          <w:bCs/>
        </w:rPr>
      </w:pPr>
      <w:r>
        <w:rPr>
          <w:rFonts w:ascii="Arial" w:hAnsi="Arial" w:cs="Arial"/>
          <w:b/>
          <w:bCs/>
        </w:rPr>
        <w:t>6</w:t>
      </w:r>
      <w:r w:rsidR="0059717B" w:rsidRPr="0059717B">
        <w:rPr>
          <w:rFonts w:ascii="Arial" w:hAnsi="Arial" w:cs="Arial"/>
          <w:b/>
          <w:bCs/>
        </w:rPr>
        <w:t xml:space="preserve"> CONCLUSION AND POLICY IMPLICATIONS</w:t>
      </w:r>
    </w:p>
    <w:p w14:paraId="755C74BE" w14:textId="56C7837F" w:rsidR="007D7560" w:rsidRPr="007D7560" w:rsidRDefault="007D7560" w:rsidP="007D7560">
      <w:pPr>
        <w:spacing w:before="240" w:line="360" w:lineRule="auto"/>
        <w:jc w:val="both"/>
        <w:rPr>
          <w:rFonts w:ascii="Arial" w:hAnsi="Arial" w:cs="Arial"/>
          <w:sz w:val="20"/>
          <w:szCs w:val="20"/>
        </w:rPr>
      </w:pPr>
      <w:r w:rsidRPr="007D7560">
        <w:rPr>
          <w:rFonts w:ascii="Arial" w:hAnsi="Arial" w:cs="Arial"/>
          <w:sz w:val="20"/>
          <w:szCs w:val="20"/>
        </w:rPr>
        <w:t xml:space="preserve">The empirical evidence on the challenges faced by women gig workers in Malappuram District underscores the need for a multidimensional policy response that addresses economic vulnerability, social constraints, and institutional gaps. The logistic regression results indicate that socio-demographic characteristics and digital competencies play a significant role in shaping women’s experiences within the gig economy. The prominence of income instability and irregular work arrangements underscores the necessity of extending social protection measures to gig workers. Policymakers may consider incorporating women gig workers into existing welfare programmes through contributory or subsidised models that provide access to health insurance, maternity benefits, and old-age security while </w:t>
      </w:r>
      <w:r w:rsidRPr="007D7560">
        <w:rPr>
          <w:rFonts w:ascii="Arial" w:hAnsi="Arial" w:cs="Arial"/>
          <w:sz w:val="20"/>
          <w:szCs w:val="20"/>
        </w:rPr>
        <w:lastRenderedPageBreak/>
        <w:t>preserving work flexibility. Enhancing digital infrastructure, enforcing fair labour practices, and expanding inclusive social security coverage are essential for transforming gig work into a more secure and empowering employment option for women.</w:t>
      </w:r>
    </w:p>
    <w:p w14:paraId="21E96B1C" w14:textId="359939CF" w:rsidR="00E61372" w:rsidRDefault="00E61372" w:rsidP="007D7560">
      <w:pPr>
        <w:spacing w:before="240" w:line="360" w:lineRule="auto"/>
        <w:jc w:val="both"/>
        <w:rPr>
          <w:rFonts w:ascii="Arial" w:hAnsi="Arial" w:cs="Arial"/>
          <w:sz w:val="20"/>
          <w:szCs w:val="20"/>
        </w:rPr>
      </w:pPr>
      <w:r w:rsidRPr="00E61372">
        <w:rPr>
          <w:rFonts w:ascii="Arial" w:hAnsi="Arial" w:cs="Arial"/>
          <w:sz w:val="20"/>
          <w:szCs w:val="20"/>
        </w:rPr>
        <w:t xml:space="preserve">The findings underscore the need for a gender-responsive policy framework to promote equitable and decent working conditions in the gig economy. The persistent influence of unpaid care and household responsibilities highlights the importance of gender-sensitive labour interventions. Public investment in affordable childcare, community-based care services, and flexible work arrangements can alleviate women’s care burden and enhance their sustained participation in gig work. Local self-government institutions and women’s collectives can play a critical role in operationalising such support at the grassroots level. </w:t>
      </w:r>
      <w:r>
        <w:rPr>
          <w:rFonts w:ascii="Arial" w:hAnsi="Arial" w:cs="Arial"/>
          <w:sz w:val="20"/>
          <w:szCs w:val="20"/>
        </w:rPr>
        <w:t>T</w:t>
      </w:r>
      <w:r w:rsidRPr="00E61372">
        <w:rPr>
          <w:rFonts w:ascii="Arial" w:hAnsi="Arial" w:cs="Arial"/>
          <w:sz w:val="20"/>
          <w:szCs w:val="20"/>
        </w:rPr>
        <w:t>argeted digital and financial literacy initiatives are essential to improve women gig workers’ employability and reduce reliance on intermediaries. Training in online safety, taxation, and algorithmic governance can strengthen informed engagement with platform-based work. Additionally, greater platform accountability through transparent remuneration systems and task allocation mechanisms, along with minimum earnings guarantees, can help stabilise incomes and reduce earnings volatility among women workers.</w:t>
      </w:r>
    </w:p>
    <w:p w14:paraId="44FE7E39" w14:textId="77777777" w:rsidR="007D7560" w:rsidRPr="007D7560" w:rsidRDefault="007D7560" w:rsidP="007D7560">
      <w:pPr>
        <w:spacing w:before="240" w:line="360" w:lineRule="auto"/>
        <w:jc w:val="both"/>
        <w:rPr>
          <w:rFonts w:ascii="Arial" w:hAnsi="Arial" w:cs="Arial"/>
          <w:sz w:val="20"/>
          <w:szCs w:val="20"/>
        </w:rPr>
      </w:pPr>
      <w:r w:rsidRPr="007D7560">
        <w:rPr>
          <w:rFonts w:ascii="Arial" w:hAnsi="Arial" w:cs="Arial"/>
          <w:sz w:val="20"/>
          <w:szCs w:val="20"/>
        </w:rPr>
        <w:t>The associations observed between education, digital access, and skill levels underscore the importance of targeted capacity-building interventions. Skill development programmes centred on digital literacy, platform navigation, financial management, and legal awareness can strengthen women’s bargaining power and income-earning potential within the gig economy. A substantial proportion of women engaged in gig work remain excluded from formal financial systems. Expanding access to credit facilities, savings instruments, and financial education initiatives would enable workers to manage income fluctuations more effectively and invest in skill enhancement. The study also demonstrates the utility of empirical methods, such as logistic regression, in identifying key determinants of the challenges faced by women gig workers. Accordingly, policymakers should adopt evidence-based approaches supported by continuous data collection and periodic assessment of emerging trends in gig employment.</w:t>
      </w:r>
    </w:p>
    <w:p w14:paraId="723D31F6" w14:textId="77777777" w:rsidR="007D7560" w:rsidRPr="007D7560" w:rsidRDefault="007D7560" w:rsidP="007D7560">
      <w:pPr>
        <w:spacing w:before="240" w:line="360" w:lineRule="auto"/>
        <w:jc w:val="both"/>
        <w:rPr>
          <w:rFonts w:ascii="Arial" w:hAnsi="Arial" w:cs="Arial"/>
          <w:sz w:val="20"/>
          <w:szCs w:val="20"/>
        </w:rPr>
      </w:pPr>
      <w:r w:rsidRPr="007D7560">
        <w:rPr>
          <w:rFonts w:ascii="Arial" w:hAnsi="Arial" w:cs="Arial"/>
          <w:sz w:val="20"/>
          <w:szCs w:val="20"/>
        </w:rPr>
        <w:t>Finally, the study emphasises the importance of collective representation and institutional recognition of gig work. Encouraging the formation of women-led cooperatives, unions, or self-help groups can enhance collective bargaining capacity and provide an effective platform for articulating shared concerns. Formal recognition of gig workers within labour policy frameworks at both state and national levels would strengthen legal protections and promote more inclusive and equitable labour market outcomes. Gig platforms should also adopt gender-inclusive practices, such as flexible scheduling, task prioritisation for caregivers, and structured mentorship initiatives. Regular gender audits may further assist in identifying and addressing systemic biases affecting women gig workers.</w:t>
      </w:r>
    </w:p>
    <w:p w14:paraId="37923FC8" w14:textId="77777777" w:rsidR="00E61372" w:rsidRDefault="00E61372" w:rsidP="009428CA">
      <w:pPr>
        <w:spacing w:before="240" w:line="360" w:lineRule="auto"/>
        <w:rPr>
          <w:rFonts w:ascii="Arial" w:hAnsi="Arial" w:cs="Arial"/>
          <w:b/>
          <w:bCs/>
        </w:rPr>
      </w:pPr>
    </w:p>
    <w:p w14:paraId="6E678F5E" w14:textId="77777777" w:rsidR="00E61372" w:rsidRDefault="00E61372" w:rsidP="009428CA">
      <w:pPr>
        <w:spacing w:before="240" w:line="360" w:lineRule="auto"/>
        <w:rPr>
          <w:rFonts w:ascii="Arial" w:hAnsi="Arial" w:cs="Arial"/>
          <w:b/>
          <w:bCs/>
        </w:rPr>
      </w:pPr>
    </w:p>
    <w:p w14:paraId="10984669" w14:textId="00A5A996" w:rsidR="00034823" w:rsidRPr="003657FE" w:rsidRDefault="00034823" w:rsidP="009428CA">
      <w:pPr>
        <w:spacing w:before="240" w:line="360" w:lineRule="auto"/>
        <w:rPr>
          <w:rFonts w:ascii="Arial" w:hAnsi="Arial" w:cs="Arial"/>
          <w:b/>
          <w:bCs/>
        </w:rPr>
      </w:pPr>
      <w:r w:rsidRPr="003657FE">
        <w:rPr>
          <w:rFonts w:ascii="Arial" w:hAnsi="Arial" w:cs="Arial"/>
          <w:b/>
          <w:bCs/>
        </w:rPr>
        <w:lastRenderedPageBreak/>
        <w:t>DISCLAIMER (ARTIFICIAL INTELLIGENCE)</w:t>
      </w:r>
    </w:p>
    <w:p w14:paraId="58A06069" w14:textId="20E150F9" w:rsidR="00034823" w:rsidRPr="009428CA" w:rsidRDefault="00034823" w:rsidP="009428CA">
      <w:pPr>
        <w:spacing w:line="360" w:lineRule="auto"/>
        <w:jc w:val="both"/>
        <w:rPr>
          <w:rFonts w:ascii="Arial" w:hAnsi="Arial" w:cs="Arial"/>
        </w:rPr>
      </w:pPr>
      <w:r w:rsidRPr="003657FE">
        <w:rPr>
          <w:rFonts w:ascii="Arial" w:hAnsi="Arial" w:cs="Arial"/>
        </w:rPr>
        <w:t>The author</w:t>
      </w:r>
      <w:r w:rsidR="009428CA">
        <w:rPr>
          <w:rFonts w:ascii="Arial" w:hAnsi="Arial" w:cs="Arial"/>
        </w:rPr>
        <w:t>s</w:t>
      </w:r>
      <w:r w:rsidRPr="003657FE">
        <w:rPr>
          <w:rFonts w:ascii="Arial" w:hAnsi="Arial" w:cs="Arial"/>
        </w:rPr>
        <w:t xml:space="preserve"> hereby declare that generative AI technologies</w:t>
      </w:r>
      <w:r>
        <w:rPr>
          <w:rFonts w:ascii="Arial" w:hAnsi="Arial" w:cs="Arial"/>
        </w:rPr>
        <w:t xml:space="preserve"> </w:t>
      </w:r>
      <w:r w:rsidRPr="003657FE">
        <w:rPr>
          <w:rFonts w:ascii="Arial" w:hAnsi="Arial" w:cs="Arial"/>
        </w:rPr>
        <w:t>were utilized during the writing and editing of this manuscript. This disclosure includes the name, version, model, and source of the generative AI technology, as well as the input prompts provided.</w:t>
      </w:r>
    </w:p>
    <w:p w14:paraId="1B9F72EA" w14:textId="4ED76D5E" w:rsidR="00034823" w:rsidRPr="003657FE" w:rsidRDefault="00034823" w:rsidP="00034823">
      <w:pPr>
        <w:spacing w:line="360" w:lineRule="auto"/>
        <w:rPr>
          <w:rFonts w:ascii="Arial" w:hAnsi="Arial" w:cs="Arial"/>
          <w:b/>
          <w:bCs/>
        </w:rPr>
      </w:pPr>
      <w:r w:rsidRPr="003657FE">
        <w:rPr>
          <w:rFonts w:ascii="Arial" w:hAnsi="Arial" w:cs="Arial"/>
          <w:b/>
          <w:bCs/>
        </w:rPr>
        <w:t>Details of AI Usage</w:t>
      </w:r>
    </w:p>
    <w:p w14:paraId="4F083B85" w14:textId="77777777" w:rsidR="00034823" w:rsidRPr="00E00C1B" w:rsidRDefault="00034823" w:rsidP="00034823">
      <w:pPr>
        <w:spacing w:line="360" w:lineRule="auto"/>
        <w:jc w:val="both"/>
        <w:rPr>
          <w:rFonts w:ascii="Arial" w:hAnsi="Arial" w:cs="Arial"/>
        </w:rPr>
      </w:pPr>
      <w:r w:rsidRPr="00E00C1B">
        <w:rPr>
          <w:rFonts w:ascii="Arial" w:hAnsi="Arial" w:cs="Arial"/>
        </w:rPr>
        <w:t xml:space="preserve">ChatGPT, version </w:t>
      </w:r>
      <w:r>
        <w:rPr>
          <w:rFonts w:ascii="Arial" w:hAnsi="Arial" w:cs="Arial"/>
        </w:rPr>
        <w:t>5</w:t>
      </w:r>
      <w:r w:rsidRPr="00E00C1B">
        <w:rPr>
          <w:rFonts w:ascii="Arial" w:hAnsi="Arial" w:cs="Arial"/>
        </w:rPr>
        <w:t>.0, developed by OpenAI</w:t>
      </w:r>
      <w:r w:rsidRPr="003657FE">
        <w:rPr>
          <w:rFonts w:ascii="Arial" w:hAnsi="Arial" w:cs="Arial"/>
        </w:rPr>
        <w:t xml:space="preserve">, was used for language correction in select sections of the manuscript. Input prompt used: </w:t>
      </w:r>
      <w:r w:rsidRPr="00E00C1B">
        <w:rPr>
          <w:rFonts w:ascii="Arial" w:hAnsi="Arial" w:cs="Arial"/>
        </w:rPr>
        <w:t>“Correct and improve language.”</w:t>
      </w:r>
    </w:p>
    <w:p w14:paraId="09E04638" w14:textId="77777777" w:rsidR="00034823" w:rsidRDefault="00034823" w:rsidP="00034823">
      <w:pPr>
        <w:spacing w:line="360" w:lineRule="auto"/>
        <w:rPr>
          <w:rFonts w:ascii="Arial" w:hAnsi="Arial" w:cs="Arial"/>
          <w:b/>
          <w:bCs/>
        </w:rPr>
      </w:pPr>
      <w:r w:rsidRPr="003657FE">
        <w:rPr>
          <w:rFonts w:ascii="Arial" w:hAnsi="Arial" w:cs="Arial"/>
          <w:b/>
          <w:bCs/>
        </w:rPr>
        <w:t>COMPETING INTERESTS</w:t>
      </w:r>
    </w:p>
    <w:p w14:paraId="2AAED7C4" w14:textId="3DEB772B" w:rsidR="00034823" w:rsidRPr="00034823" w:rsidRDefault="009428CA" w:rsidP="00034823">
      <w:pPr>
        <w:spacing w:line="360" w:lineRule="auto"/>
        <w:rPr>
          <w:rFonts w:ascii="Arial" w:hAnsi="Arial" w:cs="Arial"/>
        </w:rPr>
      </w:pPr>
      <w:r w:rsidRPr="009428CA">
        <w:rPr>
          <w:rFonts w:ascii="Arial" w:hAnsi="Arial" w:cs="Arial"/>
        </w:rPr>
        <w:t>The authors declare that they have no competing interests</w:t>
      </w:r>
      <w:r w:rsidR="00034823" w:rsidRPr="003657FE">
        <w:rPr>
          <w:rFonts w:ascii="Arial" w:hAnsi="Arial" w:cs="Arial"/>
        </w:rPr>
        <w:t>.</w:t>
      </w:r>
    </w:p>
    <w:p w14:paraId="5ED0805B" w14:textId="03FCC27B" w:rsidR="002A415E" w:rsidRDefault="0059717B" w:rsidP="0059717B">
      <w:pPr>
        <w:spacing w:before="240" w:after="0" w:line="360" w:lineRule="auto"/>
        <w:jc w:val="both"/>
        <w:rPr>
          <w:rFonts w:ascii="Arial" w:hAnsi="Arial" w:cs="Arial"/>
          <w:b/>
          <w:bCs/>
        </w:rPr>
      </w:pPr>
      <w:r w:rsidRPr="0059717B">
        <w:rPr>
          <w:rFonts w:ascii="Arial" w:hAnsi="Arial" w:cs="Arial"/>
          <w:b/>
          <w:bCs/>
        </w:rPr>
        <w:t xml:space="preserve">REFERENCES </w:t>
      </w:r>
    </w:p>
    <w:p w14:paraId="695F1352" w14:textId="77777777" w:rsidR="00225861" w:rsidRDefault="00225861" w:rsidP="00225861">
      <w:pPr>
        <w:pStyle w:val="FootnoteText"/>
        <w:spacing w:before="240" w:line="360" w:lineRule="auto"/>
        <w:jc w:val="both"/>
        <w:rPr>
          <w:rFonts w:ascii="Arial" w:hAnsi="Arial" w:cs="Arial"/>
          <w:i/>
          <w:iCs/>
        </w:rPr>
      </w:pPr>
      <w:r w:rsidRPr="00225861">
        <w:rPr>
          <w:rFonts w:ascii="Arial" w:hAnsi="Arial" w:cs="Arial"/>
        </w:rPr>
        <w:t xml:space="preserve">Abraham, K. G., Haltiwanger, J., Sandusky, K., &amp; Spletzer, J. R. (2017). </w:t>
      </w:r>
      <w:r w:rsidRPr="00225861">
        <w:rPr>
          <w:rFonts w:ascii="Arial" w:hAnsi="Arial" w:cs="Arial"/>
          <w:i/>
          <w:iCs/>
        </w:rPr>
        <w:t xml:space="preserve">Measuring the gig economy: </w:t>
      </w:r>
    </w:p>
    <w:p w14:paraId="5391324C" w14:textId="23575B87" w:rsidR="00225861" w:rsidRPr="00225861" w:rsidRDefault="00225861" w:rsidP="00225861">
      <w:pPr>
        <w:pStyle w:val="FootnoteText"/>
        <w:spacing w:line="360" w:lineRule="auto"/>
        <w:ind w:left="720"/>
        <w:jc w:val="both"/>
        <w:rPr>
          <w:rFonts w:ascii="Arial" w:hAnsi="Arial" w:cs="Arial"/>
        </w:rPr>
      </w:pPr>
      <w:r w:rsidRPr="00225861">
        <w:rPr>
          <w:rFonts w:ascii="Arial" w:hAnsi="Arial" w:cs="Arial"/>
          <w:i/>
          <w:iCs/>
        </w:rPr>
        <w:t>Current knowledge and open issues</w:t>
      </w:r>
      <w:r w:rsidRPr="00225861">
        <w:rPr>
          <w:rFonts w:ascii="Arial" w:hAnsi="Arial" w:cs="Arial"/>
        </w:rPr>
        <w:t>. IZA Labor Statistics Workshop on the Changing Structure of Work.</w:t>
      </w:r>
    </w:p>
    <w:p w14:paraId="2B407A9C" w14:textId="77777777" w:rsidR="00225861" w:rsidRDefault="00225861" w:rsidP="00225861">
      <w:pPr>
        <w:pStyle w:val="FootnoteText"/>
        <w:spacing w:before="240" w:line="360" w:lineRule="auto"/>
        <w:jc w:val="both"/>
        <w:rPr>
          <w:rFonts w:ascii="Arial" w:hAnsi="Arial" w:cs="Arial"/>
          <w:i/>
          <w:iCs/>
        </w:rPr>
      </w:pPr>
      <w:r w:rsidRPr="00225861">
        <w:rPr>
          <w:rFonts w:ascii="Arial" w:hAnsi="Arial" w:cs="Arial"/>
        </w:rPr>
        <w:t xml:space="preserve">Becker, G. S. (1964). </w:t>
      </w:r>
      <w:r w:rsidRPr="00225861">
        <w:rPr>
          <w:rFonts w:ascii="Arial" w:hAnsi="Arial" w:cs="Arial"/>
          <w:i/>
          <w:iCs/>
        </w:rPr>
        <w:t xml:space="preserve">Human capital: A theoretical and empirical analysis, with special reference to </w:t>
      </w:r>
    </w:p>
    <w:p w14:paraId="04435D0A" w14:textId="1C16A18E" w:rsidR="00225861" w:rsidRPr="00225861" w:rsidRDefault="00225861" w:rsidP="00225861">
      <w:pPr>
        <w:pStyle w:val="FootnoteText"/>
        <w:spacing w:line="360" w:lineRule="auto"/>
        <w:ind w:firstLine="720"/>
        <w:jc w:val="both"/>
        <w:rPr>
          <w:rFonts w:ascii="Arial" w:hAnsi="Arial" w:cs="Arial"/>
        </w:rPr>
      </w:pPr>
      <w:r w:rsidRPr="00225861">
        <w:rPr>
          <w:rFonts w:ascii="Arial" w:hAnsi="Arial" w:cs="Arial"/>
          <w:i/>
          <w:iCs/>
        </w:rPr>
        <w:t>education</w:t>
      </w:r>
      <w:r w:rsidRPr="00225861">
        <w:rPr>
          <w:rFonts w:ascii="Arial" w:hAnsi="Arial" w:cs="Arial"/>
        </w:rPr>
        <w:t>. University of Chicago Press.</w:t>
      </w:r>
    </w:p>
    <w:p w14:paraId="7AFB81A1" w14:textId="77777777" w:rsidR="00225861" w:rsidRDefault="00225861" w:rsidP="00225861">
      <w:pPr>
        <w:pStyle w:val="FootnoteText"/>
        <w:spacing w:before="240" w:line="360" w:lineRule="auto"/>
        <w:jc w:val="both"/>
        <w:rPr>
          <w:rFonts w:ascii="Arial" w:hAnsi="Arial" w:cs="Arial"/>
        </w:rPr>
      </w:pPr>
      <w:r w:rsidRPr="00225861">
        <w:rPr>
          <w:rFonts w:ascii="Arial" w:hAnsi="Arial" w:cs="Arial"/>
        </w:rPr>
        <w:t xml:space="preserve">Bonet, R., Cappelli, P., &amp; Hamori, M. (2013). Labour market intermediaries and the new paradigm for </w:t>
      </w:r>
    </w:p>
    <w:p w14:paraId="2754EA6D" w14:textId="4205BF70" w:rsidR="00225861" w:rsidRPr="00225861" w:rsidRDefault="00225861" w:rsidP="00225861">
      <w:pPr>
        <w:pStyle w:val="FootnoteText"/>
        <w:spacing w:line="360" w:lineRule="auto"/>
        <w:ind w:left="720"/>
        <w:jc w:val="both"/>
        <w:rPr>
          <w:rFonts w:ascii="Arial" w:hAnsi="Arial" w:cs="Arial"/>
        </w:rPr>
      </w:pPr>
      <w:r w:rsidRPr="00225861">
        <w:rPr>
          <w:rFonts w:ascii="Arial" w:hAnsi="Arial" w:cs="Arial"/>
        </w:rPr>
        <w:t xml:space="preserve">human resources. </w:t>
      </w:r>
      <w:r w:rsidRPr="00225861">
        <w:rPr>
          <w:rFonts w:ascii="Arial" w:hAnsi="Arial" w:cs="Arial"/>
          <w:i/>
          <w:iCs/>
        </w:rPr>
        <w:t>Academy of Management Annals, 7</w:t>
      </w:r>
      <w:r w:rsidRPr="00225861">
        <w:rPr>
          <w:rFonts w:ascii="Arial" w:hAnsi="Arial" w:cs="Arial"/>
        </w:rPr>
        <w:t xml:space="preserve">(1), 341–392. </w:t>
      </w:r>
      <w:hyperlink r:id="rId8" w:history="1">
        <w:r w:rsidRPr="00225861">
          <w:rPr>
            <w:rStyle w:val="Hyperlink"/>
            <w:rFonts w:ascii="Arial" w:hAnsi="Arial" w:cs="Arial"/>
          </w:rPr>
          <w:t>https://doi.org/10.5465/19416520.2013.774213</w:t>
        </w:r>
      </w:hyperlink>
    </w:p>
    <w:p w14:paraId="13E74890" w14:textId="77777777" w:rsidR="00225861" w:rsidRDefault="00225861" w:rsidP="00225861">
      <w:pPr>
        <w:pStyle w:val="FootnoteText"/>
        <w:spacing w:before="240" w:line="360" w:lineRule="auto"/>
        <w:jc w:val="both"/>
        <w:rPr>
          <w:rFonts w:ascii="Arial" w:hAnsi="Arial" w:cs="Arial"/>
        </w:rPr>
      </w:pPr>
      <w:r w:rsidRPr="00225861">
        <w:rPr>
          <w:rFonts w:ascii="Arial" w:hAnsi="Arial" w:cs="Arial"/>
        </w:rPr>
        <w:t xml:space="preserve">Collier, R. B., Dubal, V. B., &amp; Carter, C. (2018). Disrupting regulation, regulating disruption: The politics </w:t>
      </w:r>
    </w:p>
    <w:p w14:paraId="7FB22E5C" w14:textId="722953DC" w:rsidR="00225861" w:rsidRPr="00225861" w:rsidRDefault="00225861" w:rsidP="00225861">
      <w:pPr>
        <w:pStyle w:val="FootnoteText"/>
        <w:spacing w:line="360" w:lineRule="auto"/>
        <w:ind w:left="720"/>
        <w:jc w:val="both"/>
        <w:rPr>
          <w:rFonts w:ascii="Arial" w:hAnsi="Arial" w:cs="Arial"/>
        </w:rPr>
      </w:pPr>
      <w:r w:rsidRPr="00225861">
        <w:rPr>
          <w:rFonts w:ascii="Arial" w:hAnsi="Arial" w:cs="Arial"/>
        </w:rPr>
        <w:t xml:space="preserve">of Uber in the United States. </w:t>
      </w:r>
      <w:r w:rsidRPr="00225861">
        <w:rPr>
          <w:rFonts w:ascii="Arial" w:hAnsi="Arial" w:cs="Arial"/>
          <w:i/>
          <w:iCs/>
        </w:rPr>
        <w:t>Perspectives on Politics, 16</w:t>
      </w:r>
      <w:r w:rsidRPr="00225861">
        <w:rPr>
          <w:rFonts w:ascii="Arial" w:hAnsi="Arial" w:cs="Arial"/>
        </w:rPr>
        <w:t xml:space="preserve">(4), 919–937. </w:t>
      </w:r>
      <w:hyperlink r:id="rId9" w:history="1">
        <w:r w:rsidRPr="00225861">
          <w:rPr>
            <w:rStyle w:val="Hyperlink"/>
            <w:rFonts w:ascii="Arial" w:hAnsi="Arial" w:cs="Arial"/>
          </w:rPr>
          <w:t>https://doi.org/10.1017/S1537592718000023</w:t>
        </w:r>
      </w:hyperlink>
    </w:p>
    <w:p w14:paraId="1C8CBEA6" w14:textId="77777777" w:rsidR="00225861" w:rsidRDefault="00225861" w:rsidP="00225861">
      <w:pPr>
        <w:pStyle w:val="FootnoteText"/>
        <w:spacing w:before="240" w:line="360" w:lineRule="auto"/>
        <w:jc w:val="both"/>
        <w:rPr>
          <w:rFonts w:ascii="Arial" w:hAnsi="Arial" w:cs="Arial"/>
        </w:rPr>
      </w:pPr>
      <w:r w:rsidRPr="00225861">
        <w:rPr>
          <w:rFonts w:ascii="Arial" w:hAnsi="Arial" w:cs="Arial"/>
        </w:rPr>
        <w:t xml:space="preserve">Dalla Costa, M., &amp; James, S. (1972). </w:t>
      </w:r>
      <w:r w:rsidRPr="00225861">
        <w:rPr>
          <w:rFonts w:ascii="Arial" w:hAnsi="Arial" w:cs="Arial"/>
          <w:i/>
          <w:iCs/>
        </w:rPr>
        <w:t>The power of women and the subversion of the community</w:t>
      </w:r>
      <w:r w:rsidRPr="00225861">
        <w:rPr>
          <w:rFonts w:ascii="Arial" w:hAnsi="Arial" w:cs="Arial"/>
        </w:rPr>
        <w:t xml:space="preserve">. Falling </w:t>
      </w:r>
    </w:p>
    <w:p w14:paraId="71A98CA9" w14:textId="3AB3BDFF" w:rsidR="00225861" w:rsidRPr="00225861" w:rsidRDefault="00225861" w:rsidP="00225861">
      <w:pPr>
        <w:pStyle w:val="FootnoteText"/>
        <w:spacing w:line="360" w:lineRule="auto"/>
        <w:ind w:firstLine="720"/>
        <w:jc w:val="both"/>
        <w:rPr>
          <w:rFonts w:ascii="Arial" w:hAnsi="Arial" w:cs="Arial"/>
        </w:rPr>
      </w:pPr>
      <w:r w:rsidRPr="00225861">
        <w:rPr>
          <w:rFonts w:ascii="Arial" w:hAnsi="Arial" w:cs="Arial"/>
        </w:rPr>
        <w:t>Wall Press.</w:t>
      </w:r>
    </w:p>
    <w:p w14:paraId="0A4A9090" w14:textId="77777777" w:rsidR="00225861" w:rsidRDefault="00225861" w:rsidP="00225861">
      <w:pPr>
        <w:pStyle w:val="FootnoteText"/>
        <w:spacing w:before="240" w:line="360" w:lineRule="auto"/>
        <w:jc w:val="both"/>
        <w:rPr>
          <w:rFonts w:ascii="Arial" w:hAnsi="Arial" w:cs="Arial"/>
        </w:rPr>
      </w:pPr>
      <w:r w:rsidRPr="00225861">
        <w:rPr>
          <w:rFonts w:ascii="Arial" w:hAnsi="Arial" w:cs="Arial"/>
        </w:rPr>
        <w:t xml:space="preserve">Doeringer, P. B., &amp; Piore, M. J. (1971). </w:t>
      </w:r>
      <w:r w:rsidRPr="00225861">
        <w:rPr>
          <w:rFonts w:ascii="Arial" w:hAnsi="Arial" w:cs="Arial"/>
          <w:i/>
          <w:iCs/>
        </w:rPr>
        <w:t>Internal labor markets and manpower analysis</w:t>
      </w:r>
      <w:r w:rsidRPr="00225861">
        <w:rPr>
          <w:rFonts w:ascii="Arial" w:hAnsi="Arial" w:cs="Arial"/>
        </w:rPr>
        <w:t xml:space="preserve">. Heath Lexington </w:t>
      </w:r>
    </w:p>
    <w:p w14:paraId="1086185F" w14:textId="307EC4A4" w:rsidR="00225861" w:rsidRPr="00225861" w:rsidRDefault="00225861" w:rsidP="00225861">
      <w:pPr>
        <w:pStyle w:val="FootnoteText"/>
        <w:spacing w:line="360" w:lineRule="auto"/>
        <w:ind w:firstLine="720"/>
        <w:jc w:val="both"/>
        <w:rPr>
          <w:rFonts w:ascii="Arial" w:hAnsi="Arial" w:cs="Arial"/>
        </w:rPr>
      </w:pPr>
      <w:r w:rsidRPr="00225861">
        <w:rPr>
          <w:rFonts w:ascii="Arial" w:hAnsi="Arial" w:cs="Arial"/>
        </w:rPr>
        <w:t>Books.</w:t>
      </w:r>
    </w:p>
    <w:p w14:paraId="478EA362" w14:textId="77777777" w:rsidR="00225861" w:rsidRDefault="00225861" w:rsidP="00225861">
      <w:pPr>
        <w:pStyle w:val="FootnoteText"/>
        <w:spacing w:before="240" w:line="360" w:lineRule="auto"/>
        <w:jc w:val="both"/>
        <w:rPr>
          <w:rFonts w:ascii="Arial" w:hAnsi="Arial" w:cs="Arial"/>
        </w:rPr>
      </w:pPr>
      <w:r w:rsidRPr="00225861">
        <w:rPr>
          <w:rFonts w:ascii="Arial" w:hAnsi="Arial" w:cs="Arial"/>
        </w:rPr>
        <w:t xml:space="preserve">Economic Survey. (2021). </w:t>
      </w:r>
      <w:r w:rsidRPr="00225861">
        <w:rPr>
          <w:rFonts w:ascii="Arial" w:hAnsi="Arial" w:cs="Arial"/>
          <w:i/>
          <w:iCs/>
        </w:rPr>
        <w:t>Economic survey 2020–21</w:t>
      </w:r>
      <w:r w:rsidRPr="00225861">
        <w:rPr>
          <w:rFonts w:ascii="Arial" w:hAnsi="Arial" w:cs="Arial"/>
        </w:rPr>
        <w:t xml:space="preserve">. Ministry of Finance, Government of India. </w:t>
      </w:r>
    </w:p>
    <w:p w14:paraId="0361BA6D" w14:textId="43D0B95E" w:rsidR="00225861" w:rsidRPr="00225861" w:rsidRDefault="00225861" w:rsidP="00225861">
      <w:pPr>
        <w:pStyle w:val="FootnoteText"/>
        <w:spacing w:line="360" w:lineRule="auto"/>
        <w:ind w:firstLine="720"/>
        <w:jc w:val="both"/>
        <w:rPr>
          <w:rFonts w:ascii="Arial" w:hAnsi="Arial" w:cs="Arial"/>
        </w:rPr>
      </w:pPr>
      <w:hyperlink r:id="rId10" w:history="1">
        <w:r w:rsidRPr="00225861">
          <w:rPr>
            <w:rStyle w:val="Hyperlink"/>
            <w:rFonts w:ascii="Arial" w:hAnsi="Arial" w:cs="Arial"/>
          </w:rPr>
          <w:t>https://www.indiabudget.gov.in/economicsurvey/</w:t>
        </w:r>
      </w:hyperlink>
    </w:p>
    <w:p w14:paraId="045A4379" w14:textId="77777777" w:rsidR="00225861" w:rsidRDefault="00225861" w:rsidP="00225861">
      <w:pPr>
        <w:pStyle w:val="FootnoteText"/>
        <w:spacing w:before="240" w:line="360" w:lineRule="auto"/>
        <w:jc w:val="both"/>
        <w:rPr>
          <w:rFonts w:ascii="Arial" w:hAnsi="Arial" w:cs="Arial"/>
        </w:rPr>
      </w:pPr>
      <w:r w:rsidRPr="00225861">
        <w:rPr>
          <w:rFonts w:ascii="Arial" w:hAnsi="Arial" w:cs="Arial"/>
        </w:rPr>
        <w:t xml:space="preserve">Elson, D. (1999). Labor markets as gendered institutions: Equality, efficiency and empowerment issues. </w:t>
      </w:r>
    </w:p>
    <w:p w14:paraId="573986C4" w14:textId="409DE4AB" w:rsidR="00225861" w:rsidRPr="00225861" w:rsidRDefault="00225861" w:rsidP="00225861">
      <w:pPr>
        <w:pStyle w:val="FootnoteText"/>
        <w:spacing w:line="360" w:lineRule="auto"/>
        <w:ind w:firstLine="720"/>
        <w:jc w:val="both"/>
        <w:rPr>
          <w:rFonts w:ascii="Arial" w:hAnsi="Arial" w:cs="Arial"/>
        </w:rPr>
      </w:pPr>
      <w:r w:rsidRPr="00225861">
        <w:rPr>
          <w:rFonts w:ascii="Arial" w:hAnsi="Arial" w:cs="Arial"/>
          <w:i/>
          <w:iCs/>
        </w:rPr>
        <w:t>World Development, 27</w:t>
      </w:r>
      <w:r w:rsidRPr="00225861">
        <w:rPr>
          <w:rFonts w:ascii="Arial" w:hAnsi="Arial" w:cs="Arial"/>
        </w:rPr>
        <w:t>(3), 611–627. https://doi.org/10.1016/S0305-750X(98)00147-8</w:t>
      </w:r>
    </w:p>
    <w:p w14:paraId="74976423" w14:textId="77777777" w:rsidR="00225861" w:rsidRDefault="00225861" w:rsidP="00225861">
      <w:pPr>
        <w:pStyle w:val="FootnoteText"/>
        <w:spacing w:before="240" w:line="360" w:lineRule="auto"/>
        <w:jc w:val="both"/>
        <w:rPr>
          <w:rFonts w:ascii="Arial" w:hAnsi="Arial" w:cs="Arial"/>
        </w:rPr>
      </w:pPr>
      <w:r w:rsidRPr="00225861">
        <w:rPr>
          <w:rFonts w:ascii="Arial" w:hAnsi="Arial" w:cs="Arial"/>
        </w:rPr>
        <w:t xml:space="preserve">Fabo, B., Karanovic, J., &amp; Dukova, K. (2017). In search of an adequate European policy response to </w:t>
      </w:r>
    </w:p>
    <w:p w14:paraId="54F3FC9F" w14:textId="7845330F" w:rsidR="00225861" w:rsidRPr="00225861" w:rsidRDefault="00225861" w:rsidP="00225861">
      <w:pPr>
        <w:pStyle w:val="FootnoteText"/>
        <w:spacing w:line="360" w:lineRule="auto"/>
        <w:ind w:left="720"/>
        <w:jc w:val="both"/>
        <w:rPr>
          <w:rFonts w:ascii="Arial" w:hAnsi="Arial" w:cs="Arial"/>
        </w:rPr>
      </w:pPr>
      <w:r w:rsidRPr="00225861">
        <w:rPr>
          <w:rFonts w:ascii="Arial" w:hAnsi="Arial" w:cs="Arial"/>
        </w:rPr>
        <w:lastRenderedPageBreak/>
        <w:t xml:space="preserve">the platform economy. </w:t>
      </w:r>
      <w:r w:rsidRPr="00225861">
        <w:rPr>
          <w:rFonts w:ascii="Arial" w:hAnsi="Arial" w:cs="Arial"/>
          <w:i/>
          <w:iCs/>
        </w:rPr>
        <w:t>Transfer: European Review of Labour and Research, 23</w:t>
      </w:r>
      <w:r w:rsidRPr="00225861">
        <w:rPr>
          <w:rFonts w:ascii="Arial" w:hAnsi="Arial" w:cs="Arial"/>
        </w:rPr>
        <w:t xml:space="preserve">(2), 163–175. </w:t>
      </w:r>
      <w:hyperlink r:id="rId11" w:history="1">
        <w:r w:rsidRPr="00225861">
          <w:rPr>
            <w:rStyle w:val="Hyperlink"/>
            <w:rFonts w:ascii="Arial" w:hAnsi="Arial" w:cs="Arial"/>
          </w:rPr>
          <w:t>https://doi.org/10.1177/1024258916688861</w:t>
        </w:r>
      </w:hyperlink>
    </w:p>
    <w:p w14:paraId="700E5BD1" w14:textId="77777777" w:rsidR="00225861" w:rsidRDefault="00225861" w:rsidP="00225861">
      <w:pPr>
        <w:pStyle w:val="FootnoteText"/>
        <w:spacing w:before="240" w:line="360" w:lineRule="auto"/>
        <w:jc w:val="both"/>
        <w:rPr>
          <w:rFonts w:ascii="Arial" w:hAnsi="Arial" w:cs="Arial"/>
        </w:rPr>
      </w:pPr>
      <w:r w:rsidRPr="00225861">
        <w:rPr>
          <w:rFonts w:ascii="Arial" w:hAnsi="Arial" w:cs="Arial"/>
        </w:rPr>
        <w:t xml:space="preserve">Graham, M., Hjorth, I., &amp; Lehdonvirta, V. (2017). Digital labour and development: Impacts of global </w:t>
      </w:r>
    </w:p>
    <w:p w14:paraId="2F2F3D6C" w14:textId="1F1E7F82" w:rsidR="00225861" w:rsidRPr="00225861" w:rsidRDefault="00225861" w:rsidP="00225861">
      <w:pPr>
        <w:pStyle w:val="FootnoteText"/>
        <w:spacing w:line="360" w:lineRule="auto"/>
        <w:ind w:left="720"/>
        <w:jc w:val="both"/>
        <w:rPr>
          <w:rFonts w:ascii="Arial" w:hAnsi="Arial" w:cs="Arial"/>
        </w:rPr>
      </w:pPr>
      <w:r w:rsidRPr="00225861">
        <w:rPr>
          <w:rFonts w:ascii="Arial" w:hAnsi="Arial" w:cs="Arial"/>
        </w:rPr>
        <w:t xml:space="preserve">digital labour platforms and the gig economy on worker livelihoods. </w:t>
      </w:r>
      <w:r w:rsidRPr="00225861">
        <w:rPr>
          <w:rFonts w:ascii="Arial" w:hAnsi="Arial" w:cs="Arial"/>
          <w:i/>
          <w:iCs/>
        </w:rPr>
        <w:t>Transfer: European Review of Labour and Research, 23</w:t>
      </w:r>
      <w:r w:rsidRPr="00225861">
        <w:rPr>
          <w:rFonts w:ascii="Arial" w:hAnsi="Arial" w:cs="Arial"/>
        </w:rPr>
        <w:t xml:space="preserve">(2), 135–162. </w:t>
      </w:r>
      <w:hyperlink r:id="rId12" w:tgtFrame="_new" w:history="1">
        <w:r w:rsidRPr="00225861">
          <w:rPr>
            <w:rStyle w:val="Hyperlink"/>
            <w:rFonts w:ascii="Arial" w:hAnsi="Arial" w:cs="Arial"/>
          </w:rPr>
          <w:t>https://doi.org/10.1177/1024258916687250</w:t>
        </w:r>
      </w:hyperlink>
    </w:p>
    <w:p w14:paraId="462FF91A" w14:textId="77777777" w:rsidR="00225861" w:rsidRDefault="00225861" w:rsidP="00225861">
      <w:pPr>
        <w:pStyle w:val="FootnoteText"/>
        <w:spacing w:before="240" w:line="360" w:lineRule="auto"/>
        <w:jc w:val="both"/>
        <w:rPr>
          <w:rFonts w:ascii="Arial" w:hAnsi="Arial" w:cs="Arial"/>
          <w:i/>
          <w:iCs/>
        </w:rPr>
      </w:pPr>
      <w:r w:rsidRPr="00225861">
        <w:rPr>
          <w:rFonts w:ascii="Arial" w:hAnsi="Arial" w:cs="Arial"/>
        </w:rPr>
        <w:t xml:space="preserve">Harris, B. (2017). Uber, Lyft, and regulating the sharing economy. </w:t>
      </w:r>
      <w:r w:rsidRPr="00225861">
        <w:rPr>
          <w:rFonts w:ascii="Arial" w:hAnsi="Arial" w:cs="Arial"/>
          <w:i/>
          <w:iCs/>
        </w:rPr>
        <w:t xml:space="preserve">Case Western Reserve Law Review, </w:t>
      </w:r>
    </w:p>
    <w:p w14:paraId="42543406" w14:textId="25FBC136" w:rsidR="00225861" w:rsidRPr="00225861" w:rsidRDefault="00225861" w:rsidP="00225861">
      <w:pPr>
        <w:pStyle w:val="FootnoteText"/>
        <w:spacing w:line="360" w:lineRule="auto"/>
        <w:ind w:firstLine="720"/>
        <w:jc w:val="both"/>
        <w:rPr>
          <w:rFonts w:ascii="Arial" w:hAnsi="Arial" w:cs="Arial"/>
        </w:rPr>
      </w:pPr>
      <w:r w:rsidRPr="00225861">
        <w:rPr>
          <w:rFonts w:ascii="Arial" w:hAnsi="Arial" w:cs="Arial"/>
          <w:i/>
          <w:iCs/>
        </w:rPr>
        <w:t>68</w:t>
      </w:r>
      <w:r w:rsidRPr="00225861">
        <w:rPr>
          <w:rFonts w:ascii="Arial" w:hAnsi="Arial" w:cs="Arial"/>
        </w:rPr>
        <w:t>(3), 865–895.</w:t>
      </w:r>
    </w:p>
    <w:p w14:paraId="516C43EB" w14:textId="77777777" w:rsidR="00225861" w:rsidRDefault="00225861" w:rsidP="00225861">
      <w:pPr>
        <w:pStyle w:val="FootnoteText"/>
        <w:spacing w:before="240" w:line="360" w:lineRule="auto"/>
        <w:jc w:val="both"/>
        <w:rPr>
          <w:rFonts w:ascii="Arial" w:hAnsi="Arial" w:cs="Arial"/>
        </w:rPr>
      </w:pPr>
      <w:r w:rsidRPr="00225861">
        <w:rPr>
          <w:rFonts w:ascii="Arial" w:hAnsi="Arial" w:cs="Arial"/>
        </w:rPr>
        <w:t xml:space="preserve">Harvey, G., Rhodes, C., Vachhani, S. J., &amp; Williams, K. (2017). Neo-villeiny and the service sector: The </w:t>
      </w:r>
    </w:p>
    <w:p w14:paraId="408D7FD5" w14:textId="77777777" w:rsidR="00225861" w:rsidRDefault="00225861" w:rsidP="00225861">
      <w:pPr>
        <w:pStyle w:val="FootnoteText"/>
        <w:spacing w:line="360" w:lineRule="auto"/>
        <w:ind w:firstLine="720"/>
        <w:jc w:val="both"/>
        <w:rPr>
          <w:rFonts w:ascii="Arial" w:hAnsi="Arial" w:cs="Arial"/>
          <w:i/>
          <w:iCs/>
        </w:rPr>
      </w:pPr>
      <w:r w:rsidRPr="00225861">
        <w:rPr>
          <w:rFonts w:ascii="Arial" w:hAnsi="Arial" w:cs="Arial"/>
        </w:rPr>
        <w:t xml:space="preserve">case of hyper-flexible and precarious work in UK universities. </w:t>
      </w:r>
      <w:r w:rsidRPr="00225861">
        <w:rPr>
          <w:rFonts w:ascii="Arial" w:hAnsi="Arial" w:cs="Arial"/>
          <w:i/>
          <w:iCs/>
        </w:rPr>
        <w:t xml:space="preserve">Work, Employment and Society, </w:t>
      </w:r>
    </w:p>
    <w:p w14:paraId="335C9136" w14:textId="04BC22BE" w:rsidR="00225861" w:rsidRPr="00225861" w:rsidRDefault="00225861" w:rsidP="00225861">
      <w:pPr>
        <w:pStyle w:val="FootnoteText"/>
        <w:spacing w:line="360" w:lineRule="auto"/>
        <w:ind w:firstLine="720"/>
        <w:jc w:val="both"/>
        <w:rPr>
          <w:rFonts w:ascii="Arial" w:hAnsi="Arial" w:cs="Arial"/>
        </w:rPr>
      </w:pPr>
      <w:r w:rsidRPr="00225861">
        <w:rPr>
          <w:rFonts w:ascii="Arial" w:hAnsi="Arial" w:cs="Arial"/>
          <w:i/>
          <w:iCs/>
        </w:rPr>
        <w:t>31</w:t>
      </w:r>
      <w:r w:rsidRPr="00225861">
        <w:rPr>
          <w:rFonts w:ascii="Arial" w:hAnsi="Arial" w:cs="Arial"/>
        </w:rPr>
        <w:t xml:space="preserve">(1), 19–35. </w:t>
      </w:r>
      <w:hyperlink r:id="rId13" w:tgtFrame="_new" w:history="1">
        <w:r w:rsidRPr="00225861">
          <w:rPr>
            <w:rStyle w:val="Hyperlink"/>
            <w:rFonts w:ascii="Arial" w:hAnsi="Arial" w:cs="Arial"/>
          </w:rPr>
          <w:t>https://doi.org/10.1177/0950017016630257</w:t>
        </w:r>
      </w:hyperlink>
    </w:p>
    <w:p w14:paraId="0444D71C" w14:textId="77777777" w:rsidR="00225861" w:rsidRDefault="00225861" w:rsidP="00225861">
      <w:pPr>
        <w:pStyle w:val="FootnoteText"/>
        <w:spacing w:before="240" w:line="360" w:lineRule="auto"/>
        <w:jc w:val="both"/>
        <w:rPr>
          <w:rFonts w:ascii="Arial" w:hAnsi="Arial" w:cs="Arial"/>
          <w:i/>
          <w:iCs/>
        </w:rPr>
      </w:pPr>
      <w:r w:rsidRPr="00225861">
        <w:rPr>
          <w:rFonts w:ascii="Arial" w:hAnsi="Arial" w:cs="Arial"/>
        </w:rPr>
        <w:t xml:space="preserve">Hunt, A., Samman, E., &amp; Mansour-Ille, D. (2019). </w:t>
      </w:r>
      <w:r w:rsidRPr="00225861">
        <w:rPr>
          <w:rFonts w:ascii="Arial" w:hAnsi="Arial" w:cs="Arial"/>
          <w:i/>
          <w:iCs/>
        </w:rPr>
        <w:t xml:space="preserve">The gig economy in low-income countries: Evidence </w:t>
      </w:r>
    </w:p>
    <w:p w14:paraId="013BA5F4" w14:textId="18B50FB8" w:rsidR="00225861" w:rsidRPr="00225861" w:rsidRDefault="00225861" w:rsidP="00225861">
      <w:pPr>
        <w:pStyle w:val="FootnoteText"/>
        <w:spacing w:line="360" w:lineRule="auto"/>
        <w:ind w:left="720"/>
        <w:jc w:val="both"/>
        <w:rPr>
          <w:rFonts w:ascii="Arial" w:hAnsi="Arial" w:cs="Arial"/>
        </w:rPr>
      </w:pPr>
      <w:r w:rsidRPr="00225861">
        <w:rPr>
          <w:rFonts w:ascii="Arial" w:hAnsi="Arial" w:cs="Arial"/>
          <w:i/>
          <w:iCs/>
        </w:rPr>
        <w:t>from Bangladesh and India</w:t>
      </w:r>
      <w:r w:rsidRPr="00225861">
        <w:rPr>
          <w:rFonts w:ascii="Arial" w:hAnsi="Arial" w:cs="Arial"/>
        </w:rPr>
        <w:t xml:space="preserve">. Overseas Development Institute. </w:t>
      </w:r>
      <w:hyperlink r:id="rId14" w:history="1">
        <w:r w:rsidRPr="00225861">
          <w:rPr>
            <w:rStyle w:val="Hyperlink"/>
            <w:rFonts w:ascii="Arial" w:hAnsi="Arial" w:cs="Arial"/>
          </w:rPr>
          <w:t>https://odi.org/en/publications/the-gig-economy-in-low-income-countries-evidence-from-bangladesh-and-india/</w:t>
        </w:r>
      </w:hyperlink>
    </w:p>
    <w:p w14:paraId="0D32EC5E" w14:textId="77777777" w:rsidR="00225861" w:rsidRDefault="00225861" w:rsidP="00225861">
      <w:pPr>
        <w:pStyle w:val="FootnoteText"/>
        <w:spacing w:before="240" w:line="360" w:lineRule="auto"/>
        <w:jc w:val="both"/>
        <w:rPr>
          <w:rFonts w:ascii="Arial" w:hAnsi="Arial" w:cs="Arial"/>
          <w:i/>
          <w:iCs/>
        </w:rPr>
      </w:pPr>
      <w:r w:rsidRPr="00225861">
        <w:rPr>
          <w:rFonts w:ascii="Arial" w:hAnsi="Arial" w:cs="Arial"/>
        </w:rPr>
        <w:t xml:space="preserve">International Labour Organization. (2021). </w:t>
      </w:r>
      <w:r w:rsidRPr="00225861">
        <w:rPr>
          <w:rFonts w:ascii="Arial" w:hAnsi="Arial" w:cs="Arial"/>
          <w:i/>
          <w:iCs/>
        </w:rPr>
        <w:t xml:space="preserve">World employment and social outlook: The role of digital </w:t>
      </w:r>
    </w:p>
    <w:p w14:paraId="685A333E" w14:textId="07CEBB49" w:rsidR="00225861" w:rsidRPr="00225861" w:rsidRDefault="00225861" w:rsidP="00225861">
      <w:pPr>
        <w:pStyle w:val="FootnoteText"/>
        <w:spacing w:line="360" w:lineRule="auto"/>
        <w:ind w:left="720"/>
        <w:jc w:val="both"/>
        <w:rPr>
          <w:rFonts w:ascii="Arial" w:hAnsi="Arial" w:cs="Arial"/>
        </w:rPr>
      </w:pPr>
      <w:r w:rsidRPr="00225861">
        <w:rPr>
          <w:rFonts w:ascii="Arial" w:hAnsi="Arial" w:cs="Arial"/>
          <w:i/>
          <w:iCs/>
        </w:rPr>
        <w:t>labour platforms in transforming the world of work</w:t>
      </w:r>
      <w:r w:rsidRPr="00225861">
        <w:rPr>
          <w:rFonts w:ascii="Arial" w:hAnsi="Arial" w:cs="Arial"/>
        </w:rPr>
        <w:t xml:space="preserve">. ILO. </w:t>
      </w:r>
      <w:hyperlink r:id="rId15" w:history="1">
        <w:r w:rsidRPr="00225861">
          <w:rPr>
            <w:rStyle w:val="Hyperlink"/>
            <w:rFonts w:ascii="Arial" w:hAnsi="Arial" w:cs="Arial"/>
          </w:rPr>
          <w:t>https://www.ilo.org/global/research/global-reports/weso/2021/WCMS_771749/lang--en/index.htm</w:t>
        </w:r>
      </w:hyperlink>
    </w:p>
    <w:p w14:paraId="7E9FAED6" w14:textId="77777777" w:rsidR="00225861" w:rsidRDefault="00225861" w:rsidP="00225861">
      <w:pPr>
        <w:pStyle w:val="FootnoteText"/>
        <w:spacing w:before="240" w:line="360" w:lineRule="auto"/>
        <w:jc w:val="both"/>
        <w:rPr>
          <w:rFonts w:ascii="Arial" w:hAnsi="Arial" w:cs="Arial"/>
        </w:rPr>
      </w:pPr>
      <w:r w:rsidRPr="00225861">
        <w:rPr>
          <w:rFonts w:ascii="Arial" w:hAnsi="Arial" w:cs="Arial"/>
        </w:rPr>
        <w:t xml:space="preserve">Jafar, U. G., Unnimaya, &amp; Malaiarasan, U. (2024). Labour market dynamics in the age of Industry 4.0: </w:t>
      </w:r>
    </w:p>
    <w:p w14:paraId="676CB4CD" w14:textId="656213D5" w:rsidR="00225861" w:rsidRPr="00225861" w:rsidRDefault="00225861" w:rsidP="00225861">
      <w:pPr>
        <w:pStyle w:val="FootnoteText"/>
        <w:spacing w:line="360" w:lineRule="auto"/>
        <w:ind w:firstLine="720"/>
        <w:jc w:val="both"/>
        <w:rPr>
          <w:rFonts w:ascii="Arial" w:hAnsi="Arial" w:cs="Arial"/>
        </w:rPr>
      </w:pPr>
      <w:r w:rsidRPr="00225861">
        <w:rPr>
          <w:rFonts w:ascii="Arial" w:hAnsi="Arial" w:cs="Arial"/>
        </w:rPr>
        <w:t xml:space="preserve">A study of gig workers in Kerala. </w:t>
      </w:r>
      <w:r w:rsidRPr="00225861">
        <w:rPr>
          <w:rFonts w:ascii="Arial" w:hAnsi="Arial" w:cs="Arial"/>
          <w:i/>
          <w:iCs/>
        </w:rPr>
        <w:t>Indian Journal of Economics and Development, 20</w:t>
      </w:r>
      <w:r w:rsidRPr="00225861">
        <w:rPr>
          <w:rFonts w:ascii="Arial" w:hAnsi="Arial" w:cs="Arial"/>
        </w:rPr>
        <w:t>(1), 45–56.</w:t>
      </w:r>
    </w:p>
    <w:p w14:paraId="04696180" w14:textId="77777777" w:rsidR="00225861" w:rsidRDefault="00225861" w:rsidP="00225861">
      <w:pPr>
        <w:pStyle w:val="FootnoteText"/>
        <w:spacing w:before="240" w:line="360" w:lineRule="auto"/>
        <w:jc w:val="both"/>
        <w:rPr>
          <w:rFonts w:ascii="Arial" w:hAnsi="Arial" w:cs="Arial"/>
        </w:rPr>
      </w:pPr>
      <w:r w:rsidRPr="00225861">
        <w:rPr>
          <w:rFonts w:ascii="Arial" w:hAnsi="Arial" w:cs="Arial"/>
        </w:rPr>
        <w:t xml:space="preserve">Kalleberg, A. L. (2009). Precarious work, insecure workers: Employment relations in transition. </w:t>
      </w:r>
    </w:p>
    <w:p w14:paraId="50611BA0" w14:textId="7018D9D3" w:rsidR="00225861" w:rsidRPr="00225861" w:rsidRDefault="00225861" w:rsidP="00225861">
      <w:pPr>
        <w:pStyle w:val="FootnoteText"/>
        <w:spacing w:line="360" w:lineRule="auto"/>
        <w:ind w:firstLine="720"/>
        <w:jc w:val="both"/>
        <w:rPr>
          <w:rFonts w:ascii="Arial" w:hAnsi="Arial" w:cs="Arial"/>
        </w:rPr>
      </w:pPr>
      <w:r w:rsidRPr="00225861">
        <w:rPr>
          <w:rFonts w:ascii="Arial" w:hAnsi="Arial" w:cs="Arial"/>
          <w:i/>
          <w:iCs/>
        </w:rPr>
        <w:t>American Sociological Review, 74</w:t>
      </w:r>
      <w:r w:rsidRPr="00225861">
        <w:rPr>
          <w:rFonts w:ascii="Arial" w:hAnsi="Arial" w:cs="Arial"/>
        </w:rPr>
        <w:t>(1), 1–22. https://doi.org/10.1177/000312240907400101</w:t>
      </w:r>
    </w:p>
    <w:p w14:paraId="4FB616BB" w14:textId="77777777" w:rsidR="00225861" w:rsidRDefault="00225861" w:rsidP="00225861">
      <w:pPr>
        <w:pStyle w:val="FootnoteText"/>
        <w:spacing w:before="240" w:line="360" w:lineRule="auto"/>
        <w:jc w:val="both"/>
        <w:rPr>
          <w:rFonts w:ascii="Arial" w:hAnsi="Arial" w:cs="Arial"/>
          <w:i/>
          <w:iCs/>
        </w:rPr>
      </w:pPr>
      <w:r w:rsidRPr="00225861">
        <w:rPr>
          <w:rFonts w:ascii="Arial" w:hAnsi="Arial" w:cs="Arial"/>
        </w:rPr>
        <w:t xml:space="preserve">Katz, L. F., &amp; Krueger, A. B. (2016). </w:t>
      </w:r>
      <w:r w:rsidRPr="00225861">
        <w:rPr>
          <w:rFonts w:ascii="Arial" w:hAnsi="Arial" w:cs="Arial"/>
          <w:i/>
          <w:iCs/>
        </w:rPr>
        <w:t xml:space="preserve">The rise and nature of alternative work arrangements in the United </w:t>
      </w:r>
    </w:p>
    <w:p w14:paraId="386DAC55" w14:textId="600234F2" w:rsidR="00225861" w:rsidRPr="00225861" w:rsidRDefault="00225861" w:rsidP="00225861">
      <w:pPr>
        <w:pStyle w:val="FootnoteText"/>
        <w:spacing w:line="360" w:lineRule="auto"/>
        <w:ind w:left="720"/>
        <w:jc w:val="both"/>
        <w:rPr>
          <w:rFonts w:ascii="Arial" w:hAnsi="Arial" w:cs="Arial"/>
        </w:rPr>
      </w:pPr>
      <w:r w:rsidRPr="00225861">
        <w:rPr>
          <w:rFonts w:ascii="Arial" w:hAnsi="Arial" w:cs="Arial"/>
          <w:i/>
          <w:iCs/>
        </w:rPr>
        <w:t>States, 1995–2015</w:t>
      </w:r>
      <w:r w:rsidRPr="00225861">
        <w:rPr>
          <w:rFonts w:ascii="Arial" w:hAnsi="Arial" w:cs="Arial"/>
        </w:rPr>
        <w:t xml:space="preserve"> (NBER Working Paper No. 22667). National Bureau of Economic Research. https://doi.org/10.3386/w22667</w:t>
      </w:r>
    </w:p>
    <w:p w14:paraId="4171AAF8" w14:textId="77777777" w:rsidR="00225861" w:rsidRDefault="00225861" w:rsidP="00225861">
      <w:pPr>
        <w:pStyle w:val="FootnoteText"/>
        <w:spacing w:before="240" w:line="360" w:lineRule="auto"/>
        <w:jc w:val="both"/>
        <w:rPr>
          <w:rFonts w:ascii="Arial" w:hAnsi="Arial" w:cs="Arial"/>
          <w:i/>
          <w:iCs/>
        </w:rPr>
      </w:pPr>
      <w:r w:rsidRPr="00225861">
        <w:rPr>
          <w:rFonts w:ascii="Arial" w:hAnsi="Arial" w:cs="Arial"/>
        </w:rPr>
        <w:t xml:space="preserve">Katz, L. F., &amp; Krueger, A. B. (2019). </w:t>
      </w:r>
      <w:r w:rsidRPr="00225861">
        <w:rPr>
          <w:rFonts w:ascii="Arial" w:hAnsi="Arial" w:cs="Arial"/>
          <w:i/>
          <w:iCs/>
        </w:rPr>
        <w:t xml:space="preserve">Understanding trends in alternative work arrangements in the </w:t>
      </w:r>
    </w:p>
    <w:p w14:paraId="6278FF3C" w14:textId="6DCF36AE" w:rsidR="00225861" w:rsidRPr="00225861" w:rsidRDefault="00225861" w:rsidP="00225861">
      <w:pPr>
        <w:pStyle w:val="FootnoteText"/>
        <w:spacing w:line="360" w:lineRule="auto"/>
        <w:ind w:left="720"/>
        <w:jc w:val="both"/>
        <w:rPr>
          <w:rFonts w:ascii="Arial" w:hAnsi="Arial" w:cs="Arial"/>
        </w:rPr>
      </w:pPr>
      <w:r w:rsidRPr="00225861">
        <w:rPr>
          <w:rFonts w:ascii="Arial" w:hAnsi="Arial" w:cs="Arial"/>
          <w:i/>
          <w:iCs/>
        </w:rPr>
        <w:t>United States</w:t>
      </w:r>
      <w:r w:rsidRPr="00225861">
        <w:rPr>
          <w:rFonts w:ascii="Arial" w:hAnsi="Arial" w:cs="Arial"/>
        </w:rPr>
        <w:t xml:space="preserve"> (NBER Working Paper No. 25425). National Bureau of Economic Research. https://doi.org/10.3386/w25425</w:t>
      </w:r>
    </w:p>
    <w:p w14:paraId="273D6707" w14:textId="77777777" w:rsidR="00225861" w:rsidRDefault="00225861" w:rsidP="00225861">
      <w:pPr>
        <w:pStyle w:val="FootnoteText"/>
        <w:spacing w:before="240" w:line="360" w:lineRule="auto"/>
        <w:jc w:val="both"/>
        <w:rPr>
          <w:rFonts w:ascii="Arial" w:hAnsi="Arial" w:cs="Arial"/>
        </w:rPr>
      </w:pPr>
      <w:r w:rsidRPr="00225861">
        <w:rPr>
          <w:rFonts w:ascii="Arial" w:hAnsi="Arial" w:cs="Arial"/>
        </w:rPr>
        <w:t xml:space="preserve">Levitas, R. (2006). The concept and measurement of social exclusion. In C. Pantazis, D. Gordon, &amp; R. </w:t>
      </w:r>
    </w:p>
    <w:p w14:paraId="56E49024" w14:textId="4C9FBDB3" w:rsidR="00225861" w:rsidRPr="00225861" w:rsidRDefault="00225861" w:rsidP="00225861">
      <w:pPr>
        <w:pStyle w:val="FootnoteText"/>
        <w:spacing w:line="360" w:lineRule="auto"/>
        <w:ind w:left="720"/>
        <w:jc w:val="both"/>
        <w:rPr>
          <w:rFonts w:ascii="Arial" w:hAnsi="Arial" w:cs="Arial"/>
        </w:rPr>
      </w:pPr>
      <w:r w:rsidRPr="00225861">
        <w:rPr>
          <w:rFonts w:ascii="Arial" w:hAnsi="Arial" w:cs="Arial"/>
        </w:rPr>
        <w:t xml:space="preserve">Levitas (Eds.), </w:t>
      </w:r>
      <w:r w:rsidRPr="00225861">
        <w:rPr>
          <w:rFonts w:ascii="Arial" w:hAnsi="Arial" w:cs="Arial"/>
          <w:i/>
          <w:iCs/>
        </w:rPr>
        <w:t>Poverty and social exclusion in Britain: The millennium survey</w:t>
      </w:r>
      <w:r w:rsidRPr="00225861">
        <w:rPr>
          <w:rFonts w:ascii="Arial" w:hAnsi="Arial" w:cs="Arial"/>
        </w:rPr>
        <w:t xml:space="preserve"> (pp. 123–160). Policy Press.</w:t>
      </w:r>
    </w:p>
    <w:p w14:paraId="44BEAEF0" w14:textId="77777777" w:rsidR="00225861" w:rsidRDefault="00225861" w:rsidP="00225861">
      <w:pPr>
        <w:pStyle w:val="FootnoteText"/>
        <w:spacing w:before="240" w:line="360" w:lineRule="auto"/>
        <w:jc w:val="both"/>
        <w:rPr>
          <w:rFonts w:ascii="Arial" w:hAnsi="Arial" w:cs="Arial"/>
        </w:rPr>
      </w:pPr>
      <w:r w:rsidRPr="00225861">
        <w:rPr>
          <w:rFonts w:ascii="Arial" w:hAnsi="Arial" w:cs="Arial"/>
        </w:rPr>
        <w:t xml:space="preserve">Mishra, A., &amp; Dastidar, S. G. (2023). Gig economy in India: A study of platform-based service providers. </w:t>
      </w:r>
    </w:p>
    <w:p w14:paraId="197A8BC6" w14:textId="19B80C5B" w:rsidR="00225861" w:rsidRPr="00225861" w:rsidRDefault="00225861" w:rsidP="00225861">
      <w:pPr>
        <w:pStyle w:val="FootnoteText"/>
        <w:spacing w:line="360" w:lineRule="auto"/>
        <w:ind w:firstLine="720"/>
        <w:jc w:val="both"/>
        <w:rPr>
          <w:rFonts w:ascii="Arial" w:hAnsi="Arial" w:cs="Arial"/>
        </w:rPr>
      </w:pPr>
      <w:r w:rsidRPr="00225861">
        <w:rPr>
          <w:rFonts w:ascii="Arial" w:hAnsi="Arial" w:cs="Arial"/>
          <w:i/>
          <w:iCs/>
        </w:rPr>
        <w:t>Global Business Review, 24</w:t>
      </w:r>
      <w:r w:rsidRPr="00225861">
        <w:rPr>
          <w:rFonts w:ascii="Arial" w:hAnsi="Arial" w:cs="Arial"/>
        </w:rPr>
        <w:t>(4), 567–582. https://doi.org/10.1177/09721509211039592</w:t>
      </w:r>
    </w:p>
    <w:p w14:paraId="46345146" w14:textId="77777777" w:rsidR="00225861" w:rsidRDefault="00225861" w:rsidP="00225861">
      <w:pPr>
        <w:pStyle w:val="FootnoteText"/>
        <w:spacing w:before="240" w:line="360" w:lineRule="auto"/>
        <w:jc w:val="both"/>
        <w:rPr>
          <w:rFonts w:ascii="Arial" w:hAnsi="Arial" w:cs="Arial"/>
          <w:i/>
          <w:iCs/>
        </w:rPr>
      </w:pPr>
      <w:r w:rsidRPr="00225861">
        <w:rPr>
          <w:rFonts w:ascii="Arial" w:hAnsi="Arial" w:cs="Arial"/>
        </w:rPr>
        <w:lastRenderedPageBreak/>
        <w:t xml:space="preserve">NITI Aayog. (2022). </w:t>
      </w:r>
      <w:r w:rsidRPr="00225861">
        <w:rPr>
          <w:rFonts w:ascii="Arial" w:hAnsi="Arial" w:cs="Arial"/>
          <w:i/>
          <w:iCs/>
        </w:rPr>
        <w:t xml:space="preserve">India’s booming gig and platform economy: Perspectives and recommendations </w:t>
      </w:r>
    </w:p>
    <w:p w14:paraId="0D50E47A" w14:textId="1ADE8D7A" w:rsidR="00225861" w:rsidRPr="00225861" w:rsidRDefault="00225861" w:rsidP="00225861">
      <w:pPr>
        <w:pStyle w:val="FootnoteText"/>
        <w:spacing w:line="360" w:lineRule="auto"/>
        <w:ind w:left="720"/>
        <w:jc w:val="both"/>
        <w:rPr>
          <w:rFonts w:ascii="Arial" w:hAnsi="Arial" w:cs="Arial"/>
        </w:rPr>
      </w:pPr>
      <w:r w:rsidRPr="00225861">
        <w:rPr>
          <w:rFonts w:ascii="Arial" w:hAnsi="Arial" w:cs="Arial"/>
          <w:i/>
          <w:iCs/>
        </w:rPr>
        <w:t>on the future of work</w:t>
      </w:r>
      <w:r w:rsidRPr="00225861">
        <w:rPr>
          <w:rFonts w:ascii="Arial" w:hAnsi="Arial" w:cs="Arial"/>
        </w:rPr>
        <w:t xml:space="preserve">. Government of India. </w:t>
      </w:r>
      <w:hyperlink r:id="rId16" w:history="1">
        <w:r w:rsidRPr="00225861">
          <w:rPr>
            <w:rStyle w:val="Hyperlink"/>
            <w:rFonts w:ascii="Arial" w:hAnsi="Arial" w:cs="Arial"/>
          </w:rPr>
          <w:t>https://www.niti.gov.in/sites/default/files/2022-</w:t>
        </w:r>
      </w:hyperlink>
      <w:r w:rsidRPr="00225861">
        <w:rPr>
          <w:rFonts w:ascii="Arial" w:hAnsi="Arial" w:cs="Arial"/>
        </w:rPr>
        <w:t>06/Policy_Brief_India%E2%80%99s_Booming_Gig_and_Platform_Economy_27062022.pdf</w:t>
      </w:r>
    </w:p>
    <w:p w14:paraId="7359E2FA" w14:textId="77777777" w:rsidR="00225861" w:rsidRPr="00225861" w:rsidRDefault="00225861" w:rsidP="00225861">
      <w:pPr>
        <w:pStyle w:val="FootnoteText"/>
        <w:spacing w:before="240" w:line="360" w:lineRule="auto"/>
        <w:jc w:val="both"/>
        <w:rPr>
          <w:rFonts w:ascii="Arial" w:hAnsi="Arial" w:cs="Arial"/>
        </w:rPr>
      </w:pPr>
      <w:r w:rsidRPr="00225861">
        <w:rPr>
          <w:rFonts w:ascii="Arial" w:hAnsi="Arial" w:cs="Arial"/>
        </w:rPr>
        <w:t xml:space="preserve">Oommen, M. A. (2008). Reforms and the Kerala model. </w:t>
      </w:r>
      <w:r w:rsidRPr="00225861">
        <w:rPr>
          <w:rFonts w:ascii="Arial" w:hAnsi="Arial" w:cs="Arial"/>
          <w:i/>
          <w:iCs/>
        </w:rPr>
        <w:t>Economic and Political Weekly, 43</w:t>
      </w:r>
      <w:r w:rsidRPr="00225861">
        <w:rPr>
          <w:rFonts w:ascii="Arial" w:hAnsi="Arial" w:cs="Arial"/>
        </w:rPr>
        <w:t>(2), 22–25.</w:t>
      </w:r>
    </w:p>
    <w:p w14:paraId="5B9EBF30" w14:textId="77777777" w:rsidR="00156F13" w:rsidRDefault="00225861" w:rsidP="00225861">
      <w:pPr>
        <w:pStyle w:val="FootnoteText"/>
        <w:spacing w:before="240" w:line="360" w:lineRule="auto"/>
        <w:jc w:val="both"/>
        <w:rPr>
          <w:rFonts w:ascii="Arial" w:hAnsi="Arial" w:cs="Arial"/>
          <w:i/>
          <w:iCs/>
        </w:rPr>
      </w:pPr>
      <w:r w:rsidRPr="00225861">
        <w:rPr>
          <w:rFonts w:ascii="Arial" w:hAnsi="Arial" w:cs="Arial"/>
        </w:rPr>
        <w:t xml:space="preserve">Panda, S. (2020). Women in the Indian gig economy: Trends and challenges. </w:t>
      </w:r>
      <w:r w:rsidRPr="00225861">
        <w:rPr>
          <w:rFonts w:ascii="Arial" w:hAnsi="Arial" w:cs="Arial"/>
          <w:i/>
          <w:iCs/>
        </w:rPr>
        <w:t xml:space="preserve">Indian Journal of Gender </w:t>
      </w:r>
    </w:p>
    <w:p w14:paraId="5A6575AC" w14:textId="61CEF520" w:rsidR="00225861" w:rsidRPr="00225861" w:rsidRDefault="00225861" w:rsidP="00156F13">
      <w:pPr>
        <w:pStyle w:val="FootnoteText"/>
        <w:spacing w:line="360" w:lineRule="auto"/>
        <w:ind w:firstLine="720"/>
        <w:jc w:val="both"/>
        <w:rPr>
          <w:rFonts w:ascii="Arial" w:hAnsi="Arial" w:cs="Arial"/>
        </w:rPr>
      </w:pPr>
      <w:r w:rsidRPr="00225861">
        <w:rPr>
          <w:rFonts w:ascii="Arial" w:hAnsi="Arial" w:cs="Arial"/>
          <w:i/>
          <w:iCs/>
        </w:rPr>
        <w:t>Studies, 27</w:t>
      </w:r>
      <w:r w:rsidRPr="00225861">
        <w:rPr>
          <w:rFonts w:ascii="Arial" w:hAnsi="Arial" w:cs="Arial"/>
        </w:rPr>
        <w:t xml:space="preserve">(3), 355–376. </w:t>
      </w:r>
      <w:hyperlink r:id="rId17" w:tgtFrame="_new" w:history="1">
        <w:r w:rsidRPr="00225861">
          <w:rPr>
            <w:rStyle w:val="Hyperlink"/>
            <w:rFonts w:ascii="Arial" w:hAnsi="Arial" w:cs="Arial"/>
          </w:rPr>
          <w:t>https://doi.org/10.1177/0971521520939283</w:t>
        </w:r>
      </w:hyperlink>
    </w:p>
    <w:p w14:paraId="4413C0CD" w14:textId="77777777" w:rsidR="00156F13" w:rsidRDefault="00225861" w:rsidP="00225861">
      <w:pPr>
        <w:pStyle w:val="FootnoteText"/>
        <w:spacing w:before="240" w:line="360" w:lineRule="auto"/>
        <w:jc w:val="both"/>
        <w:rPr>
          <w:rFonts w:ascii="Arial" w:hAnsi="Arial" w:cs="Arial"/>
        </w:rPr>
      </w:pPr>
      <w:r w:rsidRPr="00225861">
        <w:rPr>
          <w:rFonts w:ascii="Arial" w:hAnsi="Arial" w:cs="Arial"/>
        </w:rPr>
        <w:t xml:space="preserve">Ramachandran, R., Singh, A., &amp; Narain, N. (2021). The gig economy in India: A study of platform </w:t>
      </w:r>
    </w:p>
    <w:p w14:paraId="01603436" w14:textId="402B9DB2" w:rsidR="00225861" w:rsidRPr="00225861" w:rsidRDefault="00225861" w:rsidP="00156F13">
      <w:pPr>
        <w:pStyle w:val="FootnoteText"/>
        <w:spacing w:line="360" w:lineRule="auto"/>
        <w:ind w:left="720"/>
        <w:jc w:val="both"/>
        <w:rPr>
          <w:rFonts w:ascii="Arial" w:hAnsi="Arial" w:cs="Arial"/>
        </w:rPr>
      </w:pPr>
      <w:r w:rsidRPr="00225861">
        <w:rPr>
          <w:rFonts w:ascii="Arial" w:hAnsi="Arial" w:cs="Arial"/>
        </w:rPr>
        <w:t xml:space="preserve">workers’ experiences. </w:t>
      </w:r>
      <w:r w:rsidRPr="00225861">
        <w:rPr>
          <w:rFonts w:ascii="Arial" w:hAnsi="Arial" w:cs="Arial"/>
          <w:i/>
          <w:iCs/>
        </w:rPr>
        <w:t>Journal of Labor Research, 42</w:t>
      </w:r>
      <w:r w:rsidRPr="00225861">
        <w:rPr>
          <w:rFonts w:ascii="Arial" w:hAnsi="Arial" w:cs="Arial"/>
        </w:rPr>
        <w:t xml:space="preserve">(3), 289–310. </w:t>
      </w:r>
      <w:hyperlink r:id="rId18" w:history="1">
        <w:r w:rsidR="00156F13" w:rsidRPr="00225861">
          <w:rPr>
            <w:rStyle w:val="Hyperlink"/>
            <w:rFonts w:ascii="Arial" w:hAnsi="Arial" w:cs="Arial"/>
          </w:rPr>
          <w:t>https://doi.org/10.1007/s12122-021-09322-7</w:t>
        </w:r>
      </w:hyperlink>
    </w:p>
    <w:p w14:paraId="33A7639B" w14:textId="77777777" w:rsidR="00156F13" w:rsidRDefault="00225861" w:rsidP="00225861">
      <w:pPr>
        <w:pStyle w:val="FootnoteText"/>
        <w:spacing w:before="240" w:line="360" w:lineRule="auto"/>
        <w:jc w:val="both"/>
        <w:rPr>
          <w:rFonts w:ascii="Arial" w:hAnsi="Arial" w:cs="Arial"/>
          <w:i/>
          <w:iCs/>
        </w:rPr>
      </w:pPr>
      <w:r w:rsidRPr="00225861">
        <w:rPr>
          <w:rFonts w:ascii="Arial" w:hAnsi="Arial" w:cs="Arial"/>
        </w:rPr>
        <w:t xml:space="preserve">Ramachandran, V. (1997). </w:t>
      </w:r>
      <w:r w:rsidRPr="00225861">
        <w:rPr>
          <w:rFonts w:ascii="Arial" w:hAnsi="Arial" w:cs="Arial"/>
          <w:i/>
          <w:iCs/>
        </w:rPr>
        <w:t xml:space="preserve">Bridging the gap between intention and action: Girls’ and women’s education </w:t>
      </w:r>
    </w:p>
    <w:p w14:paraId="62BF9E3B" w14:textId="75AAC729" w:rsidR="00225861" w:rsidRPr="00225861" w:rsidRDefault="00225861" w:rsidP="00156F13">
      <w:pPr>
        <w:pStyle w:val="FootnoteText"/>
        <w:spacing w:line="360" w:lineRule="auto"/>
        <w:ind w:firstLine="720"/>
        <w:jc w:val="both"/>
        <w:rPr>
          <w:rFonts w:ascii="Arial" w:hAnsi="Arial" w:cs="Arial"/>
        </w:rPr>
      </w:pPr>
      <w:r w:rsidRPr="00225861">
        <w:rPr>
          <w:rFonts w:ascii="Arial" w:hAnsi="Arial" w:cs="Arial"/>
          <w:i/>
          <w:iCs/>
        </w:rPr>
        <w:t>in South Asia</w:t>
      </w:r>
      <w:r w:rsidRPr="00225861">
        <w:rPr>
          <w:rFonts w:ascii="Arial" w:hAnsi="Arial" w:cs="Arial"/>
        </w:rPr>
        <w:t>. UNESCO.</w:t>
      </w:r>
    </w:p>
    <w:p w14:paraId="5BB0F2AA" w14:textId="77777777" w:rsidR="00156F13" w:rsidRDefault="00225861" w:rsidP="00225861">
      <w:pPr>
        <w:pStyle w:val="FootnoteText"/>
        <w:spacing w:before="240" w:line="360" w:lineRule="auto"/>
        <w:jc w:val="both"/>
        <w:rPr>
          <w:rFonts w:ascii="Arial" w:hAnsi="Arial" w:cs="Arial"/>
          <w:i/>
          <w:iCs/>
        </w:rPr>
      </w:pPr>
      <w:r w:rsidRPr="00225861">
        <w:rPr>
          <w:rFonts w:ascii="Arial" w:hAnsi="Arial" w:cs="Arial"/>
        </w:rPr>
        <w:t xml:space="preserve">Rani, U., &amp; Singh, P. (2019). Digital platforms and gig work in India: An exploratory study. </w:t>
      </w:r>
      <w:r w:rsidRPr="00225861">
        <w:rPr>
          <w:rFonts w:ascii="Arial" w:hAnsi="Arial" w:cs="Arial"/>
          <w:i/>
          <w:iCs/>
        </w:rPr>
        <w:t xml:space="preserve">Indian Journal </w:t>
      </w:r>
    </w:p>
    <w:p w14:paraId="6C263A7D" w14:textId="310303AE" w:rsidR="00225861" w:rsidRPr="00225861" w:rsidRDefault="00225861" w:rsidP="00156F13">
      <w:pPr>
        <w:pStyle w:val="FootnoteText"/>
        <w:spacing w:line="360" w:lineRule="auto"/>
        <w:ind w:firstLine="720"/>
        <w:jc w:val="both"/>
        <w:rPr>
          <w:rFonts w:ascii="Arial" w:hAnsi="Arial" w:cs="Arial"/>
        </w:rPr>
      </w:pPr>
      <w:r w:rsidRPr="00225861">
        <w:rPr>
          <w:rFonts w:ascii="Arial" w:hAnsi="Arial" w:cs="Arial"/>
          <w:i/>
          <w:iCs/>
        </w:rPr>
        <w:t>of Labour Economics, 62</w:t>
      </w:r>
      <w:r w:rsidRPr="00225861">
        <w:rPr>
          <w:rFonts w:ascii="Arial" w:hAnsi="Arial" w:cs="Arial"/>
        </w:rPr>
        <w:t xml:space="preserve">(4), 565–585. </w:t>
      </w:r>
      <w:hyperlink r:id="rId19" w:tgtFrame="_new" w:history="1">
        <w:r w:rsidRPr="00225861">
          <w:rPr>
            <w:rStyle w:val="Hyperlink"/>
            <w:rFonts w:ascii="Arial" w:hAnsi="Arial" w:cs="Arial"/>
          </w:rPr>
          <w:t>https://doi.org/10.1007/s41027-019-00194-w</w:t>
        </w:r>
      </w:hyperlink>
    </w:p>
    <w:p w14:paraId="51E7F4A9" w14:textId="77777777" w:rsidR="00156F13" w:rsidRDefault="00225861" w:rsidP="00225861">
      <w:pPr>
        <w:pStyle w:val="FootnoteText"/>
        <w:spacing w:before="240" w:line="360" w:lineRule="auto"/>
        <w:jc w:val="both"/>
        <w:rPr>
          <w:rFonts w:ascii="Arial" w:hAnsi="Arial" w:cs="Arial"/>
        </w:rPr>
      </w:pPr>
      <w:r w:rsidRPr="00225861">
        <w:rPr>
          <w:rFonts w:ascii="Arial" w:hAnsi="Arial" w:cs="Arial"/>
        </w:rPr>
        <w:t xml:space="preserve">Sehrawat, N., Kumar, S., &amp; Sharma, R. (2021). The gig economy in India: Opportunities, challenges, </w:t>
      </w:r>
    </w:p>
    <w:p w14:paraId="119EB8C9" w14:textId="45A479F8" w:rsidR="00225861" w:rsidRPr="00225861" w:rsidRDefault="00225861" w:rsidP="00156F13">
      <w:pPr>
        <w:pStyle w:val="FootnoteText"/>
        <w:spacing w:line="360" w:lineRule="auto"/>
        <w:ind w:firstLine="720"/>
        <w:jc w:val="both"/>
        <w:rPr>
          <w:rFonts w:ascii="Arial" w:hAnsi="Arial" w:cs="Arial"/>
        </w:rPr>
      </w:pPr>
      <w:r w:rsidRPr="00225861">
        <w:rPr>
          <w:rFonts w:ascii="Arial" w:hAnsi="Arial" w:cs="Arial"/>
        </w:rPr>
        <w:t xml:space="preserve">and future prospects. </w:t>
      </w:r>
      <w:r w:rsidRPr="00225861">
        <w:rPr>
          <w:rFonts w:ascii="Arial" w:hAnsi="Arial" w:cs="Arial"/>
          <w:i/>
          <w:iCs/>
        </w:rPr>
        <w:t>International Journal of Management, 12</w:t>
      </w:r>
      <w:r w:rsidRPr="00225861">
        <w:rPr>
          <w:rFonts w:ascii="Arial" w:hAnsi="Arial" w:cs="Arial"/>
        </w:rPr>
        <w:t>(4), 234–245.</w:t>
      </w:r>
    </w:p>
    <w:p w14:paraId="1123B5BD" w14:textId="77777777" w:rsidR="00225861" w:rsidRPr="00225861" w:rsidRDefault="00225861" w:rsidP="00225861">
      <w:pPr>
        <w:pStyle w:val="FootnoteText"/>
        <w:spacing w:before="240" w:line="360" w:lineRule="auto"/>
        <w:jc w:val="both"/>
        <w:rPr>
          <w:rFonts w:ascii="Arial" w:hAnsi="Arial" w:cs="Arial"/>
        </w:rPr>
      </w:pPr>
      <w:r w:rsidRPr="00225861">
        <w:rPr>
          <w:rFonts w:ascii="Arial" w:hAnsi="Arial" w:cs="Arial"/>
        </w:rPr>
        <w:t xml:space="preserve">Sen, A. (1999). </w:t>
      </w:r>
      <w:r w:rsidRPr="00225861">
        <w:rPr>
          <w:rFonts w:ascii="Arial" w:hAnsi="Arial" w:cs="Arial"/>
          <w:i/>
          <w:iCs/>
        </w:rPr>
        <w:t>Development as freedom</w:t>
      </w:r>
      <w:r w:rsidRPr="00225861">
        <w:rPr>
          <w:rFonts w:ascii="Arial" w:hAnsi="Arial" w:cs="Arial"/>
        </w:rPr>
        <w:t>. Oxford University Press.</w:t>
      </w:r>
    </w:p>
    <w:p w14:paraId="21FFC869" w14:textId="77777777" w:rsidR="00225861" w:rsidRPr="00225861" w:rsidRDefault="00225861" w:rsidP="00225861">
      <w:pPr>
        <w:pStyle w:val="FootnoteText"/>
        <w:spacing w:before="240" w:line="360" w:lineRule="auto"/>
        <w:jc w:val="both"/>
        <w:rPr>
          <w:rFonts w:ascii="Arial" w:hAnsi="Arial" w:cs="Arial"/>
        </w:rPr>
      </w:pPr>
      <w:r w:rsidRPr="00225861">
        <w:rPr>
          <w:rFonts w:ascii="Arial" w:hAnsi="Arial" w:cs="Arial"/>
        </w:rPr>
        <w:t xml:space="preserve">Sen, A. (2000). </w:t>
      </w:r>
      <w:r w:rsidRPr="00225861">
        <w:rPr>
          <w:rFonts w:ascii="Arial" w:hAnsi="Arial" w:cs="Arial"/>
          <w:i/>
          <w:iCs/>
        </w:rPr>
        <w:t>Social exclusion: Concept, application, and scrutiny</w:t>
      </w:r>
      <w:r w:rsidRPr="00225861">
        <w:rPr>
          <w:rFonts w:ascii="Arial" w:hAnsi="Arial" w:cs="Arial"/>
        </w:rPr>
        <w:t>. Asian Development Bank.</w:t>
      </w:r>
    </w:p>
    <w:p w14:paraId="0D62CA8D" w14:textId="77777777" w:rsidR="00156F13" w:rsidRDefault="00225861" w:rsidP="00225861">
      <w:pPr>
        <w:pStyle w:val="FootnoteText"/>
        <w:spacing w:before="240" w:line="360" w:lineRule="auto"/>
        <w:jc w:val="both"/>
        <w:rPr>
          <w:rFonts w:ascii="Arial" w:hAnsi="Arial" w:cs="Arial"/>
          <w:i/>
          <w:iCs/>
        </w:rPr>
      </w:pPr>
      <w:r w:rsidRPr="00225861">
        <w:rPr>
          <w:rFonts w:ascii="Arial" w:hAnsi="Arial" w:cs="Arial"/>
        </w:rPr>
        <w:t xml:space="preserve">Silver, H. (1994). Social exclusion and social solidarity: Three paradigms. </w:t>
      </w:r>
      <w:r w:rsidRPr="00225861">
        <w:rPr>
          <w:rFonts w:ascii="Arial" w:hAnsi="Arial" w:cs="Arial"/>
          <w:i/>
          <w:iCs/>
        </w:rPr>
        <w:t xml:space="preserve">International Labour Review, </w:t>
      </w:r>
    </w:p>
    <w:p w14:paraId="6CB83930" w14:textId="179A16A1" w:rsidR="00225861" w:rsidRPr="00225861" w:rsidRDefault="00225861" w:rsidP="00156F13">
      <w:pPr>
        <w:pStyle w:val="FootnoteText"/>
        <w:spacing w:line="360" w:lineRule="auto"/>
        <w:ind w:firstLine="720"/>
        <w:jc w:val="both"/>
        <w:rPr>
          <w:rFonts w:ascii="Arial" w:hAnsi="Arial" w:cs="Arial"/>
        </w:rPr>
      </w:pPr>
      <w:r w:rsidRPr="00225861">
        <w:rPr>
          <w:rFonts w:ascii="Arial" w:hAnsi="Arial" w:cs="Arial"/>
          <w:i/>
          <w:iCs/>
        </w:rPr>
        <w:t>133</w:t>
      </w:r>
      <w:r w:rsidRPr="00225861">
        <w:rPr>
          <w:rFonts w:ascii="Arial" w:hAnsi="Arial" w:cs="Arial"/>
        </w:rPr>
        <w:t>(5–6), 531–578.</w:t>
      </w:r>
    </w:p>
    <w:p w14:paraId="7276C67E" w14:textId="77777777" w:rsidR="00225861" w:rsidRPr="00225861" w:rsidRDefault="00225861" w:rsidP="00225861">
      <w:pPr>
        <w:pStyle w:val="FootnoteText"/>
        <w:spacing w:before="240" w:line="360" w:lineRule="auto"/>
        <w:jc w:val="both"/>
        <w:rPr>
          <w:rFonts w:ascii="Arial" w:hAnsi="Arial" w:cs="Arial"/>
        </w:rPr>
      </w:pPr>
      <w:r w:rsidRPr="00225861">
        <w:rPr>
          <w:rFonts w:ascii="Arial" w:hAnsi="Arial" w:cs="Arial"/>
        </w:rPr>
        <w:t xml:space="preserve">Standing, G. (2011). </w:t>
      </w:r>
      <w:r w:rsidRPr="00225861">
        <w:rPr>
          <w:rFonts w:ascii="Arial" w:hAnsi="Arial" w:cs="Arial"/>
          <w:i/>
          <w:iCs/>
        </w:rPr>
        <w:t>The precariat: The new dangerous class</w:t>
      </w:r>
      <w:r w:rsidRPr="00225861">
        <w:rPr>
          <w:rFonts w:ascii="Arial" w:hAnsi="Arial" w:cs="Arial"/>
        </w:rPr>
        <w:t>. Bloomsbury Academic.</w:t>
      </w:r>
    </w:p>
    <w:p w14:paraId="722230CF" w14:textId="77777777" w:rsidR="00156F13" w:rsidRDefault="00225861" w:rsidP="00225861">
      <w:pPr>
        <w:pStyle w:val="FootnoteText"/>
        <w:spacing w:before="240" w:line="360" w:lineRule="auto"/>
        <w:jc w:val="both"/>
        <w:rPr>
          <w:rFonts w:ascii="Arial" w:hAnsi="Arial" w:cs="Arial"/>
        </w:rPr>
      </w:pPr>
      <w:r w:rsidRPr="00225861">
        <w:rPr>
          <w:rFonts w:ascii="Arial" w:hAnsi="Arial" w:cs="Arial"/>
        </w:rPr>
        <w:t xml:space="preserve">Stringhi, E. (2022). Addressing gendered affordances of the platform economy: The case of Upwork. </w:t>
      </w:r>
    </w:p>
    <w:p w14:paraId="51A9CAE1" w14:textId="1568D78E" w:rsidR="00225861" w:rsidRPr="00225861" w:rsidRDefault="00225861" w:rsidP="00156F13">
      <w:pPr>
        <w:pStyle w:val="FootnoteText"/>
        <w:spacing w:line="360" w:lineRule="auto"/>
        <w:ind w:firstLine="720"/>
        <w:jc w:val="both"/>
        <w:rPr>
          <w:rFonts w:ascii="Arial" w:hAnsi="Arial" w:cs="Arial"/>
        </w:rPr>
      </w:pPr>
      <w:r w:rsidRPr="00225861">
        <w:rPr>
          <w:rFonts w:ascii="Arial" w:hAnsi="Arial" w:cs="Arial"/>
          <w:i/>
          <w:iCs/>
        </w:rPr>
        <w:t>Internet Policy Review, 11</w:t>
      </w:r>
      <w:r w:rsidRPr="00225861">
        <w:rPr>
          <w:rFonts w:ascii="Arial" w:hAnsi="Arial" w:cs="Arial"/>
        </w:rPr>
        <w:t xml:space="preserve">(1). </w:t>
      </w:r>
      <w:hyperlink r:id="rId20" w:tgtFrame="_new" w:history="1">
        <w:r w:rsidRPr="00225861">
          <w:rPr>
            <w:rStyle w:val="Hyperlink"/>
            <w:rFonts w:ascii="Arial" w:hAnsi="Arial" w:cs="Arial"/>
          </w:rPr>
          <w:t>https://doi.org/10.14763/2022.1.1622</w:t>
        </w:r>
      </w:hyperlink>
    </w:p>
    <w:p w14:paraId="1479AD10" w14:textId="77777777" w:rsidR="00156F13" w:rsidRDefault="00225861" w:rsidP="00225861">
      <w:pPr>
        <w:pStyle w:val="FootnoteText"/>
        <w:spacing w:before="240" w:line="360" w:lineRule="auto"/>
        <w:jc w:val="both"/>
        <w:rPr>
          <w:rFonts w:ascii="Arial" w:hAnsi="Arial" w:cs="Arial"/>
        </w:rPr>
      </w:pPr>
      <w:r w:rsidRPr="00225861">
        <w:rPr>
          <w:rFonts w:ascii="Arial" w:hAnsi="Arial" w:cs="Arial"/>
        </w:rPr>
        <w:t xml:space="preserve">Sukumaran, R. (2023). </w:t>
      </w:r>
      <w:r w:rsidRPr="00225861">
        <w:rPr>
          <w:rFonts w:ascii="Arial" w:hAnsi="Arial" w:cs="Arial"/>
          <w:i/>
          <w:iCs/>
        </w:rPr>
        <w:t>Gender and gig work in Kerala: Emerging patterns</w:t>
      </w:r>
      <w:r w:rsidRPr="00225861">
        <w:rPr>
          <w:rFonts w:ascii="Arial" w:hAnsi="Arial" w:cs="Arial"/>
        </w:rPr>
        <w:t xml:space="preserve">. Kerala Development Society </w:t>
      </w:r>
    </w:p>
    <w:p w14:paraId="79D9045C" w14:textId="40A1A668" w:rsidR="00225861" w:rsidRPr="00225861" w:rsidRDefault="00225861" w:rsidP="00156F13">
      <w:pPr>
        <w:pStyle w:val="FootnoteText"/>
        <w:spacing w:line="360" w:lineRule="auto"/>
        <w:ind w:firstLine="720"/>
        <w:jc w:val="both"/>
        <w:rPr>
          <w:rFonts w:ascii="Arial" w:hAnsi="Arial" w:cs="Arial"/>
        </w:rPr>
      </w:pPr>
      <w:r w:rsidRPr="00225861">
        <w:rPr>
          <w:rFonts w:ascii="Arial" w:hAnsi="Arial" w:cs="Arial"/>
        </w:rPr>
        <w:t>Occasional Paper.</w:t>
      </w:r>
    </w:p>
    <w:p w14:paraId="50A8E60A" w14:textId="77777777" w:rsidR="00156F13" w:rsidRDefault="00225861" w:rsidP="00225861">
      <w:pPr>
        <w:pStyle w:val="FootnoteText"/>
        <w:spacing w:before="240" w:line="360" w:lineRule="auto"/>
        <w:jc w:val="both"/>
        <w:rPr>
          <w:rFonts w:ascii="Arial" w:hAnsi="Arial" w:cs="Arial"/>
          <w:i/>
          <w:iCs/>
        </w:rPr>
      </w:pPr>
      <w:r w:rsidRPr="00225861">
        <w:rPr>
          <w:rFonts w:ascii="Arial" w:hAnsi="Arial" w:cs="Arial"/>
        </w:rPr>
        <w:t xml:space="preserve">Sundararajan, A. (2016). </w:t>
      </w:r>
      <w:r w:rsidRPr="00225861">
        <w:rPr>
          <w:rFonts w:ascii="Arial" w:hAnsi="Arial" w:cs="Arial"/>
          <w:i/>
          <w:iCs/>
        </w:rPr>
        <w:t xml:space="preserve">The sharing economy: The end of employment and the rise of crowd-based </w:t>
      </w:r>
    </w:p>
    <w:p w14:paraId="15892979" w14:textId="5A6786BD" w:rsidR="00225861" w:rsidRPr="00225861" w:rsidRDefault="00225861" w:rsidP="00156F13">
      <w:pPr>
        <w:pStyle w:val="FootnoteText"/>
        <w:spacing w:line="360" w:lineRule="auto"/>
        <w:ind w:firstLine="720"/>
        <w:jc w:val="both"/>
        <w:rPr>
          <w:rFonts w:ascii="Arial" w:hAnsi="Arial" w:cs="Arial"/>
        </w:rPr>
      </w:pPr>
      <w:r w:rsidRPr="00225861">
        <w:rPr>
          <w:rFonts w:ascii="Arial" w:hAnsi="Arial" w:cs="Arial"/>
          <w:i/>
          <w:iCs/>
        </w:rPr>
        <w:t>capitalism</w:t>
      </w:r>
      <w:r w:rsidRPr="00225861">
        <w:rPr>
          <w:rFonts w:ascii="Arial" w:hAnsi="Arial" w:cs="Arial"/>
        </w:rPr>
        <w:t>. MIT Press.</w:t>
      </w:r>
    </w:p>
    <w:p w14:paraId="5EAD209B" w14:textId="77777777" w:rsidR="00156F13" w:rsidRDefault="00225861" w:rsidP="00225861">
      <w:pPr>
        <w:pStyle w:val="FootnoteText"/>
        <w:spacing w:before="240" w:line="360" w:lineRule="auto"/>
        <w:jc w:val="both"/>
        <w:rPr>
          <w:rFonts w:ascii="Arial" w:hAnsi="Arial" w:cs="Arial"/>
          <w:i/>
          <w:iCs/>
        </w:rPr>
      </w:pPr>
      <w:r w:rsidRPr="00225861">
        <w:rPr>
          <w:rFonts w:ascii="Arial" w:hAnsi="Arial" w:cs="Arial"/>
        </w:rPr>
        <w:t xml:space="preserve">Zachariah, K. C., &amp; Rajan, S. I. (2004). </w:t>
      </w:r>
      <w:r w:rsidRPr="00225861">
        <w:rPr>
          <w:rFonts w:ascii="Arial" w:hAnsi="Arial" w:cs="Arial"/>
          <w:i/>
          <w:iCs/>
        </w:rPr>
        <w:t xml:space="preserve">Kerala’s demographic transition: Determinants and </w:t>
      </w:r>
    </w:p>
    <w:p w14:paraId="4A08B7BC" w14:textId="4F39277F" w:rsidR="00225861" w:rsidRPr="00225861" w:rsidRDefault="00225861" w:rsidP="00156F13">
      <w:pPr>
        <w:pStyle w:val="FootnoteText"/>
        <w:spacing w:line="360" w:lineRule="auto"/>
        <w:ind w:firstLine="720"/>
        <w:jc w:val="both"/>
        <w:rPr>
          <w:rFonts w:ascii="Arial" w:hAnsi="Arial" w:cs="Arial"/>
        </w:rPr>
      </w:pPr>
      <w:r w:rsidRPr="00225861">
        <w:rPr>
          <w:rFonts w:ascii="Arial" w:hAnsi="Arial" w:cs="Arial"/>
          <w:i/>
          <w:iCs/>
        </w:rPr>
        <w:t>consequences</w:t>
      </w:r>
      <w:r w:rsidRPr="00225861">
        <w:rPr>
          <w:rFonts w:ascii="Arial" w:hAnsi="Arial" w:cs="Arial"/>
        </w:rPr>
        <w:t>. Sage Publications.</w:t>
      </w:r>
    </w:p>
    <w:p w14:paraId="53043F54" w14:textId="77777777" w:rsidR="00225861" w:rsidRDefault="00225861" w:rsidP="00BA1454">
      <w:pPr>
        <w:pStyle w:val="FootnoteText"/>
        <w:spacing w:before="240" w:line="360" w:lineRule="auto"/>
        <w:jc w:val="both"/>
        <w:rPr>
          <w:rFonts w:ascii="Arial" w:hAnsi="Arial" w:cs="Arial"/>
        </w:rPr>
      </w:pPr>
    </w:p>
    <w:p w14:paraId="6F108430" w14:textId="77777777" w:rsidR="002D1F76" w:rsidRPr="0059717B" w:rsidRDefault="002D1F76" w:rsidP="00DB4131">
      <w:pPr>
        <w:spacing w:line="360" w:lineRule="auto"/>
        <w:jc w:val="both"/>
        <w:rPr>
          <w:rFonts w:ascii="Arial" w:hAnsi="Arial" w:cs="Arial"/>
          <w:sz w:val="20"/>
          <w:szCs w:val="20"/>
        </w:rPr>
      </w:pPr>
    </w:p>
    <w:sectPr w:rsidR="002D1F76" w:rsidRPr="0059717B">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108D" w14:textId="77777777" w:rsidR="005952D4" w:rsidRDefault="005952D4" w:rsidP="000F76EB">
      <w:pPr>
        <w:spacing w:after="0" w:line="240" w:lineRule="auto"/>
      </w:pPr>
      <w:r>
        <w:separator/>
      </w:r>
    </w:p>
  </w:endnote>
  <w:endnote w:type="continuationSeparator" w:id="0">
    <w:p w14:paraId="591A9E5F" w14:textId="77777777" w:rsidR="005952D4" w:rsidRDefault="005952D4" w:rsidP="000F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6556" w14:textId="77777777" w:rsidR="008D252A" w:rsidRDefault="008D2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712566"/>
      <w:docPartObj>
        <w:docPartGallery w:val="Page Numbers (Bottom of Page)"/>
        <w:docPartUnique/>
      </w:docPartObj>
    </w:sdtPr>
    <w:sdtEndPr>
      <w:rPr>
        <w:color w:val="7F7F7F" w:themeColor="background1" w:themeShade="7F"/>
        <w:spacing w:val="60"/>
      </w:rPr>
    </w:sdtEndPr>
    <w:sdtContent>
      <w:p w14:paraId="1C4A78D3" w14:textId="4ADD1DD4" w:rsidR="000F76EB" w:rsidRDefault="000F76E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7407154" w14:textId="77777777" w:rsidR="000F76EB" w:rsidRDefault="000F7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A921" w14:textId="77777777" w:rsidR="008D252A" w:rsidRDefault="008D2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E264" w14:textId="77777777" w:rsidR="005952D4" w:rsidRDefault="005952D4" w:rsidP="000F76EB">
      <w:pPr>
        <w:spacing w:after="0" w:line="240" w:lineRule="auto"/>
      </w:pPr>
      <w:r>
        <w:separator/>
      </w:r>
    </w:p>
  </w:footnote>
  <w:footnote w:type="continuationSeparator" w:id="0">
    <w:p w14:paraId="0818AA30" w14:textId="77777777" w:rsidR="005952D4" w:rsidRDefault="005952D4" w:rsidP="000F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9D7B" w14:textId="28FF59F8" w:rsidR="008D252A" w:rsidRDefault="00000000">
    <w:pPr>
      <w:pStyle w:val="Header"/>
    </w:pPr>
    <w:r>
      <w:rPr>
        <w:noProof/>
      </w:rPr>
      <w:pict w14:anchorId="31B28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4313"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7EF9" w14:textId="08713868" w:rsidR="008D252A" w:rsidRDefault="00000000">
    <w:pPr>
      <w:pStyle w:val="Header"/>
    </w:pPr>
    <w:r>
      <w:rPr>
        <w:noProof/>
      </w:rPr>
      <w:pict w14:anchorId="5CBE3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4314"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AF2B" w14:textId="72403BFF" w:rsidR="008D252A" w:rsidRDefault="00000000">
    <w:pPr>
      <w:pStyle w:val="Header"/>
    </w:pPr>
    <w:r>
      <w:rPr>
        <w:noProof/>
      </w:rPr>
      <w:pict w14:anchorId="70511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4312"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411F"/>
    <w:multiLevelType w:val="multilevel"/>
    <w:tmpl w:val="20908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D7121"/>
    <w:multiLevelType w:val="hybridMultilevel"/>
    <w:tmpl w:val="A2669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34E44"/>
    <w:multiLevelType w:val="multilevel"/>
    <w:tmpl w:val="8F6E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8937117">
    <w:abstractNumId w:val="0"/>
  </w:num>
  <w:num w:numId="2" w16cid:durableId="1105073668">
    <w:abstractNumId w:val="1"/>
  </w:num>
  <w:num w:numId="3" w16cid:durableId="1683580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0D"/>
    <w:rsid w:val="000016E9"/>
    <w:rsid w:val="00005A0F"/>
    <w:rsid w:val="0001483E"/>
    <w:rsid w:val="00030349"/>
    <w:rsid w:val="0003107B"/>
    <w:rsid w:val="00032138"/>
    <w:rsid w:val="00034823"/>
    <w:rsid w:val="00043EF7"/>
    <w:rsid w:val="000446D9"/>
    <w:rsid w:val="000455D8"/>
    <w:rsid w:val="000464C3"/>
    <w:rsid w:val="000629AA"/>
    <w:rsid w:val="000C0FA5"/>
    <w:rsid w:val="000D4AEE"/>
    <w:rsid w:val="000D5573"/>
    <w:rsid w:val="000E0CD0"/>
    <w:rsid w:val="000E2B17"/>
    <w:rsid w:val="000F76EB"/>
    <w:rsid w:val="00144909"/>
    <w:rsid w:val="001451A9"/>
    <w:rsid w:val="00156F13"/>
    <w:rsid w:val="001617E1"/>
    <w:rsid w:val="00175D97"/>
    <w:rsid w:val="0018085E"/>
    <w:rsid w:val="00185FC5"/>
    <w:rsid w:val="00191033"/>
    <w:rsid w:val="001A3AAD"/>
    <w:rsid w:val="001A50E1"/>
    <w:rsid w:val="001B3AD1"/>
    <w:rsid w:val="001B71BC"/>
    <w:rsid w:val="001D43AD"/>
    <w:rsid w:val="001E125D"/>
    <w:rsid w:val="00202D2C"/>
    <w:rsid w:val="00215722"/>
    <w:rsid w:val="00221B22"/>
    <w:rsid w:val="00222C82"/>
    <w:rsid w:val="00225533"/>
    <w:rsid w:val="00225861"/>
    <w:rsid w:val="00232C6A"/>
    <w:rsid w:val="0023379E"/>
    <w:rsid w:val="00235C1B"/>
    <w:rsid w:val="00262573"/>
    <w:rsid w:val="00266EC7"/>
    <w:rsid w:val="00266F16"/>
    <w:rsid w:val="00273010"/>
    <w:rsid w:val="002978D5"/>
    <w:rsid w:val="002A415E"/>
    <w:rsid w:val="002B3121"/>
    <w:rsid w:val="002B7AB5"/>
    <w:rsid w:val="002B7F28"/>
    <w:rsid w:val="002C689E"/>
    <w:rsid w:val="002C78FD"/>
    <w:rsid w:val="002D1F76"/>
    <w:rsid w:val="002D26E0"/>
    <w:rsid w:val="002E0A26"/>
    <w:rsid w:val="002E1070"/>
    <w:rsid w:val="002E30DD"/>
    <w:rsid w:val="002E73F0"/>
    <w:rsid w:val="002F2D48"/>
    <w:rsid w:val="002F6D04"/>
    <w:rsid w:val="00312E10"/>
    <w:rsid w:val="00316400"/>
    <w:rsid w:val="00317278"/>
    <w:rsid w:val="0033648C"/>
    <w:rsid w:val="00361671"/>
    <w:rsid w:val="00366B14"/>
    <w:rsid w:val="00367C28"/>
    <w:rsid w:val="00373EE8"/>
    <w:rsid w:val="00380434"/>
    <w:rsid w:val="003878E2"/>
    <w:rsid w:val="003A5CF4"/>
    <w:rsid w:val="003C0BFC"/>
    <w:rsid w:val="003D5B6A"/>
    <w:rsid w:val="003D642D"/>
    <w:rsid w:val="003E0295"/>
    <w:rsid w:val="003E3E3B"/>
    <w:rsid w:val="003F69FE"/>
    <w:rsid w:val="00403910"/>
    <w:rsid w:val="00422608"/>
    <w:rsid w:val="00432791"/>
    <w:rsid w:val="00445B06"/>
    <w:rsid w:val="0046049F"/>
    <w:rsid w:val="0046746D"/>
    <w:rsid w:val="00487065"/>
    <w:rsid w:val="00491737"/>
    <w:rsid w:val="00494326"/>
    <w:rsid w:val="00494516"/>
    <w:rsid w:val="004A6152"/>
    <w:rsid w:val="004B2654"/>
    <w:rsid w:val="004C1561"/>
    <w:rsid w:val="004C2859"/>
    <w:rsid w:val="004E73DA"/>
    <w:rsid w:val="004F73FD"/>
    <w:rsid w:val="00511073"/>
    <w:rsid w:val="0051190C"/>
    <w:rsid w:val="0052057F"/>
    <w:rsid w:val="0052532F"/>
    <w:rsid w:val="0054509A"/>
    <w:rsid w:val="00550A44"/>
    <w:rsid w:val="00551884"/>
    <w:rsid w:val="005536A2"/>
    <w:rsid w:val="005568EE"/>
    <w:rsid w:val="005571C5"/>
    <w:rsid w:val="005601B8"/>
    <w:rsid w:val="005669C3"/>
    <w:rsid w:val="00575B7E"/>
    <w:rsid w:val="00584A49"/>
    <w:rsid w:val="00586F4F"/>
    <w:rsid w:val="005904AE"/>
    <w:rsid w:val="0059188D"/>
    <w:rsid w:val="005952D4"/>
    <w:rsid w:val="0059717B"/>
    <w:rsid w:val="00597C15"/>
    <w:rsid w:val="005A7EFE"/>
    <w:rsid w:val="005D065F"/>
    <w:rsid w:val="005E3110"/>
    <w:rsid w:val="005F1FD5"/>
    <w:rsid w:val="0060131C"/>
    <w:rsid w:val="0061348F"/>
    <w:rsid w:val="006177EA"/>
    <w:rsid w:val="00626787"/>
    <w:rsid w:val="00631CB8"/>
    <w:rsid w:val="00640FC1"/>
    <w:rsid w:val="00642AC9"/>
    <w:rsid w:val="00650FB2"/>
    <w:rsid w:val="0066096C"/>
    <w:rsid w:val="0066614D"/>
    <w:rsid w:val="00680FEF"/>
    <w:rsid w:val="006966FD"/>
    <w:rsid w:val="006A06EA"/>
    <w:rsid w:val="006A7535"/>
    <w:rsid w:val="006B2B5D"/>
    <w:rsid w:val="006B5EA6"/>
    <w:rsid w:val="006B7264"/>
    <w:rsid w:val="006D0F75"/>
    <w:rsid w:val="006F1079"/>
    <w:rsid w:val="0071142B"/>
    <w:rsid w:val="00724365"/>
    <w:rsid w:val="00726474"/>
    <w:rsid w:val="0073518E"/>
    <w:rsid w:val="00736132"/>
    <w:rsid w:val="00742972"/>
    <w:rsid w:val="00757816"/>
    <w:rsid w:val="007601BD"/>
    <w:rsid w:val="007609E7"/>
    <w:rsid w:val="00761999"/>
    <w:rsid w:val="00773E3F"/>
    <w:rsid w:val="00775173"/>
    <w:rsid w:val="00776F1D"/>
    <w:rsid w:val="00787827"/>
    <w:rsid w:val="00792935"/>
    <w:rsid w:val="007B2F7F"/>
    <w:rsid w:val="007C0FD9"/>
    <w:rsid w:val="007C2E38"/>
    <w:rsid w:val="007C703E"/>
    <w:rsid w:val="007D410E"/>
    <w:rsid w:val="007D7560"/>
    <w:rsid w:val="007F1D34"/>
    <w:rsid w:val="007F479E"/>
    <w:rsid w:val="00806308"/>
    <w:rsid w:val="00807669"/>
    <w:rsid w:val="00810513"/>
    <w:rsid w:val="00825DB4"/>
    <w:rsid w:val="0082793E"/>
    <w:rsid w:val="0083115E"/>
    <w:rsid w:val="008438D8"/>
    <w:rsid w:val="00852F03"/>
    <w:rsid w:val="00857BB8"/>
    <w:rsid w:val="00857DD0"/>
    <w:rsid w:val="008624AE"/>
    <w:rsid w:val="0086322D"/>
    <w:rsid w:val="0087336E"/>
    <w:rsid w:val="008A5B4F"/>
    <w:rsid w:val="008B510A"/>
    <w:rsid w:val="008D252A"/>
    <w:rsid w:val="008D6822"/>
    <w:rsid w:val="008E1DB6"/>
    <w:rsid w:val="008E34EC"/>
    <w:rsid w:val="008F6F65"/>
    <w:rsid w:val="009016E4"/>
    <w:rsid w:val="00904193"/>
    <w:rsid w:val="00905C2D"/>
    <w:rsid w:val="009150C1"/>
    <w:rsid w:val="00917560"/>
    <w:rsid w:val="0092686F"/>
    <w:rsid w:val="00934978"/>
    <w:rsid w:val="009428CA"/>
    <w:rsid w:val="00950894"/>
    <w:rsid w:val="00952FE4"/>
    <w:rsid w:val="009755A9"/>
    <w:rsid w:val="00983073"/>
    <w:rsid w:val="009B6F1F"/>
    <w:rsid w:val="009D463B"/>
    <w:rsid w:val="009E7CF5"/>
    <w:rsid w:val="009F7DDA"/>
    <w:rsid w:val="00A021C5"/>
    <w:rsid w:val="00A0779C"/>
    <w:rsid w:val="00A12A99"/>
    <w:rsid w:val="00A252D3"/>
    <w:rsid w:val="00A26619"/>
    <w:rsid w:val="00A365D2"/>
    <w:rsid w:val="00A453C4"/>
    <w:rsid w:val="00A506D9"/>
    <w:rsid w:val="00A56ADF"/>
    <w:rsid w:val="00A6594F"/>
    <w:rsid w:val="00A73483"/>
    <w:rsid w:val="00A7738A"/>
    <w:rsid w:val="00AA573B"/>
    <w:rsid w:val="00AB07B5"/>
    <w:rsid w:val="00AC0A74"/>
    <w:rsid w:val="00AD6E77"/>
    <w:rsid w:val="00AE72DA"/>
    <w:rsid w:val="00AF1EEC"/>
    <w:rsid w:val="00AF217B"/>
    <w:rsid w:val="00AF67F9"/>
    <w:rsid w:val="00B03F36"/>
    <w:rsid w:val="00B25968"/>
    <w:rsid w:val="00B32812"/>
    <w:rsid w:val="00B36840"/>
    <w:rsid w:val="00B5139C"/>
    <w:rsid w:val="00B63B26"/>
    <w:rsid w:val="00B67278"/>
    <w:rsid w:val="00B67692"/>
    <w:rsid w:val="00B70CEC"/>
    <w:rsid w:val="00B71374"/>
    <w:rsid w:val="00BA086B"/>
    <w:rsid w:val="00BA1454"/>
    <w:rsid w:val="00BD3447"/>
    <w:rsid w:val="00BE2653"/>
    <w:rsid w:val="00C01857"/>
    <w:rsid w:val="00C0367E"/>
    <w:rsid w:val="00C11A6C"/>
    <w:rsid w:val="00C22E25"/>
    <w:rsid w:val="00C30245"/>
    <w:rsid w:val="00C40AC9"/>
    <w:rsid w:val="00C51BE0"/>
    <w:rsid w:val="00C6393A"/>
    <w:rsid w:val="00C7476E"/>
    <w:rsid w:val="00C8357B"/>
    <w:rsid w:val="00C93F05"/>
    <w:rsid w:val="00C96180"/>
    <w:rsid w:val="00CA4042"/>
    <w:rsid w:val="00CA436B"/>
    <w:rsid w:val="00CA4B8D"/>
    <w:rsid w:val="00CC1F42"/>
    <w:rsid w:val="00CC4107"/>
    <w:rsid w:val="00CE5335"/>
    <w:rsid w:val="00CF67EE"/>
    <w:rsid w:val="00D0385F"/>
    <w:rsid w:val="00D152E5"/>
    <w:rsid w:val="00D17776"/>
    <w:rsid w:val="00D21347"/>
    <w:rsid w:val="00D27812"/>
    <w:rsid w:val="00D4796C"/>
    <w:rsid w:val="00D50CEF"/>
    <w:rsid w:val="00D65E99"/>
    <w:rsid w:val="00D66FB4"/>
    <w:rsid w:val="00D71F71"/>
    <w:rsid w:val="00D7383C"/>
    <w:rsid w:val="00D759DA"/>
    <w:rsid w:val="00D90791"/>
    <w:rsid w:val="00DB05DB"/>
    <w:rsid w:val="00DB4131"/>
    <w:rsid w:val="00DB5CC8"/>
    <w:rsid w:val="00DD2E11"/>
    <w:rsid w:val="00DE41E7"/>
    <w:rsid w:val="00E112E8"/>
    <w:rsid w:val="00E23360"/>
    <w:rsid w:val="00E26B95"/>
    <w:rsid w:val="00E42BAC"/>
    <w:rsid w:val="00E4401F"/>
    <w:rsid w:val="00E512AC"/>
    <w:rsid w:val="00E55E4B"/>
    <w:rsid w:val="00E61372"/>
    <w:rsid w:val="00E616D3"/>
    <w:rsid w:val="00E63B56"/>
    <w:rsid w:val="00E87686"/>
    <w:rsid w:val="00EA22EC"/>
    <w:rsid w:val="00EB6250"/>
    <w:rsid w:val="00EC12A8"/>
    <w:rsid w:val="00EC22EF"/>
    <w:rsid w:val="00EC412D"/>
    <w:rsid w:val="00EE2FA3"/>
    <w:rsid w:val="00EE4A53"/>
    <w:rsid w:val="00F10F62"/>
    <w:rsid w:val="00F11624"/>
    <w:rsid w:val="00F178F8"/>
    <w:rsid w:val="00F2072B"/>
    <w:rsid w:val="00F37D09"/>
    <w:rsid w:val="00F40BDD"/>
    <w:rsid w:val="00F634CF"/>
    <w:rsid w:val="00F656A8"/>
    <w:rsid w:val="00F679DB"/>
    <w:rsid w:val="00F71DFB"/>
    <w:rsid w:val="00F7496B"/>
    <w:rsid w:val="00F94A50"/>
    <w:rsid w:val="00FA4D5B"/>
    <w:rsid w:val="00FA5F0C"/>
    <w:rsid w:val="00FC680D"/>
    <w:rsid w:val="00FC761E"/>
    <w:rsid w:val="00FC7F0F"/>
    <w:rsid w:val="00FD4716"/>
    <w:rsid w:val="00FD5255"/>
    <w:rsid w:val="00FE26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963D2"/>
  <w15:chartTrackingRefBased/>
  <w15:docId w15:val="{7E6991F5-E2EC-4ADA-B0B5-116C529A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B06"/>
  </w:style>
  <w:style w:type="paragraph" w:styleId="Heading1">
    <w:name w:val="heading 1"/>
    <w:basedOn w:val="Normal"/>
    <w:next w:val="Normal"/>
    <w:link w:val="Heading1Char"/>
    <w:uiPriority w:val="9"/>
    <w:qFormat/>
    <w:rsid w:val="00FC68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68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68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68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8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8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8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8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8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8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80D"/>
    <w:rPr>
      <w:rFonts w:eastAsiaTheme="majorEastAsia" w:cstheme="majorBidi"/>
      <w:color w:val="272727" w:themeColor="text1" w:themeTint="D8"/>
    </w:rPr>
  </w:style>
  <w:style w:type="paragraph" w:styleId="Title">
    <w:name w:val="Title"/>
    <w:basedOn w:val="Normal"/>
    <w:next w:val="Normal"/>
    <w:link w:val="TitleChar"/>
    <w:uiPriority w:val="10"/>
    <w:qFormat/>
    <w:rsid w:val="00FC6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80D"/>
    <w:pPr>
      <w:spacing w:before="160"/>
      <w:jc w:val="center"/>
    </w:pPr>
    <w:rPr>
      <w:i/>
      <w:iCs/>
      <w:color w:val="404040" w:themeColor="text1" w:themeTint="BF"/>
    </w:rPr>
  </w:style>
  <w:style w:type="character" w:customStyle="1" w:styleId="QuoteChar">
    <w:name w:val="Quote Char"/>
    <w:basedOn w:val="DefaultParagraphFont"/>
    <w:link w:val="Quote"/>
    <w:uiPriority w:val="29"/>
    <w:rsid w:val="00FC680D"/>
    <w:rPr>
      <w:i/>
      <w:iCs/>
      <w:color w:val="404040" w:themeColor="text1" w:themeTint="BF"/>
    </w:rPr>
  </w:style>
  <w:style w:type="paragraph" w:styleId="ListParagraph">
    <w:name w:val="List Paragraph"/>
    <w:basedOn w:val="Normal"/>
    <w:uiPriority w:val="34"/>
    <w:qFormat/>
    <w:rsid w:val="00FC680D"/>
    <w:pPr>
      <w:ind w:left="720"/>
      <w:contextualSpacing/>
    </w:pPr>
  </w:style>
  <w:style w:type="character" w:styleId="IntenseEmphasis">
    <w:name w:val="Intense Emphasis"/>
    <w:basedOn w:val="DefaultParagraphFont"/>
    <w:uiPriority w:val="21"/>
    <w:qFormat/>
    <w:rsid w:val="00FC680D"/>
    <w:rPr>
      <w:i/>
      <w:iCs/>
      <w:color w:val="2F5496" w:themeColor="accent1" w:themeShade="BF"/>
    </w:rPr>
  </w:style>
  <w:style w:type="paragraph" w:styleId="IntenseQuote">
    <w:name w:val="Intense Quote"/>
    <w:basedOn w:val="Normal"/>
    <w:next w:val="Normal"/>
    <w:link w:val="IntenseQuoteChar"/>
    <w:uiPriority w:val="30"/>
    <w:qFormat/>
    <w:rsid w:val="00FC6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80D"/>
    <w:rPr>
      <w:i/>
      <w:iCs/>
      <w:color w:val="2F5496" w:themeColor="accent1" w:themeShade="BF"/>
    </w:rPr>
  </w:style>
  <w:style w:type="character" w:styleId="IntenseReference">
    <w:name w:val="Intense Reference"/>
    <w:basedOn w:val="DefaultParagraphFont"/>
    <w:uiPriority w:val="32"/>
    <w:qFormat/>
    <w:rsid w:val="00FC680D"/>
    <w:rPr>
      <w:b/>
      <w:bCs/>
      <w:smallCaps/>
      <w:color w:val="2F5496" w:themeColor="accent1" w:themeShade="BF"/>
      <w:spacing w:val="5"/>
    </w:rPr>
  </w:style>
  <w:style w:type="paragraph" w:styleId="Header">
    <w:name w:val="header"/>
    <w:basedOn w:val="Normal"/>
    <w:link w:val="HeaderChar"/>
    <w:uiPriority w:val="99"/>
    <w:unhideWhenUsed/>
    <w:rsid w:val="000F7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6EB"/>
  </w:style>
  <w:style w:type="paragraph" w:styleId="Footer">
    <w:name w:val="footer"/>
    <w:basedOn w:val="Normal"/>
    <w:link w:val="FooterChar"/>
    <w:uiPriority w:val="99"/>
    <w:unhideWhenUsed/>
    <w:rsid w:val="000F7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6EB"/>
  </w:style>
  <w:style w:type="paragraph" w:styleId="FootnoteText">
    <w:name w:val="footnote text"/>
    <w:basedOn w:val="Normal"/>
    <w:link w:val="FootnoteTextChar"/>
    <w:uiPriority w:val="99"/>
    <w:unhideWhenUsed/>
    <w:rsid w:val="005536A2"/>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5536A2"/>
    <w:rPr>
      <w:kern w:val="0"/>
      <w:sz w:val="20"/>
      <w:szCs w:val="20"/>
      <w14:ligatures w14:val="none"/>
    </w:rPr>
  </w:style>
  <w:style w:type="character" w:styleId="FootnoteReference">
    <w:name w:val="footnote reference"/>
    <w:basedOn w:val="DefaultParagraphFont"/>
    <w:uiPriority w:val="99"/>
    <w:semiHidden/>
    <w:unhideWhenUsed/>
    <w:rsid w:val="005536A2"/>
    <w:rPr>
      <w:vertAlign w:val="superscript"/>
    </w:rPr>
  </w:style>
  <w:style w:type="table" w:styleId="TableGrid">
    <w:name w:val="Table Grid"/>
    <w:basedOn w:val="TableNormal"/>
    <w:uiPriority w:val="39"/>
    <w:rsid w:val="001910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6180"/>
    <w:rPr>
      <w:rFonts w:ascii="Times New Roman" w:hAnsi="Times New Roman" w:cs="Times New Roman"/>
      <w:sz w:val="24"/>
      <w:szCs w:val="24"/>
    </w:rPr>
  </w:style>
  <w:style w:type="character" w:styleId="Hyperlink">
    <w:name w:val="Hyperlink"/>
    <w:basedOn w:val="DefaultParagraphFont"/>
    <w:uiPriority w:val="99"/>
    <w:unhideWhenUsed/>
    <w:rsid w:val="0059717B"/>
    <w:rPr>
      <w:color w:val="0563C1" w:themeColor="hyperlink"/>
      <w:u w:val="single"/>
    </w:rPr>
  </w:style>
  <w:style w:type="paragraph" w:styleId="NoSpacing">
    <w:name w:val="No Spacing"/>
    <w:uiPriority w:val="1"/>
    <w:qFormat/>
    <w:rsid w:val="00FA5F0C"/>
    <w:pPr>
      <w:spacing w:after="0" w:line="240" w:lineRule="auto"/>
    </w:pPr>
    <w:rPr>
      <w:sz w:val="24"/>
      <w:szCs w:val="24"/>
    </w:rPr>
  </w:style>
  <w:style w:type="character" w:styleId="UnresolvedMention">
    <w:name w:val="Unresolved Mention"/>
    <w:basedOn w:val="DefaultParagraphFont"/>
    <w:uiPriority w:val="99"/>
    <w:semiHidden/>
    <w:unhideWhenUsed/>
    <w:rsid w:val="00DB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1416">
      <w:bodyDiv w:val="1"/>
      <w:marLeft w:val="0"/>
      <w:marRight w:val="0"/>
      <w:marTop w:val="0"/>
      <w:marBottom w:val="0"/>
      <w:divBdr>
        <w:top w:val="none" w:sz="0" w:space="0" w:color="auto"/>
        <w:left w:val="none" w:sz="0" w:space="0" w:color="auto"/>
        <w:bottom w:val="none" w:sz="0" w:space="0" w:color="auto"/>
        <w:right w:val="none" w:sz="0" w:space="0" w:color="auto"/>
      </w:divBdr>
    </w:div>
    <w:div w:id="106628282">
      <w:bodyDiv w:val="1"/>
      <w:marLeft w:val="0"/>
      <w:marRight w:val="0"/>
      <w:marTop w:val="0"/>
      <w:marBottom w:val="0"/>
      <w:divBdr>
        <w:top w:val="none" w:sz="0" w:space="0" w:color="auto"/>
        <w:left w:val="none" w:sz="0" w:space="0" w:color="auto"/>
        <w:bottom w:val="none" w:sz="0" w:space="0" w:color="auto"/>
        <w:right w:val="none" w:sz="0" w:space="0" w:color="auto"/>
      </w:divBdr>
    </w:div>
    <w:div w:id="111901627">
      <w:bodyDiv w:val="1"/>
      <w:marLeft w:val="0"/>
      <w:marRight w:val="0"/>
      <w:marTop w:val="0"/>
      <w:marBottom w:val="0"/>
      <w:divBdr>
        <w:top w:val="none" w:sz="0" w:space="0" w:color="auto"/>
        <w:left w:val="none" w:sz="0" w:space="0" w:color="auto"/>
        <w:bottom w:val="none" w:sz="0" w:space="0" w:color="auto"/>
        <w:right w:val="none" w:sz="0" w:space="0" w:color="auto"/>
      </w:divBdr>
    </w:div>
    <w:div w:id="487213054">
      <w:bodyDiv w:val="1"/>
      <w:marLeft w:val="0"/>
      <w:marRight w:val="0"/>
      <w:marTop w:val="0"/>
      <w:marBottom w:val="0"/>
      <w:divBdr>
        <w:top w:val="none" w:sz="0" w:space="0" w:color="auto"/>
        <w:left w:val="none" w:sz="0" w:space="0" w:color="auto"/>
        <w:bottom w:val="none" w:sz="0" w:space="0" w:color="auto"/>
        <w:right w:val="none" w:sz="0" w:space="0" w:color="auto"/>
      </w:divBdr>
    </w:div>
    <w:div w:id="986667795">
      <w:bodyDiv w:val="1"/>
      <w:marLeft w:val="0"/>
      <w:marRight w:val="0"/>
      <w:marTop w:val="0"/>
      <w:marBottom w:val="0"/>
      <w:divBdr>
        <w:top w:val="none" w:sz="0" w:space="0" w:color="auto"/>
        <w:left w:val="none" w:sz="0" w:space="0" w:color="auto"/>
        <w:bottom w:val="none" w:sz="0" w:space="0" w:color="auto"/>
        <w:right w:val="none" w:sz="0" w:space="0" w:color="auto"/>
      </w:divBdr>
    </w:div>
    <w:div w:id="1160779820">
      <w:bodyDiv w:val="1"/>
      <w:marLeft w:val="0"/>
      <w:marRight w:val="0"/>
      <w:marTop w:val="0"/>
      <w:marBottom w:val="0"/>
      <w:divBdr>
        <w:top w:val="none" w:sz="0" w:space="0" w:color="auto"/>
        <w:left w:val="none" w:sz="0" w:space="0" w:color="auto"/>
        <w:bottom w:val="none" w:sz="0" w:space="0" w:color="auto"/>
        <w:right w:val="none" w:sz="0" w:space="0" w:color="auto"/>
      </w:divBdr>
    </w:div>
    <w:div w:id="1264919820">
      <w:bodyDiv w:val="1"/>
      <w:marLeft w:val="0"/>
      <w:marRight w:val="0"/>
      <w:marTop w:val="0"/>
      <w:marBottom w:val="0"/>
      <w:divBdr>
        <w:top w:val="none" w:sz="0" w:space="0" w:color="auto"/>
        <w:left w:val="none" w:sz="0" w:space="0" w:color="auto"/>
        <w:bottom w:val="none" w:sz="0" w:space="0" w:color="auto"/>
        <w:right w:val="none" w:sz="0" w:space="0" w:color="auto"/>
      </w:divBdr>
    </w:div>
    <w:div w:id="19883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65/19416520.2013.774213" TargetMode="External"/><Relationship Id="rId13" Type="http://schemas.openxmlformats.org/officeDocument/2006/relationships/hyperlink" Target="https://doi.org/10.1177/0950017016630257" TargetMode="External"/><Relationship Id="rId18" Type="http://schemas.openxmlformats.org/officeDocument/2006/relationships/hyperlink" Target="https://doi.org/10.1007/s12122-021-09322-7"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hyperlink" Target="https://doi.org/10.1177/1024258916687250" TargetMode="External"/><Relationship Id="rId17" Type="http://schemas.openxmlformats.org/officeDocument/2006/relationships/hyperlink" Target="https://doi.org/10.1177/0971521520939283"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niti.gov.in/sites/default/files/2022-" TargetMode="External"/><Relationship Id="rId20" Type="http://schemas.openxmlformats.org/officeDocument/2006/relationships/hyperlink" Target="https://doi.org/10.14763/2022.1.16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024258916688861"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ilo.org/global/research/global-reports/weso/2021/WCMS_771749/lang--en/index.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indiabudget.gov.in/economicsurvey/" TargetMode="External"/><Relationship Id="rId19" Type="http://schemas.openxmlformats.org/officeDocument/2006/relationships/hyperlink" Target="https://doi.org/10.1007/s41027-019-00194-w" TargetMode="External"/><Relationship Id="rId4" Type="http://schemas.openxmlformats.org/officeDocument/2006/relationships/webSettings" Target="webSettings.xml"/><Relationship Id="rId9" Type="http://schemas.openxmlformats.org/officeDocument/2006/relationships/hyperlink" Target="https://doi.org/10.1017/S1537592718000023" TargetMode="External"/><Relationship Id="rId14" Type="http://schemas.openxmlformats.org/officeDocument/2006/relationships/hyperlink" Target="https://odi.org/en/publications/the-gig-economy-in-low-income-countries-evidence-from-bangladesh-and-india/"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Sheet3!$B$1</c:f>
              <c:strCache>
                <c:ptCount val="1"/>
                <c:pt idx="0">
                  <c:v>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Sheet3!$A$2:$A$6</c:f>
              <c:strCache>
                <c:ptCount val="5"/>
                <c:pt idx="0">
                  <c:v>Below SSLC</c:v>
                </c:pt>
                <c:pt idx="1">
                  <c:v>SSLC</c:v>
                </c:pt>
                <c:pt idx="2">
                  <c:v>Higher Secondary</c:v>
                </c:pt>
                <c:pt idx="3">
                  <c:v>Degree</c:v>
                </c:pt>
                <c:pt idx="4">
                  <c:v>PG &amp; Above</c:v>
                </c:pt>
              </c:strCache>
            </c:strRef>
          </c:cat>
          <c:val>
            <c:numRef>
              <c:f>Sheet3!$B$2:$B$6</c:f>
              <c:numCache>
                <c:formatCode>General</c:formatCode>
                <c:ptCount val="5"/>
                <c:pt idx="0">
                  <c:v>21</c:v>
                </c:pt>
                <c:pt idx="1">
                  <c:v>33</c:v>
                </c:pt>
                <c:pt idx="2">
                  <c:v>104</c:v>
                </c:pt>
                <c:pt idx="3">
                  <c:v>89</c:v>
                </c:pt>
                <c:pt idx="4">
                  <c:v>38</c:v>
                </c:pt>
              </c:numCache>
            </c:numRef>
          </c:val>
          <c:extLst>
            <c:ext xmlns:c16="http://schemas.microsoft.com/office/drawing/2014/chart" uri="{C3380CC4-5D6E-409C-BE32-E72D297353CC}">
              <c16:uniqueId val="{00000000-A883-43EC-BDC0-1C8692CD0784}"/>
            </c:ext>
          </c:extLst>
        </c:ser>
        <c:ser>
          <c:idx val="1"/>
          <c:order val="1"/>
          <c:tx>
            <c:strRef>
              <c:f>Sheet3!$C$1</c:f>
              <c:strCache>
                <c:ptCount val="1"/>
                <c:pt idx="0">
                  <c:v>Percentage</c:v>
                </c:pt>
              </c:strCache>
            </c:strRef>
          </c:tx>
          <c:spPr>
            <a:solidFill>
              <a:schemeClr val="accent2"/>
            </a:solidFill>
            <a:ln>
              <a:noFill/>
            </a:ln>
            <a:effectLst/>
          </c:spPr>
          <c:invertIfNegative val="0"/>
          <c:dLbls>
            <c:dLbl>
              <c:idx val="1"/>
              <c:layout>
                <c:manualLayout>
                  <c:x val="7.812499999999952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83-43EC-BDC0-1C8692CD0784}"/>
                </c:ext>
              </c:extLst>
            </c:dLbl>
            <c:dLbl>
              <c:idx val="2"/>
              <c:layout>
                <c:manualLayout>
                  <c:x val="2.604166666666666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83-43EC-BDC0-1C8692CD0784}"/>
                </c:ext>
              </c:extLst>
            </c:dLbl>
            <c:dLbl>
              <c:idx val="3"/>
              <c:layout>
                <c:manualLayout>
                  <c:x val="7.812499999999904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83-43EC-BDC0-1C8692CD0784}"/>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Sheet3!$A$2:$A$6</c:f>
              <c:strCache>
                <c:ptCount val="5"/>
                <c:pt idx="0">
                  <c:v>Below SSLC</c:v>
                </c:pt>
                <c:pt idx="1">
                  <c:v>SSLC</c:v>
                </c:pt>
                <c:pt idx="2">
                  <c:v>Higher Secondary</c:v>
                </c:pt>
                <c:pt idx="3">
                  <c:v>Degree</c:v>
                </c:pt>
                <c:pt idx="4">
                  <c:v>PG &amp; Above</c:v>
                </c:pt>
              </c:strCache>
            </c:strRef>
          </c:cat>
          <c:val>
            <c:numRef>
              <c:f>Sheet3!$C$2:$C$6</c:f>
              <c:numCache>
                <c:formatCode>General</c:formatCode>
                <c:ptCount val="5"/>
                <c:pt idx="0">
                  <c:v>7.37</c:v>
                </c:pt>
                <c:pt idx="1">
                  <c:v>11.58</c:v>
                </c:pt>
                <c:pt idx="2">
                  <c:v>36.49</c:v>
                </c:pt>
                <c:pt idx="3">
                  <c:v>31.22</c:v>
                </c:pt>
                <c:pt idx="4">
                  <c:v>13.33</c:v>
                </c:pt>
              </c:numCache>
            </c:numRef>
          </c:val>
          <c:extLst>
            <c:ext xmlns:c16="http://schemas.microsoft.com/office/drawing/2014/chart" uri="{C3380CC4-5D6E-409C-BE32-E72D297353CC}">
              <c16:uniqueId val="{00000001-A883-43EC-BDC0-1C8692CD0784}"/>
            </c:ext>
          </c:extLst>
        </c:ser>
        <c:dLbls>
          <c:dLblPos val="outEnd"/>
          <c:showLegendKey val="0"/>
          <c:showVal val="1"/>
          <c:showCatName val="0"/>
          <c:showSerName val="0"/>
          <c:showPercent val="0"/>
          <c:showBubbleSize val="0"/>
        </c:dLbls>
        <c:gapWidth val="219"/>
        <c:overlap val="-27"/>
        <c:axId val="1850788239"/>
        <c:axId val="1850775759"/>
      </c:barChart>
      <c:catAx>
        <c:axId val="1850788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50775759"/>
        <c:crosses val="autoZero"/>
        <c:auto val="1"/>
        <c:lblAlgn val="ctr"/>
        <c:lblOffset val="100"/>
        <c:noMultiLvlLbl val="0"/>
      </c:catAx>
      <c:valAx>
        <c:axId val="185077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507882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1316</TotalTime>
  <Pages>15</Pages>
  <Words>6108</Words>
  <Characters>34818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166</cp:revision>
  <dcterms:created xsi:type="dcterms:W3CDTF">2025-08-05T01:13:00Z</dcterms:created>
  <dcterms:modified xsi:type="dcterms:W3CDTF">2025-12-17T04:33:00Z</dcterms:modified>
</cp:coreProperties>
</file>