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B9D1" w14:textId="77777777" w:rsidR="00754C9A" w:rsidRDefault="00754C9A" w:rsidP="00441B6F">
      <w:pPr>
        <w:pStyle w:val="Title"/>
        <w:spacing w:after="0"/>
        <w:jc w:val="both"/>
        <w:rPr>
          <w:rFonts w:ascii="Arial" w:hAnsi="Arial" w:cs="Arial"/>
        </w:rPr>
      </w:pPr>
    </w:p>
    <w:p w14:paraId="076285F5" w14:textId="50E90FE9" w:rsidR="00163BC4" w:rsidRPr="00163BC4" w:rsidRDefault="00487B69" w:rsidP="00441B6F">
      <w:pPr>
        <w:pStyle w:val="Author"/>
        <w:spacing w:line="240" w:lineRule="auto"/>
        <w:rPr>
          <w:rFonts w:ascii="Arial" w:hAnsi="Arial" w:cs="Arial"/>
          <w:bCs/>
          <w:iCs/>
          <w:kern w:val="28"/>
          <w:sz w:val="36"/>
        </w:rPr>
      </w:pPr>
      <w:r w:rsidRPr="00487B69">
        <w:rPr>
          <w:rFonts w:ascii="Arial" w:hAnsi="Arial" w:cs="Arial"/>
          <w:bCs/>
          <w:iCs/>
          <w:kern w:val="28"/>
          <w:sz w:val="36"/>
        </w:rPr>
        <w:t>Governance Capacity and the Implementation of Housing Minimum Service Standards for Vulnerable Groups</w:t>
      </w:r>
      <w:r>
        <w:rPr>
          <w:rFonts w:ascii="Arial" w:hAnsi="Arial" w:cs="Arial"/>
          <w:bCs/>
          <w:iCs/>
          <w:kern w:val="28"/>
          <w:sz w:val="36"/>
        </w:rPr>
        <w:t xml:space="preserve"> in Pohuwato Regency</w:t>
      </w:r>
    </w:p>
    <w:p w14:paraId="69B9CE96" w14:textId="77777777" w:rsidR="00A258C3" w:rsidRPr="00790ADA" w:rsidRDefault="00A258C3" w:rsidP="00441B6F">
      <w:pPr>
        <w:pStyle w:val="Author"/>
        <w:spacing w:line="240" w:lineRule="auto"/>
        <w:jc w:val="both"/>
        <w:rPr>
          <w:rFonts w:ascii="Arial" w:hAnsi="Arial" w:cs="Arial"/>
          <w:sz w:val="36"/>
        </w:rPr>
      </w:pPr>
    </w:p>
    <w:p w14:paraId="0C27A2C3" w14:textId="77777777" w:rsidR="00B01FCD" w:rsidRPr="00FB3A86" w:rsidRDefault="00B65DED" w:rsidP="00441B6F">
      <w:pPr>
        <w:pStyle w:val="Copyright"/>
        <w:spacing w:after="0" w:line="240" w:lineRule="auto"/>
        <w:jc w:val="both"/>
        <w:rPr>
          <w:rFonts w:ascii="Arial" w:hAnsi="Arial" w:cs="Arial"/>
        </w:rPr>
        <w:sectPr w:rsidR="00B01FCD" w:rsidRPr="00FB3A86" w:rsidSect="00FF05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B021A0">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79BC51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DE5E52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DE57ED" w14:textId="77777777" w:rsidTr="001E44FE">
        <w:tc>
          <w:tcPr>
            <w:tcW w:w="9576" w:type="dxa"/>
            <w:shd w:val="clear" w:color="auto" w:fill="F2F2F2"/>
          </w:tcPr>
          <w:p w14:paraId="1E7D1DD2" w14:textId="09D0AC58" w:rsidR="00552B86" w:rsidRPr="00552B86" w:rsidRDefault="00552B86" w:rsidP="00552B86">
            <w:pPr>
              <w:pStyle w:val="NormalWeb"/>
              <w:spacing w:before="0" w:beforeAutospacing="0" w:after="0" w:afterAutospacing="0"/>
              <w:jc w:val="both"/>
              <w:rPr>
                <w:rFonts w:ascii="Arial" w:hAnsi="Arial" w:cs="Arial"/>
                <w:sz w:val="20"/>
                <w:szCs w:val="20"/>
              </w:rPr>
            </w:pPr>
            <w:r w:rsidRPr="00552B86">
              <w:rPr>
                <w:rFonts w:ascii="Arial" w:hAnsi="Arial" w:cs="Arial"/>
                <w:sz w:val="20"/>
                <w:szCs w:val="20"/>
              </w:rPr>
              <w:t>This study aims to examine the implementation of the Minimum Service Standards (MSS) for public housing in Pohuwato Regency by integrating the analytical lenses of multi-level governance, policy capacity, and integrative capacity to elucidate the determinants of adequate-housing service outcomes for vulnerable groups. A qualitative descriptive approach was employed through a case study design involving the Office of Public Housing and Settlements and the Regional Disaster Management Agency. Data were collected via in-depth interviews, direct observation, and document review, and subsequently analyzed using the Miles–Huberman interactive model with credibility testing.</w:t>
            </w:r>
            <w:r>
              <w:rPr>
                <w:rFonts w:ascii="Arial" w:hAnsi="Arial" w:cs="Arial"/>
                <w:sz w:val="20"/>
                <w:szCs w:val="20"/>
              </w:rPr>
              <w:t xml:space="preserve"> </w:t>
            </w:r>
            <w:r w:rsidRPr="00552B86">
              <w:rPr>
                <w:rFonts w:ascii="Arial" w:hAnsi="Arial" w:cs="Arial"/>
                <w:sz w:val="20"/>
                <w:szCs w:val="20"/>
              </w:rPr>
              <w:t>The findings demonstrate that the governance architecture operates with a relatively clear division of roles among local government agencies. Nonetheless, significant regulatory gaps persist due to the absence of a Regent Regulation and standardized operational procedures for implementing the housing MSS. Service achievements remain incremental; in 2024, only five housing units were constructed, with financial assistance ranging from IDR 7.5 to 40 million per unit, although the interventions were substantively well-targeted toward poor households and disaster-affected residents with severe damage.</w:t>
            </w:r>
            <w:r>
              <w:rPr>
                <w:rFonts w:ascii="Arial" w:hAnsi="Arial" w:cs="Arial"/>
                <w:sz w:val="20"/>
                <w:szCs w:val="20"/>
              </w:rPr>
              <w:t xml:space="preserve"> </w:t>
            </w:r>
            <w:r w:rsidRPr="00552B86">
              <w:rPr>
                <w:rFonts w:ascii="Arial" w:hAnsi="Arial" w:cs="Arial"/>
                <w:sz w:val="20"/>
                <w:szCs w:val="20"/>
              </w:rPr>
              <w:t>Three key determinants of MSS implementation were identified: limited fiscal capacity heavily reliant on external support; constrained institutional capacity due to insufficient and unevenly distributed technical human resources; and underdeveloped regulatory capacity that results in procedures being conducted informally. The study concludes that strengthening local regulatory frameworks, institutionalizing cross-agency coordination mechanisms, developing medium-term financial planning, and investing in technical capacity are essential prerequisites for enhancing local governments’ ability to fulfil the right to adequate housing as mandated by the public housing Minimum Service Standards.</w:t>
            </w:r>
          </w:p>
          <w:p w14:paraId="57957138" w14:textId="5FCF357B" w:rsidR="00AC6973" w:rsidRPr="00AC6973" w:rsidRDefault="00AC6973" w:rsidP="00AC6973">
            <w:pPr>
              <w:pStyle w:val="Body"/>
              <w:spacing w:after="0"/>
              <w:rPr>
                <w:rFonts w:ascii="Arial" w:eastAsia="Calibri" w:hAnsi="Arial" w:cs="Arial"/>
                <w:szCs w:val="22"/>
              </w:rPr>
            </w:pPr>
            <w:r w:rsidRPr="00AC6973">
              <w:rPr>
                <w:rFonts w:ascii="Arial" w:eastAsia="Calibri" w:hAnsi="Arial" w:cs="Arial"/>
                <w:szCs w:val="22"/>
              </w:rPr>
              <w:t>.</w:t>
            </w:r>
          </w:p>
          <w:p w14:paraId="1B255FF1" w14:textId="77777777" w:rsidR="00505F06" w:rsidRPr="00BA1B01" w:rsidRDefault="00505F06" w:rsidP="00441B6F">
            <w:pPr>
              <w:pStyle w:val="Body"/>
              <w:spacing w:after="0"/>
              <w:rPr>
                <w:rFonts w:ascii="Arial" w:eastAsia="Calibri" w:hAnsi="Arial" w:cs="Arial"/>
                <w:szCs w:val="22"/>
              </w:rPr>
            </w:pPr>
          </w:p>
        </w:tc>
      </w:tr>
    </w:tbl>
    <w:p w14:paraId="03DFDB7E" w14:textId="77777777" w:rsidR="00636EB2" w:rsidRDefault="00636EB2" w:rsidP="00441B6F">
      <w:pPr>
        <w:pStyle w:val="Body"/>
        <w:spacing w:after="0"/>
        <w:rPr>
          <w:rFonts w:ascii="Arial" w:hAnsi="Arial" w:cs="Arial"/>
          <w:i/>
        </w:rPr>
      </w:pPr>
    </w:p>
    <w:p w14:paraId="3DF433AF" w14:textId="77777777" w:rsidR="00A24E7E" w:rsidRDefault="00A24E7E" w:rsidP="00441B6F">
      <w:pPr>
        <w:pStyle w:val="Body"/>
        <w:spacing w:after="0"/>
        <w:rPr>
          <w:rFonts w:ascii="Arial" w:hAnsi="Arial" w:cs="Arial"/>
          <w:i/>
        </w:rPr>
      </w:pPr>
      <w:r>
        <w:rPr>
          <w:rFonts w:ascii="Arial" w:hAnsi="Arial" w:cs="Arial"/>
          <w:i/>
        </w:rPr>
        <w:t xml:space="preserve">Keywords: </w:t>
      </w:r>
      <w:r w:rsidR="00AC6973" w:rsidRPr="00AC6973">
        <w:rPr>
          <w:rFonts w:ascii="Arial" w:hAnsi="Arial" w:cs="Arial"/>
          <w:i/>
        </w:rPr>
        <w:t>Minimum Service Standards; public housing; multi-level governance; policy capacity</w:t>
      </w:r>
    </w:p>
    <w:p w14:paraId="5C6FA248" w14:textId="77777777" w:rsidR="00790ADA" w:rsidRDefault="00790ADA" w:rsidP="00441B6F">
      <w:pPr>
        <w:pStyle w:val="Body"/>
        <w:spacing w:after="0"/>
        <w:rPr>
          <w:rFonts w:ascii="Arial" w:hAnsi="Arial" w:cs="Arial"/>
          <w:i/>
        </w:rPr>
      </w:pPr>
    </w:p>
    <w:p w14:paraId="41B1789A" w14:textId="77777777" w:rsidR="00505F06" w:rsidRPr="00A24E7E" w:rsidRDefault="00505F06" w:rsidP="00441B6F">
      <w:pPr>
        <w:pStyle w:val="Body"/>
        <w:spacing w:after="0"/>
        <w:rPr>
          <w:rFonts w:ascii="Arial" w:hAnsi="Arial" w:cs="Arial"/>
          <w:i/>
        </w:rPr>
      </w:pPr>
    </w:p>
    <w:p w14:paraId="506C7A9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A8F4F5" w14:textId="77777777" w:rsidR="00790ADA" w:rsidRPr="00FB3A86" w:rsidRDefault="00790ADA" w:rsidP="00441B6F">
      <w:pPr>
        <w:pStyle w:val="AbstHead"/>
        <w:spacing w:after="0"/>
        <w:jc w:val="both"/>
        <w:rPr>
          <w:rFonts w:ascii="Arial" w:hAnsi="Arial" w:cs="Arial"/>
        </w:rPr>
      </w:pPr>
    </w:p>
    <w:p w14:paraId="052D3915" w14:textId="77777777" w:rsidR="001F566B" w:rsidRPr="00AC0A1D" w:rsidRDefault="001F566B" w:rsidP="001F566B">
      <w:pPr>
        <w:spacing w:before="100" w:beforeAutospacing="1" w:after="100" w:afterAutospacing="1"/>
        <w:jc w:val="both"/>
      </w:pPr>
      <w:r w:rsidRPr="00AC0A1D">
        <w:t xml:space="preserve">Enhancing the quality of public services is a fundamental indicator of modern governance and a manifestation of citizens’ constitutional rights. In developing countries, decentralization is often positioned as a mechanism to bring services closer to citizens and increase bureaucratic responsiveness. However, empirical evidence demonstrates that decentralization does not automatically improve service quality; rather, its effectiveness depends heavily on institutional capacity, actor configurations, and coordination mechanisms across levels of government (Allain-Dupré, 2020; Dick-Sagoe, 2020). Within this context, the </w:t>
      </w:r>
      <w:r w:rsidRPr="00AC0A1D">
        <w:lastRenderedPageBreak/>
        <w:t>Minimum Service Standards (MSS) framework becomes an essential instrument of state accountability to ensure the fulfillment of basic service rights, including the right to adequate housing for vulnerable populations.</w:t>
      </w:r>
    </w:p>
    <w:p w14:paraId="32F3900E" w14:textId="77777777" w:rsidR="001F566B" w:rsidRPr="00AC0A1D" w:rsidRDefault="001F566B" w:rsidP="001F566B">
      <w:pPr>
        <w:spacing w:before="100" w:beforeAutospacing="1" w:after="100" w:afterAutospacing="1"/>
        <w:jc w:val="both"/>
      </w:pPr>
      <w:r w:rsidRPr="00AC0A1D">
        <w:t>In Indonesia, MSS is regulated through Government Regulation No. 2/2018 and Minister of Home Affairs Regulation No. 59/2021, and further elaborated sectorally in the housing domain through Minister of Public Works and Public Housing Regulation No. 13/2023. These regulations explicitly oblige local governments to meet measurable performance indicators for housing services targeting the poor and vulnerable. Consequently, the MSS for Public Housing functions not only as a normative guideline but also as a policy instrument directing planning, budgeting, and evaluation processes at the district and municipal levels. This hybrid character—as standard, coordination tool, and accountability mechanism—makes its implementation highly dependent on local government's ability to translate national mandates into coherent service practices.</w:t>
      </w:r>
    </w:p>
    <w:p w14:paraId="44EA301E" w14:textId="77777777" w:rsidR="001F566B" w:rsidRPr="00AC0A1D" w:rsidRDefault="001F566B" w:rsidP="001F566B">
      <w:pPr>
        <w:spacing w:before="100" w:beforeAutospacing="1" w:after="100" w:afterAutospacing="1"/>
        <w:jc w:val="both"/>
      </w:pPr>
      <w:r w:rsidRPr="00AC0A1D">
        <w:t>Recent developments in public governance literature reinforce the urgency of such analysis. The multi-level governance approach emphasizes that effective local implementation of national policies requires clear division of authority and strong vertical coordination (Allain-Dupré, 2020). Meanwhile, the policy capacity framework (Williams, 2021) asserts that successful policy implementation depends on a combination of analytical, operational, and political capacities that enable bureaucracies to convert mandates into concrete action. More recent studies introduce the concept of integrative capacity—institutions’ ability to coordinate policies and actors across sectors in a cohesive manner (Domorenok et al., 2021; Vince et al., 2024). These perspectives are particularly relevant to housing policy, which inherently demands synergies across social protection, poverty alleviation, disaster mitigation, and spatial planning.</w:t>
      </w:r>
    </w:p>
    <w:p w14:paraId="6744D03A" w14:textId="77777777" w:rsidR="001F566B" w:rsidRPr="00AC0A1D" w:rsidRDefault="001F566B" w:rsidP="001F566B">
      <w:pPr>
        <w:spacing w:before="100" w:beforeAutospacing="1" w:after="100" w:afterAutospacing="1"/>
        <w:jc w:val="both"/>
      </w:pPr>
      <w:r w:rsidRPr="00AC0A1D">
        <w:t>International studies in the housing sector further show that adequate housing for vulnerable groups should not be regarded merely as a physical output but as an integral component of social protection and community recovery. McClelland et al. (2023) underscore housing as a critical element within the “recovery for development” framework, while Okunola and Werners (2024) highlight that effective housing interventions depend strongly on regulatory consistency and inter-agency coordination. These findings indicate that implementation success is not merely a technical matter; it is deeply shaped by institutions’ capacity to integrate actions across policy domains.</w:t>
      </w:r>
    </w:p>
    <w:p w14:paraId="55F53F66" w14:textId="77777777" w:rsidR="001F566B" w:rsidRPr="00AC0A1D" w:rsidRDefault="001F566B" w:rsidP="001F566B">
      <w:pPr>
        <w:spacing w:before="100" w:beforeAutospacing="1" w:after="100" w:afterAutospacing="1"/>
        <w:jc w:val="both"/>
      </w:pPr>
      <w:r w:rsidRPr="00AC0A1D">
        <w:t>Studies in Indonesia echo these global patterns. National evaluations of MSS show that disparities in basic services across regions remain substantial and are often linked to fiscal, technical, and managerial capacity constraints within local governments (SKALA, 2024). Regional studies, such as Adam et al. (2025), also reveal that MSS implementation is affected by resource limitations, variation in actors’ understanding, and weak cross-sectoral integration. However, the literature on MSS in the housing sector remains sparse, particularly in districts facing poverty, disaster vulnerability, and fiscal constraints. Existing studies tend to be normative-descriptive and rarely examine how local actors interpret, organize, and execute MSS mandates within dynamic political–administrative environments.</w:t>
      </w:r>
    </w:p>
    <w:p w14:paraId="3C8E0F56" w14:textId="77777777" w:rsidR="001F566B" w:rsidRPr="00AC0A1D" w:rsidRDefault="001F566B" w:rsidP="001F566B">
      <w:pPr>
        <w:spacing w:before="100" w:beforeAutospacing="1" w:after="100" w:afterAutospacing="1"/>
        <w:jc w:val="both"/>
      </w:pPr>
      <w:r w:rsidRPr="00AC0A1D">
        <w:t xml:space="preserve">This gap is precisely what the present study seeks to address. To date, no research has simultaneously integrated the perspectives of multi-level governance, policy capacity, and integrative capacity to explain variations in MSS implementation for housing at the district </w:t>
      </w:r>
      <w:r w:rsidRPr="00AC0A1D">
        <w:lastRenderedPageBreak/>
        <w:t>level. Yet the integration of these three frameworks is crucial for understanding how institutional design interacts with actor behavior to shape service delivery outcomes.</w:t>
      </w:r>
    </w:p>
    <w:p w14:paraId="30EF2392" w14:textId="77777777" w:rsidR="001F566B" w:rsidRPr="00AC0A1D" w:rsidRDefault="001F566B" w:rsidP="001F566B">
      <w:pPr>
        <w:spacing w:before="100" w:beforeAutospacing="1" w:after="100" w:afterAutospacing="1"/>
        <w:jc w:val="both"/>
      </w:pPr>
      <w:r w:rsidRPr="00AC0A1D">
        <w:t>Pohuwato District offers a highly relevant empirical setting. The district faces persistent challenges related to poverty, disaster exposure, and limited fiscal capacity, while performance in providing adequate housing has not met MSS targets over the past three years. Variations in actors’ understanding, limited technical capabilities, and ongoing struggles over authority illustrate the presence of integrative challenges in both coordination and implementation. By synthesizing the three theoretical frameworks, this study aims to provide a comprehensive explanation of the vertical–horizontal dynamics of housing governance, local institutional capacities, and cross-sectoral interactions that influence MSS performance.</w:t>
      </w:r>
    </w:p>
    <w:p w14:paraId="61345CE5" w14:textId="77777777" w:rsidR="001F566B" w:rsidRPr="00AC0A1D" w:rsidRDefault="001F566B" w:rsidP="001F566B">
      <w:pPr>
        <w:spacing w:before="100" w:beforeAutospacing="1" w:after="100" w:afterAutospacing="1"/>
        <w:jc w:val="both"/>
      </w:pPr>
      <w:r w:rsidRPr="00AC0A1D">
        <w:t>Practically, this research is expected to offer actionable insights for the Pohuwato District Government and the Gorontalo Provincial Government to strengthen the governance of basic housing services. The findings may guide institutional capacity-building, refinement of coordination mechanisms, and enhancement of accountability systems in ensuring access to adequate housing for the poor and for households affected by disasters.</w:t>
      </w:r>
    </w:p>
    <w:p w14:paraId="3A65AD2D" w14:textId="77777777" w:rsidR="00790ADA" w:rsidRPr="00FB3A86" w:rsidRDefault="00790ADA" w:rsidP="00441B6F">
      <w:pPr>
        <w:pStyle w:val="Body"/>
        <w:spacing w:after="0"/>
        <w:rPr>
          <w:rFonts w:ascii="Arial" w:hAnsi="Arial" w:cs="Arial"/>
        </w:rPr>
      </w:pPr>
    </w:p>
    <w:p w14:paraId="69B1706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2A25C08"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This research was conducted at the Housing and Settlement Agency and the Regional Disaster Management Agency (BPBD) of Pohuwato Regency. These two institutions were chosen as the main locations because they play a strategic role as key actors in the implementation of the Minimum Service Standards (MSS) for Public Housing. As centers of information and policy implementation, these two institutions allowed researchers to directly observe the institutional context, program implementation procedures, and the dynamics of stakeholder interactions in a natural environment. The selection of these locations was in line with the principles of qualitative research, which emphasizes an in-depth understanding of phenomena in the social and institutional contexts in which policies are implemented.</w:t>
      </w:r>
    </w:p>
    <w:p w14:paraId="79B1511B"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The research lasted four months, starting from the preparation and proposal drafting stage, data collection activities in the field, to data analysis and writing of research results. The approach used was descriptive qualitative, because this research focused on efforts to describe the policy implementation process comprehensively, not to test hypotheses or explain quantitative relationships between variables. This approach allowed researchers to explore the meanings, experiences, and interpretations of policy implementers in their natural context, as recommended by Sugiyono (2010) and Abdussamad (2021). Qualitative descriptive research specifically aims to reveal facts, perceptions, and actual practices in the form of systematic interpretive narratives (Nawawi, 1990).</w:t>
      </w:r>
    </w:p>
    <w:p w14:paraId="22816D79"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Researchers act as key instruments (human instruments) involved in all stages of research, including determining informants, compiling interview and observation guidelines, the data collection process, and the reduction and interpretation of findings. In the qualitative tradition, researchers function not only as data collectors, but also as preliminary analysts who continuously reflect on field information and compile it into coherent meanings (Sugiyono, 2010; Herdiansyah, 2012). Before entering the field, researchers must first obtain official permission from the relevant agencies and explain the purpose and scope of the research, so that interactions with informants are ethical, transparent, and mutually respectful.</w:t>
      </w:r>
    </w:p>
    <w:p w14:paraId="5A518DC0"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 xml:space="preserve">The data sources used consist of primary and secondary data. Primary data was collected through in-depth interviews and moderate participatory observation of the implementation </w:t>
      </w:r>
      <w:r w:rsidRPr="00415CDF">
        <w:rPr>
          <w:rFonts w:ascii="Arial" w:hAnsi="Arial" w:cs="Arial"/>
        </w:rPr>
        <w:lastRenderedPageBreak/>
        <w:t>process of the Rumah Rakyat MSS, including service mechanisms, coordination patterns between units, and operational constraints. All interviews were recorded (with prior consent) and then transcribed verbatim, while field notes from observations were written in a structured manner so that they could be systematically coded at the analysis stage. Secondary data was obtained through a documentation study of laws and regulations, MSS technical guidelines, performance reports, and other relevant administrative archives. Informants were determined using purposive sampling, which is the selection of informants based on considerations of relevance and depth of information required. Informants included structural officials, technical implementation staff, and other stakeholders who understood the policy implementation process and recipient community (Miles, Huberman, &amp; Saldaña, 2014; Sugiyono, 2010).</w:t>
      </w:r>
    </w:p>
    <w:p w14:paraId="05B7F3F1"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Data collection techniques consist of observation, in-depth interviews, and documentation studies. Observation is used to observe organizational behavior, interaction patterns, and service management related to the fulfillment of the People's Housing MSS. This technique allows researchers to obtain empirical descriptions that cannot always be revealed through interviews (Purhantara, 2010; Herdiansyah, 2012). In-depth interviews are conducted using semi-structured guidelines to maintain the systematic nature of the questions while providing space for informants to express their experiences and views broadly (Indriantoro &amp; Supomo, 2012). Documentary studies are used to examine written policies, SOPs, performance reports, and institutional documents that support data triangulation.</w:t>
      </w:r>
    </w:p>
    <w:p w14:paraId="7D161B52"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Data analysis was conducted using Sugiyono's (2010) interactive analysis model, which includes three components: data reduction, data presentation, and conclusion drawing/verification. In the data reduction phase, verbatim interview transcripts, observation notes, and documentary materials were subjected to a systematic coding process. Initial open coding was carried out to identify meaningful units related to the implementation of the Rumah Rakyat MSS, followed by axial coding to group similar codes into higher-order categories, such as policy design, organizational capacity, inter-agency coordination, and community response. The coding scheme combined deductive codes derived from the MSS policy and implementation framework with inductive codes emerging from the field, and was refined iteratively to enhance analytic rigor and consistency (Miles et al., 2014; Sugiyono, 2010). Data presentation was carried out in the form of structured narratives, matrices, or summary tables to facilitate the identification of patterns and relationships between categories (Miles et al., 2014). The final stage of drawing conclusions and verification was carried out by formulating the main findings based on all the reduced data, accompanied by checking the consistency and validity of the interpretation.</w:t>
      </w:r>
    </w:p>
    <w:p w14:paraId="54231086"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Data validity is tested through credibility and transferability as recommended by Lincoln and Guba (1985). Credibility is maintained through extended participation in the field, persistent observation, triangulation of sources and techniques, discussions with peers, and member checks to ensure that the researcher's interpretation is consistent with the informants' perspectives. Transferability is achieved through the presentation of thick descriptions, which are detailed descriptions of the research context so that readers can assess the relevance of the findings for application in other similar contexts. Thus, this research method design is expected to produce a scientific, systematic, and rational description of the implementation of the Rumah Rakyat MSS in Pohuwato Regency.</w:t>
      </w:r>
    </w:p>
    <w:p w14:paraId="577EC9D6" w14:textId="77777777" w:rsidR="00790ADA" w:rsidRPr="00FB3A86" w:rsidRDefault="00790ADA" w:rsidP="00441B6F">
      <w:pPr>
        <w:pStyle w:val="Body"/>
        <w:spacing w:after="0"/>
        <w:rPr>
          <w:rFonts w:ascii="Arial" w:hAnsi="Arial" w:cs="Arial"/>
        </w:rPr>
      </w:pPr>
    </w:p>
    <w:p w14:paraId="3611F3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C0105E" w14:textId="77777777" w:rsidR="00790ADA" w:rsidRPr="00FB3A86" w:rsidRDefault="00790ADA" w:rsidP="00441B6F">
      <w:pPr>
        <w:pStyle w:val="Head1"/>
        <w:spacing w:after="0"/>
        <w:jc w:val="both"/>
        <w:rPr>
          <w:rFonts w:ascii="Arial" w:hAnsi="Arial" w:cs="Arial"/>
        </w:rPr>
      </w:pPr>
    </w:p>
    <w:p w14:paraId="0840D246" w14:textId="77777777" w:rsidR="00CE7D0E" w:rsidRPr="00CE7D0E" w:rsidRDefault="00CE7D0E" w:rsidP="00CE7D0E">
      <w:pPr>
        <w:pStyle w:val="Body"/>
        <w:rPr>
          <w:rFonts w:ascii="Arial" w:hAnsi="Arial" w:cs="Arial"/>
          <w:b/>
        </w:rPr>
      </w:pPr>
      <w:r w:rsidRPr="00CE7D0E">
        <w:rPr>
          <w:rFonts w:ascii="Arial" w:hAnsi="Arial" w:cs="Arial"/>
          <w:b/>
        </w:rPr>
        <w:t xml:space="preserve">3.1. RESULTS </w:t>
      </w:r>
    </w:p>
    <w:p w14:paraId="39CF7F07" w14:textId="77777777" w:rsidR="00CE7D0E" w:rsidRDefault="00CE7D0E" w:rsidP="00CE7D0E">
      <w:pPr>
        <w:pStyle w:val="Body"/>
        <w:spacing w:after="0"/>
        <w:rPr>
          <w:rFonts w:ascii="Arial" w:hAnsi="Arial" w:cs="Arial"/>
        </w:rPr>
      </w:pPr>
      <w:r w:rsidRPr="00CE7D0E">
        <w:rPr>
          <w:rFonts w:ascii="Arial" w:hAnsi="Arial" w:cs="Arial"/>
        </w:rPr>
        <w:t>Table 1. Summary of the analysis of the implementation of the SPM for public housing in Pohuwato District.</w:t>
      </w:r>
    </w:p>
    <w:tbl>
      <w:tblPr>
        <w:tblW w:w="8330" w:type="dxa"/>
        <w:tblBorders>
          <w:top w:val="single" w:sz="4" w:space="0" w:color="auto"/>
          <w:bottom w:val="single" w:sz="4" w:space="0" w:color="auto"/>
        </w:tblBorders>
        <w:tblLook w:val="04A0" w:firstRow="1" w:lastRow="0" w:firstColumn="1" w:lastColumn="0" w:noHBand="0" w:noVBand="1"/>
      </w:tblPr>
      <w:tblGrid>
        <w:gridCol w:w="2093"/>
        <w:gridCol w:w="2835"/>
        <w:gridCol w:w="3402"/>
      </w:tblGrid>
      <w:tr w:rsidR="002529C0" w:rsidRPr="002529C0" w14:paraId="4AB94366" w14:textId="77777777" w:rsidTr="002529C0">
        <w:tc>
          <w:tcPr>
            <w:tcW w:w="2093" w:type="dxa"/>
            <w:tcBorders>
              <w:top w:val="single" w:sz="4" w:space="0" w:color="auto"/>
              <w:bottom w:val="single" w:sz="4" w:space="0" w:color="auto"/>
            </w:tcBorders>
          </w:tcPr>
          <w:p w14:paraId="684900D7" w14:textId="77777777" w:rsidR="002529C0" w:rsidRPr="002529C0" w:rsidRDefault="002529C0" w:rsidP="002529C0">
            <w:pPr>
              <w:pStyle w:val="Body"/>
              <w:spacing w:after="0"/>
              <w:rPr>
                <w:rFonts w:ascii="Arial" w:hAnsi="Arial" w:cs="Arial"/>
                <w:b/>
              </w:rPr>
            </w:pPr>
            <w:r w:rsidRPr="002529C0">
              <w:rPr>
                <w:rFonts w:ascii="Arial" w:hAnsi="Arial" w:cs="Arial"/>
                <w:b/>
              </w:rPr>
              <w:lastRenderedPageBreak/>
              <w:t>Analysis Components</w:t>
            </w:r>
          </w:p>
        </w:tc>
        <w:tc>
          <w:tcPr>
            <w:tcW w:w="2835" w:type="dxa"/>
            <w:tcBorders>
              <w:top w:val="single" w:sz="4" w:space="0" w:color="auto"/>
              <w:bottom w:val="single" w:sz="4" w:space="0" w:color="auto"/>
            </w:tcBorders>
          </w:tcPr>
          <w:p w14:paraId="53B21504" w14:textId="77777777" w:rsidR="002529C0" w:rsidRPr="002529C0" w:rsidRDefault="002529C0" w:rsidP="002529C0">
            <w:pPr>
              <w:pStyle w:val="Body"/>
              <w:spacing w:after="0"/>
              <w:rPr>
                <w:rFonts w:ascii="Arial" w:hAnsi="Arial" w:cs="Arial"/>
                <w:b/>
              </w:rPr>
            </w:pPr>
            <w:r w:rsidRPr="002529C0">
              <w:rPr>
                <w:rFonts w:ascii="Arial" w:hAnsi="Arial" w:cs="Arial"/>
                <w:b/>
              </w:rPr>
              <w:t>Key Findings of the Study</w:t>
            </w:r>
          </w:p>
        </w:tc>
        <w:tc>
          <w:tcPr>
            <w:tcW w:w="3402" w:type="dxa"/>
            <w:tcBorders>
              <w:top w:val="single" w:sz="4" w:space="0" w:color="auto"/>
              <w:bottom w:val="single" w:sz="4" w:space="0" w:color="auto"/>
            </w:tcBorders>
          </w:tcPr>
          <w:p w14:paraId="71DD1D48" w14:textId="77777777" w:rsidR="002529C0" w:rsidRPr="002529C0" w:rsidRDefault="002529C0" w:rsidP="002529C0">
            <w:pPr>
              <w:pStyle w:val="Body"/>
              <w:spacing w:after="0"/>
              <w:rPr>
                <w:rFonts w:ascii="Arial" w:hAnsi="Arial" w:cs="Arial"/>
                <w:b/>
              </w:rPr>
            </w:pPr>
            <w:r w:rsidRPr="002529C0">
              <w:rPr>
                <w:rFonts w:ascii="Arial" w:hAnsi="Arial" w:cs="Arial"/>
                <w:b/>
              </w:rPr>
              <w:t>Scientific Interpretation &amp; Common Thread</w:t>
            </w:r>
          </w:p>
        </w:tc>
      </w:tr>
      <w:tr w:rsidR="002529C0" w:rsidRPr="002529C0" w14:paraId="6E70CF9D" w14:textId="77777777" w:rsidTr="002529C0">
        <w:tc>
          <w:tcPr>
            <w:tcW w:w="2093" w:type="dxa"/>
            <w:tcBorders>
              <w:top w:val="single" w:sz="4" w:space="0" w:color="auto"/>
            </w:tcBorders>
          </w:tcPr>
          <w:p w14:paraId="405B7DCA" w14:textId="77777777" w:rsidR="002529C0" w:rsidRPr="002529C0" w:rsidRDefault="002529C0" w:rsidP="002529C0">
            <w:pPr>
              <w:pStyle w:val="Body"/>
              <w:spacing w:after="0"/>
              <w:rPr>
                <w:rFonts w:ascii="Arial" w:hAnsi="Arial" w:cs="Arial"/>
              </w:rPr>
            </w:pPr>
            <w:r w:rsidRPr="002529C0">
              <w:rPr>
                <w:rFonts w:ascii="Arial" w:hAnsi="Arial" w:cs="Arial"/>
              </w:rPr>
              <w:t>Work Units &amp; Executive Structure</w:t>
            </w:r>
          </w:p>
        </w:tc>
        <w:tc>
          <w:tcPr>
            <w:tcW w:w="2835" w:type="dxa"/>
            <w:tcBorders>
              <w:top w:val="single" w:sz="4" w:space="0" w:color="auto"/>
            </w:tcBorders>
          </w:tcPr>
          <w:p w14:paraId="10F59124" w14:textId="77777777" w:rsidR="002529C0" w:rsidRPr="002529C0" w:rsidRDefault="002529C0" w:rsidP="002529C0">
            <w:pPr>
              <w:pStyle w:val="Body"/>
              <w:spacing w:after="0"/>
              <w:rPr>
                <w:rFonts w:ascii="Arial" w:hAnsi="Arial" w:cs="Arial"/>
              </w:rPr>
            </w:pPr>
            <w:r w:rsidRPr="002529C0">
              <w:rPr>
                <w:rFonts w:ascii="Arial" w:hAnsi="Arial" w:cs="Arial"/>
              </w:rPr>
              <w:t>Two regional government agencies play key roles: BPBD collects data on victims and damage categories (Forms A–C); PERKIM verifies, determines proposals, and builds/rehabilitates houses.</w:t>
            </w:r>
          </w:p>
        </w:tc>
        <w:tc>
          <w:tcPr>
            <w:tcW w:w="3402" w:type="dxa"/>
            <w:tcBorders>
              <w:top w:val="single" w:sz="4" w:space="0" w:color="auto"/>
            </w:tcBorders>
          </w:tcPr>
          <w:p w14:paraId="37CDD4FD" w14:textId="77777777" w:rsidR="002529C0" w:rsidRPr="002529C0" w:rsidRDefault="002529C0" w:rsidP="002529C0">
            <w:pPr>
              <w:pStyle w:val="Body"/>
              <w:spacing w:after="0"/>
              <w:rPr>
                <w:rFonts w:ascii="Arial" w:hAnsi="Arial" w:cs="Arial"/>
              </w:rPr>
            </w:pPr>
            <w:r w:rsidRPr="002529C0">
              <w:rPr>
                <w:rFonts w:ascii="Arial" w:hAnsi="Arial" w:cs="Arial"/>
              </w:rPr>
              <w:t>The implementing structure shows a clear division of functions, but has not been reinforced by local technical regulations. Dependence on BPBD data determines the accuracy of SPM targets.</w:t>
            </w:r>
          </w:p>
        </w:tc>
      </w:tr>
      <w:tr w:rsidR="002529C0" w:rsidRPr="002529C0" w14:paraId="290741F5" w14:textId="77777777" w:rsidTr="002529C0">
        <w:tc>
          <w:tcPr>
            <w:tcW w:w="2093" w:type="dxa"/>
          </w:tcPr>
          <w:p w14:paraId="78D9B4D7" w14:textId="77777777" w:rsidR="002529C0" w:rsidRPr="002529C0" w:rsidRDefault="002529C0" w:rsidP="002529C0">
            <w:pPr>
              <w:pStyle w:val="Body"/>
              <w:spacing w:after="0"/>
              <w:rPr>
                <w:rFonts w:ascii="Arial" w:hAnsi="Arial" w:cs="Arial"/>
              </w:rPr>
            </w:pPr>
            <w:r w:rsidRPr="002529C0">
              <w:rPr>
                <w:rFonts w:ascii="Arial" w:hAnsi="Arial" w:cs="Arial"/>
              </w:rPr>
              <w:t>Cross-Sector Coordination</w:t>
            </w:r>
          </w:p>
        </w:tc>
        <w:tc>
          <w:tcPr>
            <w:tcW w:w="2835" w:type="dxa"/>
          </w:tcPr>
          <w:p w14:paraId="52FB9138" w14:textId="77777777" w:rsidR="002529C0" w:rsidRPr="002529C0" w:rsidRDefault="002529C0" w:rsidP="002529C0">
            <w:pPr>
              <w:pStyle w:val="Body"/>
              <w:spacing w:after="0"/>
              <w:rPr>
                <w:rFonts w:ascii="Arial" w:hAnsi="Arial" w:cs="Arial"/>
              </w:rPr>
            </w:pPr>
            <w:r w:rsidRPr="002529C0">
              <w:rPr>
                <w:rFonts w:ascii="Arial" w:hAnsi="Arial" w:cs="Arial"/>
              </w:rPr>
              <w:t>PERKIM coordinates with BPBD, BAPPEDA, and the Government Division. There is a history of misconceptions, resulting in repeated verifications.</w:t>
            </w:r>
          </w:p>
        </w:tc>
        <w:tc>
          <w:tcPr>
            <w:tcW w:w="3402" w:type="dxa"/>
          </w:tcPr>
          <w:p w14:paraId="17FEE797" w14:textId="77777777" w:rsidR="002529C0" w:rsidRPr="002529C0" w:rsidRDefault="002529C0" w:rsidP="002529C0">
            <w:pPr>
              <w:pStyle w:val="Body"/>
              <w:spacing w:after="0"/>
              <w:rPr>
                <w:rFonts w:ascii="Arial" w:hAnsi="Arial" w:cs="Arial"/>
              </w:rPr>
            </w:pPr>
            <w:r w:rsidRPr="002529C0">
              <w:rPr>
                <w:rFonts w:ascii="Arial" w:hAnsi="Arial" w:cs="Arial"/>
              </w:rPr>
              <w:t>Coordination demonstrates interdependence between OPDs. Harmonization after 2024 improves the consistency of the SPM flow.</w:t>
            </w:r>
          </w:p>
        </w:tc>
      </w:tr>
      <w:tr w:rsidR="002529C0" w:rsidRPr="002529C0" w14:paraId="7ED7A801" w14:textId="77777777" w:rsidTr="002529C0">
        <w:tc>
          <w:tcPr>
            <w:tcW w:w="2093" w:type="dxa"/>
          </w:tcPr>
          <w:p w14:paraId="167A0D07" w14:textId="77777777" w:rsidR="002529C0" w:rsidRPr="002529C0" w:rsidRDefault="002529C0" w:rsidP="002529C0">
            <w:pPr>
              <w:pStyle w:val="Body"/>
              <w:spacing w:after="0"/>
              <w:rPr>
                <w:rFonts w:ascii="Arial" w:hAnsi="Arial" w:cs="Arial"/>
              </w:rPr>
            </w:pPr>
            <w:r w:rsidRPr="002529C0">
              <w:rPr>
                <w:rFonts w:ascii="Arial" w:hAnsi="Arial" w:cs="Arial"/>
              </w:rPr>
              <w:t>Human Resources (HR)</w:t>
            </w:r>
          </w:p>
        </w:tc>
        <w:tc>
          <w:tcPr>
            <w:tcW w:w="2835" w:type="dxa"/>
          </w:tcPr>
          <w:p w14:paraId="635281C9" w14:textId="77777777" w:rsidR="002529C0" w:rsidRPr="002529C0" w:rsidRDefault="002529C0" w:rsidP="002529C0">
            <w:pPr>
              <w:pStyle w:val="Body"/>
              <w:spacing w:after="0"/>
              <w:rPr>
                <w:rFonts w:ascii="Arial" w:hAnsi="Arial" w:cs="Arial"/>
              </w:rPr>
            </w:pPr>
            <w:r w:rsidRPr="002529C0">
              <w:rPr>
                <w:rFonts w:ascii="Arial" w:hAnsi="Arial" w:cs="Arial"/>
              </w:rPr>
              <w:t>PERKIM has seven technical staff, BPBD is supported by approximately 30 sub-district task forces; the number of human resources is still considered insufficient.</w:t>
            </w:r>
          </w:p>
        </w:tc>
        <w:tc>
          <w:tcPr>
            <w:tcW w:w="3402" w:type="dxa"/>
          </w:tcPr>
          <w:p w14:paraId="6F49D75B" w14:textId="77777777" w:rsidR="002529C0" w:rsidRPr="002529C0" w:rsidRDefault="002529C0" w:rsidP="002529C0">
            <w:pPr>
              <w:pStyle w:val="Body"/>
              <w:spacing w:after="0"/>
              <w:rPr>
                <w:rFonts w:ascii="Arial" w:hAnsi="Arial" w:cs="Arial"/>
              </w:rPr>
            </w:pPr>
            <w:r w:rsidRPr="002529C0">
              <w:rPr>
                <w:rFonts w:ascii="Arial" w:hAnsi="Arial" w:cs="Arial"/>
              </w:rPr>
              <w:t>Technical capacity is adequate but limited in number, which could potentially reduce the quality of SPM services.</w:t>
            </w:r>
          </w:p>
        </w:tc>
      </w:tr>
      <w:tr w:rsidR="002529C0" w:rsidRPr="002529C0" w14:paraId="7228C619" w14:textId="77777777" w:rsidTr="002529C0">
        <w:tc>
          <w:tcPr>
            <w:tcW w:w="2093" w:type="dxa"/>
          </w:tcPr>
          <w:p w14:paraId="32552893" w14:textId="77777777" w:rsidR="002529C0" w:rsidRPr="002529C0" w:rsidRDefault="002529C0" w:rsidP="002529C0">
            <w:pPr>
              <w:pStyle w:val="Body"/>
              <w:spacing w:after="0"/>
              <w:rPr>
                <w:rFonts w:ascii="Arial" w:hAnsi="Arial" w:cs="Arial"/>
              </w:rPr>
            </w:pPr>
            <w:r w:rsidRPr="002529C0">
              <w:rPr>
                <w:rFonts w:ascii="Arial" w:hAnsi="Arial" w:cs="Arial"/>
              </w:rPr>
              <w:t>Budget Resources</w:t>
            </w:r>
          </w:p>
        </w:tc>
        <w:tc>
          <w:tcPr>
            <w:tcW w:w="2835" w:type="dxa"/>
          </w:tcPr>
          <w:p w14:paraId="08024CC6" w14:textId="77777777" w:rsidR="002529C0" w:rsidRPr="002529C0" w:rsidRDefault="002529C0" w:rsidP="002529C0">
            <w:pPr>
              <w:pStyle w:val="Body"/>
              <w:spacing w:after="0"/>
              <w:rPr>
                <w:rFonts w:ascii="Arial" w:hAnsi="Arial" w:cs="Arial"/>
              </w:rPr>
            </w:pPr>
            <w:r w:rsidRPr="002529C0">
              <w:rPr>
                <w:rFonts w:ascii="Arial" w:hAnsi="Arial" w:cs="Arial"/>
              </w:rPr>
              <w:t>Funding comes from the regional budget, state budget, grants, and CSR; the program was temporarily suspended in 2020–2021; in 2024, five houses will be completed.</w:t>
            </w:r>
          </w:p>
        </w:tc>
        <w:tc>
          <w:tcPr>
            <w:tcW w:w="3402" w:type="dxa"/>
          </w:tcPr>
          <w:p w14:paraId="5B47F256" w14:textId="77777777" w:rsidR="002529C0" w:rsidRPr="002529C0" w:rsidRDefault="002529C0" w:rsidP="002529C0">
            <w:pPr>
              <w:pStyle w:val="Body"/>
              <w:spacing w:after="0"/>
              <w:rPr>
                <w:rFonts w:ascii="Arial" w:hAnsi="Arial" w:cs="Arial"/>
              </w:rPr>
            </w:pPr>
            <w:r w:rsidRPr="002529C0">
              <w:rPr>
                <w:rFonts w:ascii="Arial" w:hAnsi="Arial" w:cs="Arial"/>
              </w:rPr>
              <w:t>Fiscal dependence leads to fluctuating outcomes. Prioritize based on the level of damage and the economic capacity of victims.</w:t>
            </w:r>
          </w:p>
        </w:tc>
      </w:tr>
      <w:tr w:rsidR="002529C0" w:rsidRPr="002529C0" w14:paraId="4BFA749B" w14:textId="77777777" w:rsidTr="002529C0">
        <w:tc>
          <w:tcPr>
            <w:tcW w:w="2093" w:type="dxa"/>
          </w:tcPr>
          <w:p w14:paraId="2144ACC3" w14:textId="77777777" w:rsidR="002529C0" w:rsidRPr="002529C0" w:rsidRDefault="002529C0" w:rsidP="002529C0">
            <w:pPr>
              <w:pStyle w:val="Body"/>
              <w:spacing w:after="0"/>
              <w:rPr>
                <w:rFonts w:ascii="Arial" w:hAnsi="Arial" w:cs="Arial"/>
              </w:rPr>
            </w:pPr>
            <w:r w:rsidRPr="002529C0">
              <w:rPr>
                <w:rFonts w:ascii="Arial" w:hAnsi="Arial" w:cs="Arial"/>
              </w:rPr>
              <w:t>Understanding the Policy</w:t>
            </w:r>
          </w:p>
        </w:tc>
        <w:tc>
          <w:tcPr>
            <w:tcW w:w="2835" w:type="dxa"/>
          </w:tcPr>
          <w:p w14:paraId="62A47C18" w14:textId="77777777" w:rsidR="002529C0" w:rsidRPr="002529C0" w:rsidRDefault="002529C0" w:rsidP="002529C0">
            <w:pPr>
              <w:pStyle w:val="Body"/>
              <w:spacing w:after="0"/>
              <w:rPr>
                <w:rFonts w:ascii="Arial" w:hAnsi="Arial" w:cs="Arial"/>
              </w:rPr>
            </w:pPr>
            <w:r w:rsidRPr="002529C0">
              <w:rPr>
                <w:rFonts w:ascii="Arial" w:hAnsi="Arial" w:cs="Arial"/>
              </w:rPr>
              <w:t>OPDs understand SPM as a mandatory matter, but there is no PERBUP available yet, so they refer to central regulations.</w:t>
            </w:r>
          </w:p>
        </w:tc>
        <w:tc>
          <w:tcPr>
            <w:tcW w:w="3402" w:type="dxa"/>
          </w:tcPr>
          <w:p w14:paraId="5B399AF4" w14:textId="77777777" w:rsidR="002529C0" w:rsidRPr="002529C0" w:rsidRDefault="002529C0" w:rsidP="002529C0">
            <w:pPr>
              <w:pStyle w:val="Body"/>
              <w:spacing w:after="0"/>
              <w:rPr>
                <w:rFonts w:ascii="Arial" w:hAnsi="Arial" w:cs="Arial"/>
              </w:rPr>
            </w:pPr>
            <w:r w:rsidRPr="002529C0">
              <w:rPr>
                <w:rFonts w:ascii="Arial" w:hAnsi="Arial" w:cs="Arial"/>
              </w:rPr>
              <w:t>There is a regulatory gap: strong understanding but no regional guidelines leads to adaptive and non-standard implementation.</w:t>
            </w:r>
          </w:p>
        </w:tc>
      </w:tr>
      <w:tr w:rsidR="002529C0" w:rsidRPr="002529C0" w14:paraId="0E1E3116" w14:textId="77777777" w:rsidTr="002529C0">
        <w:tc>
          <w:tcPr>
            <w:tcW w:w="2093" w:type="dxa"/>
          </w:tcPr>
          <w:p w14:paraId="625842B6" w14:textId="77777777" w:rsidR="002529C0" w:rsidRPr="002529C0" w:rsidRDefault="002529C0" w:rsidP="002529C0">
            <w:pPr>
              <w:pStyle w:val="Body"/>
              <w:spacing w:after="0"/>
              <w:rPr>
                <w:rFonts w:ascii="Arial" w:hAnsi="Arial" w:cs="Arial"/>
              </w:rPr>
            </w:pPr>
            <w:r w:rsidRPr="002529C0">
              <w:rPr>
                <w:rFonts w:ascii="Arial" w:hAnsi="Arial" w:cs="Arial"/>
              </w:rPr>
              <w:t>Equivalence of Perceptions Among OPDs</w:t>
            </w:r>
          </w:p>
        </w:tc>
        <w:tc>
          <w:tcPr>
            <w:tcW w:w="2835" w:type="dxa"/>
          </w:tcPr>
          <w:p w14:paraId="6F04293D" w14:textId="77777777" w:rsidR="002529C0" w:rsidRPr="002529C0" w:rsidRDefault="002529C0" w:rsidP="002529C0">
            <w:pPr>
              <w:pStyle w:val="Body"/>
              <w:spacing w:after="0"/>
              <w:rPr>
                <w:rFonts w:ascii="Arial" w:hAnsi="Arial" w:cs="Arial"/>
              </w:rPr>
            </w:pPr>
            <w:r w:rsidRPr="002529C0">
              <w:rPr>
                <w:rFonts w:ascii="Arial" w:hAnsi="Arial" w:cs="Arial"/>
              </w:rPr>
              <w:t>Starting in 2024, the roles of regional government agencies will be standardized: BPBD will provide data, PERKIM will implement, BAPPEDA will handle budgeting, and the Government Division will monitor.</w:t>
            </w:r>
          </w:p>
        </w:tc>
        <w:tc>
          <w:tcPr>
            <w:tcW w:w="3402" w:type="dxa"/>
          </w:tcPr>
          <w:p w14:paraId="0DAF034C" w14:textId="77777777" w:rsidR="002529C0" w:rsidRPr="002529C0" w:rsidRDefault="002529C0" w:rsidP="002529C0">
            <w:pPr>
              <w:pStyle w:val="Body"/>
              <w:spacing w:after="0"/>
              <w:rPr>
                <w:rFonts w:ascii="Arial" w:hAnsi="Arial" w:cs="Arial"/>
              </w:rPr>
            </w:pPr>
            <w:r w:rsidRPr="002529C0">
              <w:rPr>
                <w:rFonts w:ascii="Arial" w:hAnsi="Arial" w:cs="Arial"/>
              </w:rPr>
              <w:t>Harmonization improves governance effectiveness and reduces overlap.</w:t>
            </w:r>
          </w:p>
        </w:tc>
      </w:tr>
      <w:tr w:rsidR="002529C0" w:rsidRPr="002529C0" w14:paraId="32646F6B" w14:textId="77777777" w:rsidTr="002529C0">
        <w:tc>
          <w:tcPr>
            <w:tcW w:w="2093" w:type="dxa"/>
          </w:tcPr>
          <w:p w14:paraId="374DCE7E" w14:textId="77777777" w:rsidR="002529C0" w:rsidRPr="002529C0" w:rsidRDefault="002529C0" w:rsidP="002529C0">
            <w:pPr>
              <w:pStyle w:val="Body"/>
              <w:spacing w:after="0"/>
              <w:rPr>
                <w:rFonts w:ascii="Arial" w:hAnsi="Arial" w:cs="Arial"/>
              </w:rPr>
            </w:pPr>
            <w:r w:rsidRPr="002529C0">
              <w:rPr>
                <w:rFonts w:ascii="Arial" w:hAnsi="Arial" w:cs="Arial"/>
              </w:rPr>
              <w:t>SPM Implementation Stages</w:t>
            </w:r>
          </w:p>
        </w:tc>
        <w:tc>
          <w:tcPr>
            <w:tcW w:w="2835" w:type="dxa"/>
          </w:tcPr>
          <w:p w14:paraId="3EF785C6" w14:textId="77777777" w:rsidR="002529C0" w:rsidRPr="002529C0" w:rsidRDefault="002529C0" w:rsidP="002529C0">
            <w:pPr>
              <w:pStyle w:val="Body"/>
              <w:spacing w:after="0"/>
              <w:rPr>
                <w:rFonts w:ascii="Arial" w:hAnsi="Arial" w:cs="Arial"/>
              </w:rPr>
            </w:pPr>
            <w:r w:rsidRPr="002529C0">
              <w:rPr>
                <w:rFonts w:ascii="Arial" w:hAnsi="Arial" w:cs="Arial"/>
              </w:rPr>
              <w:t>The stages include data collection → verification → decree → disbursement → development. In 2025, reporting will follow national standards.</w:t>
            </w:r>
          </w:p>
        </w:tc>
        <w:tc>
          <w:tcPr>
            <w:tcW w:w="3402" w:type="dxa"/>
          </w:tcPr>
          <w:p w14:paraId="38D3DA24" w14:textId="77777777" w:rsidR="002529C0" w:rsidRPr="002529C0" w:rsidRDefault="002529C0" w:rsidP="002529C0">
            <w:pPr>
              <w:pStyle w:val="Body"/>
              <w:spacing w:after="0"/>
              <w:rPr>
                <w:rFonts w:ascii="Arial" w:hAnsi="Arial" w:cs="Arial"/>
              </w:rPr>
            </w:pPr>
            <w:r w:rsidRPr="002529C0">
              <w:rPr>
                <w:rFonts w:ascii="Arial" w:hAnsi="Arial" w:cs="Arial"/>
              </w:rPr>
              <w:t>The stages are underway but have not been standardized due to the absence of a local regulation; implementation relies on bureaucratic experience.</w:t>
            </w:r>
          </w:p>
        </w:tc>
      </w:tr>
      <w:tr w:rsidR="002529C0" w:rsidRPr="002529C0" w14:paraId="4412382C" w14:textId="77777777" w:rsidTr="002529C0">
        <w:tc>
          <w:tcPr>
            <w:tcW w:w="2093" w:type="dxa"/>
          </w:tcPr>
          <w:p w14:paraId="52133BA1" w14:textId="77777777" w:rsidR="002529C0" w:rsidRPr="002529C0" w:rsidRDefault="002529C0" w:rsidP="002529C0">
            <w:pPr>
              <w:pStyle w:val="Body"/>
              <w:spacing w:after="0"/>
              <w:rPr>
                <w:rFonts w:ascii="Arial" w:hAnsi="Arial" w:cs="Arial"/>
              </w:rPr>
            </w:pPr>
            <w:r w:rsidRPr="002529C0">
              <w:rPr>
                <w:rFonts w:ascii="Arial" w:hAnsi="Arial" w:cs="Arial"/>
              </w:rPr>
              <w:t>Policy Outcomes</w:t>
            </w:r>
          </w:p>
        </w:tc>
        <w:tc>
          <w:tcPr>
            <w:tcW w:w="2835" w:type="dxa"/>
          </w:tcPr>
          <w:p w14:paraId="46E36E92" w14:textId="77777777" w:rsidR="002529C0" w:rsidRPr="002529C0" w:rsidRDefault="002529C0" w:rsidP="002529C0">
            <w:pPr>
              <w:pStyle w:val="Body"/>
              <w:spacing w:after="0"/>
              <w:rPr>
                <w:rFonts w:ascii="Arial" w:hAnsi="Arial" w:cs="Arial"/>
              </w:rPr>
            </w:pPr>
            <w:r w:rsidRPr="002529C0">
              <w:rPr>
                <w:rFonts w:ascii="Arial" w:hAnsi="Arial" w:cs="Arial"/>
              </w:rPr>
              <w:t>In 2024, five houses were built; targeted distribution; assistance of Rp7.5–40 million.</w:t>
            </w:r>
          </w:p>
        </w:tc>
        <w:tc>
          <w:tcPr>
            <w:tcW w:w="3402" w:type="dxa"/>
          </w:tcPr>
          <w:p w14:paraId="1E15C423" w14:textId="77777777" w:rsidR="002529C0" w:rsidRPr="002529C0" w:rsidRDefault="002529C0" w:rsidP="002529C0">
            <w:pPr>
              <w:pStyle w:val="Body"/>
              <w:spacing w:after="0"/>
              <w:rPr>
                <w:rFonts w:ascii="Arial" w:hAnsi="Arial" w:cs="Arial"/>
              </w:rPr>
            </w:pPr>
            <w:r w:rsidRPr="002529C0">
              <w:rPr>
                <w:rFonts w:ascii="Arial" w:hAnsi="Arial" w:cs="Arial"/>
              </w:rPr>
              <w:t>Tangible but small-scale output; positive impact on residential safety and disaster risk mitigation.</w:t>
            </w:r>
          </w:p>
        </w:tc>
      </w:tr>
      <w:tr w:rsidR="002529C0" w:rsidRPr="002529C0" w14:paraId="2DED1C43" w14:textId="77777777" w:rsidTr="002529C0">
        <w:tc>
          <w:tcPr>
            <w:tcW w:w="2093" w:type="dxa"/>
          </w:tcPr>
          <w:p w14:paraId="0A01D870" w14:textId="77777777" w:rsidR="002529C0" w:rsidRPr="002529C0" w:rsidRDefault="002529C0" w:rsidP="002529C0">
            <w:pPr>
              <w:pStyle w:val="Body"/>
              <w:spacing w:after="0"/>
              <w:rPr>
                <w:rFonts w:ascii="Arial" w:hAnsi="Arial" w:cs="Arial"/>
              </w:rPr>
            </w:pPr>
            <w:r w:rsidRPr="002529C0">
              <w:rPr>
                <w:rFonts w:ascii="Arial" w:hAnsi="Arial" w:cs="Arial"/>
              </w:rPr>
              <w:lastRenderedPageBreak/>
              <w:t>Key Challenges</w:t>
            </w:r>
          </w:p>
        </w:tc>
        <w:tc>
          <w:tcPr>
            <w:tcW w:w="2835" w:type="dxa"/>
          </w:tcPr>
          <w:p w14:paraId="03D8FC1C" w14:textId="77777777" w:rsidR="002529C0" w:rsidRPr="002529C0" w:rsidRDefault="002529C0" w:rsidP="002529C0">
            <w:pPr>
              <w:pStyle w:val="Body"/>
              <w:spacing w:after="0"/>
              <w:rPr>
                <w:rFonts w:ascii="Arial" w:hAnsi="Arial" w:cs="Arial"/>
              </w:rPr>
            </w:pPr>
            <w:r w:rsidRPr="002529C0">
              <w:rPr>
                <w:rFonts w:ascii="Arial" w:hAnsi="Arial" w:cs="Arial"/>
              </w:rPr>
              <w:t>Limited regional budgets and dependence on external funding.</w:t>
            </w:r>
          </w:p>
        </w:tc>
        <w:tc>
          <w:tcPr>
            <w:tcW w:w="3402" w:type="dxa"/>
          </w:tcPr>
          <w:p w14:paraId="364C7339" w14:textId="77777777" w:rsidR="002529C0" w:rsidRPr="002529C0" w:rsidRDefault="002529C0" w:rsidP="002529C0">
            <w:pPr>
              <w:pStyle w:val="Body"/>
              <w:spacing w:after="0"/>
              <w:rPr>
                <w:rFonts w:ascii="Arial" w:hAnsi="Arial" w:cs="Arial"/>
              </w:rPr>
            </w:pPr>
            <w:r w:rsidRPr="002529C0">
              <w:rPr>
                <w:rFonts w:ascii="Arial" w:hAnsi="Arial" w:cs="Arial"/>
              </w:rPr>
              <w:t>Weak fiscal capacity limits the acceleration of SPM fulfillment.</w:t>
            </w:r>
          </w:p>
        </w:tc>
      </w:tr>
    </w:tbl>
    <w:p w14:paraId="7C6205E9" w14:textId="77777777" w:rsidR="002529C0" w:rsidRDefault="002529C0" w:rsidP="00CE7D0E">
      <w:pPr>
        <w:pStyle w:val="Body"/>
        <w:spacing w:after="0"/>
        <w:rPr>
          <w:rFonts w:ascii="Arial" w:hAnsi="Arial" w:cs="Arial"/>
        </w:rPr>
      </w:pPr>
    </w:p>
    <w:p w14:paraId="5789B819" w14:textId="77777777" w:rsidR="00CE7D0E" w:rsidRDefault="00CE7D0E" w:rsidP="00CE7D0E">
      <w:pPr>
        <w:pStyle w:val="Body"/>
        <w:spacing w:after="0"/>
        <w:rPr>
          <w:rFonts w:ascii="Arial" w:hAnsi="Arial" w:cs="Arial"/>
        </w:rPr>
      </w:pPr>
    </w:p>
    <w:p w14:paraId="59688C0B" w14:textId="77777777" w:rsidR="00CE7D0E" w:rsidRPr="00CE7D0E" w:rsidRDefault="00CE7D0E" w:rsidP="00CE7D0E">
      <w:pPr>
        <w:pStyle w:val="Body"/>
        <w:rPr>
          <w:rFonts w:ascii="Arial" w:hAnsi="Arial" w:cs="Arial"/>
          <w:b/>
        </w:rPr>
      </w:pPr>
      <w:r>
        <w:rPr>
          <w:rFonts w:ascii="Arial" w:hAnsi="Arial" w:cs="Arial"/>
          <w:b/>
        </w:rPr>
        <w:t>3.</w:t>
      </w:r>
      <w:r w:rsidRPr="00CE7D0E">
        <w:rPr>
          <w:rFonts w:ascii="Arial" w:hAnsi="Arial" w:cs="Arial"/>
          <w:b/>
        </w:rPr>
        <w:t xml:space="preserve">2. DESCRIPTION OF RESULTS </w:t>
      </w:r>
    </w:p>
    <w:p w14:paraId="1AD17098" w14:textId="77777777" w:rsidR="00CE7D0E" w:rsidRPr="00CE7D0E" w:rsidRDefault="00CE7D0E" w:rsidP="00CE7D0E">
      <w:pPr>
        <w:pStyle w:val="Body"/>
        <w:rPr>
          <w:rFonts w:ascii="Arial" w:hAnsi="Arial" w:cs="Arial"/>
        </w:rPr>
      </w:pPr>
      <w:r w:rsidRPr="00CE7D0E">
        <w:rPr>
          <w:rFonts w:ascii="Arial" w:hAnsi="Arial" w:cs="Arial"/>
        </w:rPr>
        <w:t>The data in the table shows that the implementation of SPM in the field of public housing in Pohuwato Regency took place within a governance framework involving several Regional Apparatus Organizations (OPD) with a relatively clear division of functions, although it was not fully supported by regional technical regulations. Two OPDs are the dominant actors, namely BPBD as the provider of initial data on victims and damage categories, and the PERKIM Office as the verifier and implementer of rehabilitation and housing construction. PERKIM's dependence on the accuracy of BPBD data illustrates the interdependence between OPDs, which theoretically describes a policy network implementation model in which the success of one unit depends on the quality of another unit's output.</w:t>
      </w:r>
    </w:p>
    <w:p w14:paraId="6FD92E97" w14:textId="77777777" w:rsidR="00CE7D0E" w:rsidRPr="00CE7D0E" w:rsidRDefault="00CE7D0E" w:rsidP="00CE7D0E">
      <w:pPr>
        <w:pStyle w:val="Body"/>
        <w:rPr>
          <w:rFonts w:ascii="Arial" w:hAnsi="Arial" w:cs="Arial"/>
        </w:rPr>
      </w:pPr>
      <w:r w:rsidRPr="00CE7D0E">
        <w:rPr>
          <w:rFonts w:ascii="Arial" w:hAnsi="Arial" w:cs="Arial"/>
        </w:rPr>
        <w:t>Cross-sector coordination has undergone dynamics, including technical misconceptions in the previous period that required repeated verification. However, starting in 2024, harmonization between OPDs has strengthened, resulting in a more consistent SPM flow. This condition shows that the policy process is developing towards a more stable level of policy coherence, in line with the principle of cross-sector planning integration.</w:t>
      </w:r>
    </w:p>
    <w:p w14:paraId="79DD399C" w14:textId="77777777" w:rsidR="00CE7D0E" w:rsidRPr="00CE7D0E" w:rsidRDefault="00CE7D0E" w:rsidP="00CE7D0E">
      <w:pPr>
        <w:pStyle w:val="Body"/>
        <w:rPr>
          <w:rFonts w:ascii="Arial" w:hAnsi="Arial" w:cs="Arial"/>
        </w:rPr>
      </w:pPr>
      <w:r w:rsidRPr="00CE7D0E">
        <w:rPr>
          <w:rFonts w:ascii="Arial" w:hAnsi="Arial" w:cs="Arial"/>
        </w:rPr>
        <w:t>In terms of resources, the data shows that PERKIM only has seven technical personnel, while BPBD has around 30 field personnel. Normatively, this indicates limited implementation capacity, particularly because the SPM workload is relatively high and technical in nature. This situation is exacerbated by limited regional budgets; program funding is highly volatile and depends on a combination of regional budgets, national budgets, grants, and CSR. In 2024, only five houses were completed, indicating that fiscal constraints are affecting policy output.</w:t>
      </w:r>
    </w:p>
    <w:p w14:paraId="36F7FF19" w14:textId="77777777" w:rsidR="00CE7D0E" w:rsidRPr="00CE7D0E" w:rsidRDefault="00CE7D0E" w:rsidP="00CE7D0E">
      <w:pPr>
        <w:pStyle w:val="Body"/>
        <w:rPr>
          <w:rFonts w:ascii="Arial" w:hAnsi="Arial" w:cs="Arial"/>
        </w:rPr>
      </w:pPr>
      <w:r w:rsidRPr="00CE7D0E">
        <w:rPr>
          <w:rFonts w:ascii="Arial" w:hAnsi="Arial" w:cs="Arial"/>
        </w:rPr>
        <w:t>The OPD's substantive understanding of the SPM is adequate, but the absence of a Regent Regulation means that implementation is based on bureaucratic experience without standard operating procedures. As a result, the implementation stages—from data collection to construction—follow a general pattern but are not yet formally documented. However, since 2025, reporting is planned to follow national standards, marking an effort towards compliance-based governance.</w:t>
      </w:r>
    </w:p>
    <w:p w14:paraId="63022B6F" w14:textId="77777777" w:rsidR="00CE7D0E" w:rsidRDefault="00CE7D0E" w:rsidP="00CE7D0E">
      <w:pPr>
        <w:pStyle w:val="Body"/>
        <w:rPr>
          <w:rFonts w:ascii="Arial" w:hAnsi="Arial" w:cs="Arial"/>
        </w:rPr>
      </w:pPr>
      <w:r w:rsidRPr="00CE7D0E">
        <w:rPr>
          <w:rFonts w:ascii="Arial" w:hAnsi="Arial" w:cs="Arial"/>
        </w:rPr>
        <w:t>The results of the policy in 2024 were relatively positive in terms of targeting, with housing assistance ranging from IDR 7.5 million to IDR 40 million, but the scale was small so that the aggregate impact on meeting the SPM was still limited. The main challenges highlighted in the data are regional budget constraints and dependence on external funding, which directly affect the continuity and volume of services. This shows that the implementation of the SPM for public housing in Pohuwato is in a phase of incremental progress—there have been tangible achievements, but it has not been possible to meet the standards optimally due to structural and fiscal constraints.</w:t>
      </w:r>
    </w:p>
    <w:p w14:paraId="65493ADB" w14:textId="77777777" w:rsidR="006E2B49" w:rsidRPr="006E2B49" w:rsidRDefault="006E2B49" w:rsidP="006E2B49">
      <w:pPr>
        <w:pStyle w:val="Body"/>
        <w:rPr>
          <w:rFonts w:ascii="Arial" w:hAnsi="Arial" w:cs="Arial"/>
          <w:b/>
        </w:rPr>
      </w:pPr>
      <w:r w:rsidRPr="006E2B49">
        <w:rPr>
          <w:rFonts w:ascii="Arial" w:hAnsi="Arial" w:cs="Arial"/>
          <w:b/>
        </w:rPr>
        <w:t>3.3. DISCUSSION</w:t>
      </w:r>
    </w:p>
    <w:p w14:paraId="4563D53A" w14:textId="2D40D42F" w:rsidR="006E2B49" w:rsidRPr="006E2B49" w:rsidRDefault="006E2B49" w:rsidP="006E2B49">
      <w:pPr>
        <w:pStyle w:val="Body"/>
        <w:rPr>
          <w:rFonts w:ascii="Arial" w:hAnsi="Arial" w:cs="Arial"/>
        </w:rPr>
      </w:pPr>
      <w:r w:rsidRPr="006E2B49">
        <w:rPr>
          <w:rFonts w:ascii="Arial" w:hAnsi="Arial" w:cs="Arial"/>
        </w:rPr>
        <w:t>The implementation of Minimum Service Standards (M</w:t>
      </w:r>
      <w:r w:rsidR="004727B5">
        <w:rPr>
          <w:rFonts w:ascii="Arial" w:hAnsi="Arial" w:cs="Arial"/>
        </w:rPr>
        <w:t>SS</w:t>
      </w:r>
      <w:r w:rsidRPr="006E2B49">
        <w:rPr>
          <w:rFonts w:ascii="Arial" w:hAnsi="Arial" w:cs="Arial"/>
        </w:rPr>
        <w:t xml:space="preserve">) in the field of public housing in Pohuwato Regency shows that a functional service management architecture has been established, although it is still in the phase of institutional consolidation and regulatory maturation. Two key actors, namely the Regional Disaster Management Agency as the </w:t>
      </w:r>
      <w:r w:rsidRPr="006E2B49">
        <w:rPr>
          <w:rFonts w:ascii="Arial" w:hAnsi="Arial" w:cs="Arial"/>
        </w:rPr>
        <w:lastRenderedPageBreak/>
        <w:t>producer of data on damage and victims, and the Housing and Settlement Agency (PERKIM) as the verifier and implementer of rehabilitation and housing construction, form the core of the implementation network. The accuracy of aid delivery is highly dependent on the quality of data produced by BPBD, so this configuration reflects the typical policy network pattern of the SPM regime in Indonesia, where the performance of a particular task is determined more by the quality of cross-organizational coordination among regional apparatus organizations (OPD) than by the performance of a single technical agency alone (Mansuri, G., &amp; Rao, V. 2013). A summary of the implementation results at the output and process levels is summarized in Table 1.</w:t>
      </w:r>
    </w:p>
    <w:p w14:paraId="21F7DA9A" w14:textId="77777777" w:rsidR="006E2B49" w:rsidRPr="006E2B49" w:rsidRDefault="006E2B49" w:rsidP="006E2B49">
      <w:pPr>
        <w:pStyle w:val="Body"/>
        <w:rPr>
          <w:rFonts w:ascii="Arial" w:hAnsi="Arial" w:cs="Arial"/>
        </w:rPr>
      </w:pPr>
      <w:r w:rsidRPr="006E2B49">
        <w:rPr>
          <w:rFonts w:ascii="Arial" w:hAnsi="Arial" w:cs="Arial"/>
        </w:rPr>
        <w:t>From an executive structure perspective, the division of roles between BPBD, PERKIM, Regional Development Planning Agency (BAPPEDA), and the Regional Secretariat's Government Division has approached the tiered governance practices recommended in national regulations. Minister of Public Works and Public Housing Regulation No. 13 of 2023 concerning Technical Standards for SPM in the Field of Public Works and Public Housing explicitly emphasizes the importance of clarity of roles, stages of SPM implementation, electronic reporting, and coaching mechanisms (Ministry of Public Works and Public Housing, 2023). However, the absence of a Regent Regulation as a local derivative of national regulations has created a significant regulatory gap, resulting in many implementation procedures being based on bureaucratic habits and individual experience rather than documented standard operating procedures. This situation contrasts with several regions that already have relatively complete SPM housing documents—such as West Lombok Regency, which since 2023 has established indicators, stages, and reporting formats for SPM housing in a more systematic manner—and reinforces the argument that local regulatory capacity is an important determinant of the level of compliance with SPM.</w:t>
      </w:r>
    </w:p>
    <w:p w14:paraId="3C8A1931" w14:textId="77777777" w:rsidR="006E2B49" w:rsidRPr="006E2B49" w:rsidRDefault="006E2B49" w:rsidP="006E2B49">
      <w:pPr>
        <w:pStyle w:val="Body"/>
        <w:rPr>
          <w:rFonts w:ascii="Arial" w:hAnsi="Arial" w:cs="Arial"/>
        </w:rPr>
      </w:pPr>
      <w:r w:rsidRPr="006E2B49">
        <w:rPr>
          <w:rFonts w:ascii="Arial" w:hAnsi="Arial" w:cs="Arial"/>
        </w:rPr>
        <w:t>The experience of cross-sector coordination in Pohuwato shows the dynamics of institutional learning. In the early stages, coordination was marked by misconceptions between OPDs and repeated verification practices of damage data and the socioeconomic status of beneficiaries. Over time, especially after 2024, there were significant improvements in the harmonization of roles: BPBD strengthened its function as a primary data provider, the PERKIM Office sharpened its technical verification and physical implementation functions, BAPPEDA consolidated planning and budgeting, while the Government Section took on the role of monitoring and reporting. These changes illustrate a shift from ad hoc coordination to stronger policy coherence, in line with international literature findings that the success of post-disaster housing reconstruction is largely determined by the clarity of mandates between institutions and the quality of inter-agency coordination (FEMA, 2020; UN-Habitat, 2019).</w:t>
      </w:r>
    </w:p>
    <w:p w14:paraId="18F53F13" w14:textId="77777777" w:rsidR="006E2B49" w:rsidRPr="006E2B49" w:rsidRDefault="006E2B49" w:rsidP="006E2B49">
      <w:pPr>
        <w:pStyle w:val="Body"/>
        <w:rPr>
          <w:rFonts w:ascii="Arial" w:hAnsi="Arial" w:cs="Arial"/>
        </w:rPr>
      </w:pPr>
      <w:r w:rsidRPr="006E2B49">
        <w:rPr>
          <w:rFonts w:ascii="Arial" w:hAnsi="Arial" w:cs="Arial"/>
        </w:rPr>
        <w:t xml:space="preserve">From a human resources perspective, the finding that there are only seven technical staff in the PERKIM Office and around 30 sub-district task forces (satgas) in the BPBD indicates a significant capacity constraint. Research on local government capacity in SPM implementation underscores that the number and competence of technical human resources is one of the main factors explaining fluctuations in SPM achievement between regions (Nekwek, L. (2022). UN-Habitat (2019) emphasizes that safe post-disaster housing reconstruction requires adequate technical capacity in planning, structural verification, and field supervision; a shortage of technical personnel tends to encourage the government to rely on contractors without strict supervision, thereby potentially reducing the quality of buildings. Compared to international practices, such as the Recovery Support Functions framework developed in several US states with the allocation of inter-agency technical teams to support housing recovery (United States Environmental Protection Agency 2024; FEMA, 2025), the technical human resource capacity in Pohuwato can be said to be at the minimum level, so that the quality of SPM implementation in this region is far more </w:t>
      </w:r>
      <w:r w:rsidRPr="006E2B49">
        <w:rPr>
          <w:rFonts w:ascii="Arial" w:hAnsi="Arial" w:cs="Arial"/>
        </w:rPr>
        <w:lastRenderedPageBreak/>
        <w:t>supported by commitment and coordination between OPDs than by an abundance of human resources.</w:t>
      </w:r>
    </w:p>
    <w:p w14:paraId="13818051" w14:textId="77777777" w:rsidR="006E2B49" w:rsidRPr="006E2B49" w:rsidRDefault="006E2B49" w:rsidP="006E2B49">
      <w:pPr>
        <w:pStyle w:val="Body"/>
        <w:rPr>
          <w:rFonts w:ascii="Arial" w:hAnsi="Arial" w:cs="Arial"/>
        </w:rPr>
      </w:pPr>
      <w:r w:rsidRPr="006E2B49">
        <w:rPr>
          <w:rFonts w:ascii="Arial" w:hAnsi="Arial" w:cs="Arial"/>
        </w:rPr>
        <w:t>Budget constraints emerged as the most significant structural challenge in implementing the SPM housing program in Pohuwato. Program funding depended on a combination of the Regional Revenue and Expenditure Budget (APBD), the State Revenue and Expenditure Budget (APBN), grants, and corporate social responsibility (CSR) funds, which proved insufficient to ensure program continuity. Data shows that program implementation was halted during 2020–2021 and only resulted in five new housing units in 2024, as shown in Table 1. This pattern is consistent with studies on the relationship between SPM and regional fiscal capacity, which found that the level of SPM achievement is greatly influenced by regional financial capacity; regions with low local revenue (PAD) tend to delay or reduce the volume of SPM services even though normative obligations remain attached (Ministry of Public Works and Public Housing, 2023; Mansuri, G., &amp; Rao, V. 2013). The IFRC (2023) report on post-disaster recovery in Indonesia also highlights that housing reconstruction funding tends to be fragmented and dependent on central government programs that are not always sustainable, making the continuity of post-disaster services at the local level vulnerable. When compared to best practices in a number of jurisdictions that have developed pre-disaster financing schemes and special reserve funds for disaster-resistant housing (United States Environmental Protection Agency, 2024), Pohuwato's position reflects the fiscal vulnerability that is common in many districts with limited fiscal bases.</w:t>
      </w:r>
    </w:p>
    <w:p w14:paraId="6A2450AE" w14:textId="77777777" w:rsidR="006E2B49" w:rsidRPr="006E2B49" w:rsidRDefault="006E2B49" w:rsidP="006E2B49">
      <w:pPr>
        <w:pStyle w:val="Body"/>
        <w:rPr>
          <w:rFonts w:ascii="Arial" w:hAnsi="Arial" w:cs="Arial"/>
        </w:rPr>
      </w:pPr>
      <w:r w:rsidRPr="006E2B49">
        <w:rPr>
          <w:rFonts w:ascii="Arial" w:hAnsi="Arial" w:cs="Arial"/>
        </w:rPr>
        <w:t>In terms of policy understanding, the OPD apparatus in Pohuwato basically has a relatively strong normative orientation: SPM is perceived as a mandatory requirement that must be fulfilled because it is directly related to citizens' basic rights to public services. However, the absence of a Regent Regulation as a derivative regulation means that most implementation practices rely on central regulations—particularly Minister of Home Affairs Regulation No. 59 of 2021 concerning the Application of Minimum Service Standards and various technical regulations from the Ministry of Public Works and Public Housing (Ministry of Home Affairs, 2021; Ministry of Public Works and Public Housing, 2023). The literature on basic service governance shows that when the normative orientation towards SPM is strong but local regulatory instruments are weak, policy implementation tends to be adaptive and pragmatic: regulatory gaps are filled with informal procedures and agreements between officials, which on the one hand allows for flexibility, but on the other hand opens up room for inconsistencies between periods and between stakeholders (World Bank, 2013). This condition is reflected in Pohuwato, where the implementation stages—from data collection, verification, determination of the list of recipients (SK), fund disbursement, to physical construction—have been carried out, but have not been explicitly outlined in formal standard operating procedures (SOP) and have only just begun to be aligned with national reporting standards in 2025.</w:t>
      </w:r>
    </w:p>
    <w:p w14:paraId="0E381854" w14:textId="77777777" w:rsidR="006E2B49" w:rsidRPr="006E2B49" w:rsidRDefault="006E2B49" w:rsidP="006E2B49">
      <w:pPr>
        <w:pStyle w:val="Body"/>
        <w:rPr>
          <w:rFonts w:ascii="Arial" w:hAnsi="Arial" w:cs="Arial"/>
        </w:rPr>
      </w:pPr>
      <w:r w:rsidRPr="006E2B49">
        <w:rPr>
          <w:rFonts w:ascii="Arial" w:hAnsi="Arial" w:cs="Arial"/>
        </w:rPr>
        <w:t>The policy output in the form of the construction of five housing units in 2024 with assistance valued at between Rp7.5 million and Rp40 million per unit, which is considered to be on target because it targets disaster victims with severe damage and economic hardship, can be seen as a tangible but small-scale achievement. The literature on housing reconstruction emphasizes that the success of a program is not only determined by the number of units built, but also by the structural safety of the buildings, the sustainability of the housing, and its contribution to long-term disaster resilience (UN-Habitat, 2019). Considering that the assistance scheme in Pohuwato is directed at highly vulnerable households, this policy has touched on the dimension of equity, which is one of the basic principles of SPM as a fundamental right of citizens. However, when compared to the standards for adequate housing set out in national housing policy, the volume and value of assistance are still far from adequate to reduce the backlog of disaster-prone housing at the district level.</w:t>
      </w:r>
    </w:p>
    <w:p w14:paraId="1909FE53" w14:textId="70C8C732" w:rsidR="006E2B49" w:rsidRPr="006E2B49" w:rsidRDefault="006E2B49" w:rsidP="006E2B49">
      <w:pPr>
        <w:pStyle w:val="Body"/>
        <w:rPr>
          <w:rFonts w:ascii="Arial" w:hAnsi="Arial" w:cs="Arial"/>
        </w:rPr>
      </w:pPr>
      <w:r w:rsidRPr="006E2B49">
        <w:rPr>
          <w:rFonts w:ascii="Arial" w:hAnsi="Arial" w:cs="Arial"/>
        </w:rPr>
        <w:lastRenderedPageBreak/>
        <w:t xml:space="preserve">Comparatively, international best practices emphasize the importance of long-term post-disaster housing planning, promoting the principle of build back better, and integrating it with spatial planning and disaster risk reduction strategies (United States Environmental Protection Agency 2024; FEMA, 2025; UN-Habitat, 2019). In a number of countries, a formal interagency recovery coordination framework has been established with clear recovery support functions, including for housing, so that physical reconstruction is always accompanied by strengthening local institutional capacity and community resilience (California Governor's Office of Emergency Services, 2024; FEMA, 2020). If this framework is used as a reference, the configuration of the implementation of the housing SPM in Pohuwato can be seen as the embryo of good practice: a clearer division of roles between OPDs, improved coordination patterns, and efforts to adopt national reporting standards indicate the right direction for improvement, although it still requires strengthening local regulations through the drafting of a Regent Regulation on housing </w:t>
      </w:r>
      <w:r w:rsidR="004727B5">
        <w:rPr>
          <w:rFonts w:ascii="Arial" w:hAnsi="Arial" w:cs="Arial"/>
        </w:rPr>
        <w:t>MSS</w:t>
      </w:r>
      <w:r w:rsidRPr="006E2B49">
        <w:rPr>
          <w:rFonts w:ascii="Arial" w:hAnsi="Arial" w:cs="Arial"/>
        </w:rPr>
        <w:t>, medium-term financing planning, and more serious investment in technical human resource capacity building.</w:t>
      </w:r>
    </w:p>
    <w:p w14:paraId="2F6E6549" w14:textId="0DB73765" w:rsidR="00C30A0F" w:rsidRDefault="006E2B49" w:rsidP="006E2B49">
      <w:pPr>
        <w:pStyle w:val="Body"/>
        <w:rPr>
          <w:rFonts w:ascii="Arial" w:hAnsi="Arial" w:cs="Arial"/>
        </w:rPr>
      </w:pPr>
      <w:r w:rsidRPr="006E2B49">
        <w:rPr>
          <w:rFonts w:ascii="Arial" w:hAnsi="Arial" w:cs="Arial"/>
        </w:rPr>
        <w:t>Thus, the results of this study confirm recent empirical findings that the implementation of SPM in the field of public housing at the district level is largely determined by three main groups of factors: (1) fiscal capacity, which limits the volume and continuity of services; (2) institutional capacity, which is reflected in the structure and quality of coordination between OPDs; and (3) regulatory capacity, which is evident in the availability of operational derivative regulations and local SOPs (IFRC, 2023; Mansuri</w:t>
      </w:r>
      <w:r w:rsidR="004727B5">
        <w:rPr>
          <w:rFonts w:ascii="Arial" w:hAnsi="Arial" w:cs="Arial"/>
        </w:rPr>
        <w:t xml:space="preserve"> </w:t>
      </w:r>
      <w:r w:rsidRPr="006E2B49">
        <w:rPr>
          <w:rFonts w:ascii="Arial" w:hAnsi="Arial" w:cs="Arial"/>
        </w:rPr>
        <w:t>&amp; Rao, 2013). Pohuwato District has shown incremental progress through the harmonization of roles between OPDs and improved targeting of assistance, but at the same time has revealed structural limitations that keep SPM achievements far from optimal. This argument is consistent with national and international literature on basic service governance and post-disaster housing reconstruction</w:t>
      </w:r>
      <w:r w:rsidR="00314AA2">
        <w:rPr>
          <w:rFonts w:ascii="Arial" w:hAnsi="Arial" w:cs="Arial"/>
        </w:rPr>
        <w:t xml:space="preserve"> </w:t>
      </w:r>
      <w:r w:rsidR="00314AA2">
        <w:rPr>
          <w:rFonts w:ascii="Arial" w:hAnsi="Arial" w:cs="Arial"/>
        </w:rPr>
        <w:t>(</w:t>
      </w:r>
      <w:r w:rsidR="00314AA2" w:rsidRPr="00A03238">
        <w:rPr>
          <w:rFonts w:ascii="Arial" w:hAnsi="Arial" w:cs="Arial"/>
        </w:rPr>
        <w:t>Drake et al., 2021</w:t>
      </w:r>
      <w:r w:rsidR="00314AA2">
        <w:rPr>
          <w:rFonts w:ascii="Arial" w:hAnsi="Arial" w:cs="Arial"/>
        </w:rPr>
        <w:t xml:space="preserve">; </w:t>
      </w:r>
      <w:r w:rsidR="00314AA2" w:rsidRPr="00A03238">
        <w:rPr>
          <w:rFonts w:ascii="Arial" w:hAnsi="Arial" w:cs="Arial"/>
        </w:rPr>
        <w:t>Lönnroth et al., 2024</w:t>
      </w:r>
      <w:r w:rsidR="00314AA2">
        <w:rPr>
          <w:rFonts w:ascii="Arial" w:hAnsi="Arial" w:cs="Arial"/>
        </w:rPr>
        <w:t>)</w:t>
      </w:r>
      <w:r w:rsidRPr="006E2B49">
        <w:rPr>
          <w:rFonts w:ascii="Arial" w:hAnsi="Arial" w:cs="Arial"/>
        </w:rPr>
        <w:t>, thereby strengthening the external validity of the research findings and opening up space for more targeted policy recommendations, including the drafting of a Regent Regulation on housing SPM, the establishment of a formal cross-OPD coordination mechanism, strengthening technical capacity through training and partnerships, and innovating collaborative financing schemes between the state, the private sector, and the community.</w:t>
      </w:r>
    </w:p>
    <w:p w14:paraId="39305EA9" w14:textId="77777777" w:rsidR="00E053D0" w:rsidRDefault="00E053D0" w:rsidP="00441B6F">
      <w:pPr>
        <w:pStyle w:val="Body"/>
        <w:spacing w:after="0"/>
        <w:rPr>
          <w:rFonts w:ascii="Arial" w:hAnsi="Arial" w:cs="Arial"/>
        </w:rPr>
      </w:pPr>
    </w:p>
    <w:p w14:paraId="0FAC5BA1" w14:textId="77777777" w:rsidR="00790ADA" w:rsidRPr="00FB3A86" w:rsidRDefault="00790ADA" w:rsidP="00441B6F">
      <w:pPr>
        <w:pStyle w:val="Body"/>
        <w:spacing w:after="0"/>
        <w:rPr>
          <w:rFonts w:ascii="Arial" w:hAnsi="Arial" w:cs="Arial"/>
        </w:rPr>
      </w:pPr>
    </w:p>
    <w:p w14:paraId="6243E7F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2786BC" w14:textId="77777777" w:rsidR="00790ADA" w:rsidRPr="00FB3A86" w:rsidRDefault="00790ADA" w:rsidP="00441B6F">
      <w:pPr>
        <w:pStyle w:val="ConcHead"/>
        <w:spacing w:after="0"/>
        <w:jc w:val="both"/>
        <w:rPr>
          <w:rFonts w:ascii="Arial" w:hAnsi="Arial" w:cs="Arial"/>
        </w:rPr>
      </w:pPr>
    </w:p>
    <w:p w14:paraId="6CCA6E86" w14:textId="3D8F4B97" w:rsidR="00B00B43" w:rsidRPr="00B00B43" w:rsidRDefault="00B00B43" w:rsidP="00B00B43">
      <w:pPr>
        <w:autoSpaceDE w:val="0"/>
        <w:autoSpaceDN w:val="0"/>
        <w:adjustRightInd w:val="0"/>
        <w:spacing w:before="120"/>
        <w:jc w:val="both"/>
        <w:rPr>
          <w:rFonts w:ascii="Arial" w:hAnsi="Arial" w:cs="Arial"/>
        </w:rPr>
      </w:pPr>
      <w:r w:rsidRPr="00B00B43">
        <w:rPr>
          <w:rFonts w:ascii="Arial" w:hAnsi="Arial" w:cs="Arial"/>
        </w:rPr>
        <w:t xml:space="preserve">This study demonstrates that the implementation of the Minimum Service Standards (MSS) for public housing in Pohuwato Regency has established a functional governance architecture, yet remains in a phase of institutional consolidation and regulatory maturation. The actor network—comprising the Regional Disaster Management Agency, the Housing and Settlement Office, the Regional Development Planning Agency, and the Government Affairs Division—operates with a sufficiently clear division of roles. However, service performance continues to depend on the quality of inter-agency coordination and the accuracy of damage data used to determine eligible beneficiaries. Within a multi-level governance framework, the attainment of </w:t>
      </w:r>
      <w:r w:rsidR="005F3E9D">
        <w:rPr>
          <w:rFonts w:ascii="Arial" w:hAnsi="Arial" w:cs="Arial"/>
        </w:rPr>
        <w:t>MSS</w:t>
      </w:r>
      <w:r w:rsidRPr="00B00B43">
        <w:rPr>
          <w:rFonts w:ascii="Arial" w:hAnsi="Arial" w:cs="Arial"/>
        </w:rPr>
        <w:t xml:space="preserve"> is not driven by a single technical agency but by the collective capacity of cross-organizational actors to maintain policy coherence and service accountability.</w:t>
      </w:r>
    </w:p>
    <w:p w14:paraId="2CFF0F3B" w14:textId="77777777" w:rsidR="00B00B43" w:rsidRPr="00B00B43" w:rsidRDefault="00B00B43" w:rsidP="00B00B43">
      <w:pPr>
        <w:autoSpaceDE w:val="0"/>
        <w:autoSpaceDN w:val="0"/>
        <w:adjustRightInd w:val="0"/>
        <w:spacing w:before="120"/>
        <w:jc w:val="both"/>
        <w:rPr>
          <w:rFonts w:ascii="Arial" w:hAnsi="Arial" w:cs="Arial"/>
        </w:rPr>
      </w:pPr>
      <w:r w:rsidRPr="00B00B43">
        <w:rPr>
          <w:rFonts w:ascii="Arial" w:hAnsi="Arial" w:cs="Arial"/>
        </w:rPr>
        <w:t xml:space="preserve">The findings identify three key factors explaining why progress toward achieving the housing MSS remains incremental. First, limited fiscal capacity and reliance on national budget allocations, grants, and corporate social responsibility funding result in fluctuations in the number of livable housing units delivered, as evidenced by the construction of only five units </w:t>
      </w:r>
      <w:r w:rsidRPr="00B00B43">
        <w:rPr>
          <w:rFonts w:ascii="Arial" w:hAnsi="Arial" w:cs="Arial"/>
        </w:rPr>
        <w:lastRenderedPageBreak/>
        <w:t>in 2024. Second, institutional capacity is constrained by a shortage of technical personnel, resulting in program implementation that relies heavily on informal coordination and experiential learning. Third, regulatory capacity remains insufficient due to the absence of a Regent Regulation and standardized operating procedures, leading to administrative practices that are not yet formally codified.</w:t>
      </w:r>
    </w:p>
    <w:p w14:paraId="4FF80A59" w14:textId="77777777" w:rsidR="00B00B43" w:rsidRPr="00B00B43" w:rsidRDefault="00B00B43" w:rsidP="00B00B43">
      <w:pPr>
        <w:autoSpaceDE w:val="0"/>
        <w:autoSpaceDN w:val="0"/>
        <w:adjustRightInd w:val="0"/>
        <w:spacing w:before="120"/>
        <w:jc w:val="both"/>
        <w:rPr>
          <w:rFonts w:ascii="Arial" w:hAnsi="Arial" w:cs="Arial"/>
        </w:rPr>
      </w:pPr>
      <w:r w:rsidRPr="00B00B43">
        <w:rPr>
          <w:rFonts w:ascii="Arial" w:hAnsi="Arial" w:cs="Arial"/>
        </w:rPr>
        <w:t>Substantively, the study concludes that the implementation of housing SPM in Pohuwato Regency is moving toward a more integrated and equitable governance practice, marked by growing inter-agency alignment and improved targeting of assistance for poor households and disaster-affected families with severe structural damage. However, without strengthened local regulations, medium-term financing strategies, and investment in technical capacity and data systems, the region’s ability to fulfill the right to adequate housing as mandated by the MSS will remain constrained and vulnerable to fiscal and disaster-related shocks.</w:t>
      </w:r>
    </w:p>
    <w:p w14:paraId="79B1CFD8" w14:textId="77777777" w:rsidR="00B00B43" w:rsidRDefault="00B00B43" w:rsidP="00B00B43">
      <w:pPr>
        <w:autoSpaceDE w:val="0"/>
        <w:autoSpaceDN w:val="0"/>
        <w:adjustRightInd w:val="0"/>
        <w:rPr>
          <w:rFonts w:ascii="AppleSystemUIFont" w:hAnsi="AppleSystemUIFont" w:cs="AppleSystemUIFont"/>
          <w:sz w:val="26"/>
          <w:szCs w:val="26"/>
        </w:rPr>
      </w:pPr>
    </w:p>
    <w:p w14:paraId="357F97AB" w14:textId="77777777" w:rsidR="00B00B43" w:rsidRDefault="00B00B43" w:rsidP="00B00B43">
      <w:pPr>
        <w:autoSpaceDE w:val="0"/>
        <w:autoSpaceDN w:val="0"/>
        <w:adjustRightInd w:val="0"/>
        <w:rPr>
          <w:rFonts w:ascii="AppleSystemUIFont" w:hAnsi="AppleSystemUIFont" w:cs="AppleSystemUIFont"/>
          <w:sz w:val="26"/>
          <w:szCs w:val="26"/>
        </w:rPr>
      </w:pPr>
    </w:p>
    <w:p w14:paraId="66A566D6" w14:textId="77777777" w:rsidR="00B00B43" w:rsidRDefault="00B00B43" w:rsidP="000B0FB1">
      <w:pPr>
        <w:spacing w:after="240"/>
      </w:pPr>
    </w:p>
    <w:p w14:paraId="30FAFD4B" w14:textId="77777777" w:rsidR="00C535DD" w:rsidRPr="00740879" w:rsidRDefault="00C535DD" w:rsidP="00314AA2">
      <w:pPr>
        <w:jc w:val="center"/>
        <w:rPr>
          <w:highlight w:val="yellow"/>
        </w:rPr>
      </w:pPr>
      <w:r w:rsidRPr="00740879">
        <w:rPr>
          <w:highlight w:val="yellow"/>
        </w:rPr>
        <w:t>Disclaimer (Artificial intelligence)</w:t>
      </w:r>
    </w:p>
    <w:p w14:paraId="27D3EF3A" w14:textId="369B49C7" w:rsidR="00C535DD" w:rsidRPr="00740879" w:rsidRDefault="00C535DD" w:rsidP="00314AA2">
      <w:pPr>
        <w:jc w:val="center"/>
        <w:rPr>
          <w:highlight w:val="yellow"/>
        </w:rPr>
      </w:pPr>
      <w:r w:rsidRPr="00740879">
        <w:rPr>
          <w:highlight w:val="yellow"/>
        </w:rPr>
        <w:t>Option 1:</w:t>
      </w:r>
    </w:p>
    <w:p w14:paraId="088D5AC4" w14:textId="7E6A3540" w:rsidR="00C535DD" w:rsidRPr="00740879" w:rsidRDefault="00C535DD" w:rsidP="00314AA2">
      <w:pPr>
        <w:jc w:val="both"/>
        <w:rPr>
          <w:highlight w:val="yellow"/>
        </w:rPr>
      </w:pPr>
      <w:r w:rsidRPr="00740879">
        <w:rPr>
          <w:highlight w:val="yellow"/>
        </w:rPr>
        <w:t>Author(s) hereby declare that NO generative AI technologies such as Large Language Models (ChatGPT, COPILOT, etc.) and text-to-image generators have been used during the writing or editing of this manuscript.</w:t>
      </w:r>
    </w:p>
    <w:p w14:paraId="051B98DF" w14:textId="77777777" w:rsidR="00C535DD" w:rsidRPr="000B0FB1" w:rsidRDefault="00C535DD" w:rsidP="000B0FB1">
      <w:pPr>
        <w:spacing w:after="240"/>
      </w:pPr>
    </w:p>
    <w:p w14:paraId="1E87FA68" w14:textId="77777777" w:rsidR="00B01FCD" w:rsidRDefault="00B01FCD" w:rsidP="007B0972">
      <w:pPr>
        <w:pStyle w:val="ReferHead"/>
        <w:spacing w:after="0"/>
        <w:rPr>
          <w:rFonts w:ascii="Arial" w:hAnsi="Arial" w:cs="Arial"/>
        </w:rPr>
      </w:pPr>
      <w:r w:rsidRPr="00FB3A86">
        <w:rPr>
          <w:rFonts w:ascii="Arial" w:hAnsi="Arial" w:cs="Arial"/>
        </w:rPr>
        <w:t>References</w:t>
      </w:r>
    </w:p>
    <w:p w14:paraId="0AE783E8" w14:textId="7CCE3B3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Adam, E. S., Tahir, A., Abdussamad, Z., Hamim, U., &amp; Aneta, Y. (2025). The minimum service standards and social service challenges: A case study in Gorontalo Province. International Journal of Economic Literature, 3(2), 615–624. </w:t>
      </w:r>
      <w:hyperlink r:id="rId14" w:history="1">
        <w:r w:rsidRPr="00314AA2">
          <w:rPr>
            <w:rStyle w:val="Hyperlink"/>
            <w:rFonts w:ascii="Arial" w:hAnsi="Arial" w:cs="Arial"/>
            <w:sz w:val="20"/>
            <w:szCs w:val="20"/>
          </w:rPr>
          <w:t>https://injole.joln.org/index.php/ijle</w:t>
        </w:r>
      </w:hyperlink>
    </w:p>
    <w:p w14:paraId="5982A4BF" w14:textId="04C98708"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Allain-Dupré, D. (2020). The multi-level governance imperative: Strengthening the capacity of subnational governments. The British Journal of Politics and International Relations, 22(4), 800–808. </w:t>
      </w:r>
      <w:hyperlink r:id="rId15" w:history="1">
        <w:r w:rsidRPr="00314AA2">
          <w:rPr>
            <w:rStyle w:val="Hyperlink"/>
            <w:rFonts w:ascii="Arial" w:hAnsi="Arial" w:cs="Arial"/>
            <w:sz w:val="20"/>
            <w:szCs w:val="20"/>
          </w:rPr>
          <w:t>https://doi.org/10.1177/1369148120918953</w:t>
        </w:r>
      </w:hyperlink>
    </w:p>
    <w:p w14:paraId="3F031DC1" w14:textId="54C9712F"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California Governor's Office of Emergency Services. (2024). Post-disaster long-term recovery plan guide: Guidance document for the Cal OES Long-Term Recovery Plan Template. California Governor's Office of Emergency Services. </w:t>
      </w:r>
      <w:hyperlink r:id="rId16" w:history="1">
        <w:r w:rsidRPr="00314AA2">
          <w:rPr>
            <w:rStyle w:val="Hyperlink"/>
            <w:rFonts w:ascii="Arial" w:hAnsi="Arial" w:cs="Arial"/>
            <w:sz w:val="20"/>
            <w:szCs w:val="20"/>
          </w:rPr>
          <w:t>https://caloes.ca.gov/wp-content/uploads/Recovery/Long-Term-Recovery-Plan-Guide.pdf</w:t>
        </w:r>
      </w:hyperlink>
    </w:p>
    <w:p w14:paraId="7FDEF6BE" w14:textId="1CB36E0C"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Dick-Sagoe, C. (2020). Decentralisation for improving the provision of public services in developing countries: A critical review. Cogent Economics &amp; Finance, 8(1), 1804036. </w:t>
      </w:r>
      <w:hyperlink r:id="rId17" w:history="1">
        <w:r w:rsidRPr="00314AA2">
          <w:rPr>
            <w:rStyle w:val="Hyperlink"/>
            <w:rFonts w:ascii="Arial" w:hAnsi="Arial" w:cs="Arial"/>
            <w:sz w:val="20"/>
            <w:szCs w:val="20"/>
          </w:rPr>
          <w:t>https://doi.org/10.1080/23322039.2020.1804036</w:t>
        </w:r>
      </w:hyperlink>
    </w:p>
    <w:p w14:paraId="7939618B" w14:textId="43881B1E"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Domorenok, E., Graziano, P., &amp; Polverari, L. (2021). Introduction: Policy integration and institutional capacity: Theoretical, conceptual and empirical challenges. Policy and Society, 40(1), 1–18. </w:t>
      </w:r>
      <w:hyperlink r:id="rId18" w:history="1">
        <w:r w:rsidRPr="00314AA2">
          <w:rPr>
            <w:rStyle w:val="Hyperlink"/>
            <w:rFonts w:ascii="Arial" w:hAnsi="Arial" w:cs="Arial"/>
            <w:sz w:val="20"/>
            <w:szCs w:val="20"/>
          </w:rPr>
          <w:t>https://doi.org/10.1080/14494035.2021.1902058</w:t>
        </w:r>
      </w:hyperlink>
    </w:p>
    <w:p w14:paraId="53E4C1DC" w14:textId="47A18662" w:rsidR="00314AA2" w:rsidRPr="00314AA2" w:rsidRDefault="00314AA2" w:rsidP="00314AA2">
      <w:pPr>
        <w:pStyle w:val="NormalWeb"/>
        <w:numPr>
          <w:ilvl w:val="0"/>
          <w:numId w:val="31"/>
        </w:numPr>
        <w:jc w:val="both"/>
        <w:rPr>
          <w:rFonts w:ascii="Arial" w:hAnsi="Arial" w:cs="Arial"/>
          <w:sz w:val="20"/>
          <w:szCs w:val="20"/>
        </w:rPr>
      </w:pPr>
      <w:r w:rsidRPr="00314AA2">
        <w:rPr>
          <w:rFonts w:ascii="Arial" w:hAnsi="Arial" w:cs="Arial"/>
          <w:sz w:val="20"/>
          <w:szCs w:val="20"/>
        </w:rPr>
        <w:t>Drake, C., Batchelder, H., Lian, T., Cannady, M., Weinberger, M., Eisenson, H., Esmaili, E., Lewinski, A., Zullig, L. L., Haley, A., Edelman, D., &amp; Shea, C. M. (2021). Implementation of social needs screening in primary care: a qualitative study using the health equity implementation framework. </w:t>
      </w:r>
      <w:r w:rsidRPr="00314AA2">
        <w:rPr>
          <w:rFonts w:ascii="Arial" w:hAnsi="Arial" w:cs="Arial"/>
          <w:i/>
          <w:iCs/>
          <w:sz w:val="20"/>
          <w:szCs w:val="20"/>
        </w:rPr>
        <w:t>BMC Health Services Research</w:t>
      </w:r>
      <w:r w:rsidRPr="00314AA2">
        <w:rPr>
          <w:rFonts w:ascii="Arial" w:hAnsi="Arial" w:cs="Arial"/>
          <w:sz w:val="20"/>
          <w:szCs w:val="20"/>
        </w:rPr>
        <w:t>, </w:t>
      </w:r>
      <w:r w:rsidRPr="00314AA2">
        <w:rPr>
          <w:rFonts w:ascii="Arial" w:hAnsi="Arial" w:cs="Arial"/>
          <w:i/>
          <w:iCs/>
          <w:sz w:val="20"/>
          <w:szCs w:val="20"/>
        </w:rPr>
        <w:t>21</w:t>
      </w:r>
      <w:r w:rsidRPr="00314AA2">
        <w:rPr>
          <w:rFonts w:ascii="Arial" w:hAnsi="Arial" w:cs="Arial"/>
          <w:sz w:val="20"/>
          <w:szCs w:val="20"/>
        </w:rPr>
        <w:t xml:space="preserve">(1). </w:t>
      </w:r>
      <w:hyperlink r:id="rId19" w:history="1">
        <w:r w:rsidRPr="00314AA2">
          <w:rPr>
            <w:rStyle w:val="Hyperlink"/>
            <w:rFonts w:ascii="Arial" w:hAnsi="Arial" w:cs="Arial"/>
            <w:sz w:val="20"/>
            <w:szCs w:val="20"/>
          </w:rPr>
          <w:t>https://doi.org/10.1186/s12913-021-06991-3</w:t>
        </w:r>
      </w:hyperlink>
      <w:r w:rsidRPr="00314AA2">
        <w:rPr>
          <w:rFonts w:ascii="Arial" w:hAnsi="Arial" w:cs="Arial"/>
          <w:sz w:val="20"/>
          <w:szCs w:val="20"/>
        </w:rPr>
        <w:t>.</w:t>
      </w:r>
    </w:p>
    <w:p w14:paraId="3290F58C" w14:textId="4EEDA01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FEMA. (2020). National Disaster Recovery Framework (Second Edition). U.S. Department of Homeland Security. </w:t>
      </w:r>
      <w:hyperlink r:id="rId20" w:history="1">
        <w:r w:rsidRPr="00314AA2">
          <w:rPr>
            <w:rStyle w:val="Hyperlink"/>
            <w:rFonts w:ascii="Arial" w:hAnsi="Arial" w:cs="Arial"/>
            <w:sz w:val="20"/>
            <w:szCs w:val="20"/>
          </w:rPr>
          <w:t>https://www.fema.gov/sites/default/files/2020-06/national_disaster_recovery_framework_2nd.pdf</w:t>
        </w:r>
      </w:hyperlink>
    </w:p>
    <w:p w14:paraId="56A963E8" w14:textId="12250FC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lastRenderedPageBreak/>
        <w:t xml:space="preserve">FEMA. (2025). Hazard Mitigation Assistance Program and Policy Guide (Version 2.1). U.S. Department of Homeland Security. </w:t>
      </w:r>
      <w:hyperlink r:id="rId21" w:history="1">
        <w:r w:rsidRPr="00314AA2">
          <w:rPr>
            <w:rStyle w:val="Hyperlink"/>
            <w:rFonts w:ascii="Arial" w:hAnsi="Arial" w:cs="Arial"/>
            <w:sz w:val="20"/>
            <w:szCs w:val="20"/>
          </w:rPr>
          <w:t>https://www.fema.gov/grants/guidance-tools/hazard-mitigation-assistance-program-policy-guide</w:t>
        </w:r>
      </w:hyperlink>
    </w:p>
    <w:p w14:paraId="2A962AE8" w14:textId="3B6617BC"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Herdiansyah, H. (2012). </w:t>
      </w:r>
      <w:r w:rsidRPr="00314AA2">
        <w:rPr>
          <w:rStyle w:val="Emphasis"/>
          <w:rFonts w:ascii="Arial" w:hAnsi="Arial" w:cs="Arial"/>
          <w:sz w:val="20"/>
          <w:szCs w:val="20"/>
        </w:rPr>
        <w:t>Qualitative research methodology for social sciences</w:t>
      </w:r>
      <w:r w:rsidRPr="00314AA2">
        <w:rPr>
          <w:rFonts w:ascii="Arial" w:hAnsi="Arial" w:cs="Arial"/>
          <w:sz w:val="20"/>
          <w:szCs w:val="20"/>
        </w:rPr>
        <w:t>. Jakarta: Salemba Humanika.</w:t>
      </w:r>
    </w:p>
    <w:p w14:paraId="6D8D897F" w14:textId="77777777"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Indriantoro, N., &amp; Supomo, B. (2002). Business research methodology for accounting and management. Yogyakarta: BPFE.</w:t>
      </w:r>
    </w:p>
    <w:p w14:paraId="0424AA97" w14:textId="0F8D7018"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International Federation of Red Cross and Red Crescent Societies. (2023). IFRC Disaster Law Annual Report 2023. IFRC. </w:t>
      </w:r>
      <w:hyperlink r:id="rId22" w:history="1">
        <w:r w:rsidRPr="00314AA2">
          <w:rPr>
            <w:rStyle w:val="Hyperlink"/>
            <w:rFonts w:ascii="Arial" w:hAnsi="Arial" w:cs="Arial"/>
            <w:sz w:val="20"/>
            <w:szCs w:val="20"/>
          </w:rPr>
          <w:t>https://www.ifrc.org/document/ifrc-disaster-law-annual-report-2023</w:t>
        </w:r>
      </w:hyperlink>
    </w:p>
    <w:p w14:paraId="21F82D8A" w14:textId="7E964DED"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Indonesian Ministry of Home Affairs. (2021). Peraturan Menteri Dalam Negeri Republik Indonesia Nomor 59 Tahun 2021 tentang Penerapan Standar Pelayanan Minimal. </w:t>
      </w:r>
      <w:hyperlink r:id="rId23" w:history="1">
        <w:r w:rsidRPr="00314AA2">
          <w:rPr>
            <w:rStyle w:val="Hyperlink"/>
            <w:rFonts w:ascii="Arial" w:hAnsi="Arial" w:cs="Arial"/>
            <w:sz w:val="20"/>
            <w:szCs w:val="20"/>
          </w:rPr>
          <w:t>https://peraturan.bpk.go.id/Home/Details/186000/permendagri-no-59-tahun-2021</w:t>
        </w:r>
      </w:hyperlink>
    </w:p>
    <w:p w14:paraId="3C10C16D" w14:textId="2D0AE4A5" w:rsidR="00314AA2" w:rsidRPr="00314AA2" w:rsidRDefault="00314AA2" w:rsidP="00314AA2">
      <w:pPr>
        <w:pStyle w:val="NormalWeb"/>
        <w:numPr>
          <w:ilvl w:val="0"/>
          <w:numId w:val="31"/>
        </w:numPr>
        <w:jc w:val="both"/>
        <w:rPr>
          <w:rFonts w:ascii="Arial" w:hAnsi="Arial" w:cs="Arial"/>
          <w:sz w:val="20"/>
          <w:szCs w:val="20"/>
        </w:rPr>
      </w:pPr>
      <w:r w:rsidRPr="00314AA2">
        <w:rPr>
          <w:rFonts w:ascii="Arial" w:hAnsi="Arial" w:cs="Arial"/>
          <w:color w:val="5D6A81"/>
          <w:sz w:val="20"/>
          <w:szCs w:val="20"/>
          <w:shd w:val="clear" w:color="auto" w:fill="FFFFFF"/>
        </w:rPr>
        <w:t>Lönnroth, T., Krigsholm, P., Falkenbach, H., &amp; Oikarinen, E. (2024). Advancing understanding of the linkages between local land policy interventions and the responsiveness of housing supply: Intervention mechanisms in the Finnish context. </w:t>
      </w:r>
      <w:r w:rsidRPr="00314AA2">
        <w:rPr>
          <w:rFonts w:ascii="Arial" w:hAnsi="Arial" w:cs="Arial"/>
          <w:i/>
          <w:iCs/>
          <w:color w:val="5D6A81"/>
          <w:sz w:val="20"/>
          <w:szCs w:val="20"/>
          <w:shd w:val="clear" w:color="auto" w:fill="FFFFFF"/>
        </w:rPr>
        <w:t>Land Use Policy</w:t>
      </w:r>
      <w:r w:rsidRPr="00314AA2">
        <w:rPr>
          <w:rFonts w:ascii="Arial" w:hAnsi="Arial" w:cs="Arial"/>
          <w:color w:val="5D6A81"/>
          <w:sz w:val="20"/>
          <w:szCs w:val="20"/>
          <w:shd w:val="clear" w:color="auto" w:fill="FFFFFF"/>
        </w:rPr>
        <w:t>, </w:t>
      </w:r>
      <w:r w:rsidRPr="00314AA2">
        <w:rPr>
          <w:rFonts w:ascii="Arial" w:hAnsi="Arial" w:cs="Arial"/>
          <w:i/>
          <w:iCs/>
          <w:color w:val="5D6A81"/>
          <w:sz w:val="20"/>
          <w:szCs w:val="20"/>
          <w:shd w:val="clear" w:color="auto" w:fill="FFFFFF"/>
        </w:rPr>
        <w:t>141</w:t>
      </w:r>
      <w:r w:rsidRPr="00314AA2">
        <w:rPr>
          <w:rFonts w:ascii="Arial" w:hAnsi="Arial" w:cs="Arial"/>
          <w:color w:val="5D6A81"/>
          <w:sz w:val="20"/>
          <w:szCs w:val="20"/>
          <w:shd w:val="clear" w:color="auto" w:fill="FFFFFF"/>
        </w:rPr>
        <w:t xml:space="preserve">, 107157. </w:t>
      </w:r>
      <w:hyperlink r:id="rId24" w:history="1">
        <w:r w:rsidRPr="00314AA2">
          <w:rPr>
            <w:rStyle w:val="Hyperlink"/>
            <w:rFonts w:ascii="Arial" w:hAnsi="Arial" w:cs="Arial"/>
            <w:sz w:val="20"/>
            <w:szCs w:val="20"/>
            <w:shd w:val="clear" w:color="auto" w:fill="FFFFFF"/>
          </w:rPr>
          <w:t>https://doi.org/10.1016/j.landusepol.2024.107157</w:t>
        </w:r>
      </w:hyperlink>
      <w:r w:rsidRPr="00314AA2">
        <w:rPr>
          <w:rFonts w:ascii="Arial" w:hAnsi="Arial" w:cs="Arial"/>
          <w:color w:val="5D6A81"/>
          <w:sz w:val="20"/>
          <w:szCs w:val="20"/>
          <w:shd w:val="clear" w:color="auto" w:fill="FFFFFF"/>
        </w:rPr>
        <w:t>.</w:t>
      </w:r>
    </w:p>
    <w:p w14:paraId="7D6E076D" w14:textId="3245B4B0"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Ministry of Public Works and Housing of the Republic of Indonesia. (2023). Peraturan Menteri Pekerjaan Umum dan Perumahan Rakyat Nomor 13 Tahun 2023 tentang Standar Teknis Standar Pelayanan Minimal Bidang Pekerjaan Umum dan Bidang Perumahan Rakyat. </w:t>
      </w:r>
      <w:hyperlink r:id="rId25" w:history="1">
        <w:r w:rsidRPr="00314AA2">
          <w:rPr>
            <w:rStyle w:val="Hyperlink"/>
            <w:rFonts w:ascii="Arial" w:hAnsi="Arial" w:cs="Arial"/>
            <w:sz w:val="20"/>
            <w:szCs w:val="20"/>
          </w:rPr>
          <w:t>https://jdih.pu.go.id/detail-dokumen/15764/1</w:t>
        </w:r>
      </w:hyperlink>
    </w:p>
    <w:p w14:paraId="7A0AA253" w14:textId="244BA0A8"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Lincoln, Y. S., &amp; Guba, E. G. (1985). Naturalistic inquiry. Newbury Park, CA: Sage. </w:t>
      </w:r>
      <w:hyperlink r:id="rId26" w:history="1">
        <w:r w:rsidRPr="00314AA2">
          <w:rPr>
            <w:rStyle w:val="Hyperlink"/>
            <w:rFonts w:ascii="Arial" w:hAnsi="Arial" w:cs="Arial"/>
            <w:sz w:val="20"/>
            <w:szCs w:val="20"/>
          </w:rPr>
          <w:t>https://us.sagepub.com/en-us/nam/naturalistic-inquiry/book902</w:t>
        </w:r>
      </w:hyperlink>
    </w:p>
    <w:p w14:paraId="0A8B90AE" w14:textId="03C4AFD0"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Mansuri, G., &amp; Rao, V. (2013). Localizing development: Does participation work? World Bank. </w:t>
      </w:r>
      <w:hyperlink r:id="rId27" w:history="1">
        <w:r w:rsidRPr="00314AA2">
          <w:rPr>
            <w:rStyle w:val="Hyperlink"/>
            <w:rFonts w:ascii="Arial" w:hAnsi="Arial" w:cs="Arial"/>
            <w:sz w:val="20"/>
            <w:szCs w:val="20"/>
          </w:rPr>
          <w:t>https://doi.org/10.1596/978-0-8213-8256-1</w:t>
        </w:r>
      </w:hyperlink>
    </w:p>
    <w:p w14:paraId="0509B108" w14:textId="52D15C3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McClelland, A. G., Shaw, D., O'Grady, N., &amp; Fattoum, A. (2022). Recovery for Development: A Multi-Dimensional, Practice-Oriented Framework for Transformative Change Post-Disaster. The Journal of Development Studies </w:t>
      </w:r>
      <w:hyperlink r:id="rId28" w:history="1">
        <w:r w:rsidRPr="00314AA2">
          <w:rPr>
            <w:rStyle w:val="Hyperlink"/>
            <w:rFonts w:ascii="Arial" w:hAnsi="Arial" w:cs="Arial"/>
            <w:sz w:val="20"/>
            <w:szCs w:val="20"/>
          </w:rPr>
          <w:t>https://doi.org/10.1080/00220388.2022.2130055</w:t>
        </w:r>
      </w:hyperlink>
    </w:p>
    <w:p w14:paraId="642F2C36" w14:textId="2AEC1503"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Miles, M. B., Huberman, A. M., &amp; Saldaña, J. (2014). Qualitative data analysis: A methods sourcebook (3rd ed.). Thousand Oaks, CA: Sage. </w:t>
      </w:r>
      <w:hyperlink r:id="rId29" w:history="1">
        <w:r w:rsidRPr="00314AA2">
          <w:rPr>
            <w:rStyle w:val="Hyperlink"/>
            <w:rFonts w:ascii="Arial" w:hAnsi="Arial" w:cs="Arial"/>
            <w:sz w:val="20"/>
            <w:szCs w:val="20"/>
          </w:rPr>
          <w:t>https://study.sagepub.com/milesandsaldana3e</w:t>
        </w:r>
      </w:hyperlink>
    </w:p>
    <w:p w14:paraId="51A89197" w14:textId="64CB3EA5"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Nawawi, H. (1990). </w:t>
      </w:r>
      <w:r w:rsidRPr="00314AA2">
        <w:rPr>
          <w:rStyle w:val="Emphasis"/>
          <w:rFonts w:ascii="Arial" w:hAnsi="Arial" w:cs="Arial"/>
          <w:sz w:val="20"/>
          <w:szCs w:val="20"/>
        </w:rPr>
        <w:t>Research methods in the field of social sciences</w:t>
      </w:r>
      <w:r w:rsidRPr="00314AA2">
        <w:rPr>
          <w:rFonts w:ascii="Arial" w:hAnsi="Arial" w:cs="Arial"/>
          <w:sz w:val="20"/>
          <w:szCs w:val="20"/>
        </w:rPr>
        <w:t>. Yogyakarta: Gadjah Mada University Press.</w:t>
      </w:r>
    </w:p>
    <w:p w14:paraId="16737C2C" w14:textId="0779AE27"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Nekwek, L. (2022). Implementasi kebijakan pengembangan kompetensi sumber daya aparatur sipil negara di Kabupaten Yalimo Provinsi Papua. Jurnal Adhikari, 1(3), 141–151. </w:t>
      </w:r>
      <w:hyperlink r:id="rId30" w:history="1">
        <w:r w:rsidRPr="00314AA2">
          <w:rPr>
            <w:rStyle w:val="Hyperlink"/>
            <w:rFonts w:ascii="Arial" w:hAnsi="Arial" w:cs="Arial"/>
            <w:sz w:val="20"/>
            <w:szCs w:val="20"/>
          </w:rPr>
          <w:t>https://doi.org/10.53968/ja.v1i3.40</w:t>
        </w:r>
      </w:hyperlink>
    </w:p>
    <w:p w14:paraId="66ABA057" w14:textId="612CB79D"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Okunola, O. H., &amp; Werners, S. E. (2024). A multi-dimensional framework for assessing disaster recovery pathways: Lessons and experiences from Germany and Nigeria. International Journal of Disaster Risk Reduction, 112, 104777. </w:t>
      </w:r>
      <w:hyperlink r:id="rId31" w:history="1">
        <w:r w:rsidRPr="00314AA2">
          <w:rPr>
            <w:rStyle w:val="Hyperlink"/>
            <w:rFonts w:ascii="Arial" w:hAnsi="Arial" w:cs="Arial"/>
            <w:sz w:val="20"/>
            <w:szCs w:val="20"/>
          </w:rPr>
          <w:t>https://doi.org/10.1016/j.ijdrr.2024.104777</w:t>
        </w:r>
      </w:hyperlink>
    </w:p>
    <w:p w14:paraId="748FC1C5" w14:textId="183259ED"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Purhantara, W. (2010). Metode Penelitian Kualitatif untuk Bisnis. Graha Ilmu. </w:t>
      </w:r>
      <w:hyperlink r:id="rId32" w:history="1">
        <w:r w:rsidRPr="00314AA2">
          <w:rPr>
            <w:rStyle w:val="Hyperlink"/>
            <w:rFonts w:ascii="Arial" w:hAnsi="Arial" w:cs="Arial"/>
            <w:sz w:val="20"/>
            <w:szCs w:val="20"/>
          </w:rPr>
          <w:t>https://openlibrary.telkomuniversity.ac.id/pustaka/10000/metode-penelitian-kualitatif-untuk-bisnis.html</w:t>
        </w:r>
      </w:hyperlink>
    </w:p>
    <w:p w14:paraId="5DF2FC45" w14:textId="1A6D778B"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SKALA. (2024). </w:t>
      </w:r>
      <w:r w:rsidRPr="00314AA2">
        <w:rPr>
          <w:rStyle w:val="Emphasis"/>
          <w:rFonts w:ascii="Arial" w:hAnsi="Arial" w:cs="Arial"/>
          <w:sz w:val="20"/>
          <w:szCs w:val="20"/>
        </w:rPr>
        <w:t>Fulfilling minimum service standards for high-quality basic services in Indonesia</w:t>
      </w:r>
      <w:r w:rsidRPr="00314AA2">
        <w:rPr>
          <w:rFonts w:ascii="Arial" w:hAnsi="Arial" w:cs="Arial"/>
          <w:sz w:val="20"/>
          <w:szCs w:val="20"/>
        </w:rPr>
        <w:t>. Australia–Indonesia Partnership for Subnational Governance.</w:t>
      </w:r>
    </w:p>
    <w:p w14:paraId="4DC4C7EB" w14:textId="77777777"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Sugiyono. (2010). </w:t>
      </w:r>
      <w:r w:rsidRPr="00314AA2">
        <w:rPr>
          <w:rStyle w:val="Emphasis"/>
          <w:rFonts w:ascii="Arial" w:hAnsi="Arial" w:cs="Arial"/>
          <w:sz w:val="20"/>
          <w:szCs w:val="20"/>
        </w:rPr>
        <w:t>Quantitative, qualitative, and R&amp;D research methods</w:t>
      </w:r>
      <w:r w:rsidRPr="00314AA2">
        <w:rPr>
          <w:rFonts w:ascii="Arial" w:hAnsi="Arial" w:cs="Arial"/>
          <w:sz w:val="20"/>
          <w:szCs w:val="20"/>
        </w:rPr>
        <w:t>. Bandung: Alfabeta.</w:t>
      </w:r>
    </w:p>
    <w:p w14:paraId="11366EF2" w14:textId="77777777"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UN-Habitat. (2019). </w:t>
      </w:r>
      <w:r w:rsidRPr="00314AA2">
        <w:rPr>
          <w:rStyle w:val="Emphasis"/>
          <w:rFonts w:ascii="Arial" w:hAnsi="Arial" w:cs="Arial"/>
          <w:sz w:val="20"/>
          <w:szCs w:val="20"/>
        </w:rPr>
        <w:t>Supporting safer housing reconstruction after disasters: Planning and implementing technical assistance at large scale</w:t>
      </w:r>
      <w:r w:rsidRPr="00314AA2">
        <w:rPr>
          <w:rFonts w:ascii="Arial" w:hAnsi="Arial" w:cs="Arial"/>
          <w:sz w:val="20"/>
          <w:szCs w:val="20"/>
        </w:rPr>
        <w:t>. UN-Habitat/AXA.</w:t>
      </w:r>
    </w:p>
    <w:p w14:paraId="7CE334D9" w14:textId="4E30D9D6" w:rsidR="00193915" w:rsidRPr="00314AA2" w:rsidRDefault="00193915" w:rsidP="00314AA2">
      <w:pPr>
        <w:pStyle w:val="NormalWeb"/>
        <w:numPr>
          <w:ilvl w:val="0"/>
          <w:numId w:val="31"/>
        </w:numPr>
        <w:jc w:val="both"/>
        <w:rPr>
          <w:rFonts w:ascii="Arial" w:hAnsi="Arial" w:cs="Arial"/>
          <w:sz w:val="20"/>
          <w:szCs w:val="20"/>
        </w:rPr>
      </w:pPr>
      <w:r w:rsidRPr="00314AA2">
        <w:rPr>
          <w:rFonts w:ascii="Arial" w:hAnsi="Arial" w:cs="Arial"/>
          <w:sz w:val="20"/>
          <w:szCs w:val="20"/>
        </w:rPr>
        <w:lastRenderedPageBreak/>
        <w:t xml:space="preserve">United States Environmental Protection Agency. (2024). Fiscal year 2025 justification of appropriation estimates for the committee on appropriations (EPA-190R24002). U.S. Environmental Protection Agency. </w:t>
      </w:r>
      <w:hyperlink r:id="rId33" w:history="1">
        <w:r w:rsidRPr="00314AA2">
          <w:rPr>
            <w:rStyle w:val="Hyperlink"/>
            <w:rFonts w:ascii="Arial" w:hAnsi="Arial" w:cs="Arial"/>
            <w:sz w:val="20"/>
            <w:szCs w:val="20"/>
          </w:rPr>
          <w:t>https://www.epa.gov/sites/default/files/2024-03/EPA-FY25-CJ-Full-Document.pdf</w:t>
        </w:r>
      </w:hyperlink>
    </w:p>
    <w:p w14:paraId="0CB4699F" w14:textId="178EEBE0" w:rsidR="00193915" w:rsidRPr="00314AA2" w:rsidRDefault="00193915"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Vince, J., Fudge, M., Fullbrook, L., &amp; Haward, M. (2024). Understanding policy integration through an integrative capacity framework. Policy and Society, 43(3), 381–395. </w:t>
      </w:r>
      <w:hyperlink r:id="rId34" w:history="1">
        <w:r w:rsidRPr="00314AA2">
          <w:rPr>
            <w:rStyle w:val="Hyperlink"/>
            <w:rFonts w:ascii="Arial" w:hAnsi="Arial" w:cs="Arial"/>
            <w:sz w:val="20"/>
            <w:szCs w:val="20"/>
          </w:rPr>
          <w:t>https://doi.org/10.1093/polsoc/puae027</w:t>
        </w:r>
      </w:hyperlink>
    </w:p>
    <w:p w14:paraId="11B711E5" w14:textId="24C2D6AB" w:rsidR="00193915" w:rsidRDefault="00193915" w:rsidP="00314AA2">
      <w:pPr>
        <w:pStyle w:val="Appendix"/>
        <w:numPr>
          <w:ilvl w:val="0"/>
          <w:numId w:val="31"/>
        </w:numPr>
        <w:spacing w:after="0"/>
        <w:jc w:val="both"/>
        <w:rPr>
          <w:rFonts w:ascii="Arial" w:hAnsi="Arial" w:cs="Arial"/>
          <w:b w:val="0"/>
          <w:caps w:val="0"/>
          <w:sz w:val="20"/>
        </w:rPr>
      </w:pPr>
      <w:r w:rsidRPr="00314AA2">
        <w:rPr>
          <w:rFonts w:ascii="Arial" w:hAnsi="Arial" w:cs="Arial"/>
          <w:b w:val="0"/>
          <w:caps w:val="0"/>
          <w:sz w:val="20"/>
        </w:rPr>
        <w:t xml:space="preserve">Williams, M. J. (2021). Beyond state capacity: Bureaucratic performance, policy implementation and reform. Journal of Institutional Economics, 17(2), 339–357. </w:t>
      </w:r>
      <w:hyperlink r:id="rId35" w:history="1">
        <w:r w:rsidR="00C30D51" w:rsidRPr="00946ACC">
          <w:rPr>
            <w:rStyle w:val="Hyperlink"/>
            <w:rFonts w:ascii="Arial" w:hAnsi="Arial" w:cs="Arial"/>
            <w:b w:val="0"/>
            <w:caps w:val="0"/>
            <w:sz w:val="20"/>
          </w:rPr>
          <w:t>https://doi.org/10.1017/S1744137420000478</w:t>
        </w:r>
      </w:hyperlink>
      <w:r w:rsidR="00C30D51">
        <w:rPr>
          <w:rFonts w:ascii="Arial" w:hAnsi="Arial" w:cs="Arial"/>
          <w:b w:val="0"/>
          <w:caps w:val="0"/>
          <w:sz w:val="20"/>
        </w:rPr>
        <w:t>.</w:t>
      </w:r>
    </w:p>
    <w:p w14:paraId="6B4AF22C" w14:textId="77777777" w:rsidR="00C30D51" w:rsidRDefault="00C30D51" w:rsidP="00C30D51">
      <w:pPr>
        <w:pStyle w:val="Appendix"/>
        <w:spacing w:after="0"/>
        <w:ind w:left="720"/>
        <w:jc w:val="both"/>
        <w:rPr>
          <w:rFonts w:ascii="Arial" w:hAnsi="Arial" w:cs="Arial"/>
          <w:b w:val="0"/>
          <w:caps w:val="0"/>
          <w:sz w:val="20"/>
        </w:rPr>
      </w:pPr>
    </w:p>
    <w:p w14:paraId="3801DD6D" w14:textId="77777777" w:rsidR="00C30D51" w:rsidRDefault="00C30D51" w:rsidP="00C30D51">
      <w:pPr>
        <w:pStyle w:val="Appendix"/>
        <w:spacing w:after="0"/>
        <w:jc w:val="both"/>
        <w:rPr>
          <w:rFonts w:ascii="Arial" w:hAnsi="Arial" w:cs="Arial"/>
          <w:b w:val="0"/>
          <w:caps w:val="0"/>
          <w:sz w:val="20"/>
        </w:rPr>
      </w:pPr>
    </w:p>
    <w:p w14:paraId="37A482E7" w14:textId="17B3C6A4" w:rsidR="00C30D51" w:rsidRPr="00C30D51" w:rsidRDefault="00C30D51" w:rsidP="00C30D51">
      <w:pPr>
        <w:pStyle w:val="Appendix"/>
        <w:spacing w:after="0"/>
        <w:jc w:val="both"/>
        <w:rPr>
          <w:rFonts w:ascii="Arial" w:hAnsi="Arial" w:cs="Arial"/>
          <w:b w:val="0"/>
          <w:caps w:val="0"/>
          <w:sz w:val="20"/>
        </w:rPr>
        <w:sectPr w:rsidR="00C30D51" w:rsidRPr="00C30D51" w:rsidSect="00FF05A4">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3D3EBB80" w14:textId="77777777" w:rsidR="00B01FCD" w:rsidRPr="00314AA2" w:rsidRDefault="00B01FCD" w:rsidP="00314AA2">
      <w:pPr>
        <w:pStyle w:val="Appendix"/>
        <w:spacing w:after="0"/>
        <w:jc w:val="both"/>
        <w:rPr>
          <w:rFonts w:ascii="Arial" w:hAnsi="Arial" w:cs="Arial"/>
          <w:b w:val="0"/>
          <w:sz w:val="20"/>
        </w:rPr>
      </w:pPr>
    </w:p>
    <w:sectPr w:rsidR="00B01FCD" w:rsidRPr="00314AA2" w:rsidSect="00FF05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A2F9" w14:textId="77777777" w:rsidR="00B65DED" w:rsidRDefault="00B65DED" w:rsidP="00C37E61">
      <w:r>
        <w:separator/>
      </w:r>
    </w:p>
  </w:endnote>
  <w:endnote w:type="continuationSeparator" w:id="0">
    <w:p w14:paraId="2A867036" w14:textId="77777777" w:rsidR="00B65DED" w:rsidRDefault="00B65D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F9E1" w14:textId="77777777" w:rsidR="00FF05A4" w:rsidRDefault="00FF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EAC" w14:textId="77777777" w:rsidR="00FF05A4" w:rsidRDefault="00FF0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BDE8" w14:textId="77777777" w:rsidR="009E048A" w:rsidRDefault="009E048A">
    <w:pPr>
      <w:pStyle w:val="Footer"/>
      <w:rPr>
        <w:rFonts w:ascii="Arial" w:hAnsi="Arial" w:cs="Arial"/>
        <w:sz w:val="16"/>
      </w:rPr>
    </w:pPr>
  </w:p>
  <w:p w14:paraId="132E3C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D0346D" w14:textId="77777777" w:rsidR="009E048A" w:rsidRDefault="009E048A">
    <w:pPr>
      <w:pStyle w:val="Footer"/>
      <w:rPr>
        <w:rFonts w:ascii="Arial" w:hAnsi="Arial" w:cs="Arial"/>
        <w:sz w:val="16"/>
      </w:rPr>
    </w:pPr>
  </w:p>
  <w:p w14:paraId="217820D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49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6617" w14:textId="77777777" w:rsidR="00B65DED" w:rsidRDefault="00B65DED" w:rsidP="00C37E61">
      <w:r>
        <w:separator/>
      </w:r>
    </w:p>
  </w:footnote>
  <w:footnote w:type="continuationSeparator" w:id="0">
    <w:p w14:paraId="6B3FDF73" w14:textId="77777777" w:rsidR="00B65DED" w:rsidRDefault="00B65D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4A2C" w14:textId="12C584F1" w:rsidR="00FF05A4" w:rsidRDefault="00B65DED">
    <w:pPr>
      <w:pStyle w:val="Header"/>
    </w:pPr>
    <w:r>
      <w:rPr>
        <w:noProof/>
      </w:rPr>
      <w:pict w14:anchorId="1EFE7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1"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236D" w14:textId="66452209" w:rsidR="00FF05A4" w:rsidRDefault="00B65DED">
    <w:pPr>
      <w:pStyle w:val="Header"/>
    </w:pPr>
    <w:r>
      <w:rPr>
        <w:noProof/>
      </w:rPr>
      <w:pict w14:anchorId="2B441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2"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95C3" w14:textId="3EB2D4BF" w:rsidR="00296529" w:rsidRPr="00296529" w:rsidRDefault="00B65DED" w:rsidP="00296529">
    <w:pPr>
      <w:ind w:left="2160"/>
      <w:jc w:val="center"/>
      <w:rPr>
        <w:rFonts w:ascii="Times New Roman" w:eastAsia="Calibri" w:hAnsi="Times New Roman"/>
        <w:i/>
        <w:sz w:val="18"/>
        <w:szCs w:val="22"/>
      </w:rPr>
    </w:pPr>
    <w:r>
      <w:rPr>
        <w:noProof/>
      </w:rPr>
      <w:pict w14:anchorId="758B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0"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42241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4793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EB2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45B4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2B59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233D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21CF" w14:textId="041A5038" w:rsidR="00FF05A4" w:rsidRDefault="00B65DED">
    <w:pPr>
      <w:pStyle w:val="Header"/>
    </w:pPr>
    <w:r>
      <w:rPr>
        <w:noProof/>
      </w:rPr>
      <w:pict w14:anchorId="4D1F3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4"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6FC9" w14:textId="421C14A5" w:rsidR="00FF05A4" w:rsidRDefault="00B65DED">
    <w:pPr>
      <w:pStyle w:val="Header"/>
    </w:pPr>
    <w:r>
      <w:rPr>
        <w:noProof/>
      </w:rPr>
      <w:pict w14:anchorId="3A40F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5"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5F19" w14:textId="53C6647E" w:rsidR="00FF05A4" w:rsidRDefault="00B65DED">
    <w:pPr>
      <w:pStyle w:val="Header"/>
    </w:pPr>
    <w:r>
      <w:rPr>
        <w:noProof/>
      </w:rPr>
      <w:pict w14:anchorId="2BDE7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3"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501B68"/>
    <w:multiLevelType w:val="hybridMultilevel"/>
    <w:tmpl w:val="F2E8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107194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7431662">
    <w:abstractNumId w:val="15"/>
  </w:num>
  <w:num w:numId="3" w16cid:durableId="967322328">
    <w:abstractNumId w:val="24"/>
  </w:num>
  <w:num w:numId="4" w16cid:durableId="42153045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25247733">
    <w:abstractNumId w:val="7"/>
  </w:num>
  <w:num w:numId="6" w16cid:durableId="115568761">
    <w:abstractNumId w:val="6"/>
  </w:num>
  <w:num w:numId="7" w16cid:durableId="1368945086">
    <w:abstractNumId w:val="1"/>
  </w:num>
  <w:num w:numId="8" w16cid:durableId="1876502776">
    <w:abstractNumId w:val="12"/>
  </w:num>
  <w:num w:numId="9" w16cid:durableId="133328305">
    <w:abstractNumId w:val="26"/>
  </w:num>
  <w:num w:numId="10" w16cid:durableId="933321308">
    <w:abstractNumId w:val="2"/>
  </w:num>
  <w:num w:numId="11" w16cid:durableId="478115493">
    <w:abstractNumId w:val="19"/>
  </w:num>
  <w:num w:numId="12" w16cid:durableId="1911498233">
    <w:abstractNumId w:val="3"/>
  </w:num>
  <w:num w:numId="13" w16cid:durableId="701982263">
    <w:abstractNumId w:val="18"/>
  </w:num>
  <w:num w:numId="14" w16cid:durableId="13192185">
    <w:abstractNumId w:val="8"/>
  </w:num>
  <w:num w:numId="15" w16cid:durableId="891312744">
    <w:abstractNumId w:val="22"/>
  </w:num>
  <w:num w:numId="16" w16cid:durableId="1174610747">
    <w:abstractNumId w:val="5"/>
  </w:num>
  <w:num w:numId="17" w16cid:durableId="1590768745">
    <w:abstractNumId w:val="23"/>
  </w:num>
  <w:num w:numId="18" w16cid:durableId="1049568017">
    <w:abstractNumId w:val="14"/>
  </w:num>
  <w:num w:numId="19" w16cid:durableId="1266890629">
    <w:abstractNumId w:val="29"/>
  </w:num>
  <w:num w:numId="20" w16cid:durableId="1937203103">
    <w:abstractNumId w:val="11"/>
  </w:num>
  <w:num w:numId="21" w16cid:durableId="799223953">
    <w:abstractNumId w:val="9"/>
  </w:num>
  <w:num w:numId="22" w16cid:durableId="139812906">
    <w:abstractNumId w:val="13"/>
  </w:num>
  <w:num w:numId="23" w16cid:durableId="1362971982">
    <w:abstractNumId w:val="20"/>
  </w:num>
  <w:num w:numId="24" w16cid:durableId="787355656">
    <w:abstractNumId w:val="27"/>
  </w:num>
  <w:num w:numId="25" w16cid:durableId="1899172937">
    <w:abstractNumId w:val="4"/>
  </w:num>
  <w:num w:numId="26" w16cid:durableId="1342510546">
    <w:abstractNumId w:val="17"/>
  </w:num>
  <w:num w:numId="27" w16cid:durableId="318189865">
    <w:abstractNumId w:val="21"/>
  </w:num>
  <w:num w:numId="28" w16cid:durableId="1116480512">
    <w:abstractNumId w:val="28"/>
  </w:num>
  <w:num w:numId="29" w16cid:durableId="25762847">
    <w:abstractNumId w:val="25"/>
  </w:num>
  <w:num w:numId="30" w16cid:durableId="1359116902">
    <w:abstractNumId w:val="10"/>
  </w:num>
  <w:num w:numId="31" w16cid:durableId="1838954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ACE"/>
    <w:rsid w:val="00096A8A"/>
    <w:rsid w:val="000A47FA"/>
    <w:rsid w:val="000A65D3"/>
    <w:rsid w:val="000B0FB1"/>
    <w:rsid w:val="000B1E33"/>
    <w:rsid w:val="000D689F"/>
    <w:rsid w:val="000E7B7B"/>
    <w:rsid w:val="000E7D62"/>
    <w:rsid w:val="00103357"/>
    <w:rsid w:val="00123C9F"/>
    <w:rsid w:val="00126190"/>
    <w:rsid w:val="00130F17"/>
    <w:rsid w:val="001320BF"/>
    <w:rsid w:val="00163BC4"/>
    <w:rsid w:val="00191062"/>
    <w:rsid w:val="00192B72"/>
    <w:rsid w:val="00193915"/>
    <w:rsid w:val="001A29D8"/>
    <w:rsid w:val="001A5CAA"/>
    <w:rsid w:val="001B0427"/>
    <w:rsid w:val="001D3A51"/>
    <w:rsid w:val="001E10D2"/>
    <w:rsid w:val="001E25B4"/>
    <w:rsid w:val="001E44FE"/>
    <w:rsid w:val="001F566B"/>
    <w:rsid w:val="00200595"/>
    <w:rsid w:val="00204835"/>
    <w:rsid w:val="00231920"/>
    <w:rsid w:val="0023195C"/>
    <w:rsid w:val="0024282C"/>
    <w:rsid w:val="002460DC"/>
    <w:rsid w:val="00250985"/>
    <w:rsid w:val="002529C0"/>
    <w:rsid w:val="002556F6"/>
    <w:rsid w:val="00283105"/>
    <w:rsid w:val="00284C4C"/>
    <w:rsid w:val="00287E68"/>
    <w:rsid w:val="00296529"/>
    <w:rsid w:val="002B27FB"/>
    <w:rsid w:val="002B685A"/>
    <w:rsid w:val="002C57D2"/>
    <w:rsid w:val="002E0D56"/>
    <w:rsid w:val="002E7F5B"/>
    <w:rsid w:val="00314AA2"/>
    <w:rsid w:val="00315186"/>
    <w:rsid w:val="003232E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2BA"/>
    <w:rsid w:val="00471A80"/>
    <w:rsid w:val="004727B5"/>
    <w:rsid w:val="00487B69"/>
    <w:rsid w:val="004D0EF9"/>
    <w:rsid w:val="004D305E"/>
    <w:rsid w:val="004D4277"/>
    <w:rsid w:val="00502516"/>
    <w:rsid w:val="00505F06"/>
    <w:rsid w:val="00506828"/>
    <w:rsid w:val="0053056E"/>
    <w:rsid w:val="00552B86"/>
    <w:rsid w:val="00554FDA"/>
    <w:rsid w:val="005B4275"/>
    <w:rsid w:val="005C784C"/>
    <w:rsid w:val="005D17F6"/>
    <w:rsid w:val="005E5539"/>
    <w:rsid w:val="005F3E9D"/>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B49"/>
    <w:rsid w:val="006F11EC"/>
    <w:rsid w:val="0070082C"/>
    <w:rsid w:val="007369E6"/>
    <w:rsid w:val="00746E59"/>
    <w:rsid w:val="00754C9A"/>
    <w:rsid w:val="0075599A"/>
    <w:rsid w:val="00761D52"/>
    <w:rsid w:val="0077749E"/>
    <w:rsid w:val="00790ADA"/>
    <w:rsid w:val="007B0972"/>
    <w:rsid w:val="007D2288"/>
    <w:rsid w:val="007E088F"/>
    <w:rsid w:val="007F7B32"/>
    <w:rsid w:val="00804BC2"/>
    <w:rsid w:val="0081431A"/>
    <w:rsid w:val="008240AB"/>
    <w:rsid w:val="0083216F"/>
    <w:rsid w:val="00860000"/>
    <w:rsid w:val="00863BD3"/>
    <w:rsid w:val="008641ED"/>
    <w:rsid w:val="00866D66"/>
    <w:rsid w:val="008671C6"/>
    <w:rsid w:val="00875803"/>
    <w:rsid w:val="008B3BAF"/>
    <w:rsid w:val="008B459E"/>
    <w:rsid w:val="008E038B"/>
    <w:rsid w:val="008E13AE"/>
    <w:rsid w:val="008E1506"/>
    <w:rsid w:val="008E710C"/>
    <w:rsid w:val="008F21B4"/>
    <w:rsid w:val="008F69D6"/>
    <w:rsid w:val="00902823"/>
    <w:rsid w:val="00915CA6"/>
    <w:rsid w:val="00927834"/>
    <w:rsid w:val="0093578E"/>
    <w:rsid w:val="009500A6"/>
    <w:rsid w:val="00957C18"/>
    <w:rsid w:val="009659BA"/>
    <w:rsid w:val="00983040"/>
    <w:rsid w:val="009A6DB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829"/>
    <w:rsid w:val="00A94063"/>
    <w:rsid w:val="00AA6219"/>
    <w:rsid w:val="00AA74E0"/>
    <w:rsid w:val="00AB703F"/>
    <w:rsid w:val="00AC6973"/>
    <w:rsid w:val="00AC6BB8"/>
    <w:rsid w:val="00AE008F"/>
    <w:rsid w:val="00AE79E6"/>
    <w:rsid w:val="00B00B43"/>
    <w:rsid w:val="00B01FCD"/>
    <w:rsid w:val="00B1484D"/>
    <w:rsid w:val="00B1776C"/>
    <w:rsid w:val="00B52583"/>
    <w:rsid w:val="00B52896"/>
    <w:rsid w:val="00B65DED"/>
    <w:rsid w:val="00B95236"/>
    <w:rsid w:val="00B96BD9"/>
    <w:rsid w:val="00BA1B01"/>
    <w:rsid w:val="00BA2641"/>
    <w:rsid w:val="00BB37AA"/>
    <w:rsid w:val="00BC53A0"/>
    <w:rsid w:val="00BE62AD"/>
    <w:rsid w:val="00BF121F"/>
    <w:rsid w:val="00BF1F80"/>
    <w:rsid w:val="00C04FCB"/>
    <w:rsid w:val="00C166EF"/>
    <w:rsid w:val="00C17EB0"/>
    <w:rsid w:val="00C27F5F"/>
    <w:rsid w:val="00C30A0F"/>
    <w:rsid w:val="00C30D51"/>
    <w:rsid w:val="00C37E61"/>
    <w:rsid w:val="00C535DD"/>
    <w:rsid w:val="00C54300"/>
    <w:rsid w:val="00C70F1B"/>
    <w:rsid w:val="00C71A47"/>
    <w:rsid w:val="00C7464C"/>
    <w:rsid w:val="00C85588"/>
    <w:rsid w:val="00CD6755"/>
    <w:rsid w:val="00CD6856"/>
    <w:rsid w:val="00CE0089"/>
    <w:rsid w:val="00CE793C"/>
    <w:rsid w:val="00CE7D0E"/>
    <w:rsid w:val="00CF193C"/>
    <w:rsid w:val="00D173F1"/>
    <w:rsid w:val="00D22C5F"/>
    <w:rsid w:val="00D74CB0"/>
    <w:rsid w:val="00D8295D"/>
    <w:rsid w:val="00DB122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4B5"/>
    <w:rsid w:val="00EA5C51"/>
    <w:rsid w:val="00EC6859"/>
    <w:rsid w:val="00EC6A55"/>
    <w:rsid w:val="00ED0288"/>
    <w:rsid w:val="00EE52CB"/>
    <w:rsid w:val="00EF581D"/>
    <w:rsid w:val="00EF7FD8"/>
    <w:rsid w:val="00F06F59"/>
    <w:rsid w:val="00F17988"/>
    <w:rsid w:val="00F21D8A"/>
    <w:rsid w:val="00F469F0"/>
    <w:rsid w:val="00F53273"/>
    <w:rsid w:val="00F755E4"/>
    <w:rsid w:val="00F77D02"/>
    <w:rsid w:val="00FA0C61"/>
    <w:rsid w:val="00FB3A86"/>
    <w:rsid w:val="00FD36C8"/>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9D6CFA4"/>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B0F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A5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4494035.2021.1902058" TargetMode="External"/><Relationship Id="rId26" Type="http://schemas.openxmlformats.org/officeDocument/2006/relationships/hyperlink" Target="https://us.sagepub.com/en-us/nam/naturalistic-inquiry/book902" TargetMode="External"/><Relationship Id="rId39" Type="http://schemas.openxmlformats.org/officeDocument/2006/relationships/header" Target="header6.xml"/><Relationship Id="rId21" Type="http://schemas.openxmlformats.org/officeDocument/2006/relationships/hyperlink" Target="https://www.fema.gov/grants/guidance-tools/hazard-mitigation-assistance-program-policy-guide" TargetMode="External"/><Relationship Id="rId34" Type="http://schemas.openxmlformats.org/officeDocument/2006/relationships/hyperlink" Target="https://doi.org/10.1093/polsoc/puae02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loes.ca.gov/wp-content/uploads/Recovery/Long-Term-Recovery-Plan-Guide.pdf" TargetMode="External"/><Relationship Id="rId20" Type="http://schemas.openxmlformats.org/officeDocument/2006/relationships/hyperlink" Target="https://www.fema.gov/sites/default/files/2020-06/national_disaster_recovery_framework_2nd.pdf" TargetMode="External"/><Relationship Id="rId29" Type="http://schemas.openxmlformats.org/officeDocument/2006/relationships/hyperlink" Target="https://study.sagepub.com/milesandsaldana3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landusepol.2024.107157" TargetMode="External"/><Relationship Id="rId32" Type="http://schemas.openxmlformats.org/officeDocument/2006/relationships/hyperlink" Target="https://openlibrary.telkomuniversity.ac.id/pustaka/10000/metode-penelitian-kualitatif-untuk-bisnis.html"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369148120918953" TargetMode="External"/><Relationship Id="rId23" Type="http://schemas.openxmlformats.org/officeDocument/2006/relationships/hyperlink" Target="https://peraturan.bpk.go.id/Home/Details/186000/permendagri-no-59-tahun-2021" TargetMode="External"/><Relationship Id="rId28" Type="http://schemas.openxmlformats.org/officeDocument/2006/relationships/hyperlink" Target="https://doi.org/10.1080/00220388.2022.2130055"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186/s12913-021-06991-3" TargetMode="External"/><Relationship Id="rId31" Type="http://schemas.openxmlformats.org/officeDocument/2006/relationships/hyperlink" Target="https://doi.org/10.1016/j.ijdrr.2024.10477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jole.joln.org/index.php/ijle" TargetMode="External"/><Relationship Id="rId22" Type="http://schemas.openxmlformats.org/officeDocument/2006/relationships/hyperlink" Target="https://www.ifrc.org/document/ifrc-disaster-law-annual-report-2023" TargetMode="External"/><Relationship Id="rId27" Type="http://schemas.openxmlformats.org/officeDocument/2006/relationships/hyperlink" Target="https://doi.org/10.1596/978-0-8213-8256-1" TargetMode="External"/><Relationship Id="rId30" Type="http://schemas.openxmlformats.org/officeDocument/2006/relationships/hyperlink" Target="https://doi.org/10.53968/ja.v1i3.40" TargetMode="External"/><Relationship Id="rId35" Type="http://schemas.openxmlformats.org/officeDocument/2006/relationships/hyperlink" Target="https://doi.org/10.1017/S174413742000047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23322039.2020.1804036" TargetMode="External"/><Relationship Id="rId25" Type="http://schemas.openxmlformats.org/officeDocument/2006/relationships/hyperlink" Target="https://jdih.pu.go.id/detail-dokumen/15764/1" TargetMode="External"/><Relationship Id="rId33" Type="http://schemas.openxmlformats.org/officeDocument/2006/relationships/hyperlink" Target="https://www.epa.gov/sites/default/files/2024-03/EPA-FY25-CJ-Full-Document.pdf"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F355-747B-44D4-B01B-1A26A5F3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218</TotalTime>
  <Pages>12</Pages>
  <Words>6204</Words>
  <Characters>35366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28</cp:revision>
  <cp:lastPrinted>1999-07-06T11:00:00Z</cp:lastPrinted>
  <dcterms:created xsi:type="dcterms:W3CDTF">2014-10-25T14:34:00Z</dcterms:created>
  <dcterms:modified xsi:type="dcterms:W3CDTF">2025-12-06T12:59:00Z</dcterms:modified>
</cp:coreProperties>
</file>