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A9926" w14:textId="40975A71" w:rsidR="00DF321C" w:rsidRPr="00FA577F" w:rsidRDefault="00FA577F" w:rsidP="00DF321C">
      <w:pPr>
        <w:spacing w:after="120" w:line="240" w:lineRule="auto"/>
        <w:jc w:val="center"/>
        <w:rPr>
          <w:rFonts w:ascii="Times New Roman" w:hAnsi="Times New Roman" w:cs="Times New Roman"/>
          <w:b/>
          <w:bCs/>
          <w:sz w:val="32"/>
          <w:szCs w:val="32"/>
        </w:rPr>
      </w:pPr>
      <w:r w:rsidRPr="00FA577F">
        <w:rPr>
          <w:rFonts w:ascii="Times New Roman" w:hAnsi="Times New Roman" w:cs="Times New Roman"/>
          <w:b/>
          <w:bCs/>
          <w:i/>
          <w:sz w:val="32"/>
          <w:szCs w:val="32"/>
          <w:highlight w:val="yellow"/>
          <w:lang w:val="en-GB"/>
        </w:rPr>
        <w:t xml:space="preserve">Strategic Model Development for Strengthening MSMEs and Enhancing Regional Economic Growth in West </w:t>
      </w:r>
      <w:proofErr w:type="spellStart"/>
      <w:r w:rsidRPr="00FA577F">
        <w:rPr>
          <w:rFonts w:ascii="Times New Roman" w:hAnsi="Times New Roman" w:cs="Times New Roman"/>
          <w:b/>
          <w:bCs/>
          <w:i/>
          <w:sz w:val="32"/>
          <w:szCs w:val="32"/>
          <w:highlight w:val="yellow"/>
          <w:lang w:val="en-GB"/>
        </w:rPr>
        <w:t>Kisaran</w:t>
      </w:r>
      <w:proofErr w:type="spellEnd"/>
      <w:r w:rsidRPr="00FA577F">
        <w:rPr>
          <w:rFonts w:ascii="Times New Roman" w:hAnsi="Times New Roman" w:cs="Times New Roman"/>
          <w:b/>
          <w:bCs/>
          <w:i/>
          <w:sz w:val="32"/>
          <w:szCs w:val="32"/>
          <w:highlight w:val="yellow"/>
          <w:lang w:val="en-GB"/>
        </w:rPr>
        <w:t xml:space="preserve"> District</w:t>
      </w:r>
    </w:p>
    <w:p w14:paraId="195D565B"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Abstract</w:t>
      </w:r>
    </w:p>
    <w:p w14:paraId="2CC6A3E5" w14:textId="40B1EEA0" w:rsidR="00C53FE5" w:rsidRPr="00645D37" w:rsidRDefault="00645D37" w:rsidP="0049307A">
      <w:pPr>
        <w:jc w:val="both"/>
        <w:rPr>
          <w:rFonts w:ascii="Times New Roman" w:hAnsi="Times New Roman" w:cs="Times New Roman"/>
          <w:sz w:val="24"/>
          <w:szCs w:val="24"/>
          <w:lang w:val="en-US"/>
        </w:rPr>
      </w:pPr>
      <w:r w:rsidRPr="00645D37">
        <w:rPr>
          <w:rFonts w:ascii="Times New Roman" w:hAnsi="Times New Roman" w:cs="Times New Roman"/>
          <w:sz w:val="24"/>
          <w:szCs w:val="24"/>
          <w:highlight w:val="yellow"/>
        </w:rPr>
        <w:t xml:space="preserve">This study formulates a strategic model to strengthen micro, small, and medium enterprises (MSMEs) in West </w:t>
      </w:r>
      <w:proofErr w:type="spellStart"/>
      <w:r w:rsidRPr="00645D37">
        <w:rPr>
          <w:rFonts w:ascii="Times New Roman" w:hAnsi="Times New Roman" w:cs="Times New Roman"/>
          <w:sz w:val="24"/>
          <w:szCs w:val="24"/>
          <w:highlight w:val="yellow"/>
        </w:rPr>
        <w:t>Kisaran</w:t>
      </w:r>
      <w:proofErr w:type="spellEnd"/>
      <w:r w:rsidRPr="00645D37">
        <w:rPr>
          <w:rFonts w:ascii="Times New Roman" w:hAnsi="Times New Roman" w:cs="Times New Roman"/>
          <w:sz w:val="24"/>
          <w:szCs w:val="24"/>
          <w:highlight w:val="yellow"/>
        </w:rPr>
        <w:t xml:space="preserve"> District, </w:t>
      </w:r>
      <w:proofErr w:type="spellStart"/>
      <w:r w:rsidRPr="00645D37">
        <w:rPr>
          <w:rFonts w:ascii="Times New Roman" w:hAnsi="Times New Roman" w:cs="Times New Roman"/>
          <w:sz w:val="24"/>
          <w:szCs w:val="24"/>
          <w:highlight w:val="yellow"/>
        </w:rPr>
        <w:t>Asahan</w:t>
      </w:r>
      <w:proofErr w:type="spellEnd"/>
      <w:r w:rsidRPr="00645D37">
        <w:rPr>
          <w:rFonts w:ascii="Times New Roman" w:hAnsi="Times New Roman" w:cs="Times New Roman"/>
          <w:sz w:val="24"/>
          <w:szCs w:val="24"/>
          <w:highlight w:val="yellow"/>
        </w:rPr>
        <w:t xml:space="preserve"> Regency, to improve competitiveness and increase their contribution to regional economic development. A mixed-methods design was applied, combining (</w:t>
      </w:r>
      <w:proofErr w:type="spellStart"/>
      <w:r w:rsidRPr="00645D37">
        <w:rPr>
          <w:rFonts w:ascii="Times New Roman" w:hAnsi="Times New Roman" w:cs="Times New Roman"/>
          <w:sz w:val="24"/>
          <w:szCs w:val="24"/>
          <w:highlight w:val="yellow"/>
        </w:rPr>
        <w:t>i</w:t>
      </w:r>
      <w:proofErr w:type="spellEnd"/>
      <w:r w:rsidRPr="00645D37">
        <w:rPr>
          <w:rFonts w:ascii="Times New Roman" w:hAnsi="Times New Roman" w:cs="Times New Roman"/>
          <w:sz w:val="24"/>
          <w:szCs w:val="24"/>
          <w:highlight w:val="yellow"/>
        </w:rPr>
        <w:t>) a survey of 120 MSME actors and (ii) in-depth interviews with 12 key stakeholders representing local government, financial</w:t>
      </w:r>
      <w:bookmarkStart w:id="0" w:name="_GoBack"/>
      <w:bookmarkEnd w:id="0"/>
      <w:r w:rsidRPr="00645D37">
        <w:rPr>
          <w:rFonts w:ascii="Times New Roman" w:hAnsi="Times New Roman" w:cs="Times New Roman"/>
          <w:sz w:val="24"/>
          <w:szCs w:val="24"/>
          <w:highlight w:val="yellow"/>
        </w:rPr>
        <w:t xml:space="preserve"> institutions, MSME associations, and academia, followed by SWOT analysis integrated with the Analytic Hierarchy Process (AHP) for strategy prioritisation. The results indicate that MSMEs possess strong internal assets—particularly local product identity (e.g., Sepatu </w:t>
      </w:r>
      <w:proofErr w:type="spellStart"/>
      <w:r w:rsidRPr="00645D37">
        <w:rPr>
          <w:rFonts w:ascii="Times New Roman" w:hAnsi="Times New Roman" w:cs="Times New Roman"/>
          <w:sz w:val="24"/>
          <w:szCs w:val="24"/>
          <w:highlight w:val="yellow"/>
        </w:rPr>
        <w:t>Bunut</w:t>
      </w:r>
      <w:proofErr w:type="spellEnd"/>
      <w:r w:rsidRPr="00645D37">
        <w:rPr>
          <w:rFonts w:ascii="Times New Roman" w:hAnsi="Times New Roman" w:cs="Times New Roman"/>
          <w:sz w:val="24"/>
          <w:szCs w:val="24"/>
          <w:highlight w:val="yellow"/>
        </w:rPr>
        <w:t>), hereditary craftsmanship skills, and the district’s strategic trading location—while constraints remain prominent in digital capability, product differentiation, financing access, and collective branding. After normalising internal and external factor weights, the SWOT coordinates remain positive (X = +0.</w:t>
      </w:r>
      <w:r w:rsidR="00AD014E">
        <w:rPr>
          <w:rFonts w:ascii="Times New Roman" w:hAnsi="Times New Roman" w:cs="Times New Roman"/>
          <w:sz w:val="24"/>
          <w:szCs w:val="24"/>
          <w:highlight w:val="yellow"/>
        </w:rPr>
        <w:t>493</w:t>
      </w:r>
      <w:r w:rsidRPr="00645D37">
        <w:rPr>
          <w:rFonts w:ascii="Times New Roman" w:hAnsi="Times New Roman" w:cs="Times New Roman"/>
          <w:sz w:val="24"/>
          <w:szCs w:val="24"/>
          <w:highlight w:val="yellow"/>
        </w:rPr>
        <w:t>; Y = +0.</w:t>
      </w:r>
      <w:r w:rsidR="00AD014E">
        <w:rPr>
          <w:rFonts w:ascii="Times New Roman" w:hAnsi="Times New Roman" w:cs="Times New Roman"/>
          <w:sz w:val="24"/>
          <w:szCs w:val="24"/>
          <w:highlight w:val="yellow"/>
        </w:rPr>
        <w:t>341</w:t>
      </w:r>
      <w:r w:rsidRPr="00645D37">
        <w:rPr>
          <w:rFonts w:ascii="Times New Roman" w:hAnsi="Times New Roman" w:cs="Times New Roman"/>
          <w:sz w:val="24"/>
          <w:szCs w:val="24"/>
          <w:highlight w:val="yellow"/>
        </w:rPr>
        <w:t xml:space="preserve">), placing MSMEs in Quadrant I (aggressive strategy), implying high growth potential if opportunity-driven strategies are executed. AHP prioritisation (based on a 20-respondent expert panel with acceptable consistency) identifies the following strategic order: cross-sector cluster development and MSME digitalisation as core strategies, supported by tourism–creative economy integration, targeted revitalisation of Sepatu </w:t>
      </w:r>
      <w:proofErr w:type="spellStart"/>
      <w:r w:rsidRPr="00645D37">
        <w:rPr>
          <w:rFonts w:ascii="Times New Roman" w:hAnsi="Times New Roman" w:cs="Times New Roman"/>
          <w:sz w:val="24"/>
          <w:szCs w:val="24"/>
          <w:highlight w:val="yellow"/>
        </w:rPr>
        <w:t>Bunut</w:t>
      </w:r>
      <w:proofErr w:type="spellEnd"/>
      <w:r w:rsidRPr="00645D37">
        <w:rPr>
          <w:rFonts w:ascii="Times New Roman" w:hAnsi="Times New Roman" w:cs="Times New Roman"/>
          <w:sz w:val="24"/>
          <w:szCs w:val="24"/>
          <w:highlight w:val="yellow"/>
        </w:rPr>
        <w:t xml:space="preserve"> branding/design, and optimisation of thematic People’s Business Credit (KUR) access. The study proposes scenario-based contribution targets for planning and evaluation (not econometric forecasts), which local stakeholders may use to set performance indicators and monitor progress over a four-year horizon</w:t>
      </w:r>
      <w:r w:rsidR="00C53FE5" w:rsidRPr="00645D37">
        <w:rPr>
          <w:rFonts w:ascii="Times New Roman" w:hAnsi="Times New Roman" w:cs="Times New Roman"/>
          <w:sz w:val="24"/>
          <w:szCs w:val="24"/>
          <w:highlight w:val="yellow"/>
          <w:lang w:val="en-US"/>
        </w:rPr>
        <w:t>.</w:t>
      </w:r>
    </w:p>
    <w:p w14:paraId="5B8A62EE"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Keywords:</w:t>
      </w:r>
      <w:r w:rsidRPr="00C53FE5">
        <w:rPr>
          <w:rFonts w:ascii="Times New Roman" w:hAnsi="Times New Roman" w:cs="Times New Roman"/>
          <w:sz w:val="24"/>
          <w:szCs w:val="24"/>
          <w:lang w:val="en-US"/>
        </w:rPr>
        <w:t xml:space="preserve"> MSMEs, strategic model, Sepatu </w:t>
      </w:r>
      <w:proofErr w:type="spellStart"/>
      <w:r w:rsidRPr="00C53FE5">
        <w:rPr>
          <w:rFonts w:ascii="Times New Roman" w:hAnsi="Times New Roman" w:cs="Times New Roman"/>
          <w:sz w:val="24"/>
          <w:szCs w:val="24"/>
          <w:lang w:val="en-US"/>
        </w:rPr>
        <w:t>Bunut</w:t>
      </w:r>
      <w:proofErr w:type="spellEnd"/>
      <w:r w:rsidRPr="00C53FE5">
        <w:rPr>
          <w:rFonts w:ascii="Times New Roman" w:hAnsi="Times New Roman" w:cs="Times New Roman"/>
          <w:sz w:val="24"/>
          <w:szCs w:val="24"/>
          <w:lang w:val="en-US"/>
        </w:rPr>
        <w:t xml:space="preserve">, SWOT–AHP, </w:t>
      </w:r>
      <w:proofErr w:type="spellStart"/>
      <w:r w:rsidRPr="00C53FE5">
        <w:rPr>
          <w:rFonts w:ascii="Times New Roman" w:hAnsi="Times New Roman" w:cs="Times New Roman"/>
          <w:sz w:val="24"/>
          <w:szCs w:val="24"/>
          <w:lang w:val="en-US"/>
        </w:rPr>
        <w:t>digitalisation</w:t>
      </w:r>
      <w:proofErr w:type="spellEnd"/>
      <w:r w:rsidRPr="00C53FE5">
        <w:rPr>
          <w:rFonts w:ascii="Times New Roman" w:hAnsi="Times New Roman" w:cs="Times New Roman"/>
          <w:sz w:val="24"/>
          <w:szCs w:val="24"/>
          <w:lang w:val="en-US"/>
        </w:rPr>
        <w:t>, clustering, thematic KUR</w:t>
      </w:r>
    </w:p>
    <w:p w14:paraId="67021D06" w14:textId="7BF87954" w:rsidR="00C53FE5" w:rsidRPr="00C53FE5" w:rsidRDefault="00C53FE5" w:rsidP="0049307A">
      <w:pPr>
        <w:jc w:val="both"/>
        <w:rPr>
          <w:rFonts w:ascii="Times New Roman" w:hAnsi="Times New Roman" w:cs="Times New Roman"/>
          <w:sz w:val="24"/>
          <w:szCs w:val="24"/>
          <w:lang w:val="en-US"/>
        </w:rPr>
      </w:pPr>
    </w:p>
    <w:p w14:paraId="572063D8"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I. Introduction</w:t>
      </w:r>
    </w:p>
    <w:p w14:paraId="10A32831" w14:textId="06CD683A" w:rsidR="00C53FE5" w:rsidRPr="00C53FE5" w:rsidRDefault="00645D37" w:rsidP="0049307A">
      <w:pPr>
        <w:jc w:val="both"/>
        <w:rPr>
          <w:rFonts w:ascii="Times New Roman" w:hAnsi="Times New Roman" w:cs="Times New Roman"/>
          <w:sz w:val="24"/>
          <w:szCs w:val="24"/>
          <w:lang w:val="en-US"/>
        </w:rPr>
      </w:pPr>
      <w:r w:rsidRPr="00645D37">
        <w:rPr>
          <w:rFonts w:ascii="Times New Roman" w:hAnsi="Times New Roman" w:cs="Times New Roman"/>
          <w:sz w:val="24"/>
          <w:szCs w:val="24"/>
          <w:highlight w:val="yellow"/>
        </w:rPr>
        <w:t>Micro, small, and medium enterprises (MSMEs) are widely recognised as a backbone of local economic resilience due to their roles in job creation, welfare improvement, and inclusive income distribution (</w:t>
      </w:r>
      <w:proofErr w:type="spellStart"/>
      <w:r w:rsidRPr="00645D37">
        <w:rPr>
          <w:rFonts w:ascii="Times New Roman" w:hAnsi="Times New Roman" w:cs="Times New Roman"/>
          <w:sz w:val="24"/>
          <w:szCs w:val="24"/>
          <w:highlight w:val="yellow"/>
        </w:rPr>
        <w:t>Parluhutan</w:t>
      </w:r>
      <w:proofErr w:type="spellEnd"/>
      <w:r w:rsidRPr="00645D37">
        <w:rPr>
          <w:rFonts w:ascii="Times New Roman" w:hAnsi="Times New Roman" w:cs="Times New Roman"/>
          <w:sz w:val="24"/>
          <w:szCs w:val="24"/>
          <w:highlight w:val="yellow"/>
        </w:rPr>
        <w:t xml:space="preserve"> </w:t>
      </w:r>
      <w:proofErr w:type="spellStart"/>
      <w:r w:rsidRPr="00645D37">
        <w:rPr>
          <w:rFonts w:ascii="Times New Roman" w:hAnsi="Times New Roman" w:cs="Times New Roman"/>
          <w:sz w:val="24"/>
          <w:szCs w:val="24"/>
          <w:highlight w:val="yellow"/>
        </w:rPr>
        <w:t>Sinaga</w:t>
      </w:r>
      <w:proofErr w:type="spellEnd"/>
      <w:r w:rsidRPr="00645D37">
        <w:rPr>
          <w:rFonts w:ascii="Times New Roman" w:hAnsi="Times New Roman" w:cs="Times New Roman"/>
          <w:sz w:val="24"/>
          <w:szCs w:val="24"/>
          <w:highlight w:val="yellow"/>
        </w:rPr>
        <w:t xml:space="preserve"> &amp; </w:t>
      </w:r>
      <w:proofErr w:type="spellStart"/>
      <w:r w:rsidRPr="00645D37">
        <w:rPr>
          <w:rFonts w:ascii="Times New Roman" w:hAnsi="Times New Roman" w:cs="Times New Roman"/>
          <w:sz w:val="24"/>
          <w:szCs w:val="24"/>
          <w:highlight w:val="yellow"/>
        </w:rPr>
        <w:t>Sitorus</w:t>
      </w:r>
      <w:proofErr w:type="spellEnd"/>
      <w:r w:rsidRPr="00645D37">
        <w:rPr>
          <w:rFonts w:ascii="Times New Roman" w:hAnsi="Times New Roman" w:cs="Times New Roman"/>
          <w:sz w:val="24"/>
          <w:szCs w:val="24"/>
          <w:highlight w:val="yellow"/>
        </w:rPr>
        <w:t>, 2023). In many regions, strengthening MSMEs becomes a practical pathway to improving regional productivity and competitiveness, especially when development strategies are linked to innovation and market adaptation (Surya et al., 2021). Consequently, district-level MSME strengthening is not only a business agenda but also a regional development agenda</w:t>
      </w:r>
      <w:r w:rsidR="00C53FE5" w:rsidRPr="00645D37">
        <w:rPr>
          <w:rFonts w:ascii="Times New Roman" w:hAnsi="Times New Roman" w:cs="Times New Roman"/>
          <w:sz w:val="24"/>
          <w:szCs w:val="24"/>
          <w:highlight w:val="yellow"/>
          <w:lang w:val="en-US"/>
        </w:rPr>
        <w:t>.</w:t>
      </w:r>
    </w:p>
    <w:p w14:paraId="5E49A7A8" w14:textId="0DAEA196"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West </w:t>
      </w:r>
      <w:proofErr w:type="spellStart"/>
      <w:r w:rsidRPr="00C53FE5">
        <w:rPr>
          <w:rFonts w:ascii="Times New Roman" w:hAnsi="Times New Roman" w:cs="Times New Roman"/>
          <w:sz w:val="24"/>
          <w:szCs w:val="24"/>
          <w:lang w:val="en-US"/>
        </w:rPr>
        <w:t>Kisaran</w:t>
      </w:r>
      <w:proofErr w:type="spellEnd"/>
      <w:r w:rsidRPr="00C53FE5">
        <w:rPr>
          <w:rFonts w:ascii="Times New Roman" w:hAnsi="Times New Roman" w:cs="Times New Roman"/>
          <w:sz w:val="24"/>
          <w:szCs w:val="24"/>
          <w:lang w:val="en-US"/>
        </w:rPr>
        <w:t xml:space="preserve"> District in </w:t>
      </w:r>
      <w:proofErr w:type="spellStart"/>
      <w:r w:rsidRPr="00C53FE5">
        <w:rPr>
          <w:rFonts w:ascii="Times New Roman" w:hAnsi="Times New Roman" w:cs="Times New Roman"/>
          <w:sz w:val="24"/>
          <w:szCs w:val="24"/>
          <w:lang w:val="en-US"/>
        </w:rPr>
        <w:t>Asahan</w:t>
      </w:r>
      <w:proofErr w:type="spellEnd"/>
      <w:r w:rsidRPr="00C53FE5">
        <w:rPr>
          <w:rFonts w:ascii="Times New Roman" w:hAnsi="Times New Roman" w:cs="Times New Roman"/>
          <w:sz w:val="24"/>
          <w:szCs w:val="24"/>
          <w:lang w:val="en-US"/>
        </w:rPr>
        <w:t xml:space="preserve"> Regency, North Sumatra, has substantial potential for developing MSMEs based on local products, such as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 which is well known among local communities (</w:t>
      </w:r>
      <w:proofErr w:type="spellStart"/>
      <w:r w:rsidR="00622ADA">
        <w:rPr>
          <w:rFonts w:ascii="Times New Roman" w:hAnsi="Times New Roman" w:cs="Times New Roman"/>
          <w:sz w:val="24"/>
          <w:szCs w:val="24"/>
          <w:lang w:val="en-US"/>
        </w:rPr>
        <w:t>Malawat</w:t>
      </w:r>
      <w:proofErr w:type="spellEnd"/>
      <w:r w:rsidRPr="00C53FE5">
        <w:rPr>
          <w:rFonts w:ascii="Times New Roman" w:hAnsi="Times New Roman" w:cs="Times New Roman"/>
          <w:sz w:val="24"/>
          <w:szCs w:val="24"/>
          <w:lang w:val="en-US"/>
        </w:rPr>
        <w:t>, 20</w:t>
      </w:r>
      <w:r w:rsidR="00622ADA">
        <w:rPr>
          <w:rFonts w:ascii="Times New Roman" w:hAnsi="Times New Roman" w:cs="Times New Roman"/>
          <w:sz w:val="24"/>
          <w:szCs w:val="24"/>
          <w:lang w:val="en-US"/>
        </w:rPr>
        <w:t>18</w:t>
      </w:r>
      <w:r w:rsidRPr="00C53FE5">
        <w:rPr>
          <w:rFonts w:ascii="Times New Roman" w:hAnsi="Times New Roman" w:cs="Times New Roman"/>
          <w:sz w:val="24"/>
          <w:szCs w:val="24"/>
          <w:lang w:val="en-US"/>
        </w:rPr>
        <w:t xml:space="preserve">). However, despite its good quality, this product has begun to lose </w:t>
      </w:r>
      <w:r w:rsidRPr="00C53FE5">
        <w:rPr>
          <w:rFonts w:ascii="Times New Roman" w:hAnsi="Times New Roman" w:cs="Times New Roman"/>
          <w:sz w:val="24"/>
          <w:szCs w:val="24"/>
          <w:lang w:val="en-US"/>
        </w:rPr>
        <w:lastRenderedPageBreak/>
        <w:t>popularity, particularly among younger generations who tend to prefer modern designs and trend-driven products (</w:t>
      </w:r>
      <w:r w:rsidR="00622ADA">
        <w:rPr>
          <w:rFonts w:ascii="Times New Roman" w:hAnsi="Times New Roman" w:cs="Times New Roman"/>
          <w:sz w:val="24"/>
          <w:szCs w:val="24"/>
          <w:lang w:val="en-US"/>
        </w:rPr>
        <w:t>Gazzola</w:t>
      </w:r>
      <w:r w:rsidRPr="00C53FE5">
        <w:rPr>
          <w:rFonts w:ascii="Times New Roman" w:hAnsi="Times New Roman" w:cs="Times New Roman"/>
          <w:sz w:val="24"/>
          <w:szCs w:val="24"/>
          <w:lang w:val="en-US"/>
        </w:rPr>
        <w:t>, 202</w:t>
      </w:r>
      <w:r w:rsidR="00622ADA">
        <w:rPr>
          <w:rFonts w:ascii="Times New Roman" w:hAnsi="Times New Roman" w:cs="Times New Roman"/>
          <w:sz w:val="24"/>
          <w:szCs w:val="24"/>
          <w:lang w:val="en-US"/>
        </w:rPr>
        <w:t>0</w:t>
      </w:r>
      <w:r w:rsidRPr="00C53FE5">
        <w:rPr>
          <w:rFonts w:ascii="Times New Roman" w:hAnsi="Times New Roman" w:cs="Times New Roman"/>
          <w:sz w:val="24"/>
          <w:szCs w:val="24"/>
          <w:lang w:val="en-US"/>
        </w:rPr>
        <w:t>). Consequently, efforts are needed to integrate design innovation and digital marketing in order to enhance the competitiveness of local products in the global market.</w:t>
      </w:r>
    </w:p>
    <w:p w14:paraId="4AB1B94A" w14:textId="62F3FCF1"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The MSME sector in West Kisaran faces several challenges, including limited capital, low digital literacy, and the absence of integrated marketing strategies (</w:t>
      </w:r>
      <w:r w:rsidR="00622ADA">
        <w:rPr>
          <w:rFonts w:ascii="Times New Roman" w:hAnsi="Times New Roman" w:cs="Times New Roman"/>
          <w:sz w:val="24"/>
          <w:szCs w:val="24"/>
          <w:lang w:val="en-US"/>
        </w:rPr>
        <w:t>Saling</w:t>
      </w:r>
      <w:r w:rsidRPr="00C53FE5">
        <w:rPr>
          <w:rFonts w:ascii="Times New Roman" w:hAnsi="Times New Roman" w:cs="Times New Roman"/>
          <w:sz w:val="24"/>
          <w:szCs w:val="24"/>
          <w:lang w:val="en-US"/>
        </w:rPr>
        <w:t>., 202</w:t>
      </w:r>
      <w:r w:rsidR="00622ADA">
        <w:rPr>
          <w:rFonts w:ascii="Times New Roman" w:hAnsi="Times New Roman" w:cs="Times New Roman"/>
          <w:sz w:val="24"/>
          <w:szCs w:val="24"/>
          <w:lang w:val="en-US"/>
        </w:rPr>
        <w:t>5</w:t>
      </w:r>
      <w:r w:rsidRPr="00C53FE5">
        <w:rPr>
          <w:rFonts w:ascii="Times New Roman" w:hAnsi="Times New Roman" w:cs="Times New Roman"/>
          <w:sz w:val="24"/>
          <w:szCs w:val="24"/>
          <w:lang w:val="en-US"/>
        </w:rPr>
        <w:t xml:space="preserve">). These constraints hinder many MSME actors from expanding their market reach and improving productivity. At the same time, the district has a strategic position as a commercial hub, which should provide opportunities to expand markets and increase contributions to the GRDP of </w:t>
      </w:r>
      <w:proofErr w:type="spellStart"/>
      <w:r w:rsidRPr="00C53FE5">
        <w:rPr>
          <w:rFonts w:ascii="Times New Roman" w:hAnsi="Times New Roman" w:cs="Times New Roman"/>
          <w:sz w:val="24"/>
          <w:szCs w:val="24"/>
          <w:lang w:val="en-US"/>
        </w:rPr>
        <w:t>Asahan</w:t>
      </w:r>
      <w:proofErr w:type="spellEnd"/>
      <w:r w:rsidRPr="00C53FE5">
        <w:rPr>
          <w:rFonts w:ascii="Times New Roman" w:hAnsi="Times New Roman" w:cs="Times New Roman"/>
          <w:sz w:val="24"/>
          <w:szCs w:val="24"/>
          <w:lang w:val="en-US"/>
        </w:rPr>
        <w:t xml:space="preserve"> Regency (</w:t>
      </w:r>
      <w:proofErr w:type="spellStart"/>
      <w:r w:rsidR="00914731">
        <w:rPr>
          <w:rFonts w:ascii="Times New Roman" w:hAnsi="Times New Roman" w:cs="Times New Roman"/>
          <w:sz w:val="24"/>
          <w:szCs w:val="24"/>
          <w:lang w:val="en-US"/>
        </w:rPr>
        <w:t>Saputra</w:t>
      </w:r>
      <w:proofErr w:type="spellEnd"/>
      <w:r w:rsidRPr="00C53FE5">
        <w:rPr>
          <w:rFonts w:ascii="Times New Roman" w:hAnsi="Times New Roman" w:cs="Times New Roman"/>
          <w:sz w:val="24"/>
          <w:szCs w:val="24"/>
          <w:lang w:val="en-US"/>
        </w:rPr>
        <w:t>, 202</w:t>
      </w:r>
      <w:r w:rsidR="00914731">
        <w:rPr>
          <w:rFonts w:ascii="Times New Roman" w:hAnsi="Times New Roman" w:cs="Times New Roman"/>
          <w:sz w:val="24"/>
          <w:szCs w:val="24"/>
          <w:lang w:val="en-US"/>
        </w:rPr>
        <w:t>4</w:t>
      </w:r>
      <w:r w:rsidRPr="00C53FE5">
        <w:rPr>
          <w:rFonts w:ascii="Times New Roman" w:hAnsi="Times New Roman" w:cs="Times New Roman"/>
          <w:sz w:val="24"/>
          <w:szCs w:val="24"/>
          <w:lang w:val="en-US"/>
        </w:rPr>
        <w:t>). Therefore, it is important to develop a strategic model capable of addressing these challenges and enhancing the contribution of MSMEs to the local economy.</w:t>
      </w:r>
    </w:p>
    <w:p w14:paraId="1F1E1CE2" w14:textId="34A6108A"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The </w:t>
      </w:r>
      <w:proofErr w:type="spellStart"/>
      <w:r w:rsidRPr="00C53FE5">
        <w:rPr>
          <w:rFonts w:ascii="Times New Roman" w:hAnsi="Times New Roman" w:cs="Times New Roman"/>
          <w:sz w:val="24"/>
          <w:szCs w:val="24"/>
          <w:lang w:val="en-US"/>
        </w:rPr>
        <w:t>revitalisation</w:t>
      </w:r>
      <w:proofErr w:type="spellEnd"/>
      <w:r w:rsidRPr="00C53FE5">
        <w:rPr>
          <w:rFonts w:ascii="Times New Roman" w:hAnsi="Times New Roman" w:cs="Times New Roman"/>
          <w:sz w:val="24"/>
          <w:szCs w:val="24"/>
          <w:lang w:val="en-US"/>
        </w:rPr>
        <w:t xml:space="preserve"> of local products such as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 xml:space="preserve"> should be an integral part of the MSME development strategy in West Kisaran. Local </w:t>
      </w:r>
      <w:proofErr w:type="spellStart"/>
      <w:r w:rsidRPr="00C53FE5">
        <w:rPr>
          <w:rFonts w:ascii="Times New Roman" w:hAnsi="Times New Roman" w:cs="Times New Roman"/>
          <w:sz w:val="24"/>
          <w:szCs w:val="24"/>
          <w:lang w:val="en-US"/>
        </w:rPr>
        <w:t>speciality</w:t>
      </w:r>
      <w:proofErr w:type="spellEnd"/>
      <w:r w:rsidRPr="00C53FE5">
        <w:rPr>
          <w:rFonts w:ascii="Times New Roman" w:hAnsi="Times New Roman" w:cs="Times New Roman"/>
          <w:sz w:val="24"/>
          <w:szCs w:val="24"/>
          <w:lang w:val="en-US"/>
        </w:rPr>
        <w:t xml:space="preserve"> products with important cultural and historical value need to be repackaged with modern design elements to remain relevant in an increasingly competitive market. In addition, the development of MSME clusters covering various sectors such as culinary, handicrafts, and creative services needs to be </w:t>
      </w:r>
      <w:proofErr w:type="spellStart"/>
      <w:r w:rsidRPr="00C53FE5">
        <w:rPr>
          <w:rFonts w:ascii="Times New Roman" w:hAnsi="Times New Roman" w:cs="Times New Roman"/>
          <w:sz w:val="24"/>
          <w:szCs w:val="24"/>
          <w:lang w:val="en-US"/>
        </w:rPr>
        <w:t>prioritised</w:t>
      </w:r>
      <w:proofErr w:type="spellEnd"/>
      <w:r w:rsidRPr="00C53FE5">
        <w:rPr>
          <w:rFonts w:ascii="Times New Roman" w:hAnsi="Times New Roman" w:cs="Times New Roman"/>
          <w:sz w:val="24"/>
          <w:szCs w:val="24"/>
          <w:lang w:val="en-US"/>
        </w:rPr>
        <w:t xml:space="preserve"> to strengthen collective competitiveness (</w:t>
      </w:r>
      <w:r w:rsidR="00914731">
        <w:rPr>
          <w:rFonts w:ascii="Times New Roman" w:hAnsi="Times New Roman" w:cs="Times New Roman"/>
          <w:sz w:val="24"/>
          <w:szCs w:val="24"/>
          <w:lang w:val="en-US"/>
        </w:rPr>
        <w:t>Sari</w:t>
      </w:r>
      <w:r w:rsidRPr="00C53FE5">
        <w:rPr>
          <w:rFonts w:ascii="Times New Roman" w:hAnsi="Times New Roman" w:cs="Times New Roman"/>
          <w:sz w:val="24"/>
          <w:szCs w:val="24"/>
          <w:lang w:val="en-US"/>
        </w:rPr>
        <w:t>, 2025). Through this approach, local products are expected not only to survive but also to grow and contribute more significantly to the regional economy</w:t>
      </w:r>
      <w:r w:rsidR="00B802C9">
        <w:rPr>
          <w:rFonts w:ascii="Times New Roman" w:hAnsi="Times New Roman" w:cs="Times New Roman"/>
          <w:sz w:val="24"/>
          <w:szCs w:val="24"/>
          <w:lang w:val="en-US"/>
        </w:rPr>
        <w:t xml:space="preserve"> (Maulana, 2025)</w:t>
      </w:r>
      <w:r w:rsidRPr="00C53FE5">
        <w:rPr>
          <w:rFonts w:ascii="Times New Roman" w:hAnsi="Times New Roman" w:cs="Times New Roman"/>
          <w:sz w:val="24"/>
          <w:szCs w:val="24"/>
          <w:lang w:val="en-US"/>
        </w:rPr>
        <w:t>.</w:t>
      </w:r>
    </w:p>
    <w:p w14:paraId="6146CB23" w14:textId="40C19AAA"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To achieve these objectives, the integration of MSMEs with key sectors such as agriculture and processing industries is essential</w:t>
      </w:r>
      <w:r w:rsidR="000442CE">
        <w:rPr>
          <w:rFonts w:ascii="Times New Roman" w:hAnsi="Times New Roman" w:cs="Times New Roman"/>
          <w:sz w:val="24"/>
          <w:szCs w:val="24"/>
          <w:lang w:val="en-US"/>
        </w:rPr>
        <w:t xml:space="preserve"> (</w:t>
      </w:r>
      <w:r w:rsidR="002364ED">
        <w:rPr>
          <w:rFonts w:ascii="Times New Roman" w:hAnsi="Times New Roman" w:cs="Times New Roman"/>
          <w:sz w:val="24"/>
          <w:szCs w:val="24"/>
          <w:lang w:val="en-US"/>
        </w:rPr>
        <w:t>A</w:t>
      </w:r>
      <w:r w:rsidR="000442CE">
        <w:rPr>
          <w:rFonts w:ascii="Times New Roman" w:hAnsi="Times New Roman" w:cs="Times New Roman"/>
          <w:sz w:val="24"/>
          <w:szCs w:val="24"/>
          <w:lang w:val="en-US"/>
        </w:rPr>
        <w:t>nshar,</w:t>
      </w:r>
      <w:r w:rsidR="002364ED">
        <w:rPr>
          <w:rFonts w:ascii="Times New Roman" w:hAnsi="Times New Roman" w:cs="Times New Roman"/>
          <w:sz w:val="24"/>
          <w:szCs w:val="24"/>
          <w:lang w:val="en-US"/>
        </w:rPr>
        <w:t xml:space="preserve"> 2025)</w:t>
      </w:r>
      <w:r w:rsidRPr="00C53FE5">
        <w:rPr>
          <w:rFonts w:ascii="Times New Roman" w:hAnsi="Times New Roman" w:cs="Times New Roman"/>
          <w:sz w:val="24"/>
          <w:szCs w:val="24"/>
          <w:lang w:val="en-US"/>
        </w:rPr>
        <w:t xml:space="preserve">. </w:t>
      </w:r>
      <w:proofErr w:type="spellStart"/>
      <w:r w:rsidRPr="00C53FE5">
        <w:rPr>
          <w:rFonts w:ascii="Times New Roman" w:hAnsi="Times New Roman" w:cs="Times New Roman"/>
          <w:sz w:val="24"/>
          <w:szCs w:val="24"/>
          <w:lang w:val="en-US"/>
        </w:rPr>
        <w:t>Asahan</w:t>
      </w:r>
      <w:proofErr w:type="spellEnd"/>
      <w:r w:rsidRPr="00C53FE5">
        <w:rPr>
          <w:rFonts w:ascii="Times New Roman" w:hAnsi="Times New Roman" w:cs="Times New Roman"/>
          <w:sz w:val="24"/>
          <w:szCs w:val="24"/>
          <w:lang w:val="en-US"/>
        </w:rPr>
        <w:t xml:space="preserve"> Regency, known for its abundant agriculture and plantation sectors, has considerable potential to develop value-added processed products that can compete in domestic and international markets (</w:t>
      </w:r>
      <w:proofErr w:type="spellStart"/>
      <w:r w:rsidR="00914731">
        <w:rPr>
          <w:rFonts w:ascii="Times New Roman" w:hAnsi="Times New Roman" w:cs="Times New Roman"/>
          <w:sz w:val="24"/>
          <w:szCs w:val="24"/>
          <w:lang w:val="en-US"/>
        </w:rPr>
        <w:t>Pambudi</w:t>
      </w:r>
      <w:proofErr w:type="spellEnd"/>
      <w:r w:rsidRPr="00C53FE5">
        <w:rPr>
          <w:rFonts w:ascii="Times New Roman" w:hAnsi="Times New Roman" w:cs="Times New Roman"/>
          <w:sz w:val="24"/>
          <w:szCs w:val="24"/>
          <w:lang w:val="en-US"/>
        </w:rPr>
        <w:t>, 2023). Accordingly, MSME development strategies should involve these sectors to create higher value products with broader market potential (</w:t>
      </w:r>
      <w:proofErr w:type="spellStart"/>
      <w:r w:rsidR="00914731">
        <w:rPr>
          <w:rFonts w:ascii="Times New Roman" w:hAnsi="Times New Roman" w:cs="Times New Roman"/>
          <w:sz w:val="24"/>
          <w:szCs w:val="24"/>
          <w:lang w:val="en-US"/>
        </w:rPr>
        <w:t>Rokhim</w:t>
      </w:r>
      <w:proofErr w:type="spellEnd"/>
      <w:r w:rsidRPr="00C53FE5">
        <w:rPr>
          <w:rFonts w:ascii="Times New Roman" w:hAnsi="Times New Roman" w:cs="Times New Roman"/>
          <w:sz w:val="24"/>
          <w:szCs w:val="24"/>
          <w:lang w:val="en-US"/>
        </w:rPr>
        <w:t>, 20</w:t>
      </w:r>
      <w:r w:rsidR="00914731">
        <w:rPr>
          <w:rFonts w:ascii="Times New Roman" w:hAnsi="Times New Roman" w:cs="Times New Roman"/>
          <w:sz w:val="24"/>
          <w:szCs w:val="24"/>
          <w:lang w:val="en-US"/>
        </w:rPr>
        <w:t>24</w:t>
      </w:r>
      <w:r w:rsidRPr="00C53FE5">
        <w:rPr>
          <w:rFonts w:ascii="Times New Roman" w:hAnsi="Times New Roman" w:cs="Times New Roman"/>
          <w:sz w:val="24"/>
          <w:szCs w:val="24"/>
          <w:lang w:val="en-US"/>
        </w:rPr>
        <w:t>).</w:t>
      </w:r>
    </w:p>
    <w:p w14:paraId="73EBF107" w14:textId="19A74F7E"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Local government also plays a pivotal role in strengthening the MSME sector in West Kisaran. Through policies that support access to finance, streamlined licensing, and adequate infrastructure provision, governments can create a conducive business climate for MSME growth. </w:t>
      </w:r>
      <w:proofErr w:type="spellStart"/>
      <w:r w:rsidRPr="00C53FE5">
        <w:rPr>
          <w:rFonts w:ascii="Times New Roman" w:hAnsi="Times New Roman" w:cs="Times New Roman"/>
          <w:sz w:val="24"/>
          <w:szCs w:val="24"/>
          <w:lang w:val="en-US"/>
        </w:rPr>
        <w:t>Programmes</w:t>
      </w:r>
      <w:proofErr w:type="spellEnd"/>
      <w:r w:rsidRPr="00C53FE5">
        <w:rPr>
          <w:rFonts w:ascii="Times New Roman" w:hAnsi="Times New Roman" w:cs="Times New Roman"/>
          <w:sz w:val="24"/>
          <w:szCs w:val="24"/>
          <w:lang w:val="en-US"/>
        </w:rPr>
        <w:t xml:space="preserve"> such as People’s Business Credit (KUR) and financing schemes based on local institutions are particularly important to accelerate the development of micro and small enterprises (</w:t>
      </w:r>
      <w:proofErr w:type="spellStart"/>
      <w:r w:rsidR="00914731">
        <w:rPr>
          <w:rFonts w:ascii="Times New Roman" w:hAnsi="Times New Roman" w:cs="Times New Roman"/>
          <w:sz w:val="24"/>
          <w:szCs w:val="24"/>
          <w:lang w:val="en-US"/>
        </w:rPr>
        <w:t>Ardhiansyah</w:t>
      </w:r>
      <w:proofErr w:type="spellEnd"/>
      <w:r w:rsidRPr="00C53FE5">
        <w:rPr>
          <w:rFonts w:ascii="Times New Roman" w:hAnsi="Times New Roman" w:cs="Times New Roman"/>
          <w:sz w:val="24"/>
          <w:szCs w:val="24"/>
          <w:lang w:val="en-US"/>
        </w:rPr>
        <w:t>, 202</w:t>
      </w:r>
      <w:r w:rsidR="00914731">
        <w:rPr>
          <w:rFonts w:ascii="Times New Roman" w:hAnsi="Times New Roman" w:cs="Times New Roman"/>
          <w:sz w:val="24"/>
          <w:szCs w:val="24"/>
          <w:lang w:val="en-US"/>
        </w:rPr>
        <w:t>5</w:t>
      </w:r>
      <w:r w:rsidRPr="00C53FE5">
        <w:rPr>
          <w:rFonts w:ascii="Times New Roman" w:hAnsi="Times New Roman" w:cs="Times New Roman"/>
          <w:sz w:val="24"/>
          <w:szCs w:val="24"/>
          <w:lang w:val="en-US"/>
        </w:rPr>
        <w:t>). Without consistent government support, MSMEs in this district will struggle to develop optimally.</w:t>
      </w:r>
    </w:p>
    <w:p w14:paraId="3D8A884A" w14:textId="404F4892"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As part of MSME development efforts, digital transformation has become inevitable. The </w:t>
      </w:r>
      <w:proofErr w:type="spellStart"/>
      <w:r w:rsidRPr="00C53FE5">
        <w:rPr>
          <w:rFonts w:ascii="Times New Roman" w:hAnsi="Times New Roman" w:cs="Times New Roman"/>
          <w:sz w:val="24"/>
          <w:szCs w:val="24"/>
          <w:lang w:val="en-US"/>
        </w:rPr>
        <w:t>utilisation</w:t>
      </w:r>
      <w:proofErr w:type="spellEnd"/>
      <w:r w:rsidRPr="00C53FE5">
        <w:rPr>
          <w:rFonts w:ascii="Times New Roman" w:hAnsi="Times New Roman" w:cs="Times New Roman"/>
          <w:sz w:val="24"/>
          <w:szCs w:val="24"/>
          <w:lang w:val="en-US"/>
        </w:rPr>
        <w:t xml:space="preserve"> of digital technologies in marketing, distribution, and product management can help MSMEs expand their market reach both domestically and internationally. Digital literacy training for MSME actors, particularly in the use of e-commerce platforms and social media, is therefore </w:t>
      </w:r>
      <w:r w:rsidRPr="00C53FE5">
        <w:rPr>
          <w:rFonts w:ascii="Times New Roman" w:hAnsi="Times New Roman" w:cs="Times New Roman"/>
          <w:sz w:val="24"/>
          <w:szCs w:val="24"/>
          <w:lang w:val="en-US"/>
        </w:rPr>
        <w:lastRenderedPageBreak/>
        <w:t>key to accelerating this transformation. In this regard, local government can serve as a facilitator by introducing and teaching relevant technologies to business actors.</w:t>
      </w:r>
    </w:p>
    <w:p w14:paraId="069B4458" w14:textId="2D61DF9A"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To increase the contribution of MSMEs to GRDP and regional development, a strategic model is required that integrates critical aspects such as access to finance, product innovation, digital marketing, and institutional support</w:t>
      </w:r>
      <w:r w:rsidR="00CC5D35">
        <w:rPr>
          <w:rFonts w:ascii="Times New Roman" w:hAnsi="Times New Roman" w:cs="Times New Roman"/>
          <w:sz w:val="24"/>
          <w:szCs w:val="24"/>
          <w:lang w:val="en-US"/>
        </w:rPr>
        <w:t xml:space="preserve"> (Nasution, 2025</w:t>
      </w:r>
      <w:r w:rsidRPr="00C53FE5">
        <w:rPr>
          <w:rFonts w:ascii="Times New Roman" w:hAnsi="Times New Roman" w:cs="Times New Roman"/>
          <w:sz w:val="24"/>
          <w:szCs w:val="24"/>
          <w:lang w:val="en-US"/>
        </w:rPr>
        <w:t>. This model must be grounded in the local potential of West Kisaran and adapted to evolving market needs and characteristics (</w:t>
      </w:r>
      <w:r w:rsidR="00914731">
        <w:rPr>
          <w:rFonts w:ascii="Times New Roman" w:hAnsi="Times New Roman" w:cs="Times New Roman"/>
          <w:sz w:val="24"/>
          <w:szCs w:val="24"/>
          <w:lang w:val="en-US"/>
        </w:rPr>
        <w:t>Sugiat,2020</w:t>
      </w:r>
      <w:r w:rsidRPr="00C53FE5">
        <w:rPr>
          <w:rFonts w:ascii="Times New Roman" w:hAnsi="Times New Roman" w:cs="Times New Roman"/>
          <w:sz w:val="24"/>
          <w:szCs w:val="24"/>
          <w:lang w:val="en-US"/>
        </w:rPr>
        <w:t xml:space="preserve">). With an appropriate model, MSMEs are expected to exert a greater impact on economic growth and income distribution in </w:t>
      </w:r>
      <w:proofErr w:type="spellStart"/>
      <w:r w:rsidRPr="00C53FE5">
        <w:rPr>
          <w:rFonts w:ascii="Times New Roman" w:hAnsi="Times New Roman" w:cs="Times New Roman"/>
          <w:sz w:val="24"/>
          <w:szCs w:val="24"/>
          <w:lang w:val="en-US"/>
        </w:rPr>
        <w:t>Asahan</w:t>
      </w:r>
      <w:proofErr w:type="spellEnd"/>
      <w:r w:rsidRPr="00C53FE5">
        <w:rPr>
          <w:rFonts w:ascii="Times New Roman" w:hAnsi="Times New Roman" w:cs="Times New Roman"/>
          <w:sz w:val="24"/>
          <w:szCs w:val="24"/>
          <w:lang w:val="en-US"/>
        </w:rPr>
        <w:t xml:space="preserve"> Regency.</w:t>
      </w:r>
    </w:p>
    <w:p w14:paraId="03535BC1" w14:textId="3D124E33" w:rsidR="00645D37" w:rsidRPr="00645D37" w:rsidRDefault="00645D37" w:rsidP="00645D37">
      <w:pPr>
        <w:jc w:val="both"/>
        <w:rPr>
          <w:rFonts w:ascii="Times New Roman" w:hAnsi="Times New Roman" w:cs="Times New Roman"/>
          <w:sz w:val="24"/>
          <w:szCs w:val="24"/>
          <w:highlight w:val="yellow"/>
        </w:rPr>
      </w:pPr>
      <w:r w:rsidRPr="00645D37">
        <w:rPr>
          <w:rFonts w:ascii="Times New Roman" w:hAnsi="Times New Roman" w:cs="Times New Roman"/>
          <w:sz w:val="24"/>
          <w:szCs w:val="24"/>
          <w:highlight w:val="yellow"/>
        </w:rPr>
        <w:t>MSME development constraints in many local contexts often involve limited capital, uneven managerial capacity, and slow adoption of marketing innovation, which collectively restrict competitiveness (</w:t>
      </w:r>
      <w:r w:rsidRPr="00645D37">
        <w:rPr>
          <w:rFonts w:ascii="Times New Roman" w:hAnsi="Times New Roman" w:cs="Times New Roman"/>
          <w:sz w:val="24"/>
          <w:szCs w:val="24"/>
          <w:highlight w:val="yellow"/>
          <w:lang w:val="en-US"/>
        </w:rPr>
        <w:t>(Wang, 2024).</w:t>
      </w:r>
      <w:r w:rsidRPr="00645D37">
        <w:rPr>
          <w:rFonts w:ascii="Times New Roman" w:hAnsi="Times New Roman" w:cs="Times New Roman"/>
          <w:sz w:val="24"/>
          <w:szCs w:val="24"/>
          <w:highlight w:val="yellow"/>
        </w:rPr>
        <w:t xml:space="preserve">). Alongside this, digital transformation is increasingly decisive for MSME market access, because digital channels allow firms to expand beyond local boundaries and build stronger customer relationships. Therefore, MSME strengthening in West </w:t>
      </w:r>
      <w:proofErr w:type="spellStart"/>
      <w:r w:rsidRPr="00645D37">
        <w:rPr>
          <w:rFonts w:ascii="Times New Roman" w:hAnsi="Times New Roman" w:cs="Times New Roman"/>
          <w:sz w:val="24"/>
          <w:szCs w:val="24"/>
          <w:highlight w:val="yellow"/>
        </w:rPr>
        <w:t>Kisaran</w:t>
      </w:r>
      <w:proofErr w:type="spellEnd"/>
      <w:r w:rsidRPr="00645D37">
        <w:rPr>
          <w:rFonts w:ascii="Times New Roman" w:hAnsi="Times New Roman" w:cs="Times New Roman"/>
          <w:sz w:val="24"/>
          <w:szCs w:val="24"/>
          <w:highlight w:val="yellow"/>
        </w:rPr>
        <w:t xml:space="preserve"> must integrate product upgrading and digital market expansion with supportive local institutions.</w:t>
      </w:r>
    </w:p>
    <w:p w14:paraId="5A8448DE" w14:textId="024EC54F" w:rsidR="00C53FE5" w:rsidRPr="00645D37" w:rsidRDefault="00645D37" w:rsidP="0049307A">
      <w:pPr>
        <w:jc w:val="both"/>
        <w:rPr>
          <w:rFonts w:ascii="Times New Roman" w:hAnsi="Times New Roman" w:cs="Times New Roman"/>
          <w:sz w:val="24"/>
          <w:szCs w:val="24"/>
        </w:rPr>
      </w:pPr>
      <w:r w:rsidRPr="00645D37">
        <w:rPr>
          <w:rFonts w:ascii="Times New Roman" w:hAnsi="Times New Roman" w:cs="Times New Roman"/>
          <w:sz w:val="24"/>
          <w:szCs w:val="24"/>
          <w:highlight w:val="yellow"/>
        </w:rPr>
        <w:t xml:space="preserve">At the policy level, aligning MSME strategies with regional development requires structured prioritisation, because local governments and MSME ecosystems face limited budgets and implementation capacity. A strategy prioritisation approach that combines </w:t>
      </w:r>
      <w:r w:rsidRPr="00645D37">
        <w:rPr>
          <w:rFonts w:ascii="Times New Roman" w:hAnsi="Times New Roman" w:cs="Times New Roman"/>
          <w:b/>
          <w:bCs/>
          <w:sz w:val="24"/>
          <w:szCs w:val="24"/>
          <w:highlight w:val="yellow"/>
        </w:rPr>
        <w:t>SWOT</w:t>
      </w:r>
      <w:r w:rsidRPr="00645D37">
        <w:rPr>
          <w:rFonts w:ascii="Times New Roman" w:hAnsi="Times New Roman" w:cs="Times New Roman"/>
          <w:sz w:val="24"/>
          <w:szCs w:val="24"/>
          <w:highlight w:val="yellow"/>
        </w:rPr>
        <w:t xml:space="preserve"> (to map strategic position) and </w:t>
      </w:r>
      <w:r w:rsidRPr="00645D37">
        <w:rPr>
          <w:rFonts w:ascii="Times New Roman" w:hAnsi="Times New Roman" w:cs="Times New Roman"/>
          <w:b/>
          <w:bCs/>
          <w:sz w:val="24"/>
          <w:szCs w:val="24"/>
          <w:highlight w:val="yellow"/>
        </w:rPr>
        <w:t>AHP</w:t>
      </w:r>
      <w:r w:rsidRPr="00645D37">
        <w:rPr>
          <w:rFonts w:ascii="Times New Roman" w:hAnsi="Times New Roman" w:cs="Times New Roman"/>
          <w:sz w:val="24"/>
          <w:szCs w:val="24"/>
          <w:highlight w:val="yellow"/>
        </w:rPr>
        <w:t xml:space="preserve"> (to rank strategic alternatives) offers a practical way to translate diagnostic findings into implementable programmes. Accordingly, this study aims to develop a strategic model that (</w:t>
      </w:r>
      <w:proofErr w:type="spellStart"/>
      <w:r w:rsidRPr="00645D37">
        <w:rPr>
          <w:rFonts w:ascii="Times New Roman" w:hAnsi="Times New Roman" w:cs="Times New Roman"/>
          <w:sz w:val="24"/>
          <w:szCs w:val="24"/>
          <w:highlight w:val="yellow"/>
        </w:rPr>
        <w:t>i</w:t>
      </w:r>
      <w:proofErr w:type="spellEnd"/>
      <w:r w:rsidRPr="00645D37">
        <w:rPr>
          <w:rFonts w:ascii="Times New Roman" w:hAnsi="Times New Roman" w:cs="Times New Roman"/>
          <w:sz w:val="24"/>
          <w:szCs w:val="24"/>
          <w:highlight w:val="yellow"/>
        </w:rPr>
        <w:t xml:space="preserve">) maps MSME internal–external conditions, (ii) prioritises key strategies, and (iii) provides scenario-based targets to support planning and evaluation in West </w:t>
      </w:r>
      <w:proofErr w:type="spellStart"/>
      <w:r w:rsidRPr="00645D37">
        <w:rPr>
          <w:rFonts w:ascii="Times New Roman" w:hAnsi="Times New Roman" w:cs="Times New Roman"/>
          <w:sz w:val="24"/>
          <w:szCs w:val="24"/>
          <w:highlight w:val="yellow"/>
        </w:rPr>
        <w:t>Kisaran</w:t>
      </w:r>
      <w:proofErr w:type="spellEnd"/>
      <w:r w:rsidRPr="00645D37">
        <w:rPr>
          <w:rFonts w:ascii="Times New Roman" w:hAnsi="Times New Roman" w:cs="Times New Roman"/>
          <w:sz w:val="24"/>
          <w:szCs w:val="24"/>
          <w:highlight w:val="yellow"/>
        </w:rPr>
        <w:t xml:space="preserve"> District</w:t>
      </w:r>
      <w:r w:rsidR="00C53FE5" w:rsidRPr="00C53FE5">
        <w:rPr>
          <w:rFonts w:ascii="Times New Roman" w:hAnsi="Times New Roman" w:cs="Times New Roman"/>
          <w:sz w:val="24"/>
          <w:szCs w:val="24"/>
          <w:lang w:val="en-US"/>
        </w:rPr>
        <w:t>.</w:t>
      </w:r>
    </w:p>
    <w:p w14:paraId="1FEC4810" w14:textId="0653868D" w:rsidR="00C53FE5" w:rsidRPr="00C53FE5" w:rsidRDefault="00C53FE5" w:rsidP="0049307A">
      <w:pPr>
        <w:jc w:val="both"/>
        <w:rPr>
          <w:rFonts w:ascii="Times New Roman" w:hAnsi="Times New Roman" w:cs="Times New Roman"/>
          <w:sz w:val="24"/>
          <w:szCs w:val="24"/>
          <w:lang w:val="en-US"/>
        </w:rPr>
      </w:pPr>
    </w:p>
    <w:p w14:paraId="4695585E"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II. Research Methods</w:t>
      </w:r>
    </w:p>
    <w:p w14:paraId="4725D84D"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2.1 Research Design</w:t>
      </w:r>
    </w:p>
    <w:p w14:paraId="11E7D080" w14:textId="52B099A6" w:rsidR="00C53FE5" w:rsidRPr="00FC1E21" w:rsidRDefault="00FC1E21" w:rsidP="0049307A">
      <w:pPr>
        <w:jc w:val="both"/>
        <w:rPr>
          <w:rFonts w:ascii="Times New Roman" w:hAnsi="Times New Roman" w:cs="Times New Roman"/>
          <w:sz w:val="24"/>
          <w:szCs w:val="24"/>
          <w:lang w:val="en-US"/>
        </w:rPr>
      </w:pPr>
      <w:r w:rsidRPr="00FC1E21">
        <w:rPr>
          <w:rFonts w:ascii="Times New Roman" w:hAnsi="Times New Roman" w:cs="Times New Roman"/>
          <w:sz w:val="24"/>
          <w:szCs w:val="24"/>
          <w:highlight w:val="yellow"/>
        </w:rPr>
        <w:t>This study applied a mixed-methods design using complementary quantitative and qualitative components. Quantitative data were collected through a structured MSME survey, while qualitative insights were obtained via in-depth stakeholder interviews. The strategic model was developed through SWOT analysis and prioritised using AHP</w:t>
      </w:r>
      <w:r w:rsidR="00C53FE5" w:rsidRPr="00FC1E21">
        <w:rPr>
          <w:rFonts w:ascii="Times New Roman" w:hAnsi="Times New Roman" w:cs="Times New Roman"/>
          <w:sz w:val="24"/>
          <w:szCs w:val="24"/>
          <w:highlight w:val="yellow"/>
          <w:lang w:val="en-US"/>
        </w:rPr>
        <w:t>.</w:t>
      </w:r>
    </w:p>
    <w:p w14:paraId="05367FC4"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2.2 Research Location and Period</w:t>
      </w:r>
    </w:p>
    <w:p w14:paraId="16D03DB3"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The research was conducted in West </w:t>
      </w:r>
      <w:proofErr w:type="spellStart"/>
      <w:r w:rsidRPr="00C53FE5">
        <w:rPr>
          <w:rFonts w:ascii="Times New Roman" w:hAnsi="Times New Roman" w:cs="Times New Roman"/>
          <w:sz w:val="24"/>
          <w:szCs w:val="24"/>
          <w:lang w:val="en-US"/>
        </w:rPr>
        <w:t>Kisaran</w:t>
      </w:r>
      <w:proofErr w:type="spellEnd"/>
      <w:r w:rsidRPr="00C53FE5">
        <w:rPr>
          <w:rFonts w:ascii="Times New Roman" w:hAnsi="Times New Roman" w:cs="Times New Roman"/>
          <w:sz w:val="24"/>
          <w:szCs w:val="24"/>
          <w:lang w:val="en-US"/>
        </w:rPr>
        <w:t xml:space="preserve"> District, </w:t>
      </w:r>
      <w:proofErr w:type="spellStart"/>
      <w:r w:rsidRPr="00C53FE5">
        <w:rPr>
          <w:rFonts w:ascii="Times New Roman" w:hAnsi="Times New Roman" w:cs="Times New Roman"/>
          <w:sz w:val="24"/>
          <w:szCs w:val="24"/>
          <w:lang w:val="en-US"/>
        </w:rPr>
        <w:t>Asahan</w:t>
      </w:r>
      <w:proofErr w:type="spellEnd"/>
      <w:r w:rsidRPr="00C53FE5">
        <w:rPr>
          <w:rFonts w:ascii="Times New Roman" w:hAnsi="Times New Roman" w:cs="Times New Roman"/>
          <w:sz w:val="24"/>
          <w:szCs w:val="24"/>
          <w:lang w:val="en-US"/>
        </w:rPr>
        <w:t xml:space="preserve"> Regency, North Sumatra Province. The area was selected due to its substantial potential for developing MSMEs based on local products, particularly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 xml:space="preserve"> as a regional </w:t>
      </w:r>
      <w:proofErr w:type="spellStart"/>
      <w:r w:rsidRPr="00C53FE5">
        <w:rPr>
          <w:rFonts w:ascii="Times New Roman" w:hAnsi="Times New Roman" w:cs="Times New Roman"/>
          <w:sz w:val="24"/>
          <w:szCs w:val="24"/>
          <w:lang w:val="en-US"/>
        </w:rPr>
        <w:t>speciality</w:t>
      </w:r>
      <w:proofErr w:type="spellEnd"/>
      <w:r w:rsidRPr="00C53FE5">
        <w:rPr>
          <w:rFonts w:ascii="Times New Roman" w:hAnsi="Times New Roman" w:cs="Times New Roman"/>
          <w:sz w:val="24"/>
          <w:szCs w:val="24"/>
          <w:lang w:val="en-US"/>
        </w:rPr>
        <w:t>. The study was carried out in 2025, with data collection conducted from January to March.</w:t>
      </w:r>
    </w:p>
    <w:p w14:paraId="4DDBB80B"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lastRenderedPageBreak/>
        <w:t>2.3 Population and Sample</w:t>
      </w:r>
    </w:p>
    <w:p w14:paraId="3FBA8AFF" w14:textId="77777777" w:rsidR="00FC1E21" w:rsidRPr="00FC1E21" w:rsidRDefault="00FC1E21" w:rsidP="00FC1E21">
      <w:pPr>
        <w:jc w:val="both"/>
        <w:rPr>
          <w:rFonts w:ascii="Times New Roman" w:hAnsi="Times New Roman" w:cs="Times New Roman"/>
          <w:sz w:val="24"/>
          <w:szCs w:val="24"/>
          <w:highlight w:val="yellow"/>
        </w:rPr>
      </w:pPr>
      <w:r w:rsidRPr="00FC1E21">
        <w:rPr>
          <w:rFonts w:ascii="Times New Roman" w:hAnsi="Times New Roman" w:cs="Times New Roman"/>
          <w:sz w:val="24"/>
          <w:szCs w:val="24"/>
          <w:highlight w:val="yellow"/>
        </w:rPr>
        <w:t xml:space="preserve">The population comprised MSMEs registered with local agencies in West </w:t>
      </w:r>
      <w:proofErr w:type="spellStart"/>
      <w:r w:rsidRPr="00FC1E21">
        <w:rPr>
          <w:rFonts w:ascii="Times New Roman" w:hAnsi="Times New Roman" w:cs="Times New Roman"/>
          <w:sz w:val="24"/>
          <w:szCs w:val="24"/>
          <w:highlight w:val="yellow"/>
        </w:rPr>
        <w:t>Kisaran</w:t>
      </w:r>
      <w:proofErr w:type="spellEnd"/>
      <w:r w:rsidRPr="00FC1E21">
        <w:rPr>
          <w:rFonts w:ascii="Times New Roman" w:hAnsi="Times New Roman" w:cs="Times New Roman"/>
          <w:sz w:val="24"/>
          <w:szCs w:val="24"/>
          <w:highlight w:val="yellow"/>
        </w:rPr>
        <w:t xml:space="preserve"> District. The quantitative survey included 120 MSME actors.</w:t>
      </w:r>
    </w:p>
    <w:p w14:paraId="72731EB1" w14:textId="77777777" w:rsidR="00FC1E21" w:rsidRPr="00FC1E21" w:rsidRDefault="00FC1E21" w:rsidP="00FC1E21">
      <w:pPr>
        <w:jc w:val="both"/>
        <w:rPr>
          <w:rFonts w:ascii="Times New Roman" w:hAnsi="Times New Roman" w:cs="Times New Roman"/>
          <w:sz w:val="24"/>
          <w:szCs w:val="24"/>
          <w:highlight w:val="yellow"/>
        </w:rPr>
      </w:pPr>
      <w:r w:rsidRPr="00FC1E21">
        <w:rPr>
          <w:rFonts w:ascii="Times New Roman" w:hAnsi="Times New Roman" w:cs="Times New Roman"/>
          <w:sz w:val="24"/>
          <w:szCs w:val="24"/>
          <w:highlight w:val="yellow"/>
        </w:rPr>
        <w:t>To address potential sector bias, the sampling and analysis were structured as follows:</w:t>
      </w:r>
    </w:p>
    <w:p w14:paraId="456D6622" w14:textId="77777777" w:rsidR="00FC1E21" w:rsidRPr="00FC1E21" w:rsidRDefault="00FC1E21" w:rsidP="00FC1E21">
      <w:pPr>
        <w:numPr>
          <w:ilvl w:val="0"/>
          <w:numId w:val="12"/>
        </w:numPr>
        <w:jc w:val="both"/>
        <w:rPr>
          <w:rFonts w:ascii="Times New Roman" w:hAnsi="Times New Roman" w:cs="Times New Roman"/>
          <w:sz w:val="24"/>
          <w:szCs w:val="24"/>
          <w:highlight w:val="yellow"/>
        </w:rPr>
      </w:pPr>
      <w:r w:rsidRPr="00FC1E21">
        <w:rPr>
          <w:rFonts w:ascii="Times New Roman" w:hAnsi="Times New Roman" w:cs="Times New Roman"/>
          <w:sz w:val="24"/>
          <w:szCs w:val="24"/>
          <w:highlight w:val="yellow"/>
        </w:rPr>
        <w:t>Stratification by dominant sectors (analysis focus): The registry and field mapping indicated that MSMEs are concentrated in three dominant sectors—handicrafts, culinary/food, and trade/retail—which represent the main economic structure of MSMEs in the district.</w:t>
      </w:r>
    </w:p>
    <w:p w14:paraId="10F40DAE" w14:textId="77777777" w:rsidR="00FC1E21" w:rsidRPr="00FC1E21" w:rsidRDefault="00FC1E21" w:rsidP="00FC1E21">
      <w:pPr>
        <w:numPr>
          <w:ilvl w:val="0"/>
          <w:numId w:val="12"/>
        </w:numPr>
        <w:jc w:val="both"/>
        <w:rPr>
          <w:rFonts w:ascii="Times New Roman" w:hAnsi="Times New Roman" w:cs="Times New Roman"/>
          <w:sz w:val="24"/>
          <w:szCs w:val="24"/>
          <w:highlight w:val="yellow"/>
        </w:rPr>
      </w:pPr>
      <w:r w:rsidRPr="00FC1E21">
        <w:rPr>
          <w:rFonts w:ascii="Times New Roman" w:hAnsi="Times New Roman" w:cs="Times New Roman"/>
          <w:sz w:val="24"/>
          <w:szCs w:val="24"/>
          <w:highlight w:val="yellow"/>
        </w:rPr>
        <w:t>Random selection within strata (implementation): Within these dominant strata, respondents were selected randomly based on the available list and field accessibility.</w:t>
      </w:r>
    </w:p>
    <w:p w14:paraId="7DBD9231" w14:textId="77777777" w:rsidR="00FC1E21" w:rsidRPr="00FC1E21" w:rsidRDefault="00FC1E21" w:rsidP="00FC1E21">
      <w:pPr>
        <w:numPr>
          <w:ilvl w:val="0"/>
          <w:numId w:val="12"/>
        </w:numPr>
        <w:jc w:val="both"/>
        <w:rPr>
          <w:rFonts w:ascii="Times New Roman" w:hAnsi="Times New Roman" w:cs="Times New Roman"/>
          <w:sz w:val="24"/>
          <w:szCs w:val="24"/>
          <w:highlight w:val="yellow"/>
        </w:rPr>
      </w:pPr>
      <w:r w:rsidRPr="00FC1E21">
        <w:rPr>
          <w:rFonts w:ascii="Times New Roman" w:hAnsi="Times New Roman" w:cs="Times New Roman"/>
          <w:sz w:val="24"/>
          <w:szCs w:val="24"/>
          <w:highlight w:val="yellow"/>
        </w:rPr>
        <w:t>Handling small “other” sectors (bias control): MSMEs outside the three dominant strata were retained for descriptive profiling but were treated as supplementary in interpretation to reduce bias caused by very small cell counts.</w:t>
      </w:r>
    </w:p>
    <w:p w14:paraId="6C9E54AA" w14:textId="632C0670" w:rsidR="00FC1E21" w:rsidRPr="00FC1E21" w:rsidRDefault="00FC1E21" w:rsidP="00FC1E21">
      <w:pPr>
        <w:jc w:val="both"/>
        <w:rPr>
          <w:rFonts w:ascii="Times New Roman" w:hAnsi="Times New Roman" w:cs="Times New Roman"/>
          <w:sz w:val="24"/>
          <w:szCs w:val="24"/>
        </w:rPr>
      </w:pPr>
      <w:r w:rsidRPr="00FC1E21">
        <w:rPr>
          <w:rFonts w:ascii="Times New Roman" w:hAnsi="Times New Roman" w:cs="Times New Roman"/>
          <w:sz w:val="24"/>
          <w:szCs w:val="24"/>
          <w:highlight w:val="yellow"/>
        </w:rPr>
        <w:t>Note on sample size: The sample of 120 provides a valid basis for descriptive diagnostics and strategy prioritisation; however, in line with reviewer guidance, future replication should expand the sample to ~200 using proportional stratified random sampling to further strengthen sector representation and the robustness of subgroup analysis.</w:t>
      </w:r>
    </w:p>
    <w:p w14:paraId="397DBDB2"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2.4 Research Variables and Operational Definitions</w:t>
      </w:r>
    </w:p>
    <w:p w14:paraId="78C61E96" w14:textId="77777777" w:rsidR="00FC1E21" w:rsidRPr="00FC1E21" w:rsidRDefault="00FC1E21" w:rsidP="00FC1E21">
      <w:pPr>
        <w:jc w:val="both"/>
        <w:rPr>
          <w:rFonts w:ascii="Times New Roman" w:hAnsi="Times New Roman" w:cs="Times New Roman"/>
          <w:sz w:val="24"/>
          <w:szCs w:val="24"/>
          <w:highlight w:val="yellow"/>
        </w:rPr>
      </w:pPr>
      <w:r w:rsidRPr="00FC1E21">
        <w:rPr>
          <w:rFonts w:ascii="Times New Roman" w:hAnsi="Times New Roman" w:cs="Times New Roman"/>
          <w:sz w:val="24"/>
          <w:szCs w:val="24"/>
          <w:highlight w:val="yellow"/>
        </w:rPr>
        <w:t xml:space="preserve">Qualitative data were obtained through </w:t>
      </w:r>
      <w:r w:rsidRPr="00FC1E21">
        <w:rPr>
          <w:rFonts w:ascii="Times New Roman" w:hAnsi="Times New Roman" w:cs="Times New Roman"/>
          <w:b/>
          <w:bCs/>
          <w:sz w:val="24"/>
          <w:szCs w:val="24"/>
          <w:highlight w:val="yellow"/>
        </w:rPr>
        <w:t>12 in-depth interviews</w:t>
      </w:r>
      <w:r w:rsidRPr="00FC1E21">
        <w:rPr>
          <w:rFonts w:ascii="Times New Roman" w:hAnsi="Times New Roman" w:cs="Times New Roman"/>
          <w:sz w:val="24"/>
          <w:szCs w:val="24"/>
          <w:highlight w:val="yellow"/>
        </w:rPr>
        <w:t xml:space="preserve"> with key stakeholders:</w:t>
      </w:r>
    </w:p>
    <w:p w14:paraId="6390595A" w14:textId="77777777" w:rsidR="00FC1E21" w:rsidRPr="00FC1E21" w:rsidRDefault="00FC1E21" w:rsidP="00FC1E21">
      <w:pPr>
        <w:numPr>
          <w:ilvl w:val="0"/>
          <w:numId w:val="13"/>
        </w:numPr>
        <w:jc w:val="both"/>
        <w:rPr>
          <w:rFonts w:ascii="Times New Roman" w:hAnsi="Times New Roman" w:cs="Times New Roman"/>
          <w:sz w:val="24"/>
          <w:szCs w:val="24"/>
          <w:highlight w:val="yellow"/>
        </w:rPr>
      </w:pPr>
      <w:r w:rsidRPr="00FC1E21">
        <w:rPr>
          <w:rFonts w:ascii="Times New Roman" w:hAnsi="Times New Roman" w:cs="Times New Roman"/>
          <w:sz w:val="24"/>
          <w:szCs w:val="24"/>
          <w:highlight w:val="yellow"/>
        </w:rPr>
        <w:t>local government (economic/MSME-related offices),</w:t>
      </w:r>
    </w:p>
    <w:p w14:paraId="33C0AB16" w14:textId="77777777" w:rsidR="00FC1E21" w:rsidRPr="00FC1E21" w:rsidRDefault="00FC1E21" w:rsidP="00FC1E21">
      <w:pPr>
        <w:numPr>
          <w:ilvl w:val="0"/>
          <w:numId w:val="13"/>
        </w:numPr>
        <w:jc w:val="both"/>
        <w:rPr>
          <w:rFonts w:ascii="Times New Roman" w:hAnsi="Times New Roman" w:cs="Times New Roman"/>
          <w:sz w:val="24"/>
          <w:szCs w:val="24"/>
          <w:highlight w:val="yellow"/>
        </w:rPr>
      </w:pPr>
      <w:r w:rsidRPr="00FC1E21">
        <w:rPr>
          <w:rFonts w:ascii="Times New Roman" w:hAnsi="Times New Roman" w:cs="Times New Roman"/>
          <w:sz w:val="24"/>
          <w:szCs w:val="24"/>
          <w:highlight w:val="yellow"/>
        </w:rPr>
        <w:t>financial institutions / KUR-related practitioners,</w:t>
      </w:r>
    </w:p>
    <w:p w14:paraId="01703939" w14:textId="77777777" w:rsidR="00FC1E21" w:rsidRPr="00FC1E21" w:rsidRDefault="00FC1E21" w:rsidP="00FC1E21">
      <w:pPr>
        <w:numPr>
          <w:ilvl w:val="0"/>
          <w:numId w:val="13"/>
        </w:numPr>
        <w:jc w:val="both"/>
        <w:rPr>
          <w:rFonts w:ascii="Times New Roman" w:hAnsi="Times New Roman" w:cs="Times New Roman"/>
          <w:sz w:val="24"/>
          <w:szCs w:val="24"/>
          <w:highlight w:val="yellow"/>
        </w:rPr>
      </w:pPr>
      <w:r w:rsidRPr="00FC1E21">
        <w:rPr>
          <w:rFonts w:ascii="Times New Roman" w:hAnsi="Times New Roman" w:cs="Times New Roman"/>
          <w:sz w:val="24"/>
          <w:szCs w:val="24"/>
          <w:highlight w:val="yellow"/>
        </w:rPr>
        <w:t>MSME associations/community leaders,</w:t>
      </w:r>
    </w:p>
    <w:p w14:paraId="494FE519" w14:textId="77777777" w:rsidR="00FC1E21" w:rsidRPr="00FC1E21" w:rsidRDefault="00FC1E21" w:rsidP="00FC1E21">
      <w:pPr>
        <w:numPr>
          <w:ilvl w:val="0"/>
          <w:numId w:val="13"/>
        </w:numPr>
        <w:jc w:val="both"/>
        <w:rPr>
          <w:rFonts w:ascii="Times New Roman" w:hAnsi="Times New Roman" w:cs="Times New Roman"/>
          <w:sz w:val="24"/>
          <w:szCs w:val="24"/>
          <w:highlight w:val="yellow"/>
        </w:rPr>
      </w:pPr>
      <w:r w:rsidRPr="00FC1E21">
        <w:rPr>
          <w:rFonts w:ascii="Times New Roman" w:hAnsi="Times New Roman" w:cs="Times New Roman"/>
          <w:sz w:val="24"/>
          <w:szCs w:val="24"/>
          <w:highlight w:val="yellow"/>
        </w:rPr>
        <w:t>academics/practitioners familiar with local MSME development.</w:t>
      </w:r>
    </w:p>
    <w:p w14:paraId="1914BC10" w14:textId="5C283C68" w:rsidR="00FC1E21" w:rsidRPr="00FC1E21" w:rsidRDefault="00FC1E21" w:rsidP="00FC1E21">
      <w:pPr>
        <w:jc w:val="both"/>
        <w:rPr>
          <w:rFonts w:ascii="Times New Roman" w:hAnsi="Times New Roman" w:cs="Times New Roman"/>
          <w:sz w:val="24"/>
          <w:szCs w:val="24"/>
        </w:rPr>
      </w:pPr>
      <w:r w:rsidRPr="00FC1E21">
        <w:rPr>
          <w:rFonts w:ascii="Times New Roman" w:hAnsi="Times New Roman" w:cs="Times New Roman"/>
          <w:sz w:val="24"/>
          <w:szCs w:val="24"/>
          <w:highlight w:val="yellow"/>
        </w:rPr>
        <w:t>Interview findings were used to validate SWOT factor selection and refine feasible implementation pathways.</w:t>
      </w:r>
    </w:p>
    <w:p w14:paraId="43E4896B"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2.5 Research Instruments</w:t>
      </w:r>
    </w:p>
    <w:p w14:paraId="31789DF8"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The research instruments consist of a questionnaire and interview guidelines. The questionnaire was constructed based on the aforementioned variables and employs a Likert scale to measure MSME actors’ perceptions of strategic factors affecting their businesses. The instrument’s validity and reliability were tested using Factor Analysis and Cronbach’s Alpha, yielding a KMO value of </w:t>
      </w:r>
      <w:r w:rsidRPr="00C53FE5">
        <w:rPr>
          <w:rFonts w:ascii="Times New Roman" w:hAnsi="Times New Roman" w:cs="Times New Roman"/>
          <w:sz w:val="24"/>
          <w:szCs w:val="24"/>
          <w:lang w:val="en-US"/>
        </w:rPr>
        <w:lastRenderedPageBreak/>
        <w:t>0.912 and Cronbach’s Alpha of 0.948, indicating that the instrument is both valid and reliable (</w:t>
      </w:r>
      <w:proofErr w:type="spellStart"/>
      <w:r w:rsidRPr="00C53FE5">
        <w:rPr>
          <w:rFonts w:ascii="Times New Roman" w:hAnsi="Times New Roman" w:cs="Times New Roman"/>
          <w:sz w:val="24"/>
          <w:szCs w:val="24"/>
          <w:lang w:val="en-US"/>
        </w:rPr>
        <w:t>Sembiring</w:t>
      </w:r>
      <w:proofErr w:type="spellEnd"/>
      <w:r w:rsidRPr="00C53FE5">
        <w:rPr>
          <w:rFonts w:ascii="Times New Roman" w:hAnsi="Times New Roman" w:cs="Times New Roman"/>
          <w:sz w:val="24"/>
          <w:szCs w:val="24"/>
          <w:lang w:val="en-US"/>
        </w:rPr>
        <w:t xml:space="preserve"> et al., 2023).</w:t>
      </w:r>
    </w:p>
    <w:p w14:paraId="7B511399"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2.6 Data Collection Techniques</w:t>
      </w:r>
    </w:p>
    <w:p w14:paraId="7069D2FC"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Data collection was conducted using two main methods:</w:t>
      </w:r>
    </w:p>
    <w:p w14:paraId="26CFF7DF" w14:textId="77777777" w:rsidR="00C53FE5" w:rsidRPr="00C53FE5" w:rsidRDefault="00C53FE5" w:rsidP="0049307A">
      <w:pPr>
        <w:numPr>
          <w:ilvl w:val="0"/>
          <w:numId w:val="8"/>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Survey:</w:t>
      </w:r>
      <w:r w:rsidRPr="00C53FE5">
        <w:rPr>
          <w:rFonts w:ascii="Times New Roman" w:hAnsi="Times New Roman" w:cs="Times New Roman"/>
          <w:sz w:val="24"/>
          <w:szCs w:val="24"/>
          <w:lang w:val="en-US"/>
        </w:rPr>
        <w:t xml:space="preserve"> Administered to 120 MSME actors in West Kisaran District. The data collected include information on business conditions, products produced, obstacles faced, and factors affecting MSME development.</w:t>
      </w:r>
    </w:p>
    <w:p w14:paraId="1364F643" w14:textId="77777777" w:rsidR="00C53FE5" w:rsidRPr="00C53FE5" w:rsidRDefault="00C53FE5" w:rsidP="0049307A">
      <w:pPr>
        <w:numPr>
          <w:ilvl w:val="0"/>
          <w:numId w:val="8"/>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In-depth Interviews:</w:t>
      </w:r>
      <w:r w:rsidRPr="00C53FE5">
        <w:rPr>
          <w:rFonts w:ascii="Times New Roman" w:hAnsi="Times New Roman" w:cs="Times New Roman"/>
          <w:sz w:val="24"/>
          <w:szCs w:val="24"/>
          <w:lang w:val="en-US"/>
        </w:rPr>
        <w:t xml:space="preserve"> Conducted with stakeholders such as local government officials, financial institutions, and MSME associations. These interviews aim to gather qualitative information on policy, institutional support, and MSME development potential in West Kisaran (Hartanto et al., 2022).</w:t>
      </w:r>
    </w:p>
    <w:p w14:paraId="2348306C"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2.7 Data Analysis Techniques</w:t>
      </w:r>
    </w:p>
    <w:p w14:paraId="23766F09"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The data collected were </w:t>
      </w:r>
      <w:proofErr w:type="spellStart"/>
      <w:r w:rsidRPr="00C53FE5">
        <w:rPr>
          <w:rFonts w:ascii="Times New Roman" w:hAnsi="Times New Roman" w:cs="Times New Roman"/>
          <w:sz w:val="24"/>
          <w:szCs w:val="24"/>
          <w:lang w:val="en-US"/>
        </w:rPr>
        <w:t>analysed</w:t>
      </w:r>
      <w:proofErr w:type="spellEnd"/>
      <w:r w:rsidRPr="00C53FE5">
        <w:rPr>
          <w:rFonts w:ascii="Times New Roman" w:hAnsi="Times New Roman" w:cs="Times New Roman"/>
          <w:sz w:val="24"/>
          <w:szCs w:val="24"/>
          <w:lang w:val="en-US"/>
        </w:rPr>
        <w:t xml:space="preserve"> using two main approaches:</w:t>
      </w:r>
    </w:p>
    <w:p w14:paraId="118E70E8" w14:textId="77777777" w:rsidR="00C53FE5" w:rsidRPr="00C53FE5" w:rsidRDefault="00C53FE5" w:rsidP="0049307A">
      <w:pPr>
        <w:numPr>
          <w:ilvl w:val="0"/>
          <w:numId w:val="9"/>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SWOT Analysis:</w:t>
      </w:r>
      <w:r w:rsidRPr="00C53FE5">
        <w:rPr>
          <w:rFonts w:ascii="Times New Roman" w:hAnsi="Times New Roman" w:cs="Times New Roman"/>
          <w:sz w:val="24"/>
          <w:szCs w:val="24"/>
          <w:lang w:val="en-US"/>
        </w:rPr>
        <w:t xml:space="preserve"> used to map the strengths, weaknesses, opportunities, and threats faced by MSMEs in West Kisaran District. The results form the basis for formulating development strategies suited to local conditions (</w:t>
      </w:r>
      <w:proofErr w:type="spellStart"/>
      <w:r w:rsidRPr="00C53FE5">
        <w:rPr>
          <w:rFonts w:ascii="Times New Roman" w:hAnsi="Times New Roman" w:cs="Times New Roman"/>
          <w:sz w:val="24"/>
          <w:szCs w:val="24"/>
          <w:lang w:val="en-US"/>
        </w:rPr>
        <w:t>Rambe</w:t>
      </w:r>
      <w:proofErr w:type="spellEnd"/>
      <w:r w:rsidRPr="00C53FE5">
        <w:rPr>
          <w:rFonts w:ascii="Times New Roman" w:hAnsi="Times New Roman" w:cs="Times New Roman"/>
          <w:sz w:val="24"/>
          <w:szCs w:val="24"/>
          <w:lang w:val="en-US"/>
        </w:rPr>
        <w:t xml:space="preserve"> et al., 2025). IFAS (Internal Factor Analysis Summary) and EFAS (External Factor Analysis Summary) matrices are also employed to explore internal and external factors affecting MSMEs (</w:t>
      </w:r>
      <w:proofErr w:type="spellStart"/>
      <w:r w:rsidRPr="00C53FE5">
        <w:rPr>
          <w:rFonts w:ascii="Times New Roman" w:hAnsi="Times New Roman" w:cs="Times New Roman"/>
          <w:sz w:val="24"/>
          <w:szCs w:val="24"/>
          <w:lang w:val="en-US"/>
        </w:rPr>
        <w:t>Sembiring</w:t>
      </w:r>
      <w:proofErr w:type="spellEnd"/>
      <w:r w:rsidRPr="00C53FE5">
        <w:rPr>
          <w:rFonts w:ascii="Times New Roman" w:hAnsi="Times New Roman" w:cs="Times New Roman"/>
          <w:sz w:val="24"/>
          <w:szCs w:val="24"/>
          <w:lang w:val="en-US"/>
        </w:rPr>
        <w:t xml:space="preserve"> et al., 2023).</w:t>
      </w:r>
    </w:p>
    <w:p w14:paraId="208E3672" w14:textId="77777777" w:rsidR="00C53FE5" w:rsidRPr="00C53FE5" w:rsidRDefault="00C53FE5" w:rsidP="0049307A">
      <w:pPr>
        <w:numPr>
          <w:ilvl w:val="0"/>
          <w:numId w:val="9"/>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Analytic Hierarchy Process (AHP):</w:t>
      </w:r>
      <w:r w:rsidRPr="00C53FE5">
        <w:rPr>
          <w:rFonts w:ascii="Times New Roman" w:hAnsi="Times New Roman" w:cs="Times New Roman"/>
          <w:sz w:val="24"/>
          <w:szCs w:val="24"/>
          <w:lang w:val="en-US"/>
        </w:rPr>
        <w:t xml:space="preserve"> used to determine priority strategies for MSME development based on stakeholder assessments. The process involves evaluating criteria and strategic alternatives through pairwise comparison matrices, which yield priority weights for each strategy (</w:t>
      </w:r>
      <w:proofErr w:type="spellStart"/>
      <w:r w:rsidRPr="00C53FE5">
        <w:rPr>
          <w:rFonts w:ascii="Times New Roman" w:hAnsi="Times New Roman" w:cs="Times New Roman"/>
          <w:sz w:val="24"/>
          <w:szCs w:val="24"/>
          <w:lang w:val="en-US"/>
        </w:rPr>
        <w:t>Fadillah</w:t>
      </w:r>
      <w:proofErr w:type="spellEnd"/>
      <w:r w:rsidRPr="00C53FE5">
        <w:rPr>
          <w:rFonts w:ascii="Times New Roman" w:hAnsi="Times New Roman" w:cs="Times New Roman"/>
          <w:sz w:val="24"/>
          <w:szCs w:val="24"/>
          <w:lang w:val="en-US"/>
        </w:rPr>
        <w:t xml:space="preserve"> et al., 2025). AHP enables systematic and objective evaluation of multiple factors, resulting in more targeted and measurable strategies.</w:t>
      </w:r>
    </w:p>
    <w:p w14:paraId="0ACB75CE"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2.8 Integration of SWOT–AHP</w:t>
      </w:r>
    </w:p>
    <w:p w14:paraId="3A7310C4"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Integrating SWOT with AHP offers advantages by linking internal and external factors influencing MSMEs to the </w:t>
      </w:r>
      <w:proofErr w:type="spellStart"/>
      <w:r w:rsidRPr="00C53FE5">
        <w:rPr>
          <w:rFonts w:ascii="Times New Roman" w:hAnsi="Times New Roman" w:cs="Times New Roman"/>
          <w:sz w:val="24"/>
          <w:szCs w:val="24"/>
          <w:lang w:val="en-US"/>
        </w:rPr>
        <w:t>prioritisation</w:t>
      </w:r>
      <w:proofErr w:type="spellEnd"/>
      <w:r w:rsidRPr="00C53FE5">
        <w:rPr>
          <w:rFonts w:ascii="Times New Roman" w:hAnsi="Times New Roman" w:cs="Times New Roman"/>
          <w:sz w:val="24"/>
          <w:szCs w:val="24"/>
          <w:lang w:val="en-US"/>
        </w:rPr>
        <w:t xml:space="preserve"> of strategies to be implemented. The results of the SWOT analysis inform the AHP assessments, which then generate priority strategies for MSME development in West Kisaran District. This integration process allows the formulation of a more comprehensive and applicable strategic model (Sari, 2024).</w:t>
      </w:r>
    </w:p>
    <w:p w14:paraId="6B56FA21" w14:textId="0252DD70" w:rsidR="00C53FE5" w:rsidRPr="00C53FE5" w:rsidRDefault="00C53FE5" w:rsidP="0049307A">
      <w:pPr>
        <w:jc w:val="both"/>
        <w:rPr>
          <w:rFonts w:ascii="Times New Roman" w:hAnsi="Times New Roman" w:cs="Times New Roman"/>
          <w:sz w:val="24"/>
          <w:szCs w:val="24"/>
          <w:lang w:val="en-US"/>
        </w:rPr>
      </w:pPr>
    </w:p>
    <w:p w14:paraId="02C6B668"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III. Results and Discussion</w:t>
      </w:r>
    </w:p>
    <w:p w14:paraId="1C507559"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lastRenderedPageBreak/>
        <w:t>3.1 General Overview of MSMEs in West Kisaran District</w:t>
      </w:r>
    </w:p>
    <w:p w14:paraId="55B28856"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West Kisaran District is one of the main trading and economic </w:t>
      </w:r>
      <w:proofErr w:type="spellStart"/>
      <w:r w:rsidRPr="00C53FE5">
        <w:rPr>
          <w:rFonts w:ascii="Times New Roman" w:hAnsi="Times New Roman" w:cs="Times New Roman"/>
          <w:sz w:val="24"/>
          <w:szCs w:val="24"/>
          <w:lang w:val="en-US"/>
        </w:rPr>
        <w:t>centres</w:t>
      </w:r>
      <w:proofErr w:type="spellEnd"/>
      <w:r w:rsidRPr="00C53FE5">
        <w:rPr>
          <w:rFonts w:ascii="Times New Roman" w:hAnsi="Times New Roman" w:cs="Times New Roman"/>
          <w:sz w:val="24"/>
          <w:szCs w:val="24"/>
          <w:lang w:val="en-US"/>
        </w:rPr>
        <w:t xml:space="preserve"> in </w:t>
      </w:r>
      <w:proofErr w:type="spellStart"/>
      <w:r w:rsidRPr="00C53FE5">
        <w:rPr>
          <w:rFonts w:ascii="Times New Roman" w:hAnsi="Times New Roman" w:cs="Times New Roman"/>
          <w:sz w:val="24"/>
          <w:szCs w:val="24"/>
          <w:lang w:val="en-US"/>
        </w:rPr>
        <w:t>Asahan</w:t>
      </w:r>
      <w:proofErr w:type="spellEnd"/>
      <w:r w:rsidRPr="00C53FE5">
        <w:rPr>
          <w:rFonts w:ascii="Times New Roman" w:hAnsi="Times New Roman" w:cs="Times New Roman"/>
          <w:sz w:val="24"/>
          <w:szCs w:val="24"/>
          <w:lang w:val="en-US"/>
        </w:rPr>
        <w:t xml:space="preserve"> Regency and has considerable potential for developing MSMEs based on local products. Based on the survey of 120 MSME actors, the majority of enterprises operate in handicrafts, culinary activities, and consumer goods trade. The flagship product serving as a regional icon is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 which, despite its good quality and roots in hereditary craftsmanship, is currently experiencing declining popularity, especially among younger generations. Most MSME actors acknowledge challenges in accessing broader markets and limited knowledge of digital technologies that could support product marketing.</w:t>
      </w:r>
    </w:p>
    <w:p w14:paraId="3D253424"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Table 1 shows the distribution of business types in West Kisaran District, with handicraft enterprises (including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 predominating, followed by culinary and service sectors. Although there is strong potential in local products, many business actors report difficulties competing with modern products that better reflect current consumption trends.</w:t>
      </w:r>
    </w:p>
    <w:p w14:paraId="574E2E4E"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Table 1. Types of Enterprises in West Kisaran District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80"/>
        <w:gridCol w:w="1164"/>
      </w:tblGrid>
      <w:tr w:rsidR="00C53FE5" w:rsidRPr="00C53FE5" w14:paraId="56FC2116" w14:textId="77777777" w:rsidTr="0049307A">
        <w:trPr>
          <w:tblHeader/>
          <w:tblCellSpacing w:w="15" w:type="dxa"/>
        </w:trPr>
        <w:tc>
          <w:tcPr>
            <w:tcW w:w="8035" w:type="dxa"/>
            <w:vAlign w:val="center"/>
            <w:hideMark/>
          </w:tcPr>
          <w:p w14:paraId="6D534F62"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Type of Enterprise</w:t>
            </w:r>
          </w:p>
        </w:tc>
        <w:tc>
          <w:tcPr>
            <w:tcW w:w="0" w:type="auto"/>
            <w:vAlign w:val="center"/>
            <w:hideMark/>
          </w:tcPr>
          <w:p w14:paraId="301955C5"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Frequency</w:t>
            </w:r>
          </w:p>
        </w:tc>
      </w:tr>
      <w:tr w:rsidR="00C53FE5" w:rsidRPr="00C53FE5" w14:paraId="2E88C8E0" w14:textId="77777777" w:rsidTr="0049307A">
        <w:trPr>
          <w:tblCellSpacing w:w="15" w:type="dxa"/>
        </w:trPr>
        <w:tc>
          <w:tcPr>
            <w:tcW w:w="8035" w:type="dxa"/>
            <w:vAlign w:val="center"/>
            <w:hideMark/>
          </w:tcPr>
          <w:p w14:paraId="218E1D83"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Brick-making</w:t>
            </w:r>
          </w:p>
        </w:tc>
        <w:tc>
          <w:tcPr>
            <w:tcW w:w="0" w:type="auto"/>
            <w:vAlign w:val="center"/>
            <w:hideMark/>
          </w:tcPr>
          <w:p w14:paraId="640F003B"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w:t>
            </w:r>
          </w:p>
        </w:tc>
      </w:tr>
      <w:tr w:rsidR="00C53FE5" w:rsidRPr="00C53FE5" w14:paraId="7CF011D6" w14:textId="77777777" w:rsidTr="0049307A">
        <w:trPr>
          <w:tblCellSpacing w:w="15" w:type="dxa"/>
        </w:trPr>
        <w:tc>
          <w:tcPr>
            <w:tcW w:w="8035" w:type="dxa"/>
            <w:vAlign w:val="center"/>
            <w:hideMark/>
          </w:tcPr>
          <w:p w14:paraId="508F135D"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Workshop</w:t>
            </w:r>
          </w:p>
        </w:tc>
        <w:tc>
          <w:tcPr>
            <w:tcW w:w="0" w:type="auto"/>
            <w:vAlign w:val="center"/>
            <w:hideMark/>
          </w:tcPr>
          <w:p w14:paraId="1BE6B665"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w:t>
            </w:r>
          </w:p>
        </w:tc>
      </w:tr>
      <w:tr w:rsidR="00C53FE5" w:rsidRPr="00C53FE5" w14:paraId="1B21687B" w14:textId="77777777" w:rsidTr="0049307A">
        <w:trPr>
          <w:tblCellSpacing w:w="15" w:type="dxa"/>
        </w:trPr>
        <w:tc>
          <w:tcPr>
            <w:tcW w:w="8035" w:type="dxa"/>
            <w:vAlign w:val="center"/>
            <w:hideMark/>
          </w:tcPr>
          <w:p w14:paraId="20E93415"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Home Industry</w:t>
            </w:r>
          </w:p>
        </w:tc>
        <w:tc>
          <w:tcPr>
            <w:tcW w:w="0" w:type="auto"/>
            <w:vAlign w:val="center"/>
            <w:hideMark/>
          </w:tcPr>
          <w:p w14:paraId="2D7FCE7D"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w:t>
            </w:r>
          </w:p>
        </w:tc>
      </w:tr>
      <w:tr w:rsidR="00C53FE5" w:rsidRPr="00C53FE5" w14:paraId="6556BC59" w14:textId="77777777" w:rsidTr="0049307A">
        <w:trPr>
          <w:tblCellSpacing w:w="15" w:type="dxa"/>
        </w:trPr>
        <w:tc>
          <w:tcPr>
            <w:tcW w:w="8035" w:type="dxa"/>
            <w:vAlign w:val="center"/>
            <w:hideMark/>
          </w:tcPr>
          <w:p w14:paraId="6BB1ECB4"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Services</w:t>
            </w:r>
          </w:p>
        </w:tc>
        <w:tc>
          <w:tcPr>
            <w:tcW w:w="0" w:type="auto"/>
            <w:vAlign w:val="center"/>
            <w:hideMark/>
          </w:tcPr>
          <w:p w14:paraId="23D2B42C"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w:t>
            </w:r>
          </w:p>
        </w:tc>
      </w:tr>
      <w:tr w:rsidR="00C53FE5" w:rsidRPr="00C53FE5" w14:paraId="677ABBC7" w14:textId="77777777" w:rsidTr="0049307A">
        <w:trPr>
          <w:tblCellSpacing w:w="15" w:type="dxa"/>
        </w:trPr>
        <w:tc>
          <w:tcPr>
            <w:tcW w:w="8035" w:type="dxa"/>
            <w:vAlign w:val="center"/>
            <w:hideMark/>
          </w:tcPr>
          <w:p w14:paraId="4B847D4B"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Barbershop Services</w:t>
            </w:r>
          </w:p>
        </w:tc>
        <w:tc>
          <w:tcPr>
            <w:tcW w:w="0" w:type="auto"/>
            <w:vAlign w:val="center"/>
            <w:hideMark/>
          </w:tcPr>
          <w:p w14:paraId="34C793B8"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w:t>
            </w:r>
          </w:p>
        </w:tc>
      </w:tr>
      <w:tr w:rsidR="00C53FE5" w:rsidRPr="00C53FE5" w14:paraId="62192555" w14:textId="77777777" w:rsidTr="0049307A">
        <w:trPr>
          <w:tblCellSpacing w:w="15" w:type="dxa"/>
        </w:trPr>
        <w:tc>
          <w:tcPr>
            <w:tcW w:w="8035" w:type="dxa"/>
            <w:vAlign w:val="center"/>
            <w:hideMark/>
          </w:tcPr>
          <w:p w14:paraId="6A82BB80"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Handicrafts</w:t>
            </w:r>
          </w:p>
        </w:tc>
        <w:tc>
          <w:tcPr>
            <w:tcW w:w="0" w:type="auto"/>
            <w:vAlign w:val="center"/>
            <w:hideMark/>
          </w:tcPr>
          <w:p w14:paraId="34600128"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16</w:t>
            </w:r>
          </w:p>
        </w:tc>
      </w:tr>
      <w:tr w:rsidR="00C53FE5" w:rsidRPr="00C53FE5" w14:paraId="21DF7324" w14:textId="77777777" w:rsidTr="0049307A">
        <w:trPr>
          <w:tblCellSpacing w:w="15" w:type="dxa"/>
        </w:trPr>
        <w:tc>
          <w:tcPr>
            <w:tcW w:w="8035" w:type="dxa"/>
            <w:vAlign w:val="center"/>
            <w:hideMark/>
          </w:tcPr>
          <w:p w14:paraId="79BA2ADB"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Culinary</w:t>
            </w:r>
          </w:p>
        </w:tc>
        <w:tc>
          <w:tcPr>
            <w:tcW w:w="0" w:type="auto"/>
            <w:vAlign w:val="center"/>
            <w:hideMark/>
          </w:tcPr>
          <w:p w14:paraId="760B12DC"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48</w:t>
            </w:r>
          </w:p>
        </w:tc>
      </w:tr>
      <w:tr w:rsidR="00C53FE5" w:rsidRPr="00C53FE5" w14:paraId="383B8790" w14:textId="77777777" w:rsidTr="0049307A">
        <w:trPr>
          <w:tblCellSpacing w:w="15" w:type="dxa"/>
        </w:trPr>
        <w:tc>
          <w:tcPr>
            <w:tcW w:w="8035" w:type="dxa"/>
            <w:vAlign w:val="center"/>
            <w:hideMark/>
          </w:tcPr>
          <w:p w14:paraId="1450F13D"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Culinary – Tofu Production</w:t>
            </w:r>
          </w:p>
        </w:tc>
        <w:tc>
          <w:tcPr>
            <w:tcW w:w="0" w:type="auto"/>
            <w:vAlign w:val="center"/>
            <w:hideMark/>
          </w:tcPr>
          <w:p w14:paraId="00437DBE"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2</w:t>
            </w:r>
          </w:p>
        </w:tc>
      </w:tr>
      <w:tr w:rsidR="00C53FE5" w:rsidRPr="00C53FE5" w14:paraId="5158C88E" w14:textId="77777777" w:rsidTr="0049307A">
        <w:trPr>
          <w:tblCellSpacing w:w="15" w:type="dxa"/>
        </w:trPr>
        <w:tc>
          <w:tcPr>
            <w:tcW w:w="8035" w:type="dxa"/>
            <w:vAlign w:val="center"/>
            <w:hideMark/>
          </w:tcPr>
          <w:p w14:paraId="5ECC793A"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Others</w:t>
            </w:r>
          </w:p>
        </w:tc>
        <w:tc>
          <w:tcPr>
            <w:tcW w:w="0" w:type="auto"/>
            <w:vAlign w:val="center"/>
            <w:hideMark/>
          </w:tcPr>
          <w:p w14:paraId="65538D18"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8</w:t>
            </w:r>
          </w:p>
        </w:tc>
      </w:tr>
      <w:tr w:rsidR="00C53FE5" w:rsidRPr="00C53FE5" w14:paraId="4A2A8BDD" w14:textId="77777777" w:rsidTr="0049307A">
        <w:trPr>
          <w:tblCellSpacing w:w="15" w:type="dxa"/>
        </w:trPr>
        <w:tc>
          <w:tcPr>
            <w:tcW w:w="8035" w:type="dxa"/>
            <w:vAlign w:val="center"/>
            <w:hideMark/>
          </w:tcPr>
          <w:p w14:paraId="5612CC92"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Tofu Manufacturing</w:t>
            </w:r>
          </w:p>
        </w:tc>
        <w:tc>
          <w:tcPr>
            <w:tcW w:w="0" w:type="auto"/>
            <w:vAlign w:val="center"/>
            <w:hideMark/>
          </w:tcPr>
          <w:p w14:paraId="2A3EE6D7"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w:t>
            </w:r>
          </w:p>
        </w:tc>
      </w:tr>
      <w:tr w:rsidR="00C53FE5" w:rsidRPr="00C53FE5" w14:paraId="4E8974FC" w14:textId="77777777" w:rsidTr="0049307A">
        <w:trPr>
          <w:tblCellSpacing w:w="15" w:type="dxa"/>
        </w:trPr>
        <w:tc>
          <w:tcPr>
            <w:tcW w:w="8035" w:type="dxa"/>
            <w:vAlign w:val="center"/>
            <w:hideMark/>
          </w:tcPr>
          <w:p w14:paraId="5D447B3E"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Cracker Factory</w:t>
            </w:r>
          </w:p>
        </w:tc>
        <w:tc>
          <w:tcPr>
            <w:tcW w:w="0" w:type="auto"/>
            <w:vAlign w:val="center"/>
            <w:hideMark/>
          </w:tcPr>
          <w:p w14:paraId="2738F130"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w:t>
            </w:r>
          </w:p>
        </w:tc>
      </w:tr>
      <w:tr w:rsidR="00C53FE5" w:rsidRPr="00C53FE5" w14:paraId="22F21D7C" w14:textId="77777777" w:rsidTr="0049307A">
        <w:trPr>
          <w:tblCellSpacing w:w="15" w:type="dxa"/>
        </w:trPr>
        <w:tc>
          <w:tcPr>
            <w:tcW w:w="8035" w:type="dxa"/>
            <w:vAlign w:val="center"/>
            <w:hideMark/>
          </w:tcPr>
          <w:p w14:paraId="0A59CA62"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Processing</w:t>
            </w:r>
          </w:p>
        </w:tc>
        <w:tc>
          <w:tcPr>
            <w:tcW w:w="0" w:type="auto"/>
            <w:vAlign w:val="center"/>
            <w:hideMark/>
          </w:tcPr>
          <w:p w14:paraId="31B5B51E"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w:t>
            </w:r>
          </w:p>
        </w:tc>
      </w:tr>
      <w:tr w:rsidR="00C53FE5" w:rsidRPr="00C53FE5" w14:paraId="60B20E6E" w14:textId="77777777" w:rsidTr="0049307A">
        <w:trPr>
          <w:tblCellSpacing w:w="15" w:type="dxa"/>
        </w:trPr>
        <w:tc>
          <w:tcPr>
            <w:tcW w:w="8035" w:type="dxa"/>
            <w:vAlign w:val="center"/>
            <w:hideMark/>
          </w:tcPr>
          <w:p w14:paraId="3D61F2DE"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lastRenderedPageBreak/>
              <w:t>Trade</w:t>
            </w:r>
          </w:p>
        </w:tc>
        <w:tc>
          <w:tcPr>
            <w:tcW w:w="0" w:type="auto"/>
            <w:vAlign w:val="center"/>
            <w:hideMark/>
          </w:tcPr>
          <w:p w14:paraId="71AEF9CC"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36</w:t>
            </w:r>
          </w:p>
        </w:tc>
      </w:tr>
      <w:tr w:rsidR="00C53FE5" w:rsidRPr="00C53FE5" w14:paraId="2C2C7735" w14:textId="77777777" w:rsidTr="0049307A">
        <w:trPr>
          <w:tblCellSpacing w:w="15" w:type="dxa"/>
        </w:trPr>
        <w:tc>
          <w:tcPr>
            <w:tcW w:w="8035" w:type="dxa"/>
            <w:vAlign w:val="center"/>
            <w:hideMark/>
          </w:tcPr>
          <w:p w14:paraId="29E06D9A"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Basic Food Retail (</w:t>
            </w:r>
            <w:proofErr w:type="spellStart"/>
            <w:r w:rsidRPr="00C53FE5">
              <w:rPr>
                <w:rFonts w:ascii="Times New Roman" w:hAnsi="Times New Roman" w:cs="Times New Roman"/>
                <w:i/>
                <w:iCs/>
                <w:sz w:val="24"/>
                <w:szCs w:val="24"/>
                <w:lang w:val="en-US"/>
              </w:rPr>
              <w:t>Sembako</w:t>
            </w:r>
            <w:proofErr w:type="spellEnd"/>
            <w:r w:rsidRPr="00C53FE5">
              <w:rPr>
                <w:rFonts w:ascii="Times New Roman" w:hAnsi="Times New Roman" w:cs="Times New Roman"/>
                <w:sz w:val="24"/>
                <w:szCs w:val="24"/>
                <w:lang w:val="en-US"/>
              </w:rPr>
              <w:t>)</w:t>
            </w:r>
          </w:p>
        </w:tc>
        <w:tc>
          <w:tcPr>
            <w:tcW w:w="0" w:type="auto"/>
            <w:vAlign w:val="center"/>
            <w:hideMark/>
          </w:tcPr>
          <w:p w14:paraId="21D9660B"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2</w:t>
            </w:r>
          </w:p>
        </w:tc>
      </w:tr>
      <w:tr w:rsidR="00C53FE5" w:rsidRPr="00C53FE5" w14:paraId="0D36938C" w14:textId="77777777" w:rsidTr="0049307A">
        <w:trPr>
          <w:tblCellSpacing w:w="15" w:type="dxa"/>
        </w:trPr>
        <w:tc>
          <w:tcPr>
            <w:tcW w:w="8035" w:type="dxa"/>
            <w:vAlign w:val="center"/>
            <w:hideMark/>
          </w:tcPr>
          <w:p w14:paraId="40E60379"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Total</w:t>
            </w:r>
          </w:p>
        </w:tc>
        <w:tc>
          <w:tcPr>
            <w:tcW w:w="0" w:type="auto"/>
            <w:vAlign w:val="center"/>
            <w:hideMark/>
          </w:tcPr>
          <w:p w14:paraId="531FFCEB"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120</w:t>
            </w:r>
          </w:p>
        </w:tc>
      </w:tr>
    </w:tbl>
    <w:p w14:paraId="01C722FA"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3.2 Validity and Reliability Tests</w:t>
      </w:r>
    </w:p>
    <w:p w14:paraId="4F957E60"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Validity and reliability tests were conducted to ensure the quality of the instruments used in this study. The validity test results indicate that all items in the questionnaire have significant loading factor values, with a KMO value of 0.912, suggesting that the data are highly suitable for further factor analysis. Additionally, a Cronbach’s Alpha value of 0.948 indicates a very high level of reliability, signifying that the instrument produces consistent and dependable results.</w:t>
      </w:r>
    </w:p>
    <w:p w14:paraId="351E1380" w14:textId="77777777" w:rsidR="00C53FE5" w:rsidRPr="00C53FE5" w:rsidRDefault="00C53FE5" w:rsidP="0049307A">
      <w:pPr>
        <w:jc w:val="center"/>
        <w:rPr>
          <w:rFonts w:ascii="Times New Roman" w:hAnsi="Times New Roman" w:cs="Times New Roman"/>
          <w:sz w:val="24"/>
          <w:szCs w:val="24"/>
          <w:lang w:val="en-US"/>
        </w:rPr>
      </w:pPr>
      <w:r w:rsidRPr="00C53FE5">
        <w:rPr>
          <w:rFonts w:ascii="Times New Roman" w:hAnsi="Times New Roman" w:cs="Times New Roman"/>
          <w:b/>
          <w:bCs/>
          <w:sz w:val="24"/>
          <w:szCs w:val="24"/>
          <w:lang w:val="en-US"/>
        </w:rPr>
        <w:t>Table 2. Validity and Reliability Tests</w:t>
      </w:r>
    </w:p>
    <w:tbl>
      <w:tblPr>
        <w:tblStyle w:val="TableGridLight"/>
        <w:tblW w:w="0" w:type="auto"/>
        <w:tblLook w:val="04A0" w:firstRow="1" w:lastRow="0" w:firstColumn="1" w:lastColumn="0" w:noHBand="0" w:noVBand="1"/>
      </w:tblPr>
      <w:tblGrid>
        <w:gridCol w:w="1454"/>
        <w:gridCol w:w="2124"/>
        <w:gridCol w:w="1983"/>
        <w:gridCol w:w="3789"/>
      </w:tblGrid>
      <w:tr w:rsidR="00C53FE5" w:rsidRPr="00C53FE5" w14:paraId="2FE1ADC0" w14:textId="77777777" w:rsidTr="0049307A">
        <w:tc>
          <w:tcPr>
            <w:tcW w:w="0" w:type="auto"/>
            <w:hideMark/>
          </w:tcPr>
          <w:p w14:paraId="5DDEF22F"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Test</w:t>
            </w:r>
          </w:p>
        </w:tc>
        <w:tc>
          <w:tcPr>
            <w:tcW w:w="0" w:type="auto"/>
            <w:hideMark/>
          </w:tcPr>
          <w:p w14:paraId="4CFDE95D"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Criteria</w:t>
            </w:r>
          </w:p>
        </w:tc>
        <w:tc>
          <w:tcPr>
            <w:tcW w:w="0" w:type="auto"/>
            <w:hideMark/>
          </w:tcPr>
          <w:p w14:paraId="43EE6B07"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Value</w:t>
            </w:r>
          </w:p>
        </w:tc>
        <w:tc>
          <w:tcPr>
            <w:tcW w:w="0" w:type="auto"/>
            <w:hideMark/>
          </w:tcPr>
          <w:p w14:paraId="2C8CC802"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Description</w:t>
            </w:r>
          </w:p>
        </w:tc>
      </w:tr>
      <w:tr w:rsidR="00C53FE5" w:rsidRPr="00C53FE5" w14:paraId="4BF89E1D" w14:textId="77777777" w:rsidTr="0049307A">
        <w:tc>
          <w:tcPr>
            <w:tcW w:w="0" w:type="auto"/>
            <w:hideMark/>
          </w:tcPr>
          <w:p w14:paraId="7FD35AFD"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Validity Test</w:t>
            </w:r>
          </w:p>
        </w:tc>
        <w:tc>
          <w:tcPr>
            <w:tcW w:w="0" w:type="auto"/>
            <w:hideMark/>
          </w:tcPr>
          <w:p w14:paraId="6A569D9C"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KMO (Kaiser-Meyer-Olkin)</w:t>
            </w:r>
          </w:p>
        </w:tc>
        <w:tc>
          <w:tcPr>
            <w:tcW w:w="0" w:type="auto"/>
            <w:hideMark/>
          </w:tcPr>
          <w:p w14:paraId="17E953B3"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0.912</w:t>
            </w:r>
          </w:p>
        </w:tc>
        <w:tc>
          <w:tcPr>
            <w:tcW w:w="0" w:type="auto"/>
            <w:hideMark/>
          </w:tcPr>
          <w:p w14:paraId="6D3CAE53"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KMO &gt; 0.6 indicates data suitability for factor analysis. Valid.</w:t>
            </w:r>
          </w:p>
        </w:tc>
      </w:tr>
      <w:tr w:rsidR="00C53FE5" w:rsidRPr="00C53FE5" w14:paraId="6442E30F" w14:textId="77777777" w:rsidTr="0049307A">
        <w:tc>
          <w:tcPr>
            <w:tcW w:w="0" w:type="auto"/>
            <w:hideMark/>
          </w:tcPr>
          <w:p w14:paraId="1BD69109" w14:textId="77777777" w:rsidR="00C53FE5" w:rsidRPr="00C53FE5" w:rsidRDefault="00C53FE5" w:rsidP="0049307A">
            <w:pPr>
              <w:spacing w:after="200" w:line="276" w:lineRule="auto"/>
              <w:jc w:val="both"/>
              <w:rPr>
                <w:rFonts w:ascii="Times New Roman" w:hAnsi="Times New Roman" w:cs="Times New Roman"/>
                <w:sz w:val="24"/>
                <w:szCs w:val="24"/>
                <w:lang w:val="en-US"/>
              </w:rPr>
            </w:pPr>
          </w:p>
        </w:tc>
        <w:tc>
          <w:tcPr>
            <w:tcW w:w="0" w:type="auto"/>
            <w:hideMark/>
          </w:tcPr>
          <w:p w14:paraId="1186B93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Bartlett’s Test of Sphericity</w:t>
            </w:r>
          </w:p>
        </w:tc>
        <w:tc>
          <w:tcPr>
            <w:tcW w:w="0" w:type="auto"/>
            <w:hideMark/>
          </w:tcPr>
          <w:p w14:paraId="787C86F6"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χ² = 129.36, df = 45, p &lt; 0.01</w:t>
            </w:r>
          </w:p>
        </w:tc>
        <w:tc>
          <w:tcPr>
            <w:tcW w:w="0" w:type="auto"/>
            <w:hideMark/>
          </w:tcPr>
          <w:p w14:paraId="5C52819A"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Indicates data are appropriate for factor analysis.</w:t>
            </w:r>
          </w:p>
        </w:tc>
      </w:tr>
      <w:tr w:rsidR="00C53FE5" w:rsidRPr="00C53FE5" w14:paraId="296E64AA" w14:textId="77777777" w:rsidTr="0049307A">
        <w:tc>
          <w:tcPr>
            <w:tcW w:w="0" w:type="auto"/>
            <w:hideMark/>
          </w:tcPr>
          <w:p w14:paraId="750DA8C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Reliability Test</w:t>
            </w:r>
          </w:p>
        </w:tc>
        <w:tc>
          <w:tcPr>
            <w:tcW w:w="0" w:type="auto"/>
            <w:hideMark/>
          </w:tcPr>
          <w:p w14:paraId="28112E44"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Cronbach’s Alpha</w:t>
            </w:r>
          </w:p>
        </w:tc>
        <w:tc>
          <w:tcPr>
            <w:tcW w:w="0" w:type="auto"/>
            <w:hideMark/>
          </w:tcPr>
          <w:p w14:paraId="3628BB4C"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0.948</w:t>
            </w:r>
          </w:p>
        </w:tc>
        <w:tc>
          <w:tcPr>
            <w:tcW w:w="0" w:type="auto"/>
            <w:hideMark/>
          </w:tcPr>
          <w:p w14:paraId="53A62F38"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Cronbach’s Alpha &gt; 0.7 indicates very high reliability.</w:t>
            </w:r>
          </w:p>
        </w:tc>
      </w:tr>
    </w:tbl>
    <w:p w14:paraId="0B18A820"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3.3 SWOT Analysis</w:t>
      </w:r>
    </w:p>
    <w:p w14:paraId="4BF68959"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SWOT analysis is used to map the strategic position of MSMEs in West Kisaran District by considering internal factors (strengths and weaknesses) and external factors (opportunities and threats). The IFAS and EFAS matrices were developed based on survey results from 120 MSME actors, with each key indicator assigned a weight, a rating (1–5), and a final score.</w:t>
      </w:r>
    </w:p>
    <w:p w14:paraId="4BFFFE3D"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3.3.1 Internal Factors: IFAS</w:t>
      </w:r>
    </w:p>
    <w:p w14:paraId="36C93B02"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Internal factors comprise four main strengths and five main weaknesses as presented in Tables 3 and 4.</w:t>
      </w:r>
    </w:p>
    <w:p w14:paraId="60E99530"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Table 3. IFAS – Strengths</w:t>
      </w:r>
    </w:p>
    <w:tbl>
      <w:tblPr>
        <w:tblStyle w:val="TableGridLight"/>
        <w:tblW w:w="0" w:type="auto"/>
        <w:tblLook w:val="04A0" w:firstRow="1" w:lastRow="0" w:firstColumn="1" w:lastColumn="0" w:noHBand="0" w:noVBand="1"/>
      </w:tblPr>
      <w:tblGrid>
        <w:gridCol w:w="6705"/>
        <w:gridCol w:w="950"/>
        <w:gridCol w:w="910"/>
        <w:gridCol w:w="785"/>
      </w:tblGrid>
      <w:tr w:rsidR="00C53FE5" w:rsidRPr="00C53FE5" w14:paraId="2F0099B6" w14:textId="77777777" w:rsidTr="0049307A">
        <w:tc>
          <w:tcPr>
            <w:tcW w:w="0" w:type="auto"/>
            <w:hideMark/>
          </w:tcPr>
          <w:p w14:paraId="7C0D4DFE"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Indicator</w:t>
            </w:r>
          </w:p>
        </w:tc>
        <w:tc>
          <w:tcPr>
            <w:tcW w:w="0" w:type="auto"/>
            <w:hideMark/>
          </w:tcPr>
          <w:p w14:paraId="2575F745"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Weight</w:t>
            </w:r>
          </w:p>
        </w:tc>
        <w:tc>
          <w:tcPr>
            <w:tcW w:w="0" w:type="auto"/>
            <w:hideMark/>
          </w:tcPr>
          <w:p w14:paraId="399BDE6B"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Rating</w:t>
            </w:r>
          </w:p>
        </w:tc>
        <w:tc>
          <w:tcPr>
            <w:tcW w:w="0" w:type="auto"/>
            <w:hideMark/>
          </w:tcPr>
          <w:p w14:paraId="2BB08C3C"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Score</w:t>
            </w:r>
          </w:p>
        </w:tc>
      </w:tr>
      <w:tr w:rsidR="00C53FE5" w:rsidRPr="00C53FE5" w14:paraId="06874906" w14:textId="77777777" w:rsidTr="0049307A">
        <w:tc>
          <w:tcPr>
            <w:tcW w:w="0" w:type="auto"/>
            <w:hideMark/>
          </w:tcPr>
          <w:p w14:paraId="4515B2A2"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lastRenderedPageBreak/>
              <w:t xml:space="preserve">S1. Local product identity (traditional crafts, including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w:t>
            </w:r>
          </w:p>
        </w:tc>
        <w:tc>
          <w:tcPr>
            <w:tcW w:w="0" w:type="auto"/>
            <w:hideMark/>
          </w:tcPr>
          <w:p w14:paraId="6C72D0AF"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0.085</w:t>
            </w:r>
          </w:p>
        </w:tc>
        <w:tc>
          <w:tcPr>
            <w:tcW w:w="0" w:type="auto"/>
            <w:hideMark/>
          </w:tcPr>
          <w:p w14:paraId="0BBCAFA1"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4.60</w:t>
            </w:r>
          </w:p>
        </w:tc>
        <w:tc>
          <w:tcPr>
            <w:tcW w:w="0" w:type="auto"/>
            <w:hideMark/>
          </w:tcPr>
          <w:p w14:paraId="60AA763F"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0.391</w:t>
            </w:r>
          </w:p>
        </w:tc>
      </w:tr>
      <w:tr w:rsidR="00C53FE5" w:rsidRPr="00C53FE5" w14:paraId="76FEC5BE" w14:textId="77777777" w:rsidTr="0049307A">
        <w:tc>
          <w:tcPr>
            <w:tcW w:w="0" w:type="auto"/>
            <w:hideMark/>
          </w:tcPr>
          <w:p w14:paraId="0F092182"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S2. Hereditary skills of business actors</w:t>
            </w:r>
          </w:p>
        </w:tc>
        <w:tc>
          <w:tcPr>
            <w:tcW w:w="0" w:type="auto"/>
            <w:hideMark/>
          </w:tcPr>
          <w:p w14:paraId="6C571FC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0.078</w:t>
            </w:r>
          </w:p>
        </w:tc>
        <w:tc>
          <w:tcPr>
            <w:tcW w:w="0" w:type="auto"/>
            <w:hideMark/>
          </w:tcPr>
          <w:p w14:paraId="656B5EA0"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4.50</w:t>
            </w:r>
          </w:p>
        </w:tc>
        <w:tc>
          <w:tcPr>
            <w:tcW w:w="0" w:type="auto"/>
            <w:hideMark/>
          </w:tcPr>
          <w:p w14:paraId="6319FCA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0.351</w:t>
            </w:r>
          </w:p>
        </w:tc>
      </w:tr>
      <w:tr w:rsidR="00C53FE5" w:rsidRPr="00C53FE5" w14:paraId="77FF7720" w14:textId="77777777" w:rsidTr="0049307A">
        <w:tc>
          <w:tcPr>
            <w:tcW w:w="0" w:type="auto"/>
            <w:hideMark/>
          </w:tcPr>
          <w:p w14:paraId="26F50EE0"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S3. Strategic location of West Kisaran as a distribution and service hub</w:t>
            </w:r>
          </w:p>
        </w:tc>
        <w:tc>
          <w:tcPr>
            <w:tcW w:w="0" w:type="auto"/>
            <w:hideMark/>
          </w:tcPr>
          <w:p w14:paraId="22485CCD"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0.072</w:t>
            </w:r>
          </w:p>
        </w:tc>
        <w:tc>
          <w:tcPr>
            <w:tcW w:w="0" w:type="auto"/>
            <w:hideMark/>
          </w:tcPr>
          <w:p w14:paraId="4D1CEB81"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4.30</w:t>
            </w:r>
          </w:p>
        </w:tc>
        <w:tc>
          <w:tcPr>
            <w:tcW w:w="0" w:type="auto"/>
            <w:hideMark/>
          </w:tcPr>
          <w:p w14:paraId="69839531"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0.310</w:t>
            </w:r>
          </w:p>
        </w:tc>
      </w:tr>
      <w:tr w:rsidR="00C53FE5" w:rsidRPr="00C53FE5" w14:paraId="02B97E7A" w14:textId="77777777" w:rsidTr="0049307A">
        <w:tc>
          <w:tcPr>
            <w:tcW w:w="0" w:type="auto"/>
            <w:hideMark/>
          </w:tcPr>
          <w:p w14:paraId="1E8A1045"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S4. Diversity of MSME sectors (culinary, trade, handicrafts, services)</w:t>
            </w:r>
          </w:p>
        </w:tc>
        <w:tc>
          <w:tcPr>
            <w:tcW w:w="0" w:type="auto"/>
            <w:hideMark/>
          </w:tcPr>
          <w:p w14:paraId="319EF478"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0.068</w:t>
            </w:r>
          </w:p>
        </w:tc>
        <w:tc>
          <w:tcPr>
            <w:tcW w:w="0" w:type="auto"/>
            <w:hideMark/>
          </w:tcPr>
          <w:p w14:paraId="3A156B6C"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4.10</w:t>
            </w:r>
          </w:p>
        </w:tc>
        <w:tc>
          <w:tcPr>
            <w:tcW w:w="0" w:type="auto"/>
            <w:hideMark/>
          </w:tcPr>
          <w:p w14:paraId="62C6E12E"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0.279</w:t>
            </w:r>
          </w:p>
        </w:tc>
      </w:tr>
      <w:tr w:rsidR="00C53FE5" w:rsidRPr="00C53FE5" w14:paraId="26AA1054" w14:textId="77777777" w:rsidTr="0049307A">
        <w:tc>
          <w:tcPr>
            <w:tcW w:w="0" w:type="auto"/>
            <w:hideMark/>
          </w:tcPr>
          <w:p w14:paraId="2135BCDA"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Total Strength Score</w:t>
            </w:r>
          </w:p>
        </w:tc>
        <w:tc>
          <w:tcPr>
            <w:tcW w:w="0" w:type="auto"/>
            <w:hideMark/>
          </w:tcPr>
          <w:p w14:paraId="259AC952" w14:textId="77777777" w:rsidR="00C53FE5" w:rsidRPr="00C53FE5" w:rsidRDefault="00C53FE5" w:rsidP="0049307A">
            <w:pPr>
              <w:spacing w:after="200" w:line="276" w:lineRule="auto"/>
              <w:jc w:val="both"/>
              <w:rPr>
                <w:rFonts w:ascii="Times New Roman" w:hAnsi="Times New Roman" w:cs="Times New Roman"/>
                <w:sz w:val="24"/>
                <w:szCs w:val="24"/>
                <w:lang w:val="en-US"/>
              </w:rPr>
            </w:pPr>
          </w:p>
        </w:tc>
        <w:tc>
          <w:tcPr>
            <w:tcW w:w="0" w:type="auto"/>
            <w:hideMark/>
          </w:tcPr>
          <w:p w14:paraId="3E2A1C44" w14:textId="77777777" w:rsidR="00C53FE5" w:rsidRPr="00C53FE5" w:rsidRDefault="00C53FE5" w:rsidP="0049307A">
            <w:pPr>
              <w:spacing w:after="200" w:line="276" w:lineRule="auto"/>
              <w:jc w:val="both"/>
              <w:rPr>
                <w:rFonts w:ascii="Times New Roman" w:hAnsi="Times New Roman" w:cs="Times New Roman"/>
                <w:sz w:val="24"/>
                <w:szCs w:val="24"/>
                <w:lang w:val="en-US"/>
              </w:rPr>
            </w:pPr>
          </w:p>
        </w:tc>
        <w:tc>
          <w:tcPr>
            <w:tcW w:w="0" w:type="auto"/>
            <w:hideMark/>
          </w:tcPr>
          <w:p w14:paraId="708B2F7F"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1.330</w:t>
            </w:r>
          </w:p>
        </w:tc>
      </w:tr>
    </w:tbl>
    <w:p w14:paraId="65411D49"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Table 4. IFAS – Weaknesses</w:t>
      </w:r>
    </w:p>
    <w:tbl>
      <w:tblPr>
        <w:tblStyle w:val="TableGridLight"/>
        <w:tblW w:w="0" w:type="auto"/>
        <w:tblLook w:val="04A0" w:firstRow="1" w:lastRow="0" w:firstColumn="1" w:lastColumn="0" w:noHBand="0" w:noVBand="1"/>
      </w:tblPr>
      <w:tblGrid>
        <w:gridCol w:w="6658"/>
        <w:gridCol w:w="950"/>
        <w:gridCol w:w="910"/>
        <w:gridCol w:w="785"/>
      </w:tblGrid>
      <w:tr w:rsidR="00C53FE5" w:rsidRPr="00C53FE5" w14:paraId="03EF0D0A" w14:textId="77777777" w:rsidTr="0049307A">
        <w:tc>
          <w:tcPr>
            <w:tcW w:w="6658" w:type="dxa"/>
            <w:hideMark/>
          </w:tcPr>
          <w:p w14:paraId="0E0D7142"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Indicator</w:t>
            </w:r>
          </w:p>
        </w:tc>
        <w:tc>
          <w:tcPr>
            <w:tcW w:w="0" w:type="auto"/>
            <w:hideMark/>
          </w:tcPr>
          <w:p w14:paraId="34BEAE7E"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Weight</w:t>
            </w:r>
          </w:p>
        </w:tc>
        <w:tc>
          <w:tcPr>
            <w:tcW w:w="0" w:type="auto"/>
            <w:hideMark/>
          </w:tcPr>
          <w:p w14:paraId="1238F67C"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Rating</w:t>
            </w:r>
          </w:p>
        </w:tc>
        <w:tc>
          <w:tcPr>
            <w:tcW w:w="0" w:type="auto"/>
            <w:hideMark/>
          </w:tcPr>
          <w:p w14:paraId="2E54BD4D"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Score</w:t>
            </w:r>
          </w:p>
        </w:tc>
      </w:tr>
      <w:tr w:rsidR="00C53FE5" w:rsidRPr="00C53FE5" w14:paraId="6DA65A49" w14:textId="77777777" w:rsidTr="0049307A">
        <w:tc>
          <w:tcPr>
            <w:tcW w:w="6658" w:type="dxa"/>
            <w:hideMark/>
          </w:tcPr>
          <w:p w14:paraId="04D3F8DA"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W1. Low digital literacy among MSME actors</w:t>
            </w:r>
          </w:p>
        </w:tc>
        <w:tc>
          <w:tcPr>
            <w:tcW w:w="0" w:type="auto"/>
            <w:hideMark/>
          </w:tcPr>
          <w:p w14:paraId="52FE69DC"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0.082</w:t>
            </w:r>
          </w:p>
        </w:tc>
        <w:tc>
          <w:tcPr>
            <w:tcW w:w="0" w:type="auto"/>
            <w:hideMark/>
          </w:tcPr>
          <w:p w14:paraId="052FEC46"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2.10</w:t>
            </w:r>
          </w:p>
        </w:tc>
        <w:tc>
          <w:tcPr>
            <w:tcW w:w="0" w:type="auto"/>
            <w:hideMark/>
          </w:tcPr>
          <w:p w14:paraId="1A87FA9F"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0.172</w:t>
            </w:r>
          </w:p>
        </w:tc>
      </w:tr>
      <w:tr w:rsidR="00C53FE5" w:rsidRPr="00C53FE5" w14:paraId="23F3072B" w14:textId="77777777" w:rsidTr="0049307A">
        <w:tc>
          <w:tcPr>
            <w:tcW w:w="6658" w:type="dxa"/>
            <w:hideMark/>
          </w:tcPr>
          <w:p w14:paraId="21E28906"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W2. Limited design innovation and product differentiation</w:t>
            </w:r>
          </w:p>
        </w:tc>
        <w:tc>
          <w:tcPr>
            <w:tcW w:w="0" w:type="auto"/>
            <w:hideMark/>
          </w:tcPr>
          <w:p w14:paraId="0AAF713E"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0.075</w:t>
            </w:r>
          </w:p>
        </w:tc>
        <w:tc>
          <w:tcPr>
            <w:tcW w:w="0" w:type="auto"/>
            <w:hideMark/>
          </w:tcPr>
          <w:p w14:paraId="079804A2"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2.30</w:t>
            </w:r>
          </w:p>
        </w:tc>
        <w:tc>
          <w:tcPr>
            <w:tcW w:w="0" w:type="auto"/>
            <w:hideMark/>
          </w:tcPr>
          <w:p w14:paraId="6DF67BA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0.173</w:t>
            </w:r>
          </w:p>
        </w:tc>
      </w:tr>
      <w:tr w:rsidR="00C53FE5" w:rsidRPr="00C53FE5" w14:paraId="7899A9F0" w14:textId="77777777" w:rsidTr="0049307A">
        <w:tc>
          <w:tcPr>
            <w:tcW w:w="6658" w:type="dxa"/>
            <w:hideMark/>
          </w:tcPr>
          <w:p w14:paraId="3D66D15E"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W3. Restricted access to finance</w:t>
            </w:r>
          </w:p>
        </w:tc>
        <w:tc>
          <w:tcPr>
            <w:tcW w:w="0" w:type="auto"/>
            <w:hideMark/>
          </w:tcPr>
          <w:p w14:paraId="2C7AC756"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0.070</w:t>
            </w:r>
          </w:p>
        </w:tc>
        <w:tc>
          <w:tcPr>
            <w:tcW w:w="0" w:type="auto"/>
            <w:hideMark/>
          </w:tcPr>
          <w:p w14:paraId="7D3DECF4"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2.50</w:t>
            </w:r>
          </w:p>
        </w:tc>
        <w:tc>
          <w:tcPr>
            <w:tcW w:w="0" w:type="auto"/>
            <w:hideMark/>
          </w:tcPr>
          <w:p w14:paraId="4BB84E1E"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0.175</w:t>
            </w:r>
          </w:p>
        </w:tc>
      </w:tr>
      <w:tr w:rsidR="00C53FE5" w:rsidRPr="00C53FE5" w14:paraId="0E792C1E" w14:textId="77777777" w:rsidTr="0049307A">
        <w:tc>
          <w:tcPr>
            <w:tcW w:w="6658" w:type="dxa"/>
            <w:hideMark/>
          </w:tcPr>
          <w:p w14:paraId="3A19629C"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W4. Lack of integrated promotion and collective branding</w:t>
            </w:r>
          </w:p>
        </w:tc>
        <w:tc>
          <w:tcPr>
            <w:tcW w:w="0" w:type="auto"/>
            <w:hideMark/>
          </w:tcPr>
          <w:p w14:paraId="7AE8CF6A"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0.065</w:t>
            </w:r>
          </w:p>
        </w:tc>
        <w:tc>
          <w:tcPr>
            <w:tcW w:w="0" w:type="auto"/>
            <w:hideMark/>
          </w:tcPr>
          <w:p w14:paraId="506A000E"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2.40</w:t>
            </w:r>
          </w:p>
        </w:tc>
        <w:tc>
          <w:tcPr>
            <w:tcW w:w="0" w:type="auto"/>
            <w:hideMark/>
          </w:tcPr>
          <w:p w14:paraId="0D90FE51"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0.156</w:t>
            </w:r>
          </w:p>
        </w:tc>
      </w:tr>
      <w:tr w:rsidR="00C53FE5" w:rsidRPr="00C53FE5" w14:paraId="69CE68DE" w14:textId="77777777" w:rsidTr="0049307A">
        <w:tc>
          <w:tcPr>
            <w:tcW w:w="6658" w:type="dxa"/>
            <w:hideMark/>
          </w:tcPr>
          <w:p w14:paraId="599E2156"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W5. High dependence on local markets</w:t>
            </w:r>
          </w:p>
        </w:tc>
        <w:tc>
          <w:tcPr>
            <w:tcW w:w="0" w:type="auto"/>
            <w:hideMark/>
          </w:tcPr>
          <w:p w14:paraId="2271C10D"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0.062</w:t>
            </w:r>
          </w:p>
        </w:tc>
        <w:tc>
          <w:tcPr>
            <w:tcW w:w="0" w:type="auto"/>
            <w:hideMark/>
          </w:tcPr>
          <w:p w14:paraId="0107DD47"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2.60</w:t>
            </w:r>
          </w:p>
        </w:tc>
        <w:tc>
          <w:tcPr>
            <w:tcW w:w="0" w:type="auto"/>
            <w:hideMark/>
          </w:tcPr>
          <w:p w14:paraId="25C0A032"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0.161</w:t>
            </w:r>
          </w:p>
        </w:tc>
      </w:tr>
      <w:tr w:rsidR="00C53FE5" w:rsidRPr="00C53FE5" w14:paraId="5A69F9DE" w14:textId="77777777" w:rsidTr="0049307A">
        <w:tc>
          <w:tcPr>
            <w:tcW w:w="6658" w:type="dxa"/>
            <w:hideMark/>
          </w:tcPr>
          <w:p w14:paraId="2E99F5A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Total Weakness Score</w:t>
            </w:r>
          </w:p>
        </w:tc>
        <w:tc>
          <w:tcPr>
            <w:tcW w:w="0" w:type="auto"/>
            <w:hideMark/>
          </w:tcPr>
          <w:p w14:paraId="637230DB" w14:textId="77777777" w:rsidR="00C53FE5" w:rsidRPr="00C53FE5" w:rsidRDefault="00C53FE5" w:rsidP="0049307A">
            <w:pPr>
              <w:spacing w:after="200" w:line="276" w:lineRule="auto"/>
              <w:jc w:val="both"/>
              <w:rPr>
                <w:rFonts w:ascii="Times New Roman" w:hAnsi="Times New Roman" w:cs="Times New Roman"/>
                <w:sz w:val="24"/>
                <w:szCs w:val="24"/>
                <w:lang w:val="en-US"/>
              </w:rPr>
            </w:pPr>
          </w:p>
        </w:tc>
        <w:tc>
          <w:tcPr>
            <w:tcW w:w="0" w:type="auto"/>
            <w:hideMark/>
          </w:tcPr>
          <w:p w14:paraId="2EC920F2" w14:textId="77777777" w:rsidR="00C53FE5" w:rsidRPr="00C53FE5" w:rsidRDefault="00C53FE5" w:rsidP="0049307A">
            <w:pPr>
              <w:spacing w:after="200" w:line="276" w:lineRule="auto"/>
              <w:jc w:val="both"/>
              <w:rPr>
                <w:rFonts w:ascii="Times New Roman" w:hAnsi="Times New Roman" w:cs="Times New Roman"/>
                <w:sz w:val="24"/>
                <w:szCs w:val="24"/>
                <w:lang w:val="en-US"/>
              </w:rPr>
            </w:pPr>
          </w:p>
        </w:tc>
        <w:tc>
          <w:tcPr>
            <w:tcW w:w="0" w:type="auto"/>
            <w:hideMark/>
          </w:tcPr>
          <w:p w14:paraId="7501A027"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0.837</w:t>
            </w:r>
          </w:p>
        </w:tc>
      </w:tr>
    </w:tbl>
    <w:p w14:paraId="2EA3A3AC"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The total strength score (1.33) being higher than the total weakness score (0.84) indicates that MSMEs in West Kisaran are internally in a relatively strong position. Local product identity, the skills of business actors, and the strategic location constitute key assets, while digital literacy, product innovation, access to finance, and promotion remain areas requiring improvement.</w:t>
      </w:r>
    </w:p>
    <w:p w14:paraId="56CAD826"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3.3.2 External Factors: EFAS</w:t>
      </w:r>
    </w:p>
    <w:p w14:paraId="3ED2FB67"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External factors comprise opportunities and threats arising from the environment outside MSMEs. The EFAS results are shown in Tables 5 and 6.</w:t>
      </w:r>
    </w:p>
    <w:p w14:paraId="3F0370D7"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Table 5. EFAS – Opportunities</w:t>
      </w:r>
    </w:p>
    <w:tbl>
      <w:tblPr>
        <w:tblStyle w:val="TableGridLight"/>
        <w:tblW w:w="0" w:type="auto"/>
        <w:tblLook w:val="04A0" w:firstRow="1" w:lastRow="0" w:firstColumn="1" w:lastColumn="0" w:noHBand="0" w:noVBand="1"/>
      </w:tblPr>
      <w:tblGrid>
        <w:gridCol w:w="6658"/>
        <w:gridCol w:w="950"/>
        <w:gridCol w:w="910"/>
        <w:gridCol w:w="785"/>
      </w:tblGrid>
      <w:tr w:rsidR="00C53FE5" w:rsidRPr="00C53FE5" w14:paraId="42A55AAA" w14:textId="77777777" w:rsidTr="0049307A">
        <w:tc>
          <w:tcPr>
            <w:tcW w:w="6658" w:type="dxa"/>
            <w:hideMark/>
          </w:tcPr>
          <w:p w14:paraId="020CBA75"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Indicator</w:t>
            </w:r>
          </w:p>
        </w:tc>
        <w:tc>
          <w:tcPr>
            <w:tcW w:w="0" w:type="auto"/>
            <w:hideMark/>
          </w:tcPr>
          <w:p w14:paraId="3D59BF85"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Weight</w:t>
            </w:r>
          </w:p>
        </w:tc>
        <w:tc>
          <w:tcPr>
            <w:tcW w:w="0" w:type="auto"/>
            <w:hideMark/>
          </w:tcPr>
          <w:p w14:paraId="371520D2"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Rating</w:t>
            </w:r>
          </w:p>
        </w:tc>
        <w:tc>
          <w:tcPr>
            <w:tcW w:w="0" w:type="auto"/>
            <w:hideMark/>
          </w:tcPr>
          <w:p w14:paraId="4098D80E"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Score</w:t>
            </w:r>
          </w:p>
        </w:tc>
      </w:tr>
      <w:tr w:rsidR="00C53FE5" w:rsidRPr="00C53FE5" w14:paraId="066D47B9" w14:textId="77777777" w:rsidTr="0049307A">
        <w:tc>
          <w:tcPr>
            <w:tcW w:w="6658" w:type="dxa"/>
            <w:hideMark/>
          </w:tcPr>
          <w:p w14:paraId="5C9413D5"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O1. Growth of digital marketing</w:t>
            </w:r>
          </w:p>
        </w:tc>
        <w:tc>
          <w:tcPr>
            <w:tcW w:w="0" w:type="auto"/>
            <w:hideMark/>
          </w:tcPr>
          <w:p w14:paraId="37C9B7AF"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0.088</w:t>
            </w:r>
          </w:p>
        </w:tc>
        <w:tc>
          <w:tcPr>
            <w:tcW w:w="0" w:type="auto"/>
            <w:hideMark/>
          </w:tcPr>
          <w:p w14:paraId="50987E3A"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4.70</w:t>
            </w:r>
          </w:p>
        </w:tc>
        <w:tc>
          <w:tcPr>
            <w:tcW w:w="0" w:type="auto"/>
            <w:hideMark/>
          </w:tcPr>
          <w:p w14:paraId="052F661E"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0.414</w:t>
            </w:r>
          </w:p>
        </w:tc>
      </w:tr>
      <w:tr w:rsidR="00C53FE5" w:rsidRPr="00C53FE5" w14:paraId="642CAAB5" w14:textId="77777777" w:rsidTr="0049307A">
        <w:tc>
          <w:tcPr>
            <w:tcW w:w="6658" w:type="dxa"/>
            <w:hideMark/>
          </w:tcPr>
          <w:p w14:paraId="296527E0"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O2. KUR schemes and government incentives</w:t>
            </w:r>
          </w:p>
        </w:tc>
        <w:tc>
          <w:tcPr>
            <w:tcW w:w="0" w:type="auto"/>
            <w:hideMark/>
          </w:tcPr>
          <w:p w14:paraId="28B7818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0.080</w:t>
            </w:r>
          </w:p>
        </w:tc>
        <w:tc>
          <w:tcPr>
            <w:tcW w:w="0" w:type="auto"/>
            <w:hideMark/>
          </w:tcPr>
          <w:p w14:paraId="22F1315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4.50</w:t>
            </w:r>
          </w:p>
        </w:tc>
        <w:tc>
          <w:tcPr>
            <w:tcW w:w="0" w:type="auto"/>
            <w:hideMark/>
          </w:tcPr>
          <w:p w14:paraId="19FEEF3D"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0.360</w:t>
            </w:r>
          </w:p>
        </w:tc>
      </w:tr>
      <w:tr w:rsidR="00C53FE5" w:rsidRPr="00C53FE5" w14:paraId="0E35E4D1" w14:textId="77777777" w:rsidTr="0049307A">
        <w:tc>
          <w:tcPr>
            <w:tcW w:w="6658" w:type="dxa"/>
            <w:hideMark/>
          </w:tcPr>
          <w:p w14:paraId="209DE0C2"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lastRenderedPageBreak/>
              <w:t>O3. Integration with tourism and the creative economy</w:t>
            </w:r>
          </w:p>
        </w:tc>
        <w:tc>
          <w:tcPr>
            <w:tcW w:w="0" w:type="auto"/>
            <w:hideMark/>
          </w:tcPr>
          <w:p w14:paraId="63C447BE"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0.075</w:t>
            </w:r>
          </w:p>
        </w:tc>
        <w:tc>
          <w:tcPr>
            <w:tcW w:w="0" w:type="auto"/>
            <w:hideMark/>
          </w:tcPr>
          <w:p w14:paraId="7C0138FC"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4.30</w:t>
            </w:r>
          </w:p>
        </w:tc>
        <w:tc>
          <w:tcPr>
            <w:tcW w:w="0" w:type="auto"/>
            <w:hideMark/>
          </w:tcPr>
          <w:p w14:paraId="55F40A24"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0.323</w:t>
            </w:r>
          </w:p>
        </w:tc>
      </w:tr>
      <w:tr w:rsidR="00C53FE5" w:rsidRPr="00C53FE5" w14:paraId="55E959B2" w14:textId="77777777" w:rsidTr="0049307A">
        <w:tc>
          <w:tcPr>
            <w:tcW w:w="6658" w:type="dxa"/>
            <w:hideMark/>
          </w:tcPr>
          <w:p w14:paraId="4497E251"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O4. Opportunities for triple helix collaboration</w:t>
            </w:r>
          </w:p>
        </w:tc>
        <w:tc>
          <w:tcPr>
            <w:tcW w:w="0" w:type="auto"/>
            <w:hideMark/>
          </w:tcPr>
          <w:p w14:paraId="11D226B4"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0.070</w:t>
            </w:r>
          </w:p>
        </w:tc>
        <w:tc>
          <w:tcPr>
            <w:tcW w:w="0" w:type="auto"/>
            <w:hideMark/>
          </w:tcPr>
          <w:p w14:paraId="462382BC"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4.20</w:t>
            </w:r>
          </w:p>
        </w:tc>
        <w:tc>
          <w:tcPr>
            <w:tcW w:w="0" w:type="auto"/>
            <w:hideMark/>
          </w:tcPr>
          <w:p w14:paraId="5B5B3ABD"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0.294</w:t>
            </w:r>
          </w:p>
        </w:tc>
      </w:tr>
      <w:tr w:rsidR="00C53FE5" w:rsidRPr="00C53FE5" w14:paraId="5434907D" w14:textId="77777777" w:rsidTr="0049307A">
        <w:tc>
          <w:tcPr>
            <w:tcW w:w="6658" w:type="dxa"/>
            <w:hideMark/>
          </w:tcPr>
          <w:p w14:paraId="7422F73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Total Opportunity Score</w:t>
            </w:r>
          </w:p>
        </w:tc>
        <w:tc>
          <w:tcPr>
            <w:tcW w:w="0" w:type="auto"/>
            <w:hideMark/>
          </w:tcPr>
          <w:p w14:paraId="7C7345AE" w14:textId="77777777" w:rsidR="00C53FE5" w:rsidRPr="00C53FE5" w:rsidRDefault="00C53FE5" w:rsidP="0049307A">
            <w:pPr>
              <w:spacing w:after="200" w:line="276" w:lineRule="auto"/>
              <w:jc w:val="both"/>
              <w:rPr>
                <w:rFonts w:ascii="Times New Roman" w:hAnsi="Times New Roman" w:cs="Times New Roman"/>
                <w:sz w:val="24"/>
                <w:szCs w:val="24"/>
                <w:lang w:val="en-US"/>
              </w:rPr>
            </w:pPr>
          </w:p>
        </w:tc>
        <w:tc>
          <w:tcPr>
            <w:tcW w:w="0" w:type="auto"/>
            <w:hideMark/>
          </w:tcPr>
          <w:p w14:paraId="6D452DB4" w14:textId="77777777" w:rsidR="00C53FE5" w:rsidRPr="00C53FE5" w:rsidRDefault="00C53FE5" w:rsidP="0049307A">
            <w:pPr>
              <w:spacing w:after="200" w:line="276" w:lineRule="auto"/>
              <w:jc w:val="both"/>
              <w:rPr>
                <w:rFonts w:ascii="Times New Roman" w:hAnsi="Times New Roman" w:cs="Times New Roman"/>
                <w:sz w:val="24"/>
                <w:szCs w:val="24"/>
                <w:lang w:val="en-US"/>
              </w:rPr>
            </w:pPr>
          </w:p>
        </w:tc>
        <w:tc>
          <w:tcPr>
            <w:tcW w:w="0" w:type="auto"/>
            <w:hideMark/>
          </w:tcPr>
          <w:p w14:paraId="11F73839"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1.390</w:t>
            </w:r>
          </w:p>
        </w:tc>
      </w:tr>
    </w:tbl>
    <w:p w14:paraId="7F97E492"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Table 6. EFAS – Threats</w:t>
      </w:r>
    </w:p>
    <w:tbl>
      <w:tblPr>
        <w:tblStyle w:val="TableGridLight"/>
        <w:tblW w:w="0" w:type="auto"/>
        <w:tblLook w:val="04A0" w:firstRow="1" w:lastRow="0" w:firstColumn="1" w:lastColumn="0" w:noHBand="0" w:noVBand="1"/>
      </w:tblPr>
      <w:tblGrid>
        <w:gridCol w:w="6658"/>
        <w:gridCol w:w="950"/>
        <w:gridCol w:w="910"/>
        <w:gridCol w:w="785"/>
      </w:tblGrid>
      <w:tr w:rsidR="00C53FE5" w:rsidRPr="00C53FE5" w14:paraId="1443637D" w14:textId="77777777" w:rsidTr="0049307A">
        <w:tc>
          <w:tcPr>
            <w:tcW w:w="6658" w:type="dxa"/>
            <w:hideMark/>
          </w:tcPr>
          <w:p w14:paraId="0128BB17"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Indicator</w:t>
            </w:r>
          </w:p>
        </w:tc>
        <w:tc>
          <w:tcPr>
            <w:tcW w:w="0" w:type="auto"/>
            <w:hideMark/>
          </w:tcPr>
          <w:p w14:paraId="129E1330"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Weight</w:t>
            </w:r>
          </w:p>
        </w:tc>
        <w:tc>
          <w:tcPr>
            <w:tcW w:w="0" w:type="auto"/>
            <w:hideMark/>
          </w:tcPr>
          <w:p w14:paraId="5552C3E5"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Rating</w:t>
            </w:r>
          </w:p>
        </w:tc>
        <w:tc>
          <w:tcPr>
            <w:tcW w:w="0" w:type="auto"/>
            <w:hideMark/>
          </w:tcPr>
          <w:p w14:paraId="63321B04"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Score</w:t>
            </w:r>
          </w:p>
        </w:tc>
      </w:tr>
      <w:tr w:rsidR="00C53FE5" w:rsidRPr="00C53FE5" w14:paraId="673F2FFD" w14:textId="77777777" w:rsidTr="0049307A">
        <w:tc>
          <w:tcPr>
            <w:tcW w:w="6658" w:type="dxa"/>
            <w:hideMark/>
          </w:tcPr>
          <w:p w14:paraId="784C6FA0"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T1. Changing preferences among younger generations (Gen Z)</w:t>
            </w:r>
          </w:p>
        </w:tc>
        <w:tc>
          <w:tcPr>
            <w:tcW w:w="0" w:type="auto"/>
            <w:hideMark/>
          </w:tcPr>
          <w:p w14:paraId="27633653"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0.078</w:t>
            </w:r>
          </w:p>
        </w:tc>
        <w:tc>
          <w:tcPr>
            <w:tcW w:w="0" w:type="auto"/>
            <w:hideMark/>
          </w:tcPr>
          <w:p w14:paraId="2427E8E4"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3.80</w:t>
            </w:r>
          </w:p>
        </w:tc>
        <w:tc>
          <w:tcPr>
            <w:tcW w:w="0" w:type="auto"/>
            <w:hideMark/>
          </w:tcPr>
          <w:p w14:paraId="2A1E4B65"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0.296</w:t>
            </w:r>
          </w:p>
        </w:tc>
      </w:tr>
      <w:tr w:rsidR="00C53FE5" w:rsidRPr="00C53FE5" w14:paraId="41D01C36" w14:textId="77777777" w:rsidTr="0049307A">
        <w:tc>
          <w:tcPr>
            <w:tcW w:w="6658" w:type="dxa"/>
            <w:hideMark/>
          </w:tcPr>
          <w:p w14:paraId="7E20F5FE"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T2. Competition from imported products and modern brands</w:t>
            </w:r>
          </w:p>
        </w:tc>
        <w:tc>
          <w:tcPr>
            <w:tcW w:w="0" w:type="auto"/>
            <w:hideMark/>
          </w:tcPr>
          <w:p w14:paraId="5189FF7E"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0.072</w:t>
            </w:r>
          </w:p>
        </w:tc>
        <w:tc>
          <w:tcPr>
            <w:tcW w:w="0" w:type="auto"/>
            <w:hideMark/>
          </w:tcPr>
          <w:p w14:paraId="361B661B"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3.90</w:t>
            </w:r>
          </w:p>
        </w:tc>
        <w:tc>
          <w:tcPr>
            <w:tcW w:w="0" w:type="auto"/>
            <w:hideMark/>
          </w:tcPr>
          <w:p w14:paraId="5428F1C6"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0.281</w:t>
            </w:r>
          </w:p>
        </w:tc>
      </w:tr>
      <w:tr w:rsidR="00C53FE5" w:rsidRPr="00C53FE5" w14:paraId="0200EF9A" w14:textId="77777777" w:rsidTr="0049307A">
        <w:tc>
          <w:tcPr>
            <w:tcW w:w="6658" w:type="dxa"/>
            <w:hideMark/>
          </w:tcPr>
          <w:p w14:paraId="67D710F1"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T3. Regulatory and licensing complexity</w:t>
            </w:r>
          </w:p>
        </w:tc>
        <w:tc>
          <w:tcPr>
            <w:tcW w:w="0" w:type="auto"/>
            <w:hideMark/>
          </w:tcPr>
          <w:p w14:paraId="40B1D8C6"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0.068</w:t>
            </w:r>
          </w:p>
        </w:tc>
        <w:tc>
          <w:tcPr>
            <w:tcW w:w="0" w:type="auto"/>
            <w:hideMark/>
          </w:tcPr>
          <w:p w14:paraId="01D5FB00"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3.50</w:t>
            </w:r>
          </w:p>
        </w:tc>
        <w:tc>
          <w:tcPr>
            <w:tcW w:w="0" w:type="auto"/>
            <w:hideMark/>
          </w:tcPr>
          <w:p w14:paraId="090AE507"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0.238</w:t>
            </w:r>
          </w:p>
        </w:tc>
      </w:tr>
      <w:tr w:rsidR="00C53FE5" w:rsidRPr="00C53FE5" w14:paraId="6C982A7B" w14:textId="77777777" w:rsidTr="0049307A">
        <w:tc>
          <w:tcPr>
            <w:tcW w:w="6658" w:type="dxa"/>
            <w:hideMark/>
          </w:tcPr>
          <w:p w14:paraId="78F497F0"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T4. Fluctuations in raw material prices</w:t>
            </w:r>
          </w:p>
        </w:tc>
        <w:tc>
          <w:tcPr>
            <w:tcW w:w="0" w:type="auto"/>
            <w:hideMark/>
          </w:tcPr>
          <w:p w14:paraId="5A75BB31"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0.065</w:t>
            </w:r>
          </w:p>
        </w:tc>
        <w:tc>
          <w:tcPr>
            <w:tcW w:w="0" w:type="auto"/>
            <w:hideMark/>
          </w:tcPr>
          <w:p w14:paraId="719B2B21"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3.60</w:t>
            </w:r>
          </w:p>
        </w:tc>
        <w:tc>
          <w:tcPr>
            <w:tcW w:w="0" w:type="auto"/>
            <w:hideMark/>
          </w:tcPr>
          <w:p w14:paraId="68D27324"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0.234</w:t>
            </w:r>
          </w:p>
        </w:tc>
      </w:tr>
      <w:tr w:rsidR="00C53FE5" w:rsidRPr="00C53FE5" w14:paraId="44B42E50" w14:textId="77777777" w:rsidTr="0049307A">
        <w:tc>
          <w:tcPr>
            <w:tcW w:w="6658" w:type="dxa"/>
            <w:hideMark/>
          </w:tcPr>
          <w:p w14:paraId="24A29AEF"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Total Threat Score</w:t>
            </w:r>
          </w:p>
        </w:tc>
        <w:tc>
          <w:tcPr>
            <w:tcW w:w="0" w:type="auto"/>
            <w:hideMark/>
          </w:tcPr>
          <w:p w14:paraId="0D1E8C2F" w14:textId="77777777" w:rsidR="00C53FE5" w:rsidRPr="00C53FE5" w:rsidRDefault="00C53FE5" w:rsidP="0049307A">
            <w:pPr>
              <w:spacing w:after="200" w:line="276" w:lineRule="auto"/>
              <w:jc w:val="both"/>
              <w:rPr>
                <w:rFonts w:ascii="Times New Roman" w:hAnsi="Times New Roman" w:cs="Times New Roman"/>
                <w:sz w:val="24"/>
                <w:szCs w:val="24"/>
                <w:lang w:val="en-US"/>
              </w:rPr>
            </w:pPr>
          </w:p>
        </w:tc>
        <w:tc>
          <w:tcPr>
            <w:tcW w:w="0" w:type="auto"/>
            <w:hideMark/>
          </w:tcPr>
          <w:p w14:paraId="67F493E1" w14:textId="77777777" w:rsidR="00C53FE5" w:rsidRPr="00C53FE5" w:rsidRDefault="00C53FE5" w:rsidP="0049307A">
            <w:pPr>
              <w:spacing w:after="200" w:line="276" w:lineRule="auto"/>
              <w:jc w:val="both"/>
              <w:rPr>
                <w:rFonts w:ascii="Times New Roman" w:hAnsi="Times New Roman" w:cs="Times New Roman"/>
                <w:sz w:val="24"/>
                <w:szCs w:val="24"/>
                <w:lang w:val="en-US"/>
              </w:rPr>
            </w:pPr>
          </w:p>
        </w:tc>
        <w:tc>
          <w:tcPr>
            <w:tcW w:w="0" w:type="auto"/>
            <w:hideMark/>
          </w:tcPr>
          <w:p w14:paraId="2CDA1068"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1.049</w:t>
            </w:r>
          </w:p>
        </w:tc>
      </w:tr>
    </w:tbl>
    <w:p w14:paraId="4F61864F"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The total opportunity score (1.39), which is higher than the total threat score (1.05), indicates that the external environment remains relatively conducive for MSME development, particularly through digital marketing, policy support, and collaboration, although pressures from shifting consumer preferences and competition from modern products remain significant.</w:t>
      </w:r>
    </w:p>
    <w:p w14:paraId="6B6A56F8"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3.3.3 Strategic Position and Implications</w:t>
      </w:r>
    </w:p>
    <w:p w14:paraId="699752DD"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The IFAS–EFAS recap is presented in Table 7.</w:t>
      </w:r>
    </w:p>
    <w:p w14:paraId="6D52E257"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Table 7. IFAS–EFAS Calculation</w:t>
      </w:r>
    </w:p>
    <w:tbl>
      <w:tblPr>
        <w:tblStyle w:val="TableGridLight"/>
        <w:tblW w:w="0" w:type="auto"/>
        <w:tblLook w:val="04A0" w:firstRow="1" w:lastRow="0" w:firstColumn="1" w:lastColumn="0" w:noHBand="0" w:noVBand="1"/>
      </w:tblPr>
      <w:tblGrid>
        <w:gridCol w:w="8359"/>
        <w:gridCol w:w="794"/>
      </w:tblGrid>
      <w:tr w:rsidR="00C53FE5" w:rsidRPr="00C53FE5" w14:paraId="2B02BD6B" w14:textId="77777777" w:rsidTr="0049307A">
        <w:tc>
          <w:tcPr>
            <w:tcW w:w="8359" w:type="dxa"/>
            <w:hideMark/>
          </w:tcPr>
          <w:p w14:paraId="1FC21FB0"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Component</w:t>
            </w:r>
          </w:p>
        </w:tc>
        <w:tc>
          <w:tcPr>
            <w:tcW w:w="0" w:type="auto"/>
            <w:hideMark/>
          </w:tcPr>
          <w:p w14:paraId="754674FB" w14:textId="77777777" w:rsidR="00C53FE5" w:rsidRPr="00C53FE5" w:rsidRDefault="00C53FE5" w:rsidP="0049307A">
            <w:pPr>
              <w:spacing w:after="200" w:line="276" w:lineRule="auto"/>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Value</w:t>
            </w:r>
          </w:p>
        </w:tc>
      </w:tr>
      <w:tr w:rsidR="00C53FE5" w:rsidRPr="00C53FE5" w14:paraId="0AA99392" w14:textId="77777777" w:rsidTr="0049307A">
        <w:tc>
          <w:tcPr>
            <w:tcW w:w="8359" w:type="dxa"/>
            <w:hideMark/>
          </w:tcPr>
          <w:p w14:paraId="23296BA5"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Total Strength (S)</w:t>
            </w:r>
          </w:p>
        </w:tc>
        <w:tc>
          <w:tcPr>
            <w:tcW w:w="0" w:type="auto"/>
            <w:hideMark/>
          </w:tcPr>
          <w:p w14:paraId="07134E25"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1.330</w:t>
            </w:r>
          </w:p>
        </w:tc>
      </w:tr>
      <w:tr w:rsidR="00C53FE5" w:rsidRPr="00C53FE5" w14:paraId="0E28188B" w14:textId="77777777" w:rsidTr="0049307A">
        <w:tc>
          <w:tcPr>
            <w:tcW w:w="8359" w:type="dxa"/>
            <w:hideMark/>
          </w:tcPr>
          <w:p w14:paraId="268F0F5F"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Total Weakness (W)</w:t>
            </w:r>
          </w:p>
        </w:tc>
        <w:tc>
          <w:tcPr>
            <w:tcW w:w="0" w:type="auto"/>
            <w:hideMark/>
          </w:tcPr>
          <w:p w14:paraId="594D865A"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0.837</w:t>
            </w:r>
          </w:p>
        </w:tc>
      </w:tr>
      <w:tr w:rsidR="00C53FE5" w:rsidRPr="00C53FE5" w14:paraId="7A030069" w14:textId="77777777" w:rsidTr="0049307A">
        <w:tc>
          <w:tcPr>
            <w:tcW w:w="8359" w:type="dxa"/>
            <w:hideMark/>
          </w:tcPr>
          <w:p w14:paraId="33424AEA"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Total Opportunity (O)</w:t>
            </w:r>
          </w:p>
        </w:tc>
        <w:tc>
          <w:tcPr>
            <w:tcW w:w="0" w:type="auto"/>
            <w:hideMark/>
          </w:tcPr>
          <w:p w14:paraId="1140B240"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1.390</w:t>
            </w:r>
          </w:p>
        </w:tc>
      </w:tr>
      <w:tr w:rsidR="00C53FE5" w:rsidRPr="00C53FE5" w14:paraId="7741F29A" w14:textId="77777777" w:rsidTr="0049307A">
        <w:tc>
          <w:tcPr>
            <w:tcW w:w="8359" w:type="dxa"/>
            <w:hideMark/>
          </w:tcPr>
          <w:p w14:paraId="6033C111"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Total Threat (T)</w:t>
            </w:r>
          </w:p>
        </w:tc>
        <w:tc>
          <w:tcPr>
            <w:tcW w:w="0" w:type="auto"/>
            <w:hideMark/>
          </w:tcPr>
          <w:p w14:paraId="3C828C02" w14:textId="77777777" w:rsidR="00C53FE5" w:rsidRPr="00C53FE5" w:rsidRDefault="00C53FE5" w:rsidP="0049307A">
            <w:pPr>
              <w:spacing w:after="200" w:line="276" w:lineRule="auto"/>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1.049</w:t>
            </w:r>
          </w:p>
        </w:tc>
      </w:tr>
    </w:tbl>
    <w:p w14:paraId="380501E5"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The strategic coordinates are calculated as follows:</w:t>
      </w:r>
    </w:p>
    <w:p w14:paraId="33268316" w14:textId="77777777" w:rsidR="00C53FE5" w:rsidRPr="00C53FE5" w:rsidRDefault="00C53FE5" w:rsidP="0049307A">
      <w:pPr>
        <w:numPr>
          <w:ilvl w:val="0"/>
          <w:numId w:val="10"/>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X = S – W = 1.330 – 0.837 = +0.493</w:t>
      </w:r>
    </w:p>
    <w:p w14:paraId="677FB51D" w14:textId="77777777" w:rsidR="00C53FE5" w:rsidRPr="00C53FE5" w:rsidRDefault="00C53FE5" w:rsidP="0049307A">
      <w:pPr>
        <w:numPr>
          <w:ilvl w:val="0"/>
          <w:numId w:val="10"/>
        </w:num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Y = O – T = 1.390 – 1.049 = +0.341</w:t>
      </w:r>
    </w:p>
    <w:p w14:paraId="2953F65F"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b/>
          <w:bCs/>
          <w:sz w:val="24"/>
          <w:szCs w:val="24"/>
          <w:lang w:val="en-US"/>
        </w:rPr>
        <w:t>Figure 1. Strategic Quadrant</w:t>
      </w:r>
    </w:p>
    <w:p w14:paraId="151F7660" w14:textId="77777777" w:rsid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lastRenderedPageBreak/>
        <w:t xml:space="preserve">Both X and Y being positive place MSMEs in West Kisaran in Quadrant I (aggressive strategy), a condition in which strong internal factors coincide with substantial external opportunities. In practical terms, the recommended strategies focus on S–O (strength–opportunity) strategies, including </w:t>
      </w:r>
      <w:proofErr w:type="spellStart"/>
      <w:r w:rsidRPr="00C53FE5">
        <w:rPr>
          <w:rFonts w:ascii="Times New Roman" w:hAnsi="Times New Roman" w:cs="Times New Roman"/>
          <w:sz w:val="24"/>
          <w:szCs w:val="24"/>
          <w:lang w:val="en-US"/>
        </w:rPr>
        <w:t>revitalisation</w:t>
      </w:r>
      <w:proofErr w:type="spellEnd"/>
      <w:r w:rsidRPr="00C53FE5">
        <w:rPr>
          <w:rFonts w:ascii="Times New Roman" w:hAnsi="Times New Roman" w:cs="Times New Roman"/>
          <w:sz w:val="24"/>
          <w:szCs w:val="24"/>
          <w:lang w:val="en-US"/>
        </w:rPr>
        <w:t xml:space="preserve"> of local products (such as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 xml:space="preserve">) through digital branding, MSME cluster formation, integration with the tourism sector, the “UMKM Go Digital” </w:t>
      </w:r>
      <w:proofErr w:type="spellStart"/>
      <w:r w:rsidRPr="00C53FE5">
        <w:rPr>
          <w:rFonts w:ascii="Times New Roman" w:hAnsi="Times New Roman" w:cs="Times New Roman"/>
          <w:sz w:val="24"/>
          <w:szCs w:val="24"/>
          <w:lang w:val="en-US"/>
        </w:rPr>
        <w:t>programme</w:t>
      </w:r>
      <w:proofErr w:type="spellEnd"/>
      <w:r w:rsidRPr="00C53FE5">
        <w:rPr>
          <w:rFonts w:ascii="Times New Roman" w:hAnsi="Times New Roman" w:cs="Times New Roman"/>
          <w:sz w:val="24"/>
          <w:szCs w:val="24"/>
          <w:lang w:val="en-US"/>
        </w:rPr>
        <w:t xml:space="preserve">, and </w:t>
      </w:r>
      <w:proofErr w:type="spellStart"/>
      <w:r w:rsidRPr="00C53FE5">
        <w:rPr>
          <w:rFonts w:ascii="Times New Roman" w:hAnsi="Times New Roman" w:cs="Times New Roman"/>
          <w:sz w:val="24"/>
          <w:szCs w:val="24"/>
          <w:lang w:val="en-US"/>
        </w:rPr>
        <w:t>optimisation</w:t>
      </w:r>
      <w:proofErr w:type="spellEnd"/>
      <w:r w:rsidRPr="00C53FE5">
        <w:rPr>
          <w:rFonts w:ascii="Times New Roman" w:hAnsi="Times New Roman" w:cs="Times New Roman"/>
          <w:sz w:val="24"/>
          <w:szCs w:val="24"/>
          <w:lang w:val="en-US"/>
        </w:rPr>
        <w:t xml:space="preserve"> of access to finance through thematic KUR schemes.</w:t>
      </w:r>
    </w:p>
    <w:p w14:paraId="7E46B1A9" w14:textId="58C9E9F8" w:rsidR="00DF4D7C" w:rsidRDefault="0005566F" w:rsidP="00BF5301">
      <w:pPr>
        <w:jc w:val="center"/>
        <w:rPr>
          <w:rFonts w:ascii="Times New Roman" w:hAnsi="Times New Roman" w:cs="Times New Roman"/>
          <w:sz w:val="24"/>
          <w:szCs w:val="24"/>
          <w:lang w:val="en-US"/>
        </w:rPr>
      </w:pPr>
      <w:r w:rsidRPr="0005566F">
        <w:rPr>
          <w:rFonts w:ascii="Times New Roman" w:hAnsi="Times New Roman" w:cs="Times New Roman"/>
          <w:noProof/>
          <w:sz w:val="24"/>
          <w:szCs w:val="24"/>
          <w:lang w:val="en-US"/>
        </w:rPr>
        <w:drawing>
          <wp:inline distT="0" distB="0" distL="0" distR="0" wp14:anchorId="5521AE1A" wp14:editId="2867EC23">
            <wp:extent cx="5943600" cy="5972810"/>
            <wp:effectExtent l="0" t="0" r="0" b="8890"/>
            <wp:docPr id="1638853563"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53563" name="Picture 1" descr="A graph with numbers and lines&#10;&#10;AI-generated content may be incorrect."/>
                    <pic:cNvPicPr/>
                  </pic:nvPicPr>
                  <pic:blipFill>
                    <a:blip r:embed="rId7"/>
                    <a:stretch>
                      <a:fillRect/>
                    </a:stretch>
                  </pic:blipFill>
                  <pic:spPr>
                    <a:xfrm>
                      <a:off x="0" y="0"/>
                      <a:ext cx="5943600" cy="5972810"/>
                    </a:xfrm>
                    <a:prstGeom prst="rect">
                      <a:avLst/>
                    </a:prstGeom>
                  </pic:spPr>
                </pic:pic>
              </a:graphicData>
            </a:graphic>
          </wp:inline>
        </w:drawing>
      </w:r>
    </w:p>
    <w:p w14:paraId="56033BDB" w14:textId="29AF8305" w:rsidR="00DF4D7C" w:rsidRDefault="00BF5301" w:rsidP="00BF5301">
      <w:pPr>
        <w:jc w:val="center"/>
        <w:rPr>
          <w:rFonts w:ascii="Times New Roman" w:hAnsi="Times New Roman" w:cs="Times New Roman"/>
          <w:sz w:val="24"/>
          <w:szCs w:val="24"/>
          <w:lang w:val="en-US"/>
        </w:rPr>
      </w:pPr>
      <w:r>
        <w:rPr>
          <w:rFonts w:ascii="Times New Roman" w:hAnsi="Times New Roman" w:cs="Times New Roman"/>
          <w:sz w:val="24"/>
          <w:szCs w:val="24"/>
          <w:lang w:val="en-US"/>
        </w:rPr>
        <w:t>Figure 1. Quadrant Strategy for SWOT Analysis</w:t>
      </w:r>
    </w:p>
    <w:p w14:paraId="68255376" w14:textId="77777777" w:rsidR="00FC1E21" w:rsidRPr="00C53FE5" w:rsidRDefault="00FC1E21" w:rsidP="00BF5301">
      <w:pPr>
        <w:jc w:val="center"/>
        <w:rPr>
          <w:rFonts w:ascii="Times New Roman" w:hAnsi="Times New Roman" w:cs="Times New Roman"/>
          <w:sz w:val="24"/>
          <w:szCs w:val="24"/>
          <w:lang w:val="en-US"/>
        </w:rPr>
      </w:pPr>
    </w:p>
    <w:p w14:paraId="730D0EDF"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lastRenderedPageBreak/>
        <w:t>3.4 AHP Analysis</w:t>
      </w:r>
    </w:p>
    <w:p w14:paraId="63E9B5F0" w14:textId="77777777" w:rsidR="00FC1E21" w:rsidRPr="00FC1E21" w:rsidRDefault="00FC1E21" w:rsidP="00FC1E21">
      <w:pPr>
        <w:jc w:val="both"/>
        <w:rPr>
          <w:rFonts w:ascii="Times New Roman" w:hAnsi="Times New Roman" w:cs="Times New Roman"/>
          <w:sz w:val="24"/>
          <w:szCs w:val="24"/>
          <w:highlight w:val="yellow"/>
        </w:rPr>
      </w:pPr>
      <w:r w:rsidRPr="00FC1E21">
        <w:rPr>
          <w:rFonts w:ascii="Times New Roman" w:hAnsi="Times New Roman" w:cs="Times New Roman"/>
          <w:sz w:val="24"/>
          <w:szCs w:val="24"/>
          <w:highlight w:val="yellow"/>
        </w:rPr>
        <w:t>AHP was applied to rank strategic alternatives using pairwise comparisons from a 20-respondent panel with acceptable consistency (average CR = 0.047). The prioritisation indicates that two strategies should be implemented as core programmes in parallel:</w:t>
      </w:r>
    </w:p>
    <w:p w14:paraId="17F59B18" w14:textId="77777777" w:rsidR="00FC1E21" w:rsidRPr="00FC1E21" w:rsidRDefault="00FC1E21" w:rsidP="00FC1E21">
      <w:pPr>
        <w:numPr>
          <w:ilvl w:val="0"/>
          <w:numId w:val="14"/>
        </w:numPr>
        <w:jc w:val="both"/>
        <w:rPr>
          <w:rFonts w:ascii="Times New Roman" w:hAnsi="Times New Roman" w:cs="Times New Roman"/>
          <w:sz w:val="24"/>
          <w:szCs w:val="24"/>
          <w:highlight w:val="yellow"/>
        </w:rPr>
      </w:pPr>
      <w:r w:rsidRPr="00FC1E21">
        <w:rPr>
          <w:rFonts w:ascii="Times New Roman" w:hAnsi="Times New Roman" w:cs="Times New Roman"/>
          <w:sz w:val="24"/>
          <w:szCs w:val="24"/>
          <w:highlight w:val="yellow"/>
        </w:rPr>
        <w:t>Cross-sector MSME cluster development (A2) as the institutional-operational backbone; and</w:t>
      </w:r>
    </w:p>
    <w:p w14:paraId="444BB891" w14:textId="77777777" w:rsidR="00FC1E21" w:rsidRPr="00FC1E21" w:rsidRDefault="00FC1E21" w:rsidP="00FC1E21">
      <w:pPr>
        <w:numPr>
          <w:ilvl w:val="0"/>
          <w:numId w:val="14"/>
        </w:numPr>
        <w:jc w:val="both"/>
        <w:rPr>
          <w:rFonts w:ascii="Times New Roman" w:hAnsi="Times New Roman" w:cs="Times New Roman"/>
          <w:sz w:val="24"/>
          <w:szCs w:val="24"/>
          <w:highlight w:val="yellow"/>
        </w:rPr>
      </w:pPr>
      <w:r w:rsidRPr="00FC1E21">
        <w:rPr>
          <w:rFonts w:ascii="Times New Roman" w:hAnsi="Times New Roman" w:cs="Times New Roman"/>
          <w:sz w:val="24"/>
          <w:szCs w:val="24"/>
          <w:highlight w:val="yellow"/>
        </w:rPr>
        <w:t>“UMKM Go Digital” programme (A4) as the primary market-expansion channel.</w:t>
      </w:r>
    </w:p>
    <w:p w14:paraId="27F46C24" w14:textId="77777777" w:rsidR="00FC1E21" w:rsidRPr="00FC1E21" w:rsidRDefault="00FC1E21" w:rsidP="00FC1E21">
      <w:pPr>
        <w:jc w:val="both"/>
        <w:rPr>
          <w:rFonts w:ascii="Times New Roman" w:hAnsi="Times New Roman" w:cs="Times New Roman"/>
          <w:sz w:val="24"/>
          <w:szCs w:val="24"/>
          <w:highlight w:val="yellow"/>
        </w:rPr>
      </w:pPr>
      <w:r w:rsidRPr="00FC1E21">
        <w:rPr>
          <w:rFonts w:ascii="Times New Roman" w:hAnsi="Times New Roman" w:cs="Times New Roman"/>
          <w:sz w:val="24"/>
          <w:szCs w:val="24"/>
          <w:highlight w:val="yellow"/>
        </w:rPr>
        <w:t>Three strategies function as enablers that strengthen differentiation, demand creation, and financial capacity:</w:t>
      </w:r>
      <w:r w:rsidRPr="00FC1E21">
        <w:rPr>
          <w:rFonts w:ascii="Times New Roman" w:hAnsi="Times New Roman" w:cs="Times New Roman"/>
          <w:sz w:val="24"/>
          <w:szCs w:val="24"/>
          <w:highlight w:val="yellow"/>
        </w:rPr>
        <w:br/>
        <w:t>3) Integration with tourism and the creative economy (A3);</w:t>
      </w:r>
      <w:r w:rsidRPr="00FC1E21">
        <w:rPr>
          <w:rFonts w:ascii="Times New Roman" w:hAnsi="Times New Roman" w:cs="Times New Roman"/>
          <w:sz w:val="24"/>
          <w:szCs w:val="24"/>
          <w:highlight w:val="yellow"/>
        </w:rPr>
        <w:br/>
        <w:t xml:space="preserve">4) Sepatu </w:t>
      </w:r>
      <w:proofErr w:type="spellStart"/>
      <w:r w:rsidRPr="00FC1E21">
        <w:rPr>
          <w:rFonts w:ascii="Times New Roman" w:hAnsi="Times New Roman" w:cs="Times New Roman"/>
          <w:sz w:val="24"/>
          <w:szCs w:val="24"/>
          <w:highlight w:val="yellow"/>
        </w:rPr>
        <w:t>Bunut</w:t>
      </w:r>
      <w:proofErr w:type="spellEnd"/>
      <w:r w:rsidRPr="00FC1E21">
        <w:rPr>
          <w:rFonts w:ascii="Times New Roman" w:hAnsi="Times New Roman" w:cs="Times New Roman"/>
          <w:sz w:val="24"/>
          <w:szCs w:val="24"/>
          <w:highlight w:val="yellow"/>
        </w:rPr>
        <w:t xml:space="preserve"> revitalisation through branding and design innovation (A1);</w:t>
      </w:r>
      <w:r w:rsidRPr="00FC1E21">
        <w:rPr>
          <w:rFonts w:ascii="Times New Roman" w:hAnsi="Times New Roman" w:cs="Times New Roman"/>
          <w:sz w:val="24"/>
          <w:szCs w:val="24"/>
          <w:highlight w:val="yellow"/>
        </w:rPr>
        <w:br/>
        <w:t>5) Optimising access to finance through thematic KUR (A5).</w:t>
      </w:r>
    </w:p>
    <w:p w14:paraId="49EB46D5" w14:textId="2DD8B967" w:rsidR="00C53FE5" w:rsidRPr="00FC1E21" w:rsidRDefault="00FC1E21" w:rsidP="0049307A">
      <w:pPr>
        <w:jc w:val="both"/>
        <w:rPr>
          <w:rFonts w:ascii="Times New Roman" w:hAnsi="Times New Roman" w:cs="Times New Roman"/>
          <w:sz w:val="24"/>
          <w:szCs w:val="24"/>
        </w:rPr>
      </w:pPr>
      <w:r w:rsidRPr="00FC1E21">
        <w:rPr>
          <w:rFonts w:ascii="Times New Roman" w:hAnsi="Times New Roman" w:cs="Times New Roman"/>
          <w:sz w:val="24"/>
          <w:szCs w:val="24"/>
          <w:highlight w:val="yellow"/>
        </w:rPr>
        <w:t>This structure resolves the earlier narrative conflict by treating “product revitalisation/competitiveness” as a high-importance development domain while still allowing cluster development and digitalisation to rank as top implementation strategies due to feasibility, scale effects, and ecosystem impact</w:t>
      </w:r>
      <w:r w:rsidR="00C53FE5" w:rsidRPr="00FC1E21">
        <w:rPr>
          <w:rFonts w:ascii="Times New Roman" w:hAnsi="Times New Roman" w:cs="Times New Roman"/>
          <w:sz w:val="24"/>
          <w:szCs w:val="24"/>
          <w:highlight w:val="yellow"/>
          <w:lang w:val="en-US"/>
        </w:rPr>
        <w:t>.</w:t>
      </w:r>
    </w:p>
    <w:p w14:paraId="62093923"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3.5 Strategic Model for Strengthening MSMEs</w:t>
      </w:r>
    </w:p>
    <w:p w14:paraId="16E1D2CD"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Based on the integration of SWOT and AHP analyses, MSMEs in West Kisaran District are positioned in Quadrant I (aggressive), where strong internal conditions meet substantial external opportunities. The assessments of 20 key respondents (MSME actors, government, academics, and financial institutions) yield an average Consistency Ratio of 0.047 (&lt; 0.1), indicating that the derived priority weights are consistent and reliable as a basis for model formulation.</w:t>
      </w:r>
    </w:p>
    <w:p w14:paraId="7060C934"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The five strategic alternatives </w:t>
      </w:r>
      <w:proofErr w:type="spellStart"/>
      <w:r w:rsidRPr="00C53FE5">
        <w:rPr>
          <w:rFonts w:ascii="Times New Roman" w:hAnsi="Times New Roman" w:cs="Times New Roman"/>
          <w:sz w:val="24"/>
          <w:szCs w:val="24"/>
          <w:lang w:val="en-US"/>
        </w:rPr>
        <w:t>analysed</w:t>
      </w:r>
      <w:proofErr w:type="spellEnd"/>
      <w:r w:rsidRPr="00C53FE5">
        <w:rPr>
          <w:rFonts w:ascii="Times New Roman" w:hAnsi="Times New Roman" w:cs="Times New Roman"/>
          <w:sz w:val="24"/>
          <w:szCs w:val="24"/>
          <w:lang w:val="en-US"/>
        </w:rPr>
        <w:t xml:space="preserve"> through AHP produce the following priority order: (1) cross-sector MSME cluster development (A2), (2) the “UMKM Go Digital” </w:t>
      </w:r>
      <w:proofErr w:type="spellStart"/>
      <w:r w:rsidRPr="00C53FE5">
        <w:rPr>
          <w:rFonts w:ascii="Times New Roman" w:hAnsi="Times New Roman" w:cs="Times New Roman"/>
          <w:sz w:val="24"/>
          <w:szCs w:val="24"/>
          <w:lang w:val="en-US"/>
        </w:rPr>
        <w:t>programme</w:t>
      </w:r>
      <w:proofErr w:type="spellEnd"/>
      <w:r w:rsidRPr="00C53FE5">
        <w:rPr>
          <w:rFonts w:ascii="Times New Roman" w:hAnsi="Times New Roman" w:cs="Times New Roman"/>
          <w:sz w:val="24"/>
          <w:szCs w:val="24"/>
          <w:lang w:val="en-US"/>
        </w:rPr>
        <w:t xml:space="preserve"> (A4), (3) integration with tourism and the creative economy (A3), (4)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 xml:space="preserve"> </w:t>
      </w:r>
      <w:proofErr w:type="spellStart"/>
      <w:r w:rsidRPr="00C53FE5">
        <w:rPr>
          <w:rFonts w:ascii="Times New Roman" w:hAnsi="Times New Roman" w:cs="Times New Roman"/>
          <w:sz w:val="24"/>
          <w:szCs w:val="24"/>
          <w:lang w:val="en-US"/>
        </w:rPr>
        <w:t>revitalisation</w:t>
      </w:r>
      <w:proofErr w:type="spellEnd"/>
      <w:r w:rsidRPr="00C53FE5">
        <w:rPr>
          <w:rFonts w:ascii="Times New Roman" w:hAnsi="Times New Roman" w:cs="Times New Roman"/>
          <w:sz w:val="24"/>
          <w:szCs w:val="24"/>
          <w:lang w:val="en-US"/>
        </w:rPr>
        <w:t xml:space="preserve"> through branding and design innovation (A1), and (5) </w:t>
      </w:r>
      <w:proofErr w:type="spellStart"/>
      <w:r w:rsidRPr="00C53FE5">
        <w:rPr>
          <w:rFonts w:ascii="Times New Roman" w:hAnsi="Times New Roman" w:cs="Times New Roman"/>
          <w:sz w:val="24"/>
          <w:szCs w:val="24"/>
          <w:lang w:val="en-US"/>
        </w:rPr>
        <w:t>optimising</w:t>
      </w:r>
      <w:proofErr w:type="spellEnd"/>
      <w:r w:rsidRPr="00C53FE5">
        <w:rPr>
          <w:rFonts w:ascii="Times New Roman" w:hAnsi="Times New Roman" w:cs="Times New Roman"/>
          <w:sz w:val="24"/>
          <w:szCs w:val="24"/>
          <w:lang w:val="en-US"/>
        </w:rPr>
        <w:t xml:space="preserve"> access to finance through thematic KUR (A5). A2 and A4, which exhibit the highest global weights, are recommended as core strategies to be implemented in parallel: clusters serving as institutional and operational structures, and </w:t>
      </w:r>
      <w:proofErr w:type="spellStart"/>
      <w:r w:rsidRPr="00C53FE5">
        <w:rPr>
          <w:rFonts w:ascii="Times New Roman" w:hAnsi="Times New Roman" w:cs="Times New Roman"/>
          <w:sz w:val="24"/>
          <w:szCs w:val="24"/>
          <w:lang w:val="en-US"/>
        </w:rPr>
        <w:t>digitalisation</w:t>
      </w:r>
      <w:proofErr w:type="spellEnd"/>
      <w:r w:rsidRPr="00C53FE5">
        <w:rPr>
          <w:rFonts w:ascii="Times New Roman" w:hAnsi="Times New Roman" w:cs="Times New Roman"/>
          <w:sz w:val="24"/>
          <w:szCs w:val="24"/>
          <w:lang w:val="en-US"/>
        </w:rPr>
        <w:t xml:space="preserve"> functioning as the main channel for market expansion. A3, A1, and A5 act as supporting/enabling strategies that reinforce product differentiation, connectivity with other sectors, and financing capacity.</w:t>
      </w:r>
    </w:p>
    <w:p w14:paraId="4C13BBB6"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The proposed strategic model can be understood as an orchestration of three impact axes: (</w:t>
      </w:r>
      <w:proofErr w:type="spellStart"/>
      <w:r w:rsidRPr="00C53FE5">
        <w:rPr>
          <w:rFonts w:ascii="Times New Roman" w:hAnsi="Times New Roman" w:cs="Times New Roman"/>
          <w:sz w:val="24"/>
          <w:szCs w:val="24"/>
          <w:lang w:val="en-US"/>
        </w:rPr>
        <w:t>i</w:t>
      </w:r>
      <w:proofErr w:type="spellEnd"/>
      <w:r w:rsidRPr="00C53FE5">
        <w:rPr>
          <w:rFonts w:ascii="Times New Roman" w:hAnsi="Times New Roman" w:cs="Times New Roman"/>
          <w:sz w:val="24"/>
          <w:szCs w:val="24"/>
          <w:lang w:val="en-US"/>
        </w:rPr>
        <w:t xml:space="preserve">) differentiation and strengthening of local brands through product </w:t>
      </w:r>
      <w:proofErr w:type="spellStart"/>
      <w:r w:rsidRPr="00C53FE5">
        <w:rPr>
          <w:rFonts w:ascii="Times New Roman" w:hAnsi="Times New Roman" w:cs="Times New Roman"/>
          <w:sz w:val="24"/>
          <w:szCs w:val="24"/>
          <w:lang w:val="en-US"/>
        </w:rPr>
        <w:t>revitalisation</w:t>
      </w:r>
      <w:proofErr w:type="spellEnd"/>
      <w:r w:rsidRPr="00C53FE5">
        <w:rPr>
          <w:rFonts w:ascii="Times New Roman" w:hAnsi="Times New Roman" w:cs="Times New Roman"/>
          <w:sz w:val="24"/>
          <w:szCs w:val="24"/>
          <w:lang w:val="en-US"/>
        </w:rPr>
        <w:t xml:space="preserve"> and digital branding (A1–A4); (ii) expanded market access and transaction volume through integrated digital and tourism channels (A4–A3); and (iii) structural reinforcement and cost efficiency through </w:t>
      </w:r>
      <w:r w:rsidRPr="00C53FE5">
        <w:rPr>
          <w:rFonts w:ascii="Times New Roman" w:hAnsi="Times New Roman" w:cs="Times New Roman"/>
          <w:sz w:val="24"/>
          <w:szCs w:val="24"/>
          <w:lang w:val="en-US"/>
        </w:rPr>
        <w:lastRenderedPageBreak/>
        <w:t>clustering and targeted financing (A2–A5). The synergy of these three axes is expected to enhance MSME competitiveness while simultaneously strengthening their contribution to regional development.</w:t>
      </w:r>
    </w:p>
    <w:p w14:paraId="2C151DA5"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Within a four-year implementation horizon, the study formulates indicative targets for increasing MSME contributions to GRDP: approximately 12% in the first year, 18% cumulatively in the second year, and 25% by the fourth year. These figures are not intended as precise econometric forecasts but as planning scenarios that local governments and stakeholders can use as references for </w:t>
      </w:r>
      <w:proofErr w:type="spellStart"/>
      <w:r w:rsidRPr="00C53FE5">
        <w:rPr>
          <w:rFonts w:ascii="Times New Roman" w:hAnsi="Times New Roman" w:cs="Times New Roman"/>
          <w:sz w:val="24"/>
          <w:szCs w:val="24"/>
          <w:lang w:val="en-US"/>
        </w:rPr>
        <w:t>programme</w:t>
      </w:r>
      <w:proofErr w:type="spellEnd"/>
      <w:r w:rsidRPr="00C53FE5">
        <w:rPr>
          <w:rFonts w:ascii="Times New Roman" w:hAnsi="Times New Roman" w:cs="Times New Roman"/>
          <w:sz w:val="24"/>
          <w:szCs w:val="24"/>
          <w:lang w:val="en-US"/>
        </w:rPr>
        <w:t xml:space="preserve"> design, performance indicator setting, and periodic evaluation of MSME development in West Kisaran District.</w:t>
      </w:r>
    </w:p>
    <w:p w14:paraId="411F0554"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3.6 Discussion</w:t>
      </w:r>
    </w:p>
    <w:p w14:paraId="5E1C3ECE"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 xml:space="preserve">The findings suggest that MSME development in West Kisaran District requires a comprehensive and sustainable approach. </w:t>
      </w:r>
      <w:proofErr w:type="spellStart"/>
      <w:r w:rsidRPr="00C53FE5">
        <w:rPr>
          <w:rFonts w:ascii="Times New Roman" w:hAnsi="Times New Roman" w:cs="Times New Roman"/>
          <w:sz w:val="24"/>
          <w:szCs w:val="24"/>
          <w:lang w:val="en-US"/>
        </w:rPr>
        <w:t>Revitalising</w:t>
      </w:r>
      <w:proofErr w:type="spellEnd"/>
      <w:r w:rsidRPr="00C53FE5">
        <w:rPr>
          <w:rFonts w:ascii="Times New Roman" w:hAnsi="Times New Roman" w:cs="Times New Roman"/>
          <w:sz w:val="24"/>
          <w:szCs w:val="24"/>
          <w:lang w:val="en-US"/>
        </w:rPr>
        <w:t xml:space="preserve"> local products such as </w:t>
      </w:r>
      <w:r w:rsidRPr="00C53FE5">
        <w:rPr>
          <w:rFonts w:ascii="Times New Roman" w:hAnsi="Times New Roman" w:cs="Times New Roman"/>
          <w:i/>
          <w:iCs/>
          <w:sz w:val="24"/>
          <w:szCs w:val="24"/>
          <w:lang w:val="en-US"/>
        </w:rPr>
        <w:t xml:space="preserve">Sepatu </w:t>
      </w:r>
      <w:proofErr w:type="spellStart"/>
      <w:r w:rsidRPr="00C53FE5">
        <w:rPr>
          <w:rFonts w:ascii="Times New Roman" w:hAnsi="Times New Roman" w:cs="Times New Roman"/>
          <w:i/>
          <w:iCs/>
          <w:sz w:val="24"/>
          <w:szCs w:val="24"/>
          <w:lang w:val="en-US"/>
        </w:rPr>
        <w:t>Bunut</w:t>
      </w:r>
      <w:proofErr w:type="spellEnd"/>
      <w:r w:rsidRPr="00C53FE5">
        <w:rPr>
          <w:rFonts w:ascii="Times New Roman" w:hAnsi="Times New Roman" w:cs="Times New Roman"/>
          <w:sz w:val="24"/>
          <w:szCs w:val="24"/>
          <w:lang w:val="en-US"/>
        </w:rPr>
        <w:t xml:space="preserve"> through design innovation and more modern branding is essential to strengthen product competitiveness in an increasingly competitive market. Furthermore, developing MSME clusters in handicrafts, culinary enterprises, and creative services can enhance collective capacity and reduce production costs (</w:t>
      </w:r>
      <w:proofErr w:type="spellStart"/>
      <w:r w:rsidRPr="00C53FE5">
        <w:rPr>
          <w:rFonts w:ascii="Times New Roman" w:hAnsi="Times New Roman" w:cs="Times New Roman"/>
          <w:sz w:val="24"/>
          <w:szCs w:val="24"/>
          <w:lang w:val="en-US"/>
        </w:rPr>
        <w:t>Rambe</w:t>
      </w:r>
      <w:proofErr w:type="spellEnd"/>
      <w:r w:rsidRPr="00C53FE5">
        <w:rPr>
          <w:rFonts w:ascii="Times New Roman" w:hAnsi="Times New Roman" w:cs="Times New Roman"/>
          <w:sz w:val="24"/>
          <w:szCs w:val="24"/>
          <w:lang w:val="en-US"/>
        </w:rPr>
        <w:t xml:space="preserve"> et al., 2025).</w:t>
      </w:r>
    </w:p>
    <w:p w14:paraId="7CA25620" w14:textId="77777777" w:rsidR="00C53FE5" w:rsidRPr="00C53FE5" w:rsidRDefault="00C53FE5" w:rsidP="0049307A">
      <w:pPr>
        <w:jc w:val="both"/>
        <w:rPr>
          <w:rFonts w:ascii="Times New Roman" w:hAnsi="Times New Roman" w:cs="Times New Roman"/>
          <w:sz w:val="24"/>
          <w:szCs w:val="24"/>
          <w:lang w:val="en-US"/>
        </w:rPr>
      </w:pPr>
      <w:proofErr w:type="spellStart"/>
      <w:r w:rsidRPr="00C53FE5">
        <w:rPr>
          <w:rFonts w:ascii="Times New Roman" w:hAnsi="Times New Roman" w:cs="Times New Roman"/>
          <w:sz w:val="24"/>
          <w:szCs w:val="24"/>
          <w:lang w:val="en-US"/>
        </w:rPr>
        <w:t>Digitalisation</w:t>
      </w:r>
      <w:proofErr w:type="spellEnd"/>
      <w:r w:rsidRPr="00C53FE5">
        <w:rPr>
          <w:rFonts w:ascii="Times New Roman" w:hAnsi="Times New Roman" w:cs="Times New Roman"/>
          <w:sz w:val="24"/>
          <w:szCs w:val="24"/>
          <w:lang w:val="en-US"/>
        </w:rPr>
        <w:t xml:space="preserve"> is a particularly critical aspect in MSME development. The “UMKM Go Digital” </w:t>
      </w:r>
      <w:proofErr w:type="spellStart"/>
      <w:r w:rsidRPr="00C53FE5">
        <w:rPr>
          <w:rFonts w:ascii="Times New Roman" w:hAnsi="Times New Roman" w:cs="Times New Roman"/>
          <w:sz w:val="24"/>
          <w:szCs w:val="24"/>
          <w:lang w:val="en-US"/>
        </w:rPr>
        <w:t>programme</w:t>
      </w:r>
      <w:proofErr w:type="spellEnd"/>
      <w:r w:rsidRPr="00C53FE5">
        <w:rPr>
          <w:rFonts w:ascii="Times New Roman" w:hAnsi="Times New Roman" w:cs="Times New Roman"/>
          <w:sz w:val="24"/>
          <w:szCs w:val="24"/>
          <w:lang w:val="en-US"/>
        </w:rPr>
        <w:t xml:space="preserve">, which equips business actors with digital marketing and distribution capabilities, can open up broader market opportunities, especially among younger, technology-savvy consumers. As demonstrated by the AHP results, </w:t>
      </w:r>
      <w:proofErr w:type="spellStart"/>
      <w:r w:rsidRPr="00C53FE5">
        <w:rPr>
          <w:rFonts w:ascii="Times New Roman" w:hAnsi="Times New Roman" w:cs="Times New Roman"/>
          <w:sz w:val="24"/>
          <w:szCs w:val="24"/>
          <w:lang w:val="en-US"/>
        </w:rPr>
        <w:t>digitalisation</w:t>
      </w:r>
      <w:proofErr w:type="spellEnd"/>
      <w:r w:rsidRPr="00C53FE5">
        <w:rPr>
          <w:rFonts w:ascii="Times New Roman" w:hAnsi="Times New Roman" w:cs="Times New Roman"/>
          <w:sz w:val="24"/>
          <w:szCs w:val="24"/>
          <w:lang w:val="en-US"/>
        </w:rPr>
        <w:t xml:space="preserve"> is one of the strategic priorities to ensure that MSMEs in West Kisaran can compete effectively in global markets (</w:t>
      </w:r>
      <w:proofErr w:type="spellStart"/>
      <w:r w:rsidRPr="00C53FE5">
        <w:rPr>
          <w:rFonts w:ascii="Times New Roman" w:hAnsi="Times New Roman" w:cs="Times New Roman"/>
          <w:sz w:val="24"/>
          <w:szCs w:val="24"/>
          <w:lang w:val="en-US"/>
        </w:rPr>
        <w:t>Suriono</w:t>
      </w:r>
      <w:proofErr w:type="spellEnd"/>
      <w:r w:rsidRPr="00C53FE5">
        <w:rPr>
          <w:rFonts w:ascii="Times New Roman" w:hAnsi="Times New Roman" w:cs="Times New Roman"/>
          <w:sz w:val="24"/>
          <w:szCs w:val="24"/>
          <w:lang w:val="en-US"/>
        </w:rPr>
        <w:t xml:space="preserve"> et al., 2024).</w:t>
      </w:r>
    </w:p>
    <w:p w14:paraId="7ACEFC0A"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From a policy perspective, local government must continue to support MSMEs by providing sustained mentoring, easy access to finance, and integrated promotion. Financing schemes such as thematic KUR based on local institutional structures should be simplified so that MSME actors can access funds more efficiently (Nanta et al., 2025). Furthermore, partnerships with the private sector and educational institutions can help improve product quality and expand market networks for MSMEs in the region.</w:t>
      </w:r>
    </w:p>
    <w:p w14:paraId="71A7F38E" w14:textId="77777777" w:rsidR="00C53FE5" w:rsidRPr="00C53FE5" w:rsidRDefault="00C53FE5" w:rsidP="0049307A">
      <w:pPr>
        <w:jc w:val="both"/>
        <w:rPr>
          <w:rFonts w:ascii="Times New Roman" w:hAnsi="Times New Roman" w:cs="Times New Roman"/>
          <w:sz w:val="24"/>
          <w:szCs w:val="24"/>
          <w:lang w:val="en-US"/>
        </w:rPr>
      </w:pPr>
      <w:r w:rsidRPr="00C53FE5">
        <w:rPr>
          <w:rFonts w:ascii="Times New Roman" w:hAnsi="Times New Roman" w:cs="Times New Roman"/>
          <w:sz w:val="24"/>
          <w:szCs w:val="24"/>
          <w:lang w:val="en-US"/>
        </w:rPr>
        <w:t>MSME development in West Kisaran District also needs to be supported by strengthening human resource capacity through training in both production and marketing skills. This is consistent with earlier findings that MSMEs with better-trained human resources are more likely to grow and adapt to rapid market changes (Hartanto et al., 2022). The success of the strategic model thus depends heavily on collaboration between local government, business actors, and communities, ensuring that all parties contribute to the development of a sustainable MSME sector.</w:t>
      </w:r>
    </w:p>
    <w:p w14:paraId="1E1B33C4"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IV. Conclusion and Recommendations</w:t>
      </w:r>
    </w:p>
    <w:p w14:paraId="149DAFDC"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4.1 Conclusion</w:t>
      </w:r>
    </w:p>
    <w:p w14:paraId="7FF7E804" w14:textId="6BA68C37" w:rsidR="00C53FE5" w:rsidRPr="00C53FE5" w:rsidRDefault="00AE7722" w:rsidP="0049307A">
      <w:pPr>
        <w:jc w:val="both"/>
        <w:rPr>
          <w:rFonts w:ascii="Times New Roman" w:hAnsi="Times New Roman" w:cs="Times New Roman"/>
          <w:sz w:val="24"/>
          <w:szCs w:val="24"/>
          <w:lang w:val="en-US"/>
        </w:rPr>
      </w:pPr>
      <w:r w:rsidRPr="00AE7722">
        <w:rPr>
          <w:rFonts w:ascii="Times New Roman" w:hAnsi="Times New Roman" w:cs="Times New Roman"/>
          <w:sz w:val="24"/>
          <w:szCs w:val="24"/>
          <w:highlight w:val="yellow"/>
        </w:rPr>
        <w:lastRenderedPageBreak/>
        <w:t xml:space="preserve">This study developed a strategic model to strengthen MSMEs in West </w:t>
      </w:r>
      <w:proofErr w:type="spellStart"/>
      <w:r w:rsidRPr="00AE7722">
        <w:rPr>
          <w:rFonts w:ascii="Times New Roman" w:hAnsi="Times New Roman" w:cs="Times New Roman"/>
          <w:sz w:val="24"/>
          <w:szCs w:val="24"/>
          <w:highlight w:val="yellow"/>
        </w:rPr>
        <w:t>Kisaran</w:t>
      </w:r>
      <w:proofErr w:type="spellEnd"/>
      <w:r w:rsidRPr="00AE7722">
        <w:rPr>
          <w:rFonts w:ascii="Times New Roman" w:hAnsi="Times New Roman" w:cs="Times New Roman"/>
          <w:sz w:val="24"/>
          <w:szCs w:val="24"/>
          <w:highlight w:val="yellow"/>
        </w:rPr>
        <w:t xml:space="preserve"> District by integrating SWOT positioning and AHP-based prioritisation. The normalised SWOT results place MSMEs in Quadrant I, indicating that strong internal assets and favourable external opportunities support an aggressive development strategy. AHP prioritisation suggests that cluster development and MSME digitalisation should be implemented as core strategies, supported by tourism integration, targeted product revitalisation (notably Sepatu </w:t>
      </w:r>
      <w:proofErr w:type="spellStart"/>
      <w:r w:rsidRPr="00AE7722">
        <w:rPr>
          <w:rFonts w:ascii="Times New Roman" w:hAnsi="Times New Roman" w:cs="Times New Roman"/>
          <w:sz w:val="24"/>
          <w:szCs w:val="24"/>
          <w:highlight w:val="yellow"/>
        </w:rPr>
        <w:t>Bunut</w:t>
      </w:r>
      <w:proofErr w:type="spellEnd"/>
      <w:r w:rsidRPr="00AE7722">
        <w:rPr>
          <w:rFonts w:ascii="Times New Roman" w:hAnsi="Times New Roman" w:cs="Times New Roman"/>
          <w:sz w:val="24"/>
          <w:szCs w:val="24"/>
          <w:highlight w:val="yellow"/>
        </w:rPr>
        <w:t>), and optimised access to thematic KUR financing. Overall, the model provides an implementable pathway to strengthen competitiveness and guide district-level MSME development planning</w:t>
      </w:r>
      <w:r w:rsidR="00C53FE5" w:rsidRPr="00AE7722">
        <w:rPr>
          <w:rFonts w:ascii="Times New Roman" w:hAnsi="Times New Roman" w:cs="Times New Roman"/>
          <w:sz w:val="24"/>
          <w:szCs w:val="24"/>
          <w:highlight w:val="yellow"/>
          <w:lang w:val="en-US"/>
        </w:rPr>
        <w:t>.</w:t>
      </w:r>
    </w:p>
    <w:p w14:paraId="648CD883" w14:textId="77777777" w:rsidR="00C53FE5" w:rsidRPr="00C53FE5" w:rsidRDefault="00C53FE5" w:rsidP="0049307A">
      <w:pPr>
        <w:jc w:val="both"/>
        <w:rPr>
          <w:rFonts w:ascii="Times New Roman" w:hAnsi="Times New Roman" w:cs="Times New Roman"/>
          <w:b/>
          <w:bCs/>
          <w:sz w:val="24"/>
          <w:szCs w:val="24"/>
          <w:lang w:val="en-US"/>
        </w:rPr>
      </w:pPr>
      <w:r w:rsidRPr="00C53FE5">
        <w:rPr>
          <w:rFonts w:ascii="Times New Roman" w:hAnsi="Times New Roman" w:cs="Times New Roman"/>
          <w:b/>
          <w:bCs/>
          <w:sz w:val="24"/>
          <w:szCs w:val="24"/>
          <w:lang w:val="en-US"/>
        </w:rPr>
        <w:t>4.2 Recommendations</w:t>
      </w:r>
    </w:p>
    <w:p w14:paraId="07A62095" w14:textId="3345D447" w:rsidR="003D31FF" w:rsidRPr="00C53FE5" w:rsidRDefault="00F401B9" w:rsidP="0049307A">
      <w:pPr>
        <w:jc w:val="both"/>
        <w:rPr>
          <w:rFonts w:ascii="Times New Roman" w:hAnsi="Times New Roman" w:cs="Times New Roman"/>
          <w:sz w:val="24"/>
          <w:szCs w:val="24"/>
          <w:lang w:val="en-US"/>
        </w:rPr>
      </w:pPr>
      <w:r w:rsidRPr="00F401B9">
        <w:rPr>
          <w:rFonts w:ascii="Times New Roman" w:hAnsi="Times New Roman" w:cs="Times New Roman"/>
          <w:sz w:val="24"/>
          <w:szCs w:val="24"/>
          <w:highlight w:val="yellow"/>
        </w:rPr>
        <w:t>Local government and MSME ecosystem actors should operationalise the strategy in a sequenced manner: build cluster governance and digital capability first, then amplify demand through tourism/creative packages, while enabling product differentiation and financing access. Scenario-based targets may be used as planning references and annual evaluation indicators; however, they should be tied to a clear baseline definition and measured consistently over time</w:t>
      </w:r>
      <w:r w:rsidR="00C53FE5" w:rsidRPr="00F401B9">
        <w:rPr>
          <w:rFonts w:ascii="Times New Roman" w:hAnsi="Times New Roman" w:cs="Times New Roman"/>
          <w:sz w:val="24"/>
          <w:szCs w:val="24"/>
          <w:highlight w:val="yellow"/>
          <w:lang w:val="en-US"/>
        </w:rPr>
        <w:t>.</w:t>
      </w:r>
    </w:p>
    <w:p w14:paraId="1ACB059D" w14:textId="7054A22F" w:rsidR="00F401B9" w:rsidRPr="00F401B9" w:rsidRDefault="00F401B9" w:rsidP="00F401B9">
      <w:pPr>
        <w:jc w:val="both"/>
        <w:rPr>
          <w:rFonts w:ascii="Times New Roman" w:hAnsi="Times New Roman" w:cs="Times New Roman"/>
          <w:b/>
          <w:bCs/>
          <w:highlight w:val="yellow"/>
        </w:rPr>
      </w:pPr>
      <w:r w:rsidRPr="00F401B9">
        <w:rPr>
          <w:rFonts w:ascii="Times New Roman" w:hAnsi="Times New Roman" w:cs="Times New Roman"/>
          <w:b/>
          <w:bCs/>
          <w:highlight w:val="yellow"/>
        </w:rPr>
        <w:t>4.3 Limitations</w:t>
      </w:r>
    </w:p>
    <w:p w14:paraId="79A31313" w14:textId="77777777" w:rsidR="00F401B9" w:rsidRPr="00F401B9" w:rsidRDefault="00F401B9" w:rsidP="00F401B9">
      <w:pPr>
        <w:numPr>
          <w:ilvl w:val="0"/>
          <w:numId w:val="15"/>
        </w:numPr>
        <w:jc w:val="both"/>
        <w:rPr>
          <w:rFonts w:ascii="Times New Roman" w:hAnsi="Times New Roman" w:cs="Times New Roman"/>
          <w:highlight w:val="yellow"/>
        </w:rPr>
      </w:pPr>
      <w:r w:rsidRPr="00F401B9">
        <w:rPr>
          <w:rFonts w:ascii="Times New Roman" w:hAnsi="Times New Roman" w:cs="Times New Roman"/>
          <w:b/>
          <w:bCs/>
          <w:highlight w:val="yellow"/>
        </w:rPr>
        <w:t>Sample size and representativeness:</w:t>
      </w:r>
      <w:r w:rsidRPr="00F401B9">
        <w:rPr>
          <w:rFonts w:ascii="Times New Roman" w:hAnsi="Times New Roman" w:cs="Times New Roman"/>
          <w:highlight w:val="yellow"/>
        </w:rPr>
        <w:t xml:space="preserve"> the survey uses 120 respondents; future studies should expand to </w:t>
      </w:r>
      <w:r w:rsidRPr="00F401B9">
        <w:rPr>
          <w:rFonts w:ascii="Times New Roman" w:hAnsi="Times New Roman" w:cs="Times New Roman"/>
          <w:b/>
          <w:bCs/>
          <w:highlight w:val="yellow"/>
        </w:rPr>
        <w:t>~200</w:t>
      </w:r>
      <w:r w:rsidRPr="00F401B9">
        <w:rPr>
          <w:rFonts w:ascii="Times New Roman" w:hAnsi="Times New Roman" w:cs="Times New Roman"/>
          <w:highlight w:val="yellow"/>
        </w:rPr>
        <w:t xml:space="preserve"> with proportional stratified random sampling to strengthen subgroup comparisons and reduce selection bias.</w:t>
      </w:r>
    </w:p>
    <w:p w14:paraId="001FC534" w14:textId="77777777" w:rsidR="00F401B9" w:rsidRPr="00F401B9" w:rsidRDefault="00F401B9" w:rsidP="00F401B9">
      <w:pPr>
        <w:numPr>
          <w:ilvl w:val="0"/>
          <w:numId w:val="15"/>
        </w:numPr>
        <w:jc w:val="both"/>
        <w:rPr>
          <w:rFonts w:ascii="Times New Roman" w:hAnsi="Times New Roman" w:cs="Times New Roman"/>
          <w:highlight w:val="yellow"/>
        </w:rPr>
      </w:pPr>
      <w:r w:rsidRPr="00F401B9">
        <w:rPr>
          <w:rFonts w:ascii="Times New Roman" w:hAnsi="Times New Roman" w:cs="Times New Roman"/>
          <w:b/>
          <w:bCs/>
          <w:highlight w:val="yellow"/>
        </w:rPr>
        <w:t>Sector skew:</w:t>
      </w:r>
      <w:r w:rsidRPr="00F401B9">
        <w:rPr>
          <w:rFonts w:ascii="Times New Roman" w:hAnsi="Times New Roman" w:cs="Times New Roman"/>
          <w:highlight w:val="yellow"/>
        </w:rPr>
        <w:t xml:space="preserve"> MSMEs are concentrated in three sectors; this study therefore emphasises handicrafts, culinary/food, and trade/retail as the primary analytical focus, while smaller sectors are treated as supplementary.</w:t>
      </w:r>
    </w:p>
    <w:p w14:paraId="5DDD14C2" w14:textId="77777777" w:rsidR="00F401B9" w:rsidRPr="00F401B9" w:rsidRDefault="00F401B9" w:rsidP="00F401B9">
      <w:pPr>
        <w:numPr>
          <w:ilvl w:val="0"/>
          <w:numId w:val="15"/>
        </w:numPr>
        <w:jc w:val="both"/>
        <w:rPr>
          <w:rFonts w:ascii="Times New Roman" w:hAnsi="Times New Roman" w:cs="Times New Roman"/>
          <w:highlight w:val="yellow"/>
        </w:rPr>
      </w:pPr>
      <w:r w:rsidRPr="00F401B9">
        <w:rPr>
          <w:rFonts w:ascii="Times New Roman" w:hAnsi="Times New Roman" w:cs="Times New Roman"/>
          <w:b/>
          <w:bCs/>
          <w:highlight w:val="yellow"/>
        </w:rPr>
        <w:t>Targets are scenario-based:</w:t>
      </w:r>
      <w:r w:rsidRPr="00F401B9">
        <w:rPr>
          <w:rFonts w:ascii="Times New Roman" w:hAnsi="Times New Roman" w:cs="Times New Roman"/>
          <w:highlight w:val="yellow"/>
        </w:rPr>
        <w:t xml:space="preserve"> contribution targets are planning scenarios rather than econometric forecasts and should be updated using baseline measurement and periodic evaluation.</w:t>
      </w:r>
    </w:p>
    <w:p w14:paraId="18CBFF32" w14:textId="34C926DC" w:rsidR="006F144C" w:rsidRPr="00740879" w:rsidRDefault="006F144C" w:rsidP="006F144C">
      <w:pPr>
        <w:rPr>
          <w:highlight w:val="yellow"/>
        </w:rPr>
      </w:pPr>
      <w:r w:rsidRPr="00740879">
        <w:rPr>
          <w:highlight w:val="yellow"/>
        </w:rPr>
        <w:t>Disclaimer (Artificial intelligence)</w:t>
      </w:r>
    </w:p>
    <w:p w14:paraId="6509EFE9" w14:textId="77777777" w:rsidR="006F144C" w:rsidRPr="00740879" w:rsidRDefault="006F144C" w:rsidP="006F144C">
      <w:pPr>
        <w:rPr>
          <w:highlight w:val="yellow"/>
        </w:rPr>
      </w:pPr>
      <w:r w:rsidRPr="00740879">
        <w:rPr>
          <w:highlight w:val="yellow"/>
        </w:rPr>
        <w:t xml:space="preserve">Option 1: </w:t>
      </w:r>
    </w:p>
    <w:p w14:paraId="4945BA2D" w14:textId="77777777" w:rsidR="006F144C" w:rsidRPr="00740879" w:rsidRDefault="006F144C" w:rsidP="006F144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975BF3F" w14:textId="77777777" w:rsidR="00AD075F" w:rsidRPr="00622ADA" w:rsidRDefault="00AD075F" w:rsidP="00AD075F">
      <w:pPr>
        <w:spacing w:after="120" w:line="240" w:lineRule="auto"/>
        <w:jc w:val="both"/>
        <w:rPr>
          <w:rFonts w:ascii="Times New Roman" w:hAnsi="Times New Roman" w:cs="Times New Roman"/>
          <w:b/>
          <w:bCs/>
          <w:sz w:val="24"/>
          <w:szCs w:val="24"/>
          <w:lang w:val="en-US"/>
        </w:rPr>
      </w:pPr>
    </w:p>
    <w:p w14:paraId="77C94CB1" w14:textId="73193792" w:rsidR="00AD075F" w:rsidRPr="00622ADA" w:rsidRDefault="00AD075F" w:rsidP="00AD075F">
      <w:pPr>
        <w:spacing w:after="120" w:line="240" w:lineRule="auto"/>
        <w:jc w:val="both"/>
        <w:rPr>
          <w:rFonts w:ascii="Times New Roman" w:hAnsi="Times New Roman" w:cs="Times New Roman"/>
          <w:b/>
          <w:bCs/>
          <w:sz w:val="24"/>
          <w:szCs w:val="24"/>
          <w:lang w:val="en-US"/>
        </w:rPr>
      </w:pPr>
      <w:r w:rsidRPr="00622ADA">
        <w:rPr>
          <w:rFonts w:ascii="Times New Roman" w:hAnsi="Times New Roman" w:cs="Times New Roman"/>
          <w:b/>
          <w:bCs/>
          <w:sz w:val="24"/>
          <w:szCs w:val="24"/>
          <w:lang w:val="en-US"/>
        </w:rPr>
        <w:t>References</w:t>
      </w:r>
    </w:p>
    <w:p w14:paraId="17715D69" w14:textId="77777777" w:rsidR="00AD075F" w:rsidRPr="00622ADA" w:rsidRDefault="00AD075F" w:rsidP="00AD075F">
      <w:pPr>
        <w:spacing w:after="120" w:line="240" w:lineRule="auto"/>
        <w:ind w:left="567" w:hanging="567"/>
        <w:jc w:val="both"/>
        <w:rPr>
          <w:rFonts w:ascii="Times New Roman" w:hAnsi="Times New Roman" w:cs="Times New Roman"/>
          <w:sz w:val="24"/>
          <w:szCs w:val="24"/>
          <w:lang w:val="en-US"/>
        </w:rPr>
      </w:pPr>
    </w:p>
    <w:p w14:paraId="7D330620" w14:textId="77777777" w:rsidR="00653DCB" w:rsidRPr="00245294" w:rsidRDefault="00653DCB" w:rsidP="00245294">
      <w:pPr>
        <w:pStyle w:val="ListParagraph"/>
        <w:numPr>
          <w:ilvl w:val="0"/>
          <w:numId w:val="16"/>
        </w:numPr>
        <w:jc w:val="both"/>
        <w:rPr>
          <w:rFonts w:ascii="Times New Roman" w:hAnsi="Times New Roman" w:cs="Times New Roman"/>
          <w:sz w:val="24"/>
          <w:szCs w:val="24"/>
          <w:highlight w:val="yellow"/>
        </w:rPr>
      </w:pPr>
      <w:r w:rsidRPr="00245294">
        <w:rPr>
          <w:rFonts w:ascii="Times New Roman" w:hAnsi="Times New Roman" w:cs="Times New Roman"/>
          <w:sz w:val="24"/>
          <w:szCs w:val="24"/>
          <w:highlight w:val="yellow"/>
        </w:rPr>
        <w:t xml:space="preserve">Alda, R., Nasution, </w:t>
      </w:r>
      <w:proofErr w:type="gramStart"/>
      <w:r w:rsidRPr="00245294">
        <w:rPr>
          <w:rFonts w:ascii="Times New Roman" w:hAnsi="Times New Roman" w:cs="Times New Roman"/>
          <w:sz w:val="24"/>
          <w:szCs w:val="24"/>
          <w:highlight w:val="yellow"/>
        </w:rPr>
        <w:t>Z. .</w:t>
      </w:r>
      <w:proofErr w:type="gramEnd"/>
      <w:r w:rsidRPr="00245294">
        <w:rPr>
          <w:rFonts w:ascii="Times New Roman" w:hAnsi="Times New Roman" w:cs="Times New Roman"/>
          <w:sz w:val="24"/>
          <w:szCs w:val="24"/>
          <w:highlight w:val="yellow"/>
        </w:rPr>
        <w:t xml:space="preserve">, Lubis, S. N., &amp; Lubis, A. A. R. D. (2024). The Influence of Education, Social, and Healthcare Expenditures on the Human Development Index (HDI) </w:t>
      </w:r>
      <w:r w:rsidRPr="00245294">
        <w:rPr>
          <w:rFonts w:ascii="Times New Roman" w:hAnsi="Times New Roman" w:cs="Times New Roman"/>
          <w:sz w:val="24"/>
          <w:szCs w:val="24"/>
          <w:highlight w:val="yellow"/>
        </w:rPr>
        <w:lastRenderedPageBreak/>
        <w:t xml:space="preserve">in </w:t>
      </w:r>
      <w:proofErr w:type="spellStart"/>
      <w:r w:rsidRPr="00245294">
        <w:rPr>
          <w:rFonts w:ascii="Times New Roman" w:hAnsi="Times New Roman" w:cs="Times New Roman"/>
          <w:sz w:val="24"/>
          <w:szCs w:val="24"/>
          <w:highlight w:val="yellow"/>
        </w:rPr>
        <w:t>Bireuen</w:t>
      </w:r>
      <w:proofErr w:type="spellEnd"/>
      <w:r w:rsidRPr="00245294">
        <w:rPr>
          <w:rFonts w:ascii="Times New Roman" w:hAnsi="Times New Roman" w:cs="Times New Roman"/>
          <w:sz w:val="24"/>
          <w:szCs w:val="24"/>
          <w:highlight w:val="yellow"/>
        </w:rPr>
        <w:t xml:space="preserve"> Regency: English. </w:t>
      </w:r>
      <w:r w:rsidRPr="00245294">
        <w:rPr>
          <w:rFonts w:ascii="Times New Roman" w:hAnsi="Times New Roman" w:cs="Times New Roman"/>
          <w:i/>
          <w:iCs/>
          <w:sz w:val="24"/>
          <w:szCs w:val="24"/>
          <w:highlight w:val="yellow"/>
        </w:rPr>
        <w:t>Asian Multidisciplinary Research Journal of Economy and Learning</w:t>
      </w:r>
      <w:r w:rsidRPr="00245294">
        <w:rPr>
          <w:rFonts w:ascii="Times New Roman" w:hAnsi="Times New Roman" w:cs="Times New Roman"/>
          <w:sz w:val="24"/>
          <w:szCs w:val="24"/>
          <w:highlight w:val="yellow"/>
        </w:rPr>
        <w:t>, </w:t>
      </w:r>
      <w:r w:rsidRPr="00245294">
        <w:rPr>
          <w:rFonts w:ascii="Times New Roman" w:hAnsi="Times New Roman" w:cs="Times New Roman"/>
          <w:i/>
          <w:iCs/>
          <w:sz w:val="24"/>
          <w:szCs w:val="24"/>
          <w:highlight w:val="yellow"/>
        </w:rPr>
        <w:t>1</w:t>
      </w:r>
      <w:r w:rsidRPr="00245294">
        <w:rPr>
          <w:rFonts w:ascii="Times New Roman" w:hAnsi="Times New Roman" w:cs="Times New Roman"/>
          <w:sz w:val="24"/>
          <w:szCs w:val="24"/>
          <w:highlight w:val="yellow"/>
        </w:rPr>
        <w:t>(2). </w:t>
      </w:r>
      <w:hyperlink r:id="rId8" w:history="1">
        <w:r w:rsidRPr="00245294">
          <w:rPr>
            <w:rStyle w:val="Hyperlink"/>
            <w:rFonts w:ascii="Times New Roman" w:hAnsi="Times New Roman" w:cs="Times New Roman"/>
            <w:sz w:val="24"/>
            <w:szCs w:val="24"/>
            <w:highlight w:val="yellow"/>
          </w:rPr>
          <w:t>https://doi.org/10.70471/kbj9w526</w:t>
        </w:r>
      </w:hyperlink>
    </w:p>
    <w:p w14:paraId="4A49A82F" w14:textId="4B00EA8D" w:rsidR="002364ED" w:rsidRPr="00245294" w:rsidRDefault="002364ED" w:rsidP="00245294">
      <w:pPr>
        <w:pStyle w:val="ListParagraph"/>
        <w:numPr>
          <w:ilvl w:val="0"/>
          <w:numId w:val="16"/>
        </w:numPr>
        <w:jc w:val="both"/>
        <w:rPr>
          <w:rFonts w:ascii="Times New Roman" w:hAnsi="Times New Roman" w:cs="Times New Roman"/>
          <w:sz w:val="24"/>
          <w:szCs w:val="24"/>
          <w:highlight w:val="yellow"/>
          <w:lang w:val="en-US"/>
        </w:rPr>
      </w:pPr>
      <w:r w:rsidRPr="00245294">
        <w:rPr>
          <w:rFonts w:ascii="Times New Roman" w:hAnsi="Times New Roman" w:cs="Times New Roman"/>
          <w:sz w:val="24"/>
          <w:szCs w:val="24"/>
          <w:highlight w:val="yellow"/>
        </w:rPr>
        <w:t xml:space="preserve">Anshar, Lubis, S. N., &amp; Sabrina, T. (2025). Adaptive Strategies for MSME Sustainability in Infrastructure-Affected Zones: A SWOT–SEM Analysis in </w:t>
      </w:r>
      <w:proofErr w:type="spellStart"/>
      <w:r w:rsidRPr="00245294">
        <w:rPr>
          <w:rFonts w:ascii="Times New Roman" w:hAnsi="Times New Roman" w:cs="Times New Roman"/>
          <w:sz w:val="24"/>
          <w:szCs w:val="24"/>
          <w:highlight w:val="yellow"/>
        </w:rPr>
        <w:t>Perbaungan</w:t>
      </w:r>
      <w:proofErr w:type="spellEnd"/>
      <w:r w:rsidRPr="00245294">
        <w:rPr>
          <w:rFonts w:ascii="Times New Roman" w:hAnsi="Times New Roman" w:cs="Times New Roman"/>
          <w:sz w:val="24"/>
          <w:szCs w:val="24"/>
          <w:highlight w:val="yellow"/>
        </w:rPr>
        <w:t>, Indonesia: English. </w:t>
      </w:r>
      <w:r w:rsidRPr="00245294">
        <w:rPr>
          <w:rFonts w:ascii="Times New Roman" w:hAnsi="Times New Roman" w:cs="Times New Roman"/>
          <w:i/>
          <w:iCs/>
          <w:sz w:val="24"/>
          <w:szCs w:val="24"/>
          <w:highlight w:val="yellow"/>
        </w:rPr>
        <w:t>Asian Multidisciplinary Research Journal of Economy and Learning</w:t>
      </w:r>
      <w:r w:rsidRPr="00245294">
        <w:rPr>
          <w:rFonts w:ascii="Times New Roman" w:hAnsi="Times New Roman" w:cs="Times New Roman"/>
          <w:sz w:val="24"/>
          <w:szCs w:val="24"/>
          <w:highlight w:val="yellow"/>
        </w:rPr>
        <w:t>, </w:t>
      </w:r>
      <w:r w:rsidRPr="00245294">
        <w:rPr>
          <w:rFonts w:ascii="Times New Roman" w:hAnsi="Times New Roman" w:cs="Times New Roman"/>
          <w:i/>
          <w:iCs/>
          <w:sz w:val="24"/>
          <w:szCs w:val="24"/>
          <w:highlight w:val="yellow"/>
        </w:rPr>
        <w:t>2</w:t>
      </w:r>
      <w:r w:rsidRPr="00245294">
        <w:rPr>
          <w:rFonts w:ascii="Times New Roman" w:hAnsi="Times New Roman" w:cs="Times New Roman"/>
          <w:sz w:val="24"/>
          <w:szCs w:val="24"/>
          <w:highlight w:val="yellow"/>
        </w:rPr>
        <w:t>(6), 01-10. </w:t>
      </w:r>
      <w:hyperlink r:id="rId9" w:history="1">
        <w:r w:rsidRPr="00245294">
          <w:rPr>
            <w:rStyle w:val="Hyperlink"/>
            <w:rFonts w:ascii="Times New Roman" w:hAnsi="Times New Roman" w:cs="Times New Roman"/>
            <w:sz w:val="24"/>
            <w:szCs w:val="24"/>
            <w:highlight w:val="yellow"/>
          </w:rPr>
          <w:t>https://doi.org/10.70471/bwa8pg42</w:t>
        </w:r>
      </w:hyperlink>
      <w:r w:rsidRPr="00245294">
        <w:rPr>
          <w:rFonts w:ascii="Times New Roman" w:hAnsi="Times New Roman" w:cs="Times New Roman"/>
          <w:sz w:val="24"/>
          <w:szCs w:val="24"/>
          <w:highlight w:val="yellow"/>
          <w:lang w:val="en-US"/>
        </w:rPr>
        <w:t xml:space="preserve"> </w:t>
      </w:r>
    </w:p>
    <w:p w14:paraId="2916BCD2" w14:textId="4BBA6F39" w:rsidR="00C53FE5" w:rsidRPr="00245294" w:rsidRDefault="00622ADA" w:rsidP="00245294">
      <w:pPr>
        <w:pStyle w:val="ListParagraph"/>
        <w:numPr>
          <w:ilvl w:val="0"/>
          <w:numId w:val="16"/>
        </w:numPr>
        <w:jc w:val="both"/>
        <w:rPr>
          <w:rFonts w:ascii="Times New Roman" w:hAnsi="Times New Roman" w:cs="Times New Roman"/>
          <w:sz w:val="24"/>
          <w:szCs w:val="24"/>
          <w:highlight w:val="yellow"/>
        </w:rPr>
      </w:pPr>
      <w:r w:rsidRPr="00245294">
        <w:rPr>
          <w:rFonts w:ascii="Times New Roman" w:hAnsi="Times New Roman" w:cs="Times New Roman"/>
          <w:sz w:val="24"/>
          <w:szCs w:val="24"/>
          <w:highlight w:val="yellow"/>
          <w:lang w:val="fi-FI"/>
        </w:rPr>
        <w:t xml:space="preserve">Parluhutan Sinaga, A. A., &amp; Sitorus, S. A. (2023). </w:t>
      </w:r>
      <w:r w:rsidRPr="00245294">
        <w:rPr>
          <w:rFonts w:ascii="Times New Roman" w:hAnsi="Times New Roman" w:cs="Times New Roman"/>
          <w:sz w:val="24"/>
          <w:szCs w:val="24"/>
          <w:highlight w:val="yellow"/>
        </w:rPr>
        <w:t>The role of micro, small and medium enterprises (MSMEs) towards community welfare in Medan City. </w:t>
      </w:r>
      <w:r w:rsidRPr="00245294">
        <w:rPr>
          <w:rFonts w:ascii="Times New Roman" w:hAnsi="Times New Roman" w:cs="Times New Roman"/>
          <w:i/>
          <w:iCs/>
          <w:sz w:val="24"/>
          <w:szCs w:val="24"/>
          <w:highlight w:val="yellow"/>
        </w:rPr>
        <w:t>Economics, Management and Sustainability</w:t>
      </w:r>
      <w:r w:rsidRPr="00245294">
        <w:rPr>
          <w:rFonts w:ascii="Times New Roman" w:hAnsi="Times New Roman" w:cs="Times New Roman"/>
          <w:sz w:val="24"/>
          <w:szCs w:val="24"/>
          <w:highlight w:val="yellow"/>
        </w:rPr>
        <w:t>, </w:t>
      </w:r>
      <w:r w:rsidRPr="00245294">
        <w:rPr>
          <w:rFonts w:ascii="Times New Roman" w:hAnsi="Times New Roman" w:cs="Times New Roman"/>
          <w:i/>
          <w:iCs/>
          <w:sz w:val="24"/>
          <w:szCs w:val="24"/>
          <w:highlight w:val="yellow"/>
        </w:rPr>
        <w:t>8</w:t>
      </w:r>
      <w:r w:rsidRPr="00245294">
        <w:rPr>
          <w:rFonts w:ascii="Times New Roman" w:hAnsi="Times New Roman" w:cs="Times New Roman"/>
          <w:sz w:val="24"/>
          <w:szCs w:val="24"/>
          <w:highlight w:val="yellow"/>
        </w:rPr>
        <w:t xml:space="preserve">(2), 44–52. </w:t>
      </w:r>
      <w:hyperlink r:id="rId10" w:history="1">
        <w:r w:rsidRPr="00245294">
          <w:rPr>
            <w:rStyle w:val="Hyperlink"/>
            <w:rFonts w:ascii="Times New Roman" w:hAnsi="Times New Roman" w:cs="Times New Roman"/>
            <w:sz w:val="24"/>
            <w:szCs w:val="24"/>
            <w:highlight w:val="yellow"/>
          </w:rPr>
          <w:t>https://doi.org/10.14254/jems.2023.8-2.4</w:t>
        </w:r>
      </w:hyperlink>
    </w:p>
    <w:p w14:paraId="565BD6F9" w14:textId="2453D15E" w:rsidR="00622ADA" w:rsidRPr="00245294" w:rsidRDefault="00622ADA" w:rsidP="00245294">
      <w:pPr>
        <w:pStyle w:val="ListParagraph"/>
        <w:numPr>
          <w:ilvl w:val="0"/>
          <w:numId w:val="16"/>
        </w:numPr>
        <w:jc w:val="both"/>
        <w:rPr>
          <w:rFonts w:ascii="Times New Roman" w:hAnsi="Times New Roman" w:cs="Times New Roman"/>
          <w:sz w:val="24"/>
          <w:szCs w:val="24"/>
          <w:highlight w:val="yellow"/>
        </w:rPr>
      </w:pPr>
      <w:r w:rsidRPr="00245294">
        <w:rPr>
          <w:rFonts w:ascii="Times New Roman" w:hAnsi="Times New Roman" w:cs="Times New Roman"/>
          <w:sz w:val="24"/>
          <w:szCs w:val="24"/>
          <w:highlight w:val="yellow"/>
          <w:lang w:val="en-US"/>
        </w:rPr>
        <w:t xml:space="preserve">Surya, B., Menne, F., </w:t>
      </w:r>
      <w:proofErr w:type="spellStart"/>
      <w:r w:rsidRPr="00245294">
        <w:rPr>
          <w:rFonts w:ascii="Times New Roman" w:hAnsi="Times New Roman" w:cs="Times New Roman"/>
          <w:sz w:val="24"/>
          <w:szCs w:val="24"/>
          <w:highlight w:val="yellow"/>
          <w:lang w:val="en-US"/>
        </w:rPr>
        <w:t>Sabhan</w:t>
      </w:r>
      <w:proofErr w:type="spellEnd"/>
      <w:r w:rsidRPr="00245294">
        <w:rPr>
          <w:rFonts w:ascii="Times New Roman" w:hAnsi="Times New Roman" w:cs="Times New Roman"/>
          <w:sz w:val="24"/>
          <w:szCs w:val="24"/>
          <w:highlight w:val="yellow"/>
          <w:lang w:val="en-US"/>
        </w:rPr>
        <w:t xml:space="preserve">, H, </w:t>
      </w:r>
      <w:proofErr w:type="spellStart"/>
      <w:r w:rsidRPr="00245294">
        <w:rPr>
          <w:rFonts w:ascii="Times New Roman" w:hAnsi="Times New Roman" w:cs="Times New Roman"/>
          <w:sz w:val="24"/>
          <w:szCs w:val="24"/>
          <w:highlight w:val="yellow"/>
          <w:lang w:val="en-US"/>
        </w:rPr>
        <w:t>Suriani</w:t>
      </w:r>
      <w:proofErr w:type="spellEnd"/>
      <w:r w:rsidRPr="00245294">
        <w:rPr>
          <w:rFonts w:ascii="Times New Roman" w:hAnsi="Times New Roman" w:cs="Times New Roman"/>
          <w:sz w:val="24"/>
          <w:szCs w:val="24"/>
          <w:highlight w:val="yellow"/>
          <w:lang w:val="en-US"/>
        </w:rPr>
        <w:t xml:space="preserve">, S., Abubakar, H., &amp; Idris, M. (2021). </w:t>
      </w:r>
      <w:r w:rsidRPr="00245294">
        <w:rPr>
          <w:rFonts w:ascii="Times New Roman" w:hAnsi="Times New Roman" w:cs="Times New Roman"/>
          <w:sz w:val="24"/>
          <w:szCs w:val="24"/>
          <w:highlight w:val="yellow"/>
        </w:rPr>
        <w:t xml:space="preserve">Economic growth, increasing productivity of SMEs, and open innovation. </w:t>
      </w:r>
      <w:r w:rsidRPr="00245294">
        <w:rPr>
          <w:rFonts w:ascii="Times New Roman" w:hAnsi="Times New Roman" w:cs="Times New Roman"/>
          <w:i/>
          <w:iCs/>
          <w:sz w:val="24"/>
          <w:szCs w:val="24"/>
          <w:highlight w:val="yellow"/>
        </w:rPr>
        <w:t>Journal of Open Innovation: Technology, Market, and Complexity, 7</w:t>
      </w:r>
      <w:r w:rsidRPr="00245294">
        <w:rPr>
          <w:rFonts w:ascii="Times New Roman" w:hAnsi="Times New Roman" w:cs="Times New Roman"/>
          <w:sz w:val="24"/>
          <w:szCs w:val="24"/>
          <w:highlight w:val="yellow"/>
        </w:rPr>
        <w:t xml:space="preserve">(1), Article 20. </w:t>
      </w:r>
      <w:hyperlink r:id="rId11" w:tgtFrame="_new" w:history="1">
        <w:r w:rsidRPr="00245294">
          <w:rPr>
            <w:rStyle w:val="Hyperlink"/>
            <w:rFonts w:ascii="Times New Roman" w:hAnsi="Times New Roman" w:cs="Times New Roman"/>
            <w:sz w:val="24"/>
            <w:szCs w:val="24"/>
            <w:highlight w:val="yellow"/>
          </w:rPr>
          <w:t>https://doi.org/10.3390/joitmc7010020</w:t>
        </w:r>
      </w:hyperlink>
    </w:p>
    <w:p w14:paraId="7B2CEA74" w14:textId="439B8968" w:rsidR="00622ADA" w:rsidRPr="00245294" w:rsidRDefault="00622ADA" w:rsidP="00245294">
      <w:pPr>
        <w:pStyle w:val="ListParagraph"/>
        <w:numPr>
          <w:ilvl w:val="0"/>
          <w:numId w:val="16"/>
        </w:numPr>
        <w:jc w:val="both"/>
        <w:rPr>
          <w:rFonts w:ascii="Times New Roman" w:hAnsi="Times New Roman" w:cs="Times New Roman"/>
          <w:sz w:val="24"/>
          <w:szCs w:val="24"/>
          <w:highlight w:val="yellow"/>
        </w:rPr>
      </w:pPr>
      <w:proofErr w:type="spellStart"/>
      <w:r w:rsidRPr="00245294">
        <w:rPr>
          <w:rFonts w:ascii="Times New Roman" w:hAnsi="Times New Roman" w:cs="Times New Roman"/>
          <w:sz w:val="24"/>
          <w:szCs w:val="24"/>
          <w:highlight w:val="yellow"/>
        </w:rPr>
        <w:t>Malawat</w:t>
      </w:r>
      <w:proofErr w:type="spellEnd"/>
      <w:r w:rsidRPr="00245294">
        <w:rPr>
          <w:rFonts w:ascii="Times New Roman" w:hAnsi="Times New Roman" w:cs="Times New Roman"/>
          <w:sz w:val="24"/>
          <w:szCs w:val="24"/>
          <w:highlight w:val="yellow"/>
        </w:rPr>
        <w:t xml:space="preserve">, M. S., &amp; Putra, M. U. M. (2018). Review of implementation in </w:t>
      </w:r>
      <w:proofErr w:type="spellStart"/>
      <w:r w:rsidRPr="00245294">
        <w:rPr>
          <w:rFonts w:ascii="Times New Roman" w:hAnsi="Times New Roman" w:cs="Times New Roman"/>
          <w:sz w:val="24"/>
          <w:szCs w:val="24"/>
          <w:highlight w:val="yellow"/>
        </w:rPr>
        <w:t>Bunut</w:t>
      </w:r>
      <w:proofErr w:type="spellEnd"/>
      <w:r w:rsidRPr="00245294">
        <w:rPr>
          <w:rFonts w:ascii="Times New Roman" w:hAnsi="Times New Roman" w:cs="Times New Roman"/>
          <w:sz w:val="24"/>
          <w:szCs w:val="24"/>
          <w:highlight w:val="yellow"/>
        </w:rPr>
        <w:t xml:space="preserve"> shoes assistance program in order of micro, small and medium enterprises economic in </w:t>
      </w:r>
      <w:proofErr w:type="spellStart"/>
      <w:r w:rsidRPr="00245294">
        <w:rPr>
          <w:rFonts w:ascii="Times New Roman" w:hAnsi="Times New Roman" w:cs="Times New Roman"/>
          <w:sz w:val="24"/>
          <w:szCs w:val="24"/>
          <w:highlight w:val="yellow"/>
        </w:rPr>
        <w:t>Asahan</w:t>
      </w:r>
      <w:proofErr w:type="spellEnd"/>
      <w:r w:rsidRPr="00245294">
        <w:rPr>
          <w:rFonts w:ascii="Times New Roman" w:hAnsi="Times New Roman" w:cs="Times New Roman"/>
          <w:sz w:val="24"/>
          <w:szCs w:val="24"/>
          <w:highlight w:val="yellow"/>
        </w:rPr>
        <w:t xml:space="preserve"> Regency. </w:t>
      </w:r>
      <w:r w:rsidRPr="00245294">
        <w:rPr>
          <w:rFonts w:ascii="Times New Roman" w:hAnsi="Times New Roman" w:cs="Times New Roman"/>
          <w:i/>
          <w:iCs/>
          <w:sz w:val="24"/>
          <w:szCs w:val="24"/>
          <w:highlight w:val="yellow"/>
        </w:rPr>
        <w:t>Journal of Physics: Conference Series, 970</w:t>
      </w:r>
      <w:r w:rsidRPr="00245294">
        <w:rPr>
          <w:rFonts w:ascii="Times New Roman" w:hAnsi="Times New Roman" w:cs="Times New Roman"/>
          <w:sz w:val="24"/>
          <w:szCs w:val="24"/>
          <w:highlight w:val="yellow"/>
        </w:rPr>
        <w:t xml:space="preserve">, 012022. </w:t>
      </w:r>
      <w:hyperlink r:id="rId12" w:history="1">
        <w:r w:rsidRPr="00245294">
          <w:rPr>
            <w:rStyle w:val="Hyperlink"/>
            <w:rFonts w:ascii="Times New Roman" w:hAnsi="Times New Roman" w:cs="Times New Roman"/>
            <w:sz w:val="24"/>
            <w:szCs w:val="24"/>
            <w:highlight w:val="yellow"/>
          </w:rPr>
          <w:t>https://doi.org/10.1088/1742-6596/970/1/012022</w:t>
        </w:r>
      </w:hyperlink>
    </w:p>
    <w:p w14:paraId="76372BF5" w14:textId="77777777" w:rsidR="00B802C9" w:rsidRPr="00245294" w:rsidRDefault="00B802C9" w:rsidP="00245294">
      <w:pPr>
        <w:pStyle w:val="ListParagraph"/>
        <w:numPr>
          <w:ilvl w:val="0"/>
          <w:numId w:val="16"/>
        </w:numPr>
        <w:jc w:val="both"/>
        <w:rPr>
          <w:rFonts w:ascii="Times New Roman" w:hAnsi="Times New Roman" w:cs="Times New Roman"/>
          <w:sz w:val="24"/>
          <w:szCs w:val="24"/>
          <w:highlight w:val="yellow"/>
        </w:rPr>
      </w:pPr>
      <w:r w:rsidRPr="00245294">
        <w:rPr>
          <w:rFonts w:ascii="Times New Roman" w:hAnsi="Times New Roman" w:cs="Times New Roman"/>
          <w:sz w:val="24"/>
          <w:szCs w:val="24"/>
          <w:highlight w:val="yellow"/>
        </w:rPr>
        <w:t xml:space="preserve">Maulana, U. G., </w:t>
      </w:r>
      <w:proofErr w:type="spellStart"/>
      <w:r w:rsidRPr="00245294">
        <w:rPr>
          <w:rFonts w:ascii="Times New Roman" w:hAnsi="Times New Roman" w:cs="Times New Roman"/>
          <w:sz w:val="24"/>
          <w:szCs w:val="24"/>
          <w:highlight w:val="yellow"/>
        </w:rPr>
        <w:t>Agus</w:t>
      </w:r>
      <w:proofErr w:type="spellEnd"/>
      <w:r w:rsidRPr="00245294">
        <w:rPr>
          <w:rFonts w:ascii="Times New Roman" w:hAnsi="Times New Roman" w:cs="Times New Roman"/>
          <w:sz w:val="24"/>
          <w:szCs w:val="24"/>
          <w:highlight w:val="yellow"/>
        </w:rPr>
        <w:t xml:space="preserve"> </w:t>
      </w:r>
      <w:proofErr w:type="spellStart"/>
      <w:r w:rsidRPr="00245294">
        <w:rPr>
          <w:rFonts w:ascii="Times New Roman" w:hAnsi="Times New Roman" w:cs="Times New Roman"/>
          <w:sz w:val="24"/>
          <w:szCs w:val="24"/>
          <w:highlight w:val="yellow"/>
        </w:rPr>
        <w:t>Purwoko</w:t>
      </w:r>
      <w:proofErr w:type="spellEnd"/>
      <w:r w:rsidRPr="00245294">
        <w:rPr>
          <w:rFonts w:ascii="Times New Roman" w:hAnsi="Times New Roman" w:cs="Times New Roman"/>
          <w:sz w:val="24"/>
          <w:szCs w:val="24"/>
          <w:highlight w:val="yellow"/>
        </w:rPr>
        <w:t xml:space="preserve">, &amp; </w:t>
      </w:r>
      <w:proofErr w:type="spellStart"/>
      <w:r w:rsidRPr="00245294">
        <w:rPr>
          <w:rFonts w:ascii="Times New Roman" w:hAnsi="Times New Roman" w:cs="Times New Roman"/>
          <w:sz w:val="24"/>
          <w:szCs w:val="24"/>
          <w:highlight w:val="yellow"/>
        </w:rPr>
        <w:t>Lindawati</w:t>
      </w:r>
      <w:proofErr w:type="spellEnd"/>
      <w:r w:rsidRPr="00245294">
        <w:rPr>
          <w:rFonts w:ascii="Times New Roman" w:hAnsi="Times New Roman" w:cs="Times New Roman"/>
          <w:sz w:val="24"/>
          <w:szCs w:val="24"/>
          <w:highlight w:val="yellow"/>
        </w:rPr>
        <w:t>. (2025). Enhancing Regional Growth through Thematic Tourism Packages: A Case Study from Tapanuli Tengah Regency, Indonesia.: English. </w:t>
      </w:r>
      <w:r w:rsidRPr="00245294">
        <w:rPr>
          <w:rFonts w:ascii="Times New Roman" w:hAnsi="Times New Roman" w:cs="Times New Roman"/>
          <w:i/>
          <w:iCs/>
          <w:sz w:val="24"/>
          <w:szCs w:val="24"/>
          <w:highlight w:val="yellow"/>
        </w:rPr>
        <w:t>Asian Multidisciplinary Research Journal of Economy and Learning</w:t>
      </w:r>
      <w:r w:rsidRPr="00245294">
        <w:rPr>
          <w:rFonts w:ascii="Times New Roman" w:hAnsi="Times New Roman" w:cs="Times New Roman"/>
          <w:sz w:val="24"/>
          <w:szCs w:val="24"/>
          <w:highlight w:val="yellow"/>
        </w:rPr>
        <w:t>, </w:t>
      </w:r>
      <w:r w:rsidRPr="00245294">
        <w:rPr>
          <w:rFonts w:ascii="Times New Roman" w:hAnsi="Times New Roman" w:cs="Times New Roman"/>
          <w:i/>
          <w:iCs/>
          <w:sz w:val="24"/>
          <w:szCs w:val="24"/>
          <w:highlight w:val="yellow"/>
        </w:rPr>
        <w:t>2</w:t>
      </w:r>
      <w:r w:rsidRPr="00245294">
        <w:rPr>
          <w:rFonts w:ascii="Times New Roman" w:hAnsi="Times New Roman" w:cs="Times New Roman"/>
          <w:sz w:val="24"/>
          <w:szCs w:val="24"/>
          <w:highlight w:val="yellow"/>
        </w:rPr>
        <w:t>(7), 11-22. </w:t>
      </w:r>
      <w:hyperlink r:id="rId13" w:history="1">
        <w:r w:rsidRPr="00245294">
          <w:rPr>
            <w:rStyle w:val="Hyperlink"/>
            <w:rFonts w:ascii="Times New Roman" w:hAnsi="Times New Roman" w:cs="Times New Roman"/>
            <w:sz w:val="24"/>
            <w:szCs w:val="24"/>
            <w:highlight w:val="yellow"/>
          </w:rPr>
          <w:t>https://doi.org/10.70471/2gy1d226</w:t>
        </w:r>
      </w:hyperlink>
      <w:r w:rsidRPr="00245294">
        <w:rPr>
          <w:rFonts w:ascii="Times New Roman" w:hAnsi="Times New Roman" w:cs="Times New Roman"/>
          <w:sz w:val="24"/>
          <w:szCs w:val="24"/>
          <w:highlight w:val="yellow"/>
        </w:rPr>
        <w:t xml:space="preserve"> </w:t>
      </w:r>
    </w:p>
    <w:p w14:paraId="43AA22FA" w14:textId="770230C1" w:rsidR="00CC5D35" w:rsidRPr="00245294" w:rsidRDefault="00CC5D35" w:rsidP="00245294">
      <w:pPr>
        <w:pStyle w:val="ListParagraph"/>
        <w:numPr>
          <w:ilvl w:val="0"/>
          <w:numId w:val="16"/>
        </w:numPr>
        <w:jc w:val="both"/>
        <w:rPr>
          <w:rFonts w:ascii="Times New Roman" w:hAnsi="Times New Roman" w:cs="Times New Roman"/>
          <w:sz w:val="24"/>
          <w:szCs w:val="24"/>
          <w:highlight w:val="yellow"/>
        </w:rPr>
      </w:pPr>
      <w:r w:rsidRPr="00245294">
        <w:rPr>
          <w:rFonts w:ascii="Times New Roman" w:hAnsi="Times New Roman" w:cs="Times New Roman"/>
          <w:sz w:val="24"/>
          <w:szCs w:val="24"/>
          <w:highlight w:val="yellow"/>
        </w:rPr>
        <w:t xml:space="preserve">Nasution, M.A., </w:t>
      </w:r>
      <w:proofErr w:type="spellStart"/>
      <w:r w:rsidRPr="00245294">
        <w:rPr>
          <w:rFonts w:ascii="Times New Roman" w:hAnsi="Times New Roman" w:cs="Times New Roman"/>
          <w:sz w:val="24"/>
          <w:szCs w:val="24"/>
          <w:highlight w:val="yellow"/>
        </w:rPr>
        <w:t>Ginting</w:t>
      </w:r>
      <w:proofErr w:type="spellEnd"/>
      <w:r w:rsidRPr="00245294">
        <w:rPr>
          <w:rFonts w:ascii="Times New Roman" w:hAnsi="Times New Roman" w:cs="Times New Roman"/>
          <w:sz w:val="24"/>
          <w:szCs w:val="24"/>
          <w:highlight w:val="yellow"/>
        </w:rPr>
        <w:t xml:space="preserve">, W.O., </w:t>
      </w:r>
      <w:proofErr w:type="spellStart"/>
      <w:r w:rsidRPr="00245294">
        <w:rPr>
          <w:rFonts w:ascii="Times New Roman" w:hAnsi="Times New Roman" w:cs="Times New Roman"/>
          <w:sz w:val="24"/>
          <w:szCs w:val="24"/>
          <w:highlight w:val="yellow"/>
        </w:rPr>
        <w:t>Revida</w:t>
      </w:r>
      <w:proofErr w:type="spellEnd"/>
      <w:r w:rsidRPr="00245294">
        <w:rPr>
          <w:rFonts w:ascii="Times New Roman" w:hAnsi="Times New Roman" w:cs="Times New Roman"/>
          <w:sz w:val="24"/>
          <w:szCs w:val="24"/>
          <w:highlight w:val="yellow"/>
        </w:rPr>
        <w:t xml:space="preserve">, E., </w:t>
      </w:r>
      <w:proofErr w:type="spellStart"/>
      <w:r w:rsidRPr="00245294">
        <w:rPr>
          <w:rFonts w:ascii="Times New Roman" w:hAnsi="Times New Roman" w:cs="Times New Roman"/>
          <w:sz w:val="24"/>
          <w:szCs w:val="24"/>
          <w:highlight w:val="yellow"/>
        </w:rPr>
        <w:t>Trimurni</w:t>
      </w:r>
      <w:proofErr w:type="spellEnd"/>
      <w:r w:rsidRPr="00245294">
        <w:rPr>
          <w:rFonts w:ascii="Times New Roman" w:hAnsi="Times New Roman" w:cs="Times New Roman"/>
          <w:sz w:val="24"/>
          <w:szCs w:val="24"/>
          <w:highlight w:val="yellow"/>
        </w:rPr>
        <w:t xml:space="preserve">, F., Lubis, A.A.R.D. (2025). A participatory and performance-based evaluation model for adaptive local governance. International Journal of Sustainable Development and Planning, Vol. 20, No. 6, pp. 2589-2596. </w:t>
      </w:r>
      <w:hyperlink r:id="rId14" w:history="1">
        <w:r w:rsidRPr="00245294">
          <w:rPr>
            <w:rStyle w:val="Hyperlink"/>
            <w:rFonts w:ascii="Times New Roman" w:hAnsi="Times New Roman" w:cs="Times New Roman"/>
            <w:sz w:val="24"/>
            <w:szCs w:val="24"/>
            <w:highlight w:val="yellow"/>
          </w:rPr>
          <w:t>https://doi.org/10.18280/ijsdp.200626</w:t>
        </w:r>
      </w:hyperlink>
    </w:p>
    <w:p w14:paraId="091C1275" w14:textId="4D07EA08" w:rsidR="00622ADA" w:rsidRPr="00245294" w:rsidRDefault="00622ADA" w:rsidP="00245294">
      <w:pPr>
        <w:pStyle w:val="ListParagraph"/>
        <w:numPr>
          <w:ilvl w:val="0"/>
          <w:numId w:val="16"/>
        </w:numPr>
        <w:jc w:val="both"/>
        <w:rPr>
          <w:rFonts w:ascii="Times New Roman" w:hAnsi="Times New Roman" w:cs="Times New Roman"/>
          <w:sz w:val="24"/>
          <w:szCs w:val="24"/>
          <w:highlight w:val="yellow"/>
        </w:rPr>
      </w:pPr>
      <w:r w:rsidRPr="00245294">
        <w:rPr>
          <w:rFonts w:ascii="Times New Roman" w:hAnsi="Times New Roman" w:cs="Times New Roman"/>
          <w:sz w:val="24"/>
          <w:szCs w:val="24"/>
          <w:highlight w:val="yellow"/>
        </w:rPr>
        <w:t xml:space="preserve">Gazzola, P., </w:t>
      </w:r>
      <w:proofErr w:type="spellStart"/>
      <w:r w:rsidRPr="00245294">
        <w:rPr>
          <w:rFonts w:ascii="Times New Roman" w:hAnsi="Times New Roman" w:cs="Times New Roman"/>
          <w:sz w:val="24"/>
          <w:szCs w:val="24"/>
          <w:highlight w:val="yellow"/>
        </w:rPr>
        <w:t>Pavione</w:t>
      </w:r>
      <w:proofErr w:type="spellEnd"/>
      <w:r w:rsidRPr="00245294">
        <w:rPr>
          <w:rFonts w:ascii="Times New Roman" w:hAnsi="Times New Roman" w:cs="Times New Roman"/>
          <w:sz w:val="24"/>
          <w:szCs w:val="24"/>
          <w:highlight w:val="yellow"/>
        </w:rPr>
        <w:t xml:space="preserve">, E., Pezzetti, R., &amp; </w:t>
      </w:r>
      <w:proofErr w:type="spellStart"/>
      <w:r w:rsidRPr="00245294">
        <w:rPr>
          <w:rFonts w:ascii="Times New Roman" w:hAnsi="Times New Roman" w:cs="Times New Roman"/>
          <w:sz w:val="24"/>
          <w:szCs w:val="24"/>
          <w:highlight w:val="yellow"/>
        </w:rPr>
        <w:t>Grechi</w:t>
      </w:r>
      <w:proofErr w:type="spellEnd"/>
      <w:r w:rsidRPr="00245294">
        <w:rPr>
          <w:rFonts w:ascii="Times New Roman" w:hAnsi="Times New Roman" w:cs="Times New Roman"/>
          <w:sz w:val="24"/>
          <w:szCs w:val="24"/>
          <w:highlight w:val="yellow"/>
        </w:rPr>
        <w:t>, D. (2020). Trends in the Fashion Industry. The Perception of Sustainability and Circular Economy: A Gender/Generation Quantitative Approach. </w:t>
      </w:r>
      <w:r w:rsidRPr="00245294">
        <w:rPr>
          <w:rFonts w:ascii="Times New Roman" w:hAnsi="Times New Roman" w:cs="Times New Roman"/>
          <w:i/>
          <w:iCs/>
          <w:sz w:val="24"/>
          <w:szCs w:val="24"/>
          <w:highlight w:val="yellow"/>
        </w:rPr>
        <w:t>Sustainability</w:t>
      </w:r>
      <w:r w:rsidRPr="00245294">
        <w:rPr>
          <w:rFonts w:ascii="Times New Roman" w:hAnsi="Times New Roman" w:cs="Times New Roman"/>
          <w:sz w:val="24"/>
          <w:szCs w:val="24"/>
          <w:highlight w:val="yellow"/>
        </w:rPr>
        <w:t>, </w:t>
      </w:r>
      <w:r w:rsidRPr="00245294">
        <w:rPr>
          <w:rFonts w:ascii="Times New Roman" w:hAnsi="Times New Roman" w:cs="Times New Roman"/>
          <w:i/>
          <w:iCs/>
          <w:sz w:val="24"/>
          <w:szCs w:val="24"/>
          <w:highlight w:val="yellow"/>
        </w:rPr>
        <w:t>12</w:t>
      </w:r>
      <w:r w:rsidRPr="00245294">
        <w:rPr>
          <w:rFonts w:ascii="Times New Roman" w:hAnsi="Times New Roman" w:cs="Times New Roman"/>
          <w:sz w:val="24"/>
          <w:szCs w:val="24"/>
          <w:highlight w:val="yellow"/>
        </w:rPr>
        <w:t xml:space="preserve">(7), 2809. </w:t>
      </w:r>
      <w:hyperlink r:id="rId15" w:history="1">
        <w:r w:rsidRPr="00245294">
          <w:rPr>
            <w:rStyle w:val="Hyperlink"/>
            <w:rFonts w:ascii="Times New Roman" w:hAnsi="Times New Roman" w:cs="Times New Roman"/>
            <w:sz w:val="24"/>
            <w:szCs w:val="24"/>
            <w:highlight w:val="yellow"/>
          </w:rPr>
          <w:t>https://doi.org/10.3390/su12072809</w:t>
        </w:r>
      </w:hyperlink>
    </w:p>
    <w:p w14:paraId="6BC36DAD" w14:textId="5CC5B91C" w:rsidR="00622ADA" w:rsidRPr="00245294" w:rsidRDefault="00622ADA" w:rsidP="00245294">
      <w:pPr>
        <w:pStyle w:val="ListParagraph"/>
        <w:numPr>
          <w:ilvl w:val="0"/>
          <w:numId w:val="16"/>
        </w:numPr>
        <w:jc w:val="both"/>
        <w:rPr>
          <w:rFonts w:ascii="Times New Roman" w:hAnsi="Times New Roman" w:cs="Times New Roman"/>
          <w:sz w:val="24"/>
          <w:szCs w:val="24"/>
          <w:highlight w:val="yellow"/>
        </w:rPr>
      </w:pPr>
      <w:r w:rsidRPr="00245294">
        <w:rPr>
          <w:rFonts w:ascii="Times New Roman" w:hAnsi="Times New Roman" w:cs="Times New Roman"/>
          <w:sz w:val="24"/>
          <w:szCs w:val="24"/>
          <w:highlight w:val="yellow"/>
        </w:rPr>
        <w:t xml:space="preserve">Saling, T. B. A., &amp; </w:t>
      </w:r>
      <w:proofErr w:type="spellStart"/>
      <w:r w:rsidRPr="00245294">
        <w:rPr>
          <w:rFonts w:ascii="Times New Roman" w:hAnsi="Times New Roman" w:cs="Times New Roman"/>
          <w:sz w:val="24"/>
          <w:szCs w:val="24"/>
          <w:highlight w:val="yellow"/>
        </w:rPr>
        <w:t>Amirrudin</w:t>
      </w:r>
      <w:proofErr w:type="spellEnd"/>
      <w:r w:rsidRPr="00245294">
        <w:rPr>
          <w:rFonts w:ascii="Times New Roman" w:hAnsi="Times New Roman" w:cs="Times New Roman"/>
          <w:sz w:val="24"/>
          <w:szCs w:val="24"/>
          <w:highlight w:val="yellow"/>
        </w:rPr>
        <w:t xml:space="preserve">, M. S. (2025). Digital marketing strategy to increase the competitiveness of MSMEs through city branding and tourism destinations in Eastern Indonesia. </w:t>
      </w:r>
      <w:r w:rsidRPr="00245294">
        <w:rPr>
          <w:rFonts w:ascii="Times New Roman" w:hAnsi="Times New Roman" w:cs="Times New Roman"/>
          <w:i/>
          <w:iCs/>
          <w:sz w:val="24"/>
          <w:szCs w:val="24"/>
          <w:highlight w:val="yellow"/>
        </w:rPr>
        <w:t>International Journal of Research and Innovation in Social Science, 9</w:t>
      </w:r>
      <w:r w:rsidRPr="00245294">
        <w:rPr>
          <w:rFonts w:ascii="Times New Roman" w:hAnsi="Times New Roman" w:cs="Times New Roman"/>
          <w:sz w:val="24"/>
          <w:szCs w:val="24"/>
          <w:highlight w:val="yellow"/>
        </w:rPr>
        <w:t xml:space="preserve">(10), 4281–4292. </w:t>
      </w:r>
      <w:hyperlink r:id="rId16" w:history="1">
        <w:r w:rsidRPr="00245294">
          <w:rPr>
            <w:rStyle w:val="Hyperlink"/>
            <w:rFonts w:ascii="Times New Roman" w:hAnsi="Times New Roman" w:cs="Times New Roman"/>
            <w:sz w:val="24"/>
            <w:szCs w:val="24"/>
            <w:highlight w:val="yellow"/>
          </w:rPr>
          <w:t>https://doi.org/10.47772/IJRISS.2025.910000352</w:t>
        </w:r>
      </w:hyperlink>
    </w:p>
    <w:p w14:paraId="78642844" w14:textId="0886EE60" w:rsidR="00622ADA" w:rsidRPr="00245294" w:rsidRDefault="00914731" w:rsidP="00245294">
      <w:pPr>
        <w:pStyle w:val="ListParagraph"/>
        <w:numPr>
          <w:ilvl w:val="0"/>
          <w:numId w:val="16"/>
        </w:numPr>
        <w:jc w:val="both"/>
        <w:rPr>
          <w:rFonts w:ascii="Times New Roman" w:hAnsi="Times New Roman" w:cs="Times New Roman"/>
          <w:sz w:val="24"/>
          <w:szCs w:val="24"/>
          <w:highlight w:val="yellow"/>
          <w:lang w:val="en-US"/>
        </w:rPr>
      </w:pPr>
      <w:r w:rsidRPr="00245294">
        <w:rPr>
          <w:rFonts w:ascii="Times New Roman" w:hAnsi="Times New Roman" w:cs="Times New Roman"/>
          <w:sz w:val="24"/>
          <w:szCs w:val="24"/>
          <w:highlight w:val="yellow"/>
          <w:lang w:val="fi-FI"/>
        </w:rPr>
        <w:t xml:space="preserve">Saputra, E., Reinhart, H., Khairina, N. G., &amp; Anwar, M. S. (2024). </w:t>
      </w:r>
      <w:r w:rsidRPr="00245294">
        <w:rPr>
          <w:rFonts w:ascii="Times New Roman" w:hAnsi="Times New Roman" w:cs="Times New Roman"/>
          <w:sz w:val="24"/>
          <w:szCs w:val="24"/>
          <w:highlight w:val="yellow"/>
        </w:rPr>
        <w:t xml:space="preserve">Regional analysis for sustainable economic development: A case study of </w:t>
      </w:r>
      <w:proofErr w:type="spellStart"/>
      <w:r w:rsidRPr="00245294">
        <w:rPr>
          <w:rFonts w:ascii="Times New Roman" w:hAnsi="Times New Roman" w:cs="Times New Roman"/>
          <w:sz w:val="24"/>
          <w:szCs w:val="24"/>
          <w:highlight w:val="yellow"/>
        </w:rPr>
        <w:t>Sukamara</w:t>
      </w:r>
      <w:proofErr w:type="spellEnd"/>
      <w:r w:rsidRPr="00245294">
        <w:rPr>
          <w:rFonts w:ascii="Times New Roman" w:hAnsi="Times New Roman" w:cs="Times New Roman"/>
          <w:sz w:val="24"/>
          <w:szCs w:val="24"/>
          <w:highlight w:val="yellow"/>
        </w:rPr>
        <w:t xml:space="preserve"> Regency, Kalimantan Tengah, Indonesia. </w:t>
      </w:r>
      <w:r w:rsidRPr="00245294">
        <w:rPr>
          <w:rFonts w:ascii="Times New Roman" w:hAnsi="Times New Roman" w:cs="Times New Roman"/>
          <w:i/>
          <w:iCs/>
          <w:sz w:val="24"/>
          <w:szCs w:val="24"/>
          <w:highlight w:val="yellow"/>
        </w:rPr>
        <w:t>IOP Conference Series: Earth and Environmental Science, 1313</w:t>
      </w:r>
      <w:r w:rsidRPr="00245294">
        <w:rPr>
          <w:rFonts w:ascii="Times New Roman" w:hAnsi="Times New Roman" w:cs="Times New Roman"/>
          <w:sz w:val="24"/>
          <w:szCs w:val="24"/>
          <w:highlight w:val="yellow"/>
        </w:rPr>
        <w:t xml:space="preserve">(1), 012042. </w:t>
      </w:r>
      <w:hyperlink r:id="rId17" w:history="1">
        <w:r w:rsidRPr="00245294">
          <w:rPr>
            <w:rStyle w:val="Hyperlink"/>
            <w:rFonts w:ascii="Times New Roman" w:hAnsi="Times New Roman" w:cs="Times New Roman"/>
            <w:sz w:val="24"/>
            <w:szCs w:val="24"/>
            <w:highlight w:val="yellow"/>
            <w:lang w:val="en-US"/>
          </w:rPr>
          <w:t>https://doi.org/10.1088/1755-1315/1313/1/012042</w:t>
        </w:r>
      </w:hyperlink>
    </w:p>
    <w:p w14:paraId="451D1AD5" w14:textId="140C4789" w:rsidR="00914731" w:rsidRPr="00245294" w:rsidRDefault="00914731" w:rsidP="00245294">
      <w:pPr>
        <w:pStyle w:val="ListParagraph"/>
        <w:numPr>
          <w:ilvl w:val="0"/>
          <w:numId w:val="16"/>
        </w:numPr>
        <w:jc w:val="both"/>
        <w:rPr>
          <w:rFonts w:ascii="Times New Roman" w:hAnsi="Times New Roman" w:cs="Times New Roman"/>
          <w:sz w:val="24"/>
          <w:szCs w:val="24"/>
          <w:highlight w:val="yellow"/>
          <w:lang w:val="en-US"/>
        </w:rPr>
      </w:pPr>
      <w:r w:rsidRPr="00245294">
        <w:rPr>
          <w:rFonts w:ascii="Times New Roman" w:hAnsi="Times New Roman" w:cs="Times New Roman"/>
          <w:sz w:val="24"/>
          <w:szCs w:val="24"/>
          <w:highlight w:val="yellow"/>
          <w:lang w:val="fi-FI"/>
        </w:rPr>
        <w:t xml:space="preserve">Sari, S. I. A. P., Harahap, M. I., &amp; Rahma, T. I. F. (2025). </w:t>
      </w:r>
      <w:r w:rsidRPr="00245294">
        <w:rPr>
          <w:rFonts w:ascii="Times New Roman" w:hAnsi="Times New Roman" w:cs="Times New Roman"/>
          <w:sz w:val="24"/>
          <w:szCs w:val="24"/>
          <w:highlight w:val="yellow"/>
        </w:rPr>
        <w:t xml:space="preserve">Evaluation of management strategy in increasing the competitiveness of MSMEs at the Cooperative and MSME Service. </w:t>
      </w:r>
      <w:proofErr w:type="spellStart"/>
      <w:r w:rsidRPr="00245294">
        <w:rPr>
          <w:rFonts w:ascii="Times New Roman" w:hAnsi="Times New Roman" w:cs="Times New Roman"/>
          <w:i/>
          <w:iCs/>
          <w:sz w:val="24"/>
          <w:szCs w:val="24"/>
          <w:highlight w:val="yellow"/>
        </w:rPr>
        <w:t>Urwatul</w:t>
      </w:r>
      <w:proofErr w:type="spellEnd"/>
      <w:r w:rsidRPr="00245294">
        <w:rPr>
          <w:rFonts w:ascii="Times New Roman" w:hAnsi="Times New Roman" w:cs="Times New Roman"/>
          <w:i/>
          <w:iCs/>
          <w:sz w:val="24"/>
          <w:szCs w:val="24"/>
          <w:highlight w:val="yellow"/>
        </w:rPr>
        <w:t xml:space="preserve"> </w:t>
      </w:r>
      <w:proofErr w:type="spellStart"/>
      <w:r w:rsidRPr="00245294">
        <w:rPr>
          <w:rFonts w:ascii="Times New Roman" w:hAnsi="Times New Roman" w:cs="Times New Roman"/>
          <w:i/>
          <w:iCs/>
          <w:sz w:val="24"/>
          <w:szCs w:val="24"/>
          <w:highlight w:val="yellow"/>
        </w:rPr>
        <w:t>Wutsqo</w:t>
      </w:r>
      <w:proofErr w:type="spellEnd"/>
      <w:r w:rsidRPr="00245294">
        <w:rPr>
          <w:rFonts w:ascii="Times New Roman" w:hAnsi="Times New Roman" w:cs="Times New Roman"/>
          <w:i/>
          <w:iCs/>
          <w:sz w:val="24"/>
          <w:szCs w:val="24"/>
          <w:highlight w:val="yellow"/>
        </w:rPr>
        <w:t xml:space="preserve">: </w:t>
      </w:r>
      <w:proofErr w:type="spellStart"/>
      <w:r w:rsidRPr="00245294">
        <w:rPr>
          <w:rFonts w:ascii="Times New Roman" w:hAnsi="Times New Roman" w:cs="Times New Roman"/>
          <w:i/>
          <w:iCs/>
          <w:sz w:val="24"/>
          <w:szCs w:val="24"/>
          <w:highlight w:val="yellow"/>
        </w:rPr>
        <w:t>Jurnal</w:t>
      </w:r>
      <w:proofErr w:type="spellEnd"/>
      <w:r w:rsidRPr="00245294">
        <w:rPr>
          <w:rFonts w:ascii="Times New Roman" w:hAnsi="Times New Roman" w:cs="Times New Roman"/>
          <w:i/>
          <w:iCs/>
          <w:sz w:val="24"/>
          <w:szCs w:val="24"/>
          <w:highlight w:val="yellow"/>
        </w:rPr>
        <w:t xml:space="preserve"> </w:t>
      </w:r>
      <w:proofErr w:type="spellStart"/>
      <w:r w:rsidRPr="00245294">
        <w:rPr>
          <w:rFonts w:ascii="Times New Roman" w:hAnsi="Times New Roman" w:cs="Times New Roman"/>
          <w:i/>
          <w:iCs/>
          <w:sz w:val="24"/>
          <w:szCs w:val="24"/>
          <w:highlight w:val="yellow"/>
        </w:rPr>
        <w:t>Studi</w:t>
      </w:r>
      <w:proofErr w:type="spellEnd"/>
      <w:r w:rsidRPr="00245294">
        <w:rPr>
          <w:rFonts w:ascii="Times New Roman" w:hAnsi="Times New Roman" w:cs="Times New Roman"/>
          <w:i/>
          <w:iCs/>
          <w:sz w:val="24"/>
          <w:szCs w:val="24"/>
          <w:highlight w:val="yellow"/>
        </w:rPr>
        <w:t xml:space="preserve"> </w:t>
      </w:r>
      <w:proofErr w:type="spellStart"/>
      <w:r w:rsidRPr="00245294">
        <w:rPr>
          <w:rFonts w:ascii="Times New Roman" w:hAnsi="Times New Roman" w:cs="Times New Roman"/>
          <w:i/>
          <w:iCs/>
          <w:sz w:val="24"/>
          <w:szCs w:val="24"/>
          <w:highlight w:val="yellow"/>
        </w:rPr>
        <w:t>Kependidikan</w:t>
      </w:r>
      <w:proofErr w:type="spellEnd"/>
      <w:r w:rsidRPr="00245294">
        <w:rPr>
          <w:rFonts w:ascii="Times New Roman" w:hAnsi="Times New Roman" w:cs="Times New Roman"/>
          <w:i/>
          <w:iCs/>
          <w:sz w:val="24"/>
          <w:szCs w:val="24"/>
          <w:highlight w:val="yellow"/>
        </w:rPr>
        <w:t xml:space="preserve"> dan </w:t>
      </w:r>
      <w:proofErr w:type="spellStart"/>
      <w:r w:rsidRPr="00245294">
        <w:rPr>
          <w:rFonts w:ascii="Times New Roman" w:hAnsi="Times New Roman" w:cs="Times New Roman"/>
          <w:i/>
          <w:iCs/>
          <w:sz w:val="24"/>
          <w:szCs w:val="24"/>
          <w:highlight w:val="yellow"/>
        </w:rPr>
        <w:t>Keislaman</w:t>
      </w:r>
      <w:proofErr w:type="spellEnd"/>
      <w:r w:rsidRPr="00245294">
        <w:rPr>
          <w:rFonts w:ascii="Times New Roman" w:hAnsi="Times New Roman" w:cs="Times New Roman"/>
          <w:i/>
          <w:iCs/>
          <w:sz w:val="24"/>
          <w:szCs w:val="24"/>
          <w:highlight w:val="yellow"/>
        </w:rPr>
        <w:t>, 14</w:t>
      </w:r>
      <w:r w:rsidRPr="00245294">
        <w:rPr>
          <w:rFonts w:ascii="Times New Roman" w:hAnsi="Times New Roman" w:cs="Times New Roman"/>
          <w:sz w:val="24"/>
          <w:szCs w:val="24"/>
          <w:highlight w:val="yellow"/>
        </w:rPr>
        <w:t xml:space="preserve">(3), 1252–1266. </w:t>
      </w:r>
      <w:hyperlink r:id="rId18" w:history="1">
        <w:r w:rsidRPr="00245294">
          <w:rPr>
            <w:rStyle w:val="Hyperlink"/>
            <w:rFonts w:ascii="Times New Roman" w:hAnsi="Times New Roman" w:cs="Times New Roman"/>
            <w:sz w:val="24"/>
            <w:szCs w:val="24"/>
            <w:highlight w:val="yellow"/>
            <w:lang w:val="en-US"/>
          </w:rPr>
          <w:t>https://doi.org/10.54437/urwatulwutsqo.v14i3.2592</w:t>
        </w:r>
      </w:hyperlink>
    </w:p>
    <w:p w14:paraId="7FFB210B" w14:textId="3A7D4B71" w:rsidR="00914731" w:rsidRPr="00245294" w:rsidRDefault="00914731" w:rsidP="00245294">
      <w:pPr>
        <w:pStyle w:val="ListParagraph"/>
        <w:numPr>
          <w:ilvl w:val="0"/>
          <w:numId w:val="16"/>
        </w:numPr>
        <w:jc w:val="both"/>
        <w:rPr>
          <w:rFonts w:ascii="Times New Roman" w:hAnsi="Times New Roman" w:cs="Times New Roman"/>
          <w:sz w:val="24"/>
          <w:szCs w:val="24"/>
          <w:highlight w:val="yellow"/>
        </w:rPr>
      </w:pPr>
      <w:r w:rsidRPr="00245294">
        <w:rPr>
          <w:rFonts w:ascii="Times New Roman" w:hAnsi="Times New Roman" w:cs="Times New Roman"/>
          <w:sz w:val="24"/>
          <w:szCs w:val="24"/>
          <w:highlight w:val="yellow"/>
          <w:lang w:val="fi-FI"/>
        </w:rPr>
        <w:lastRenderedPageBreak/>
        <w:t xml:space="preserve">Pambudi, N. A., Firdaus, R. A., Rizkiana, R., Ulfa, D. K., Salsabila, M. S., Suharno, &amp; Sukatiman. </w:t>
      </w:r>
      <w:r w:rsidRPr="00245294">
        <w:rPr>
          <w:rFonts w:ascii="Times New Roman" w:hAnsi="Times New Roman" w:cs="Times New Roman"/>
          <w:sz w:val="24"/>
          <w:szCs w:val="24"/>
          <w:highlight w:val="yellow"/>
        </w:rPr>
        <w:t>(2023). Renewable Energy in Indonesia: Current Status, Potential, and Future Development. </w:t>
      </w:r>
      <w:r w:rsidRPr="00245294">
        <w:rPr>
          <w:rFonts w:ascii="Times New Roman" w:hAnsi="Times New Roman" w:cs="Times New Roman"/>
          <w:i/>
          <w:iCs/>
          <w:sz w:val="24"/>
          <w:szCs w:val="24"/>
          <w:highlight w:val="yellow"/>
        </w:rPr>
        <w:t>Sustainability</w:t>
      </w:r>
      <w:r w:rsidRPr="00245294">
        <w:rPr>
          <w:rFonts w:ascii="Times New Roman" w:hAnsi="Times New Roman" w:cs="Times New Roman"/>
          <w:sz w:val="24"/>
          <w:szCs w:val="24"/>
          <w:highlight w:val="yellow"/>
        </w:rPr>
        <w:t>, </w:t>
      </w:r>
      <w:r w:rsidRPr="00245294">
        <w:rPr>
          <w:rFonts w:ascii="Times New Roman" w:hAnsi="Times New Roman" w:cs="Times New Roman"/>
          <w:i/>
          <w:iCs/>
          <w:sz w:val="24"/>
          <w:szCs w:val="24"/>
          <w:highlight w:val="yellow"/>
        </w:rPr>
        <w:t>15</w:t>
      </w:r>
      <w:r w:rsidRPr="00245294">
        <w:rPr>
          <w:rFonts w:ascii="Times New Roman" w:hAnsi="Times New Roman" w:cs="Times New Roman"/>
          <w:sz w:val="24"/>
          <w:szCs w:val="24"/>
          <w:highlight w:val="yellow"/>
        </w:rPr>
        <w:t xml:space="preserve">(3), 2342. </w:t>
      </w:r>
      <w:hyperlink r:id="rId19" w:history="1">
        <w:r w:rsidRPr="00245294">
          <w:rPr>
            <w:rStyle w:val="Hyperlink"/>
            <w:rFonts w:ascii="Times New Roman" w:hAnsi="Times New Roman" w:cs="Times New Roman"/>
            <w:sz w:val="24"/>
            <w:szCs w:val="24"/>
            <w:highlight w:val="yellow"/>
          </w:rPr>
          <w:t>https://doi.org/10.3390/su15032342</w:t>
        </w:r>
      </w:hyperlink>
    </w:p>
    <w:p w14:paraId="48F551A8" w14:textId="1AA1C43A" w:rsidR="00914731" w:rsidRPr="00245294" w:rsidRDefault="00914731" w:rsidP="00245294">
      <w:pPr>
        <w:pStyle w:val="ListParagraph"/>
        <w:numPr>
          <w:ilvl w:val="0"/>
          <w:numId w:val="16"/>
        </w:numPr>
        <w:jc w:val="both"/>
        <w:rPr>
          <w:rFonts w:ascii="Times New Roman" w:hAnsi="Times New Roman" w:cs="Times New Roman"/>
          <w:sz w:val="24"/>
          <w:szCs w:val="24"/>
          <w:highlight w:val="yellow"/>
        </w:rPr>
      </w:pPr>
      <w:proofErr w:type="spellStart"/>
      <w:r w:rsidRPr="00245294">
        <w:rPr>
          <w:rFonts w:ascii="Times New Roman" w:hAnsi="Times New Roman" w:cs="Times New Roman"/>
          <w:sz w:val="24"/>
          <w:szCs w:val="24"/>
          <w:highlight w:val="yellow"/>
        </w:rPr>
        <w:t>Rokhim</w:t>
      </w:r>
      <w:proofErr w:type="spellEnd"/>
      <w:r w:rsidRPr="00245294">
        <w:rPr>
          <w:rFonts w:ascii="Times New Roman" w:hAnsi="Times New Roman" w:cs="Times New Roman"/>
          <w:sz w:val="24"/>
          <w:szCs w:val="24"/>
          <w:highlight w:val="yellow"/>
        </w:rPr>
        <w:t xml:space="preserve">, A., &amp; Sholeh, M. I. (2024). Business management strategies to enhance MSME competitiveness. </w:t>
      </w:r>
      <w:r w:rsidRPr="00245294">
        <w:rPr>
          <w:rFonts w:ascii="Times New Roman" w:hAnsi="Times New Roman" w:cs="Times New Roman"/>
          <w:i/>
          <w:iCs/>
          <w:sz w:val="24"/>
          <w:szCs w:val="24"/>
          <w:highlight w:val="yellow"/>
        </w:rPr>
        <w:t>Indonesian Economic Review, 4</w:t>
      </w:r>
      <w:r w:rsidRPr="00245294">
        <w:rPr>
          <w:rFonts w:ascii="Times New Roman" w:hAnsi="Times New Roman" w:cs="Times New Roman"/>
          <w:sz w:val="24"/>
          <w:szCs w:val="24"/>
          <w:highlight w:val="yellow"/>
        </w:rPr>
        <w:t xml:space="preserve">(2), 40–58. </w:t>
      </w:r>
      <w:hyperlink r:id="rId20" w:history="1">
        <w:r w:rsidRPr="00245294">
          <w:rPr>
            <w:rStyle w:val="Hyperlink"/>
            <w:rFonts w:ascii="Times New Roman" w:hAnsi="Times New Roman" w:cs="Times New Roman"/>
            <w:sz w:val="24"/>
            <w:szCs w:val="24"/>
            <w:highlight w:val="yellow"/>
          </w:rPr>
          <w:t>https://doi.org/10.53787/iconev.v4i2.45</w:t>
        </w:r>
      </w:hyperlink>
    </w:p>
    <w:p w14:paraId="464C860A" w14:textId="7162AAD3" w:rsidR="00914731" w:rsidRPr="00245294" w:rsidRDefault="00914731" w:rsidP="00245294">
      <w:pPr>
        <w:pStyle w:val="ListParagraph"/>
        <w:numPr>
          <w:ilvl w:val="0"/>
          <w:numId w:val="16"/>
        </w:numPr>
        <w:jc w:val="both"/>
        <w:rPr>
          <w:rFonts w:ascii="Times New Roman" w:hAnsi="Times New Roman" w:cs="Times New Roman"/>
          <w:sz w:val="24"/>
          <w:szCs w:val="24"/>
          <w:highlight w:val="yellow"/>
        </w:rPr>
      </w:pPr>
      <w:proofErr w:type="spellStart"/>
      <w:r w:rsidRPr="00245294">
        <w:rPr>
          <w:rFonts w:ascii="Times New Roman" w:hAnsi="Times New Roman" w:cs="Times New Roman"/>
          <w:sz w:val="24"/>
          <w:szCs w:val="24"/>
          <w:highlight w:val="yellow"/>
        </w:rPr>
        <w:t>Sugiat</w:t>
      </w:r>
      <w:proofErr w:type="spellEnd"/>
      <w:r w:rsidRPr="00245294">
        <w:rPr>
          <w:rFonts w:ascii="Times New Roman" w:hAnsi="Times New Roman" w:cs="Times New Roman"/>
          <w:sz w:val="24"/>
          <w:szCs w:val="24"/>
          <w:highlight w:val="yellow"/>
        </w:rPr>
        <w:t xml:space="preserve">, M., </w:t>
      </w:r>
      <w:proofErr w:type="spellStart"/>
      <w:r w:rsidRPr="00245294">
        <w:rPr>
          <w:rFonts w:ascii="Times New Roman" w:hAnsi="Times New Roman" w:cs="Times New Roman"/>
          <w:sz w:val="24"/>
          <w:szCs w:val="24"/>
          <w:highlight w:val="yellow"/>
        </w:rPr>
        <w:t>Primiana</w:t>
      </w:r>
      <w:proofErr w:type="spellEnd"/>
      <w:r w:rsidRPr="00245294">
        <w:rPr>
          <w:rFonts w:ascii="Times New Roman" w:hAnsi="Times New Roman" w:cs="Times New Roman"/>
          <w:sz w:val="24"/>
          <w:szCs w:val="24"/>
          <w:highlight w:val="yellow"/>
        </w:rPr>
        <w:t xml:space="preserve">, I., &amp; </w:t>
      </w:r>
      <w:proofErr w:type="spellStart"/>
      <w:r w:rsidRPr="00245294">
        <w:rPr>
          <w:rFonts w:ascii="Times New Roman" w:hAnsi="Times New Roman" w:cs="Times New Roman"/>
          <w:sz w:val="24"/>
          <w:szCs w:val="24"/>
          <w:highlight w:val="yellow"/>
        </w:rPr>
        <w:t>Herwany</w:t>
      </w:r>
      <w:proofErr w:type="spellEnd"/>
      <w:r w:rsidRPr="00245294">
        <w:rPr>
          <w:rFonts w:ascii="Times New Roman" w:hAnsi="Times New Roman" w:cs="Times New Roman"/>
          <w:sz w:val="24"/>
          <w:szCs w:val="24"/>
          <w:highlight w:val="yellow"/>
        </w:rPr>
        <w:t xml:space="preserve">, A. (2020). Innovative marketing of emerging Moslem fashion in the province of West Java, Indonesia. </w:t>
      </w:r>
      <w:r w:rsidRPr="00245294">
        <w:rPr>
          <w:rFonts w:ascii="Times New Roman" w:hAnsi="Times New Roman" w:cs="Times New Roman"/>
          <w:i/>
          <w:iCs/>
          <w:sz w:val="24"/>
          <w:szCs w:val="24"/>
          <w:highlight w:val="yellow"/>
        </w:rPr>
        <w:t>Journal of Sustainability Science and Management, 15</w:t>
      </w:r>
      <w:r w:rsidRPr="00245294">
        <w:rPr>
          <w:rFonts w:ascii="Times New Roman" w:hAnsi="Times New Roman" w:cs="Times New Roman"/>
          <w:sz w:val="24"/>
          <w:szCs w:val="24"/>
          <w:highlight w:val="yellow"/>
        </w:rPr>
        <w:t xml:space="preserve">(5), 165–173. </w:t>
      </w:r>
      <w:hyperlink r:id="rId21" w:history="1">
        <w:r w:rsidRPr="00245294">
          <w:rPr>
            <w:rStyle w:val="Hyperlink"/>
            <w:rFonts w:ascii="Times New Roman" w:hAnsi="Times New Roman" w:cs="Times New Roman"/>
            <w:sz w:val="24"/>
            <w:szCs w:val="24"/>
            <w:highlight w:val="yellow"/>
          </w:rPr>
          <w:t>https://doi.org/10.46754/jssm.2020.07.014</w:t>
        </w:r>
      </w:hyperlink>
    </w:p>
    <w:p w14:paraId="6365CD5B" w14:textId="2DBBC3CF" w:rsidR="00914731" w:rsidRPr="00245294" w:rsidRDefault="00914731" w:rsidP="00245294">
      <w:pPr>
        <w:pStyle w:val="ListParagraph"/>
        <w:numPr>
          <w:ilvl w:val="0"/>
          <w:numId w:val="16"/>
        </w:numPr>
        <w:jc w:val="both"/>
        <w:rPr>
          <w:rFonts w:ascii="Times New Roman" w:hAnsi="Times New Roman" w:cs="Times New Roman"/>
          <w:sz w:val="24"/>
          <w:szCs w:val="24"/>
        </w:rPr>
      </w:pPr>
      <w:r w:rsidRPr="00245294">
        <w:rPr>
          <w:rFonts w:ascii="Times New Roman" w:hAnsi="Times New Roman" w:cs="Times New Roman"/>
          <w:sz w:val="24"/>
          <w:szCs w:val="24"/>
          <w:highlight w:val="yellow"/>
        </w:rPr>
        <w:t xml:space="preserve">Wang, F., Wang, Y., Han, Y., &amp; Cho, J. H. (2024). Optimizing brand loyalty through user-centric product package design: A study of user experience in dairy industry. </w:t>
      </w:r>
      <w:proofErr w:type="spellStart"/>
      <w:r w:rsidRPr="00245294">
        <w:rPr>
          <w:rFonts w:ascii="Times New Roman" w:hAnsi="Times New Roman" w:cs="Times New Roman"/>
          <w:i/>
          <w:iCs/>
          <w:sz w:val="24"/>
          <w:szCs w:val="24"/>
          <w:highlight w:val="yellow"/>
        </w:rPr>
        <w:t>Heliyon</w:t>
      </w:r>
      <w:proofErr w:type="spellEnd"/>
      <w:r w:rsidRPr="00245294">
        <w:rPr>
          <w:rFonts w:ascii="Times New Roman" w:hAnsi="Times New Roman" w:cs="Times New Roman"/>
          <w:i/>
          <w:iCs/>
          <w:sz w:val="24"/>
          <w:szCs w:val="24"/>
          <w:highlight w:val="yellow"/>
        </w:rPr>
        <w:t>, 10</w:t>
      </w:r>
      <w:r w:rsidRPr="00245294">
        <w:rPr>
          <w:rFonts w:ascii="Times New Roman" w:hAnsi="Times New Roman" w:cs="Times New Roman"/>
          <w:sz w:val="24"/>
          <w:szCs w:val="24"/>
          <w:highlight w:val="yellow"/>
        </w:rPr>
        <w:t xml:space="preserve">(3), e25484. </w:t>
      </w:r>
      <w:hyperlink r:id="rId22" w:tgtFrame="_new" w:history="1">
        <w:r w:rsidRPr="00245294">
          <w:rPr>
            <w:rStyle w:val="Hyperlink"/>
            <w:rFonts w:ascii="Times New Roman" w:hAnsi="Times New Roman" w:cs="Times New Roman"/>
            <w:sz w:val="24"/>
            <w:szCs w:val="24"/>
            <w:highlight w:val="yellow"/>
          </w:rPr>
          <w:t>https://doi.org/10.1016/j.heliyon.2024.e25484</w:t>
        </w:r>
      </w:hyperlink>
    </w:p>
    <w:p w14:paraId="3354E9B9" w14:textId="77777777" w:rsidR="00622ADA" w:rsidRDefault="00622ADA" w:rsidP="00B447B3">
      <w:pPr>
        <w:ind w:left="567" w:hanging="567"/>
        <w:jc w:val="both"/>
        <w:rPr>
          <w:rFonts w:ascii="Times New Roman" w:hAnsi="Times New Roman" w:cs="Times New Roman"/>
          <w:sz w:val="24"/>
          <w:szCs w:val="24"/>
        </w:rPr>
      </w:pPr>
    </w:p>
    <w:p w14:paraId="4DBF0613" w14:textId="77777777" w:rsidR="00622ADA" w:rsidRDefault="00622ADA" w:rsidP="00B447B3">
      <w:pPr>
        <w:ind w:left="567" w:hanging="567"/>
        <w:jc w:val="both"/>
        <w:rPr>
          <w:rFonts w:ascii="Times New Roman" w:hAnsi="Times New Roman" w:cs="Times New Roman"/>
          <w:sz w:val="24"/>
          <w:szCs w:val="24"/>
        </w:rPr>
      </w:pPr>
    </w:p>
    <w:p w14:paraId="5C9310F5" w14:textId="77777777" w:rsidR="00C53FE5" w:rsidRDefault="00C53FE5" w:rsidP="00B447B3">
      <w:pPr>
        <w:ind w:left="567" w:hanging="567"/>
        <w:jc w:val="both"/>
        <w:rPr>
          <w:rFonts w:ascii="Times New Roman" w:hAnsi="Times New Roman" w:cs="Times New Roman"/>
          <w:sz w:val="24"/>
          <w:szCs w:val="24"/>
        </w:rPr>
      </w:pPr>
    </w:p>
    <w:p w14:paraId="0B7C9D22" w14:textId="77777777" w:rsidR="00C53FE5" w:rsidRDefault="00C53FE5" w:rsidP="00B447B3">
      <w:pPr>
        <w:ind w:left="567" w:hanging="567"/>
        <w:jc w:val="both"/>
        <w:rPr>
          <w:rFonts w:ascii="Times New Roman" w:hAnsi="Times New Roman" w:cs="Times New Roman"/>
          <w:sz w:val="24"/>
          <w:szCs w:val="24"/>
        </w:rPr>
      </w:pPr>
    </w:p>
    <w:p w14:paraId="3DA7EDA0" w14:textId="77777777" w:rsidR="00C53FE5" w:rsidRDefault="00C53FE5" w:rsidP="00B447B3">
      <w:pPr>
        <w:ind w:left="567" w:hanging="567"/>
        <w:jc w:val="both"/>
        <w:rPr>
          <w:rFonts w:ascii="Times New Roman" w:hAnsi="Times New Roman" w:cs="Times New Roman"/>
          <w:sz w:val="24"/>
          <w:szCs w:val="24"/>
        </w:rPr>
      </w:pPr>
    </w:p>
    <w:p w14:paraId="2582A839" w14:textId="77777777" w:rsidR="00C53FE5" w:rsidRDefault="00C53FE5" w:rsidP="00B447B3">
      <w:pPr>
        <w:ind w:left="567" w:hanging="567"/>
        <w:jc w:val="both"/>
        <w:rPr>
          <w:rFonts w:ascii="Times New Roman" w:hAnsi="Times New Roman" w:cs="Times New Roman"/>
          <w:sz w:val="24"/>
          <w:szCs w:val="24"/>
        </w:rPr>
      </w:pPr>
    </w:p>
    <w:p w14:paraId="5CB3F2B1" w14:textId="77777777" w:rsidR="00C53FE5" w:rsidRPr="00C53FE5" w:rsidRDefault="00C53FE5" w:rsidP="00B447B3">
      <w:pPr>
        <w:ind w:left="567" w:hanging="567"/>
        <w:jc w:val="both"/>
        <w:rPr>
          <w:rFonts w:ascii="Times New Roman" w:hAnsi="Times New Roman" w:cs="Times New Roman"/>
          <w:sz w:val="24"/>
          <w:szCs w:val="24"/>
        </w:rPr>
      </w:pPr>
    </w:p>
    <w:sectPr w:rsidR="00C53FE5" w:rsidRPr="00C53FE5" w:rsidSect="00B27B27">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39BCF" w14:textId="77777777" w:rsidR="00415B9B" w:rsidRDefault="00415B9B" w:rsidP="00300BB6">
      <w:pPr>
        <w:spacing w:after="0" w:line="240" w:lineRule="auto"/>
      </w:pPr>
      <w:r>
        <w:separator/>
      </w:r>
    </w:p>
  </w:endnote>
  <w:endnote w:type="continuationSeparator" w:id="0">
    <w:p w14:paraId="615E55FD" w14:textId="77777777" w:rsidR="00415B9B" w:rsidRDefault="00415B9B" w:rsidP="0030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C1138" w14:textId="77777777" w:rsidR="00300BB6" w:rsidRDefault="00300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2EC6D" w14:textId="77777777" w:rsidR="00300BB6" w:rsidRDefault="00300B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B6AE" w14:textId="77777777" w:rsidR="00300BB6" w:rsidRDefault="00300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E7A73" w14:textId="77777777" w:rsidR="00415B9B" w:rsidRDefault="00415B9B" w:rsidP="00300BB6">
      <w:pPr>
        <w:spacing w:after="0" w:line="240" w:lineRule="auto"/>
      </w:pPr>
      <w:r>
        <w:separator/>
      </w:r>
    </w:p>
  </w:footnote>
  <w:footnote w:type="continuationSeparator" w:id="0">
    <w:p w14:paraId="793C8DD1" w14:textId="77777777" w:rsidR="00415B9B" w:rsidRDefault="00415B9B" w:rsidP="0030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3AD57" w14:textId="6DD25418" w:rsidR="00300BB6" w:rsidRDefault="00415B9B">
    <w:pPr>
      <w:pStyle w:val="Header"/>
    </w:pPr>
    <w:r>
      <w:rPr>
        <w:noProof/>
      </w:rPr>
      <w:pict w14:anchorId="54C39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73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B0B99" w14:textId="5B33F004" w:rsidR="00300BB6" w:rsidRDefault="00415B9B">
    <w:pPr>
      <w:pStyle w:val="Header"/>
    </w:pPr>
    <w:r>
      <w:rPr>
        <w:noProof/>
      </w:rPr>
      <w:pict w14:anchorId="51523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73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814F" w14:textId="304A237D" w:rsidR="00300BB6" w:rsidRDefault="00415B9B">
    <w:pPr>
      <w:pStyle w:val="Header"/>
    </w:pPr>
    <w:r>
      <w:rPr>
        <w:noProof/>
      </w:rPr>
      <w:pict w14:anchorId="056C8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73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0EEB"/>
    <w:multiLevelType w:val="multilevel"/>
    <w:tmpl w:val="F20A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65EEE"/>
    <w:multiLevelType w:val="multilevel"/>
    <w:tmpl w:val="3206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66D01"/>
    <w:multiLevelType w:val="multilevel"/>
    <w:tmpl w:val="27789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047692"/>
    <w:multiLevelType w:val="multilevel"/>
    <w:tmpl w:val="035AD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7A63BD"/>
    <w:multiLevelType w:val="multilevel"/>
    <w:tmpl w:val="4402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1541AA"/>
    <w:multiLevelType w:val="multilevel"/>
    <w:tmpl w:val="AB043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FD1891"/>
    <w:multiLevelType w:val="multilevel"/>
    <w:tmpl w:val="4CC6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9005E4"/>
    <w:multiLevelType w:val="multilevel"/>
    <w:tmpl w:val="48AE8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247D38"/>
    <w:multiLevelType w:val="multilevel"/>
    <w:tmpl w:val="2164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204C4E"/>
    <w:multiLevelType w:val="multilevel"/>
    <w:tmpl w:val="FEB4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022D17"/>
    <w:multiLevelType w:val="multilevel"/>
    <w:tmpl w:val="FEAE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BD22F0"/>
    <w:multiLevelType w:val="hybridMultilevel"/>
    <w:tmpl w:val="C5003C1A"/>
    <w:lvl w:ilvl="0" w:tplc="121E6E8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503007"/>
    <w:multiLevelType w:val="multilevel"/>
    <w:tmpl w:val="537E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0A1DD5"/>
    <w:multiLevelType w:val="multilevel"/>
    <w:tmpl w:val="359A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410BE3"/>
    <w:multiLevelType w:val="hybridMultilevel"/>
    <w:tmpl w:val="66322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0B3402"/>
    <w:multiLevelType w:val="multilevel"/>
    <w:tmpl w:val="BE9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0"/>
  </w:num>
  <w:num w:numId="4">
    <w:abstractNumId w:val="3"/>
  </w:num>
  <w:num w:numId="5">
    <w:abstractNumId w:val="13"/>
  </w:num>
  <w:num w:numId="6">
    <w:abstractNumId w:val="11"/>
  </w:num>
  <w:num w:numId="7">
    <w:abstractNumId w:val="12"/>
  </w:num>
  <w:num w:numId="8">
    <w:abstractNumId w:val="7"/>
  </w:num>
  <w:num w:numId="9">
    <w:abstractNumId w:val="4"/>
  </w:num>
  <w:num w:numId="10">
    <w:abstractNumId w:val="8"/>
  </w:num>
  <w:num w:numId="11">
    <w:abstractNumId w:val="6"/>
  </w:num>
  <w:num w:numId="12">
    <w:abstractNumId w:val="15"/>
  </w:num>
  <w:num w:numId="13">
    <w:abstractNumId w:val="1"/>
  </w:num>
  <w:num w:numId="14">
    <w:abstractNumId w:val="2"/>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22"/>
    <w:rsid w:val="000442CE"/>
    <w:rsid w:val="0005566F"/>
    <w:rsid w:val="00076AD3"/>
    <w:rsid w:val="000972ED"/>
    <w:rsid w:val="000E6395"/>
    <w:rsid w:val="000F6E30"/>
    <w:rsid w:val="00162D4F"/>
    <w:rsid w:val="00183D85"/>
    <w:rsid w:val="002364ED"/>
    <w:rsid w:val="00245294"/>
    <w:rsid w:val="00262197"/>
    <w:rsid w:val="002D0CE7"/>
    <w:rsid w:val="002D0EB1"/>
    <w:rsid w:val="00300BB6"/>
    <w:rsid w:val="00306F9B"/>
    <w:rsid w:val="003248B6"/>
    <w:rsid w:val="003631A1"/>
    <w:rsid w:val="00382361"/>
    <w:rsid w:val="003A0001"/>
    <w:rsid w:val="003D31FF"/>
    <w:rsid w:val="00415B9B"/>
    <w:rsid w:val="00421C11"/>
    <w:rsid w:val="00432B5E"/>
    <w:rsid w:val="00447878"/>
    <w:rsid w:val="00491CF2"/>
    <w:rsid w:val="0049307A"/>
    <w:rsid w:val="004D19EA"/>
    <w:rsid w:val="004F080C"/>
    <w:rsid w:val="00514429"/>
    <w:rsid w:val="0052254F"/>
    <w:rsid w:val="005B1C28"/>
    <w:rsid w:val="00622ADA"/>
    <w:rsid w:val="00645D37"/>
    <w:rsid w:val="00653DCB"/>
    <w:rsid w:val="00695A50"/>
    <w:rsid w:val="006A217C"/>
    <w:rsid w:val="006F144C"/>
    <w:rsid w:val="006F27A3"/>
    <w:rsid w:val="007225A0"/>
    <w:rsid w:val="00735812"/>
    <w:rsid w:val="00757082"/>
    <w:rsid w:val="00817408"/>
    <w:rsid w:val="00821C83"/>
    <w:rsid w:val="0083207B"/>
    <w:rsid w:val="00845295"/>
    <w:rsid w:val="00883027"/>
    <w:rsid w:val="008F01A7"/>
    <w:rsid w:val="008F6037"/>
    <w:rsid w:val="00901BE9"/>
    <w:rsid w:val="00914731"/>
    <w:rsid w:val="00923FE2"/>
    <w:rsid w:val="009319EE"/>
    <w:rsid w:val="00935488"/>
    <w:rsid w:val="009507DF"/>
    <w:rsid w:val="009B2391"/>
    <w:rsid w:val="009D5EFE"/>
    <w:rsid w:val="00A001F2"/>
    <w:rsid w:val="00A116CE"/>
    <w:rsid w:val="00A150B7"/>
    <w:rsid w:val="00A81032"/>
    <w:rsid w:val="00AA223B"/>
    <w:rsid w:val="00AB7A9B"/>
    <w:rsid w:val="00AD014E"/>
    <w:rsid w:val="00AD075F"/>
    <w:rsid w:val="00AE7722"/>
    <w:rsid w:val="00B26DFE"/>
    <w:rsid w:val="00B27B27"/>
    <w:rsid w:val="00B447B3"/>
    <w:rsid w:val="00B45454"/>
    <w:rsid w:val="00B66076"/>
    <w:rsid w:val="00B76AE0"/>
    <w:rsid w:val="00B802C9"/>
    <w:rsid w:val="00B87E97"/>
    <w:rsid w:val="00BC032F"/>
    <w:rsid w:val="00BF1AF0"/>
    <w:rsid w:val="00BF5301"/>
    <w:rsid w:val="00C06E40"/>
    <w:rsid w:val="00C13842"/>
    <w:rsid w:val="00C53FE5"/>
    <w:rsid w:val="00CC5D35"/>
    <w:rsid w:val="00CD5ECE"/>
    <w:rsid w:val="00D14549"/>
    <w:rsid w:val="00D4229F"/>
    <w:rsid w:val="00D95008"/>
    <w:rsid w:val="00DA4229"/>
    <w:rsid w:val="00DC1FCE"/>
    <w:rsid w:val="00DF321C"/>
    <w:rsid w:val="00DF4D7C"/>
    <w:rsid w:val="00E1549E"/>
    <w:rsid w:val="00E4544C"/>
    <w:rsid w:val="00E627E1"/>
    <w:rsid w:val="00E77CEE"/>
    <w:rsid w:val="00EA2CAA"/>
    <w:rsid w:val="00EB283D"/>
    <w:rsid w:val="00ED600A"/>
    <w:rsid w:val="00F20922"/>
    <w:rsid w:val="00F33C07"/>
    <w:rsid w:val="00F401B9"/>
    <w:rsid w:val="00F413D8"/>
    <w:rsid w:val="00F76B5E"/>
    <w:rsid w:val="00FA577F"/>
    <w:rsid w:val="00FC1E21"/>
    <w:rsid w:val="00FD739A"/>
    <w:rsid w:val="00FE15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32CFE1"/>
  <w15:chartTrackingRefBased/>
  <w15:docId w15:val="{72D2D51F-4B7B-41CF-B87C-40C6A445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ID"/>
    </w:rPr>
  </w:style>
  <w:style w:type="paragraph" w:styleId="Heading1">
    <w:name w:val="heading 1"/>
    <w:basedOn w:val="Normal"/>
    <w:next w:val="Normal"/>
    <w:link w:val="Heading1Char"/>
    <w:uiPriority w:val="9"/>
    <w:qFormat/>
    <w:rsid w:val="00F2092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2092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2092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2092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2092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20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922"/>
    <w:rPr>
      <w:rFonts w:asciiTheme="majorHAnsi" w:eastAsiaTheme="majorEastAsia" w:hAnsiTheme="majorHAnsi" w:cstheme="majorBidi"/>
      <w:color w:val="365F91" w:themeColor="accent1" w:themeShade="BF"/>
      <w:sz w:val="40"/>
      <w:szCs w:val="40"/>
      <w:lang w:val="en-ID"/>
    </w:rPr>
  </w:style>
  <w:style w:type="character" w:customStyle="1" w:styleId="Heading2Char">
    <w:name w:val="Heading 2 Char"/>
    <w:basedOn w:val="DefaultParagraphFont"/>
    <w:link w:val="Heading2"/>
    <w:uiPriority w:val="9"/>
    <w:semiHidden/>
    <w:rsid w:val="00F20922"/>
    <w:rPr>
      <w:rFonts w:asciiTheme="majorHAnsi" w:eastAsiaTheme="majorEastAsia" w:hAnsiTheme="majorHAnsi" w:cstheme="majorBidi"/>
      <w:color w:val="365F91" w:themeColor="accent1" w:themeShade="BF"/>
      <w:sz w:val="32"/>
      <w:szCs w:val="32"/>
      <w:lang w:val="en-ID"/>
    </w:rPr>
  </w:style>
  <w:style w:type="character" w:customStyle="1" w:styleId="Heading3Char">
    <w:name w:val="Heading 3 Char"/>
    <w:basedOn w:val="DefaultParagraphFont"/>
    <w:link w:val="Heading3"/>
    <w:uiPriority w:val="9"/>
    <w:semiHidden/>
    <w:rsid w:val="00F20922"/>
    <w:rPr>
      <w:rFonts w:eastAsiaTheme="majorEastAsia" w:cstheme="majorBidi"/>
      <w:color w:val="365F91" w:themeColor="accent1" w:themeShade="BF"/>
      <w:sz w:val="28"/>
      <w:szCs w:val="28"/>
      <w:lang w:val="en-ID"/>
    </w:rPr>
  </w:style>
  <w:style w:type="character" w:customStyle="1" w:styleId="Heading4Char">
    <w:name w:val="Heading 4 Char"/>
    <w:basedOn w:val="DefaultParagraphFont"/>
    <w:link w:val="Heading4"/>
    <w:uiPriority w:val="9"/>
    <w:semiHidden/>
    <w:rsid w:val="00F20922"/>
    <w:rPr>
      <w:rFonts w:eastAsiaTheme="majorEastAsia" w:cstheme="majorBidi"/>
      <w:i/>
      <w:iCs/>
      <w:color w:val="365F91" w:themeColor="accent1" w:themeShade="BF"/>
      <w:lang w:val="en-ID"/>
    </w:rPr>
  </w:style>
  <w:style w:type="character" w:customStyle="1" w:styleId="Heading5Char">
    <w:name w:val="Heading 5 Char"/>
    <w:basedOn w:val="DefaultParagraphFont"/>
    <w:link w:val="Heading5"/>
    <w:uiPriority w:val="9"/>
    <w:semiHidden/>
    <w:rsid w:val="00F20922"/>
    <w:rPr>
      <w:rFonts w:eastAsiaTheme="majorEastAsia" w:cstheme="majorBidi"/>
      <w:color w:val="365F91" w:themeColor="accent1" w:themeShade="BF"/>
      <w:lang w:val="en-ID"/>
    </w:rPr>
  </w:style>
  <w:style w:type="character" w:customStyle="1" w:styleId="Heading6Char">
    <w:name w:val="Heading 6 Char"/>
    <w:basedOn w:val="DefaultParagraphFont"/>
    <w:link w:val="Heading6"/>
    <w:uiPriority w:val="9"/>
    <w:semiHidden/>
    <w:rsid w:val="00F20922"/>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F20922"/>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F20922"/>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F20922"/>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F20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922"/>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F209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922"/>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F209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0922"/>
    <w:rPr>
      <w:i/>
      <w:iCs/>
      <w:color w:val="404040" w:themeColor="text1" w:themeTint="BF"/>
      <w:lang w:val="en-ID"/>
    </w:rPr>
  </w:style>
  <w:style w:type="paragraph" w:styleId="ListParagraph">
    <w:name w:val="List Paragraph"/>
    <w:basedOn w:val="Normal"/>
    <w:uiPriority w:val="34"/>
    <w:qFormat/>
    <w:rsid w:val="00F20922"/>
    <w:pPr>
      <w:ind w:left="720"/>
      <w:contextualSpacing/>
    </w:pPr>
  </w:style>
  <w:style w:type="character" w:styleId="IntenseEmphasis">
    <w:name w:val="Intense Emphasis"/>
    <w:basedOn w:val="DefaultParagraphFont"/>
    <w:uiPriority w:val="21"/>
    <w:qFormat/>
    <w:rsid w:val="00F20922"/>
    <w:rPr>
      <w:i/>
      <w:iCs/>
      <w:color w:val="365F91" w:themeColor="accent1" w:themeShade="BF"/>
    </w:rPr>
  </w:style>
  <w:style w:type="paragraph" w:styleId="IntenseQuote">
    <w:name w:val="Intense Quote"/>
    <w:basedOn w:val="Normal"/>
    <w:next w:val="Normal"/>
    <w:link w:val="IntenseQuoteChar"/>
    <w:uiPriority w:val="30"/>
    <w:qFormat/>
    <w:rsid w:val="00F209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20922"/>
    <w:rPr>
      <w:i/>
      <w:iCs/>
      <w:color w:val="365F91" w:themeColor="accent1" w:themeShade="BF"/>
      <w:lang w:val="en-ID"/>
    </w:rPr>
  </w:style>
  <w:style w:type="character" w:styleId="IntenseReference">
    <w:name w:val="Intense Reference"/>
    <w:basedOn w:val="DefaultParagraphFont"/>
    <w:uiPriority w:val="32"/>
    <w:qFormat/>
    <w:rsid w:val="00F20922"/>
    <w:rPr>
      <w:b/>
      <w:bCs/>
      <w:smallCaps/>
      <w:color w:val="365F91" w:themeColor="accent1" w:themeShade="BF"/>
      <w:spacing w:val="5"/>
    </w:rPr>
  </w:style>
  <w:style w:type="table" w:styleId="TableGrid">
    <w:name w:val="Table Grid"/>
    <w:basedOn w:val="TableNormal"/>
    <w:uiPriority w:val="59"/>
    <w:rsid w:val="000E6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6395"/>
    <w:pPr>
      <w:spacing w:line="240" w:lineRule="auto"/>
    </w:pPr>
    <w:rPr>
      <w:i/>
      <w:iCs/>
      <w:color w:val="1F497D" w:themeColor="text2"/>
      <w:sz w:val="18"/>
      <w:szCs w:val="18"/>
    </w:rPr>
  </w:style>
  <w:style w:type="table" w:styleId="TableGridLight">
    <w:name w:val="Grid Table Light"/>
    <w:basedOn w:val="TableNormal"/>
    <w:uiPriority w:val="40"/>
    <w:rsid w:val="003A00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DF321C"/>
    <w:rPr>
      <w:color w:val="0000FF" w:themeColor="hyperlink"/>
      <w:u w:val="single"/>
    </w:rPr>
  </w:style>
  <w:style w:type="character" w:styleId="UnresolvedMention">
    <w:name w:val="Unresolved Mention"/>
    <w:basedOn w:val="DefaultParagraphFont"/>
    <w:uiPriority w:val="99"/>
    <w:semiHidden/>
    <w:unhideWhenUsed/>
    <w:rsid w:val="00C13842"/>
    <w:rPr>
      <w:color w:val="605E5C"/>
      <w:shd w:val="clear" w:color="auto" w:fill="E1DFDD"/>
    </w:rPr>
  </w:style>
  <w:style w:type="paragraph" w:styleId="Header">
    <w:name w:val="header"/>
    <w:basedOn w:val="Normal"/>
    <w:link w:val="HeaderChar"/>
    <w:uiPriority w:val="99"/>
    <w:unhideWhenUsed/>
    <w:rsid w:val="00300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BB6"/>
    <w:rPr>
      <w:lang w:val="en-ID"/>
    </w:rPr>
  </w:style>
  <w:style w:type="paragraph" w:styleId="Footer">
    <w:name w:val="footer"/>
    <w:basedOn w:val="Normal"/>
    <w:link w:val="FooterChar"/>
    <w:uiPriority w:val="99"/>
    <w:unhideWhenUsed/>
    <w:rsid w:val="00300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BB6"/>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0471/kbj9w526" TargetMode="External"/><Relationship Id="rId13" Type="http://schemas.openxmlformats.org/officeDocument/2006/relationships/hyperlink" Target="https://doi.org/10.70471/2gy1d226" TargetMode="External"/><Relationship Id="rId18" Type="http://schemas.openxmlformats.org/officeDocument/2006/relationships/hyperlink" Target="https://doi.org/10.54437/urwatulwutsqo.v14i3.259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46754/jssm.2020.07.014" TargetMode="External"/><Relationship Id="rId7" Type="http://schemas.openxmlformats.org/officeDocument/2006/relationships/image" Target="media/image1.png"/><Relationship Id="rId12" Type="http://schemas.openxmlformats.org/officeDocument/2006/relationships/hyperlink" Target="https://doi.org/10.1088/1742-6596/970/1/012022" TargetMode="External"/><Relationship Id="rId17" Type="http://schemas.openxmlformats.org/officeDocument/2006/relationships/hyperlink" Target="https://doi.org/10.1088/1755-1315/1313/1/01204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47772/IJRISS.2025.910000352" TargetMode="External"/><Relationship Id="rId20" Type="http://schemas.openxmlformats.org/officeDocument/2006/relationships/hyperlink" Target="https://doi.org/10.53787/iconev.v4i2.4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joitmc7010020"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390/su1207280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4254/jems.2023.8-2.4" TargetMode="External"/><Relationship Id="rId19" Type="http://schemas.openxmlformats.org/officeDocument/2006/relationships/hyperlink" Target="https://doi.org/10.3390/su15032342" TargetMode="External"/><Relationship Id="rId4" Type="http://schemas.openxmlformats.org/officeDocument/2006/relationships/webSettings" Target="webSettings.xml"/><Relationship Id="rId9" Type="http://schemas.openxmlformats.org/officeDocument/2006/relationships/hyperlink" Target="https://doi.org/10.70471/bwa8pg42" TargetMode="External"/><Relationship Id="rId14" Type="http://schemas.openxmlformats.org/officeDocument/2006/relationships/hyperlink" Target="https://doi.org/10.18280/ijsdp.200626" TargetMode="External"/><Relationship Id="rId22" Type="http://schemas.openxmlformats.org/officeDocument/2006/relationships/hyperlink" Target="https://doi.org/10.1016/j.heliyon.2024.e25484"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4719</Words>
  <Characters>26900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HR-IDN-TEAMB</dc:creator>
  <cp:keywords/>
  <dc:description/>
  <cp:lastModifiedBy>Editor-11</cp:lastModifiedBy>
  <cp:revision>7</cp:revision>
  <dcterms:created xsi:type="dcterms:W3CDTF">2025-12-14T15:44:00Z</dcterms:created>
  <dcterms:modified xsi:type="dcterms:W3CDTF">2025-12-15T05:59:00Z</dcterms:modified>
</cp:coreProperties>
</file>