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94D0A" w14:textId="033D551C" w:rsidR="00855294" w:rsidRDefault="00500463" w:rsidP="00A33434">
      <w:pPr>
        <w:spacing w:after="0" w:line="360" w:lineRule="auto"/>
        <w:jc w:val="center"/>
        <w:rPr>
          <w:rFonts w:ascii="Times New Roman" w:eastAsia="Calibri" w:hAnsi="Times New Roman" w:cs="Times New Roman"/>
          <w:b/>
          <w:sz w:val="24"/>
          <w:lang w:val="en-US"/>
        </w:rPr>
      </w:pPr>
      <w:bookmarkStart w:id="0" w:name="_GoBack"/>
      <w:bookmarkEnd w:id="0"/>
      <w:r w:rsidRPr="00500463">
        <w:rPr>
          <w:rFonts w:ascii="Times New Roman" w:eastAsia="Calibri" w:hAnsi="Times New Roman" w:cs="Times New Roman"/>
          <w:b/>
          <w:sz w:val="24"/>
          <w:lang w:val="en-US"/>
        </w:rPr>
        <w:t>Electricity Access and Multidimensional Well-Being in the DRC: The Moderating Effect of Residential Location</w:t>
      </w:r>
    </w:p>
    <w:p w14:paraId="43BB055B" w14:textId="094F5533" w:rsidR="00556B39" w:rsidRDefault="00556B39" w:rsidP="00E368C1">
      <w:pPr>
        <w:spacing w:after="0" w:line="360" w:lineRule="auto"/>
      </w:pPr>
    </w:p>
    <w:p w14:paraId="4F01107E" w14:textId="77777777" w:rsidR="00FE331B" w:rsidRDefault="00FE331B" w:rsidP="00FE331B">
      <w:pPr>
        <w:jc w:val="both"/>
      </w:pPr>
    </w:p>
    <w:p w14:paraId="76E2A3A9" w14:textId="77777777" w:rsidR="00845661" w:rsidRPr="00845661" w:rsidRDefault="00845661" w:rsidP="00845661">
      <w:pPr>
        <w:spacing w:line="360" w:lineRule="auto"/>
        <w:jc w:val="both"/>
        <w:rPr>
          <w:rFonts w:ascii="Times New Roman" w:hAnsi="Times New Roman" w:cs="Times New Roman"/>
          <w:b/>
          <w:sz w:val="24"/>
          <w:szCs w:val="24"/>
        </w:rPr>
      </w:pPr>
      <w:r w:rsidRPr="00845661">
        <w:rPr>
          <w:rFonts w:ascii="Times New Roman" w:hAnsi="Times New Roman" w:cs="Times New Roman"/>
          <w:b/>
          <w:sz w:val="24"/>
          <w:szCs w:val="24"/>
        </w:rPr>
        <w:t>Abstract</w:t>
      </w:r>
    </w:p>
    <w:p w14:paraId="6FAD8E31" w14:textId="7AC96CDC" w:rsidR="00845661" w:rsidRDefault="00845661" w:rsidP="00845661">
      <w:pPr>
        <w:spacing w:line="360" w:lineRule="auto"/>
        <w:jc w:val="both"/>
        <w:rPr>
          <w:rFonts w:ascii="Times New Roman" w:hAnsi="Times New Roman" w:cs="Times New Roman"/>
          <w:sz w:val="24"/>
          <w:szCs w:val="24"/>
        </w:rPr>
      </w:pPr>
      <w:r w:rsidRPr="00845661">
        <w:rPr>
          <w:rFonts w:ascii="Times New Roman" w:hAnsi="Times New Roman" w:cs="Times New Roman"/>
          <w:sz w:val="24"/>
          <w:szCs w:val="24"/>
        </w:rPr>
        <w:t>This study investigates the impact of household electricity access on combined well-being in the Democratic Republic of Congo using the 2018 Multiple Indicator Cluster Surveys (MICS), which include a multidimensional household well-being index</w:t>
      </w:r>
      <w:r w:rsidR="00500463">
        <w:rPr>
          <w:rFonts w:ascii="Times New Roman" w:hAnsi="Times New Roman" w:cs="Times New Roman"/>
          <w:sz w:val="24"/>
          <w:szCs w:val="24"/>
        </w:rPr>
        <w:t xml:space="preserve"> </w:t>
      </w:r>
      <w:r w:rsidR="00500463" w:rsidRPr="00500463">
        <w:rPr>
          <w:rFonts w:ascii="Times New Roman" w:hAnsi="Times New Roman" w:cs="Times New Roman"/>
          <w:sz w:val="24"/>
          <w:szCs w:val="24"/>
        </w:rPr>
        <w:t>capturing education, health, life satisfaction, and living-standard indicators</w:t>
      </w:r>
      <w:r w:rsidRPr="00845661">
        <w:rPr>
          <w:rFonts w:ascii="Times New Roman" w:hAnsi="Times New Roman" w:cs="Times New Roman"/>
          <w:sz w:val="24"/>
          <w:szCs w:val="24"/>
        </w:rPr>
        <w:t>. Using multiple linear regression (OLS) with robust standard errors, we estimate the average effect of electricity access while controlling for household heterogeneity, including demographic characteristics, education, income, and geographic location. The empirical evidence reveals that access to electricity consistently emerges as a decisive determinant of household well-being across all dimensions, with non-electrified households exhibiting significantly lower well-being, both in rural and urban areas. In rural settings, electricity access acts as a transformative force, offsetting structural disadvantages by improving access to information, domestic productivity, and children’s education, thereby reducing territorial inequalities. In urban areas, the absence of ele</w:t>
      </w:r>
      <w:r w:rsidR="005B4CDD">
        <w:rPr>
          <w:rFonts w:ascii="Times New Roman" w:hAnsi="Times New Roman" w:cs="Times New Roman"/>
          <w:sz w:val="24"/>
          <w:szCs w:val="24"/>
        </w:rPr>
        <w:t>ctricity is associated with an urban penalty,</w:t>
      </w:r>
      <w:r w:rsidRPr="00845661">
        <w:rPr>
          <w:rFonts w:ascii="Times New Roman" w:hAnsi="Times New Roman" w:cs="Times New Roman"/>
          <w:sz w:val="24"/>
          <w:szCs w:val="24"/>
        </w:rPr>
        <w:t xml:space="preserve"> reflecting high living costs and reliance on energy infrastructure. These findings align with previous empirical studies and Sen’s capability approach, highlighting that electrification is not merely an infrastructure intervention but a structural policy instrument for enhancing welfare, reducing inequalities, and fostering human development. The results underscore the need for integrated policies combining electrification with human capital development, complementary infrastructure, and productive energy use to promote inclusive and sustainable well-being in the DRC.</w:t>
      </w:r>
    </w:p>
    <w:p w14:paraId="7034DB1E" w14:textId="77777777" w:rsidR="00FE331B" w:rsidRPr="00BE302E" w:rsidRDefault="00845661" w:rsidP="00845661">
      <w:pPr>
        <w:spacing w:line="360" w:lineRule="auto"/>
        <w:jc w:val="both"/>
        <w:rPr>
          <w:rFonts w:ascii="Times New Roman" w:hAnsi="Times New Roman" w:cs="Times New Roman"/>
          <w:b/>
          <w:sz w:val="24"/>
          <w:szCs w:val="24"/>
        </w:rPr>
      </w:pPr>
      <w:r w:rsidRPr="00845661">
        <w:rPr>
          <w:rFonts w:ascii="Times New Roman" w:hAnsi="Times New Roman" w:cs="Times New Roman"/>
          <w:b/>
          <w:sz w:val="24"/>
          <w:szCs w:val="24"/>
        </w:rPr>
        <w:t>Keywords</w:t>
      </w:r>
      <w:r w:rsidR="00BE302E">
        <w:rPr>
          <w:rFonts w:ascii="Times New Roman" w:hAnsi="Times New Roman" w:cs="Times New Roman"/>
          <w:b/>
          <w:sz w:val="24"/>
          <w:szCs w:val="24"/>
        </w:rPr>
        <w:t xml:space="preserve"> : </w:t>
      </w:r>
      <w:r w:rsidRPr="00845661">
        <w:rPr>
          <w:rFonts w:ascii="Times New Roman" w:hAnsi="Times New Roman" w:cs="Times New Roman"/>
          <w:sz w:val="24"/>
          <w:szCs w:val="24"/>
        </w:rPr>
        <w:t>Electricity access, Household well-being, OLS regression, Rural-urban disparities, Democratic Republic of Congo</w:t>
      </w:r>
    </w:p>
    <w:p w14:paraId="36C70EB3" w14:textId="77777777" w:rsidR="00FE331B" w:rsidRDefault="00845661" w:rsidP="00845661">
      <w:pPr>
        <w:spacing w:line="360" w:lineRule="auto"/>
        <w:jc w:val="both"/>
        <w:rPr>
          <w:rFonts w:ascii="Times New Roman" w:hAnsi="Times New Roman" w:cs="Times New Roman"/>
          <w:sz w:val="24"/>
          <w:szCs w:val="24"/>
        </w:rPr>
      </w:pPr>
      <w:r w:rsidRPr="00845661">
        <w:rPr>
          <w:rFonts w:ascii="Times New Roman" w:hAnsi="Times New Roman" w:cs="Times New Roman"/>
          <w:b/>
          <w:sz w:val="24"/>
          <w:szCs w:val="24"/>
        </w:rPr>
        <w:t>JEIL Code</w:t>
      </w:r>
      <w:r>
        <w:rPr>
          <w:rFonts w:ascii="Times New Roman" w:hAnsi="Times New Roman" w:cs="Times New Roman"/>
          <w:sz w:val="24"/>
          <w:szCs w:val="24"/>
        </w:rPr>
        <w:t xml:space="preserve"> : </w:t>
      </w:r>
      <w:r w:rsidRPr="00845661">
        <w:rPr>
          <w:rFonts w:ascii="Times New Roman" w:hAnsi="Times New Roman" w:cs="Times New Roman"/>
          <w:sz w:val="24"/>
          <w:szCs w:val="24"/>
        </w:rPr>
        <w:t>C21, D63, I31, O12</w:t>
      </w:r>
    </w:p>
    <w:p w14:paraId="6D46CCED" w14:textId="77777777" w:rsidR="00FE331B" w:rsidRDefault="00FE331B" w:rsidP="00FE331B">
      <w:pPr>
        <w:jc w:val="both"/>
        <w:rPr>
          <w:rFonts w:ascii="Times New Roman" w:hAnsi="Times New Roman" w:cs="Times New Roman"/>
          <w:sz w:val="24"/>
          <w:szCs w:val="24"/>
        </w:rPr>
      </w:pPr>
    </w:p>
    <w:p w14:paraId="50308314" w14:textId="40F09F87" w:rsidR="00845661" w:rsidRDefault="00845661" w:rsidP="00845661">
      <w:pPr>
        <w:pStyle w:val="ListParagraph"/>
        <w:ind w:left="1065"/>
        <w:jc w:val="both"/>
        <w:rPr>
          <w:rFonts w:ascii="Times New Roman" w:hAnsi="Times New Roman" w:cs="Times New Roman"/>
          <w:b/>
          <w:sz w:val="24"/>
          <w:szCs w:val="24"/>
        </w:rPr>
      </w:pPr>
    </w:p>
    <w:p w14:paraId="6A24E54B" w14:textId="247D53A0" w:rsidR="00AB505A" w:rsidRDefault="00AB505A" w:rsidP="00845661">
      <w:pPr>
        <w:pStyle w:val="ListParagraph"/>
        <w:ind w:left="1065"/>
        <w:jc w:val="both"/>
        <w:rPr>
          <w:rFonts w:ascii="Times New Roman" w:hAnsi="Times New Roman" w:cs="Times New Roman"/>
          <w:b/>
          <w:sz w:val="24"/>
          <w:szCs w:val="24"/>
        </w:rPr>
      </w:pPr>
    </w:p>
    <w:p w14:paraId="76FDF1BF" w14:textId="07301750" w:rsidR="00AB505A" w:rsidRDefault="00AB505A" w:rsidP="00845661">
      <w:pPr>
        <w:pStyle w:val="ListParagraph"/>
        <w:ind w:left="1065"/>
        <w:jc w:val="both"/>
        <w:rPr>
          <w:rFonts w:ascii="Times New Roman" w:hAnsi="Times New Roman" w:cs="Times New Roman"/>
          <w:b/>
          <w:sz w:val="24"/>
          <w:szCs w:val="24"/>
        </w:rPr>
      </w:pPr>
    </w:p>
    <w:p w14:paraId="5AFB1354" w14:textId="6D21715A" w:rsidR="00AB505A" w:rsidRDefault="00AB505A" w:rsidP="00845661">
      <w:pPr>
        <w:pStyle w:val="ListParagraph"/>
        <w:ind w:left="1065"/>
        <w:jc w:val="both"/>
        <w:rPr>
          <w:rFonts w:ascii="Times New Roman" w:hAnsi="Times New Roman" w:cs="Times New Roman"/>
          <w:b/>
          <w:sz w:val="24"/>
          <w:szCs w:val="24"/>
        </w:rPr>
      </w:pPr>
    </w:p>
    <w:p w14:paraId="370682DB" w14:textId="77777777" w:rsidR="00AB505A" w:rsidRDefault="00AB505A" w:rsidP="00845661">
      <w:pPr>
        <w:pStyle w:val="ListParagraph"/>
        <w:ind w:left="1065"/>
        <w:jc w:val="both"/>
        <w:rPr>
          <w:rFonts w:ascii="Times New Roman" w:hAnsi="Times New Roman" w:cs="Times New Roman"/>
          <w:b/>
          <w:sz w:val="24"/>
          <w:szCs w:val="24"/>
        </w:rPr>
      </w:pPr>
    </w:p>
    <w:p w14:paraId="70216E27" w14:textId="77777777" w:rsidR="00305C86" w:rsidRPr="002E1B4C" w:rsidRDefault="00305C86" w:rsidP="00613E79">
      <w:pPr>
        <w:pStyle w:val="ListParagraph"/>
        <w:numPr>
          <w:ilvl w:val="0"/>
          <w:numId w:val="1"/>
        </w:numPr>
        <w:jc w:val="both"/>
        <w:rPr>
          <w:rFonts w:ascii="Times New Roman" w:hAnsi="Times New Roman" w:cs="Times New Roman"/>
          <w:b/>
          <w:sz w:val="24"/>
          <w:szCs w:val="24"/>
        </w:rPr>
      </w:pPr>
      <w:r w:rsidRPr="002E1B4C">
        <w:rPr>
          <w:rFonts w:ascii="Times New Roman" w:hAnsi="Times New Roman" w:cs="Times New Roman"/>
          <w:b/>
          <w:sz w:val="24"/>
          <w:szCs w:val="24"/>
        </w:rPr>
        <w:lastRenderedPageBreak/>
        <w:t>Introduction</w:t>
      </w:r>
    </w:p>
    <w:p w14:paraId="4D8BD0D8" w14:textId="77777777" w:rsidR="006223BB" w:rsidRPr="006223BB" w:rsidRDefault="006223BB" w:rsidP="006223BB">
      <w:pPr>
        <w:spacing w:line="360" w:lineRule="auto"/>
        <w:jc w:val="both"/>
        <w:rPr>
          <w:rFonts w:ascii="Times New Roman" w:hAnsi="Times New Roman" w:cs="Times New Roman"/>
          <w:sz w:val="24"/>
          <w:szCs w:val="24"/>
        </w:rPr>
      </w:pPr>
      <w:r w:rsidRPr="006223BB">
        <w:rPr>
          <w:rFonts w:ascii="Times New Roman" w:hAnsi="Times New Roman" w:cs="Times New Roman"/>
          <w:sz w:val="24"/>
          <w:szCs w:val="24"/>
        </w:rPr>
        <w:t>Access to electricity is a central pillar in the socio‑economic development of low and middle</w:t>
      </w:r>
      <w:r>
        <w:rPr>
          <w:rFonts w:ascii="Times New Roman" w:hAnsi="Times New Roman" w:cs="Times New Roman"/>
          <w:sz w:val="24"/>
          <w:szCs w:val="24"/>
        </w:rPr>
        <w:t xml:space="preserve"> </w:t>
      </w:r>
      <w:r w:rsidRPr="006223BB">
        <w:rPr>
          <w:rFonts w:ascii="Times New Roman" w:hAnsi="Times New Roman" w:cs="Times New Roman"/>
          <w:sz w:val="24"/>
          <w:szCs w:val="24"/>
        </w:rPr>
        <w:t>income countries, directly influencing household welfare and indirectly shaping economic growth, health, and education. According to the International Energy Agency (IEA, 2023), nearly 770 million people globally remain without reliable access to electricity, constraining their capacity to improve living conditions and fully engage in modern economic activities. In Sub‑Saharan Africa, persistent energy poverty aggravates development disparities, especially between urban and rural populations (World Bank, 2019; Kyriakarakos, Balafoutis, &amp; Bochtis, 2020).</w:t>
      </w:r>
      <w:r>
        <w:rPr>
          <w:rFonts w:ascii="Times New Roman" w:hAnsi="Times New Roman" w:cs="Times New Roman"/>
          <w:sz w:val="24"/>
          <w:szCs w:val="24"/>
        </w:rPr>
        <w:t xml:space="preserve"> </w:t>
      </w:r>
      <w:r w:rsidRPr="006223BB">
        <w:rPr>
          <w:rFonts w:ascii="Times New Roman" w:hAnsi="Times New Roman" w:cs="Times New Roman"/>
          <w:sz w:val="24"/>
          <w:szCs w:val="24"/>
        </w:rPr>
        <w:t>The Democratic Republic of the Congo (DRC) provides a striking example of this challenge: despite its enormous energy potential, a significant portion of its rural population remains un‑electrified, exacerbating developmental inequalities between rural and urban areas (World Bank, 2019; World Bank, 2023). This gap in access undermines not only basic quality of life but also critical dimensions such as educational attainment and health service delivery.</w:t>
      </w:r>
    </w:p>
    <w:p w14:paraId="07D7BFEB" w14:textId="4E615708" w:rsidR="006223BB" w:rsidRPr="006223BB" w:rsidRDefault="006223BB" w:rsidP="006223BB">
      <w:pPr>
        <w:spacing w:line="360" w:lineRule="auto"/>
        <w:jc w:val="both"/>
        <w:rPr>
          <w:rFonts w:ascii="Times New Roman" w:hAnsi="Times New Roman" w:cs="Times New Roman"/>
          <w:sz w:val="24"/>
          <w:szCs w:val="24"/>
        </w:rPr>
      </w:pPr>
      <w:r w:rsidRPr="006223BB">
        <w:rPr>
          <w:rFonts w:ascii="Times New Roman" w:hAnsi="Times New Roman" w:cs="Times New Roman"/>
          <w:sz w:val="24"/>
          <w:szCs w:val="24"/>
        </w:rPr>
        <w:t>Numerous empirical studies have documented the multifaceted impacts of electricity access on household well‑being. For instance, Alde</w:t>
      </w:r>
      <w:r w:rsidR="00E20535">
        <w:rPr>
          <w:rFonts w:ascii="Times New Roman" w:hAnsi="Times New Roman" w:cs="Times New Roman"/>
          <w:sz w:val="24"/>
          <w:szCs w:val="24"/>
        </w:rPr>
        <w:t>rman, Orazem, and Sedlacek (2001</w:t>
      </w:r>
      <w:r w:rsidRPr="006223BB">
        <w:rPr>
          <w:rFonts w:ascii="Times New Roman" w:hAnsi="Times New Roman" w:cs="Times New Roman"/>
          <w:sz w:val="24"/>
          <w:szCs w:val="24"/>
        </w:rPr>
        <w:t>) demonstrated that electrification leads to improvements in health outcomes and increases in educational attainment. Bazilian, et al. (2012) argued that access to electricity stimulates productivity and diversifies income sources by enabling new economic activities. In the Sub‑Saharan African context, electrification has also been shown to reduce regional inequalities: low infrastructure in rural areas poses a strong barrier to socio‑economic op</w:t>
      </w:r>
      <w:r>
        <w:rPr>
          <w:rFonts w:ascii="Times New Roman" w:hAnsi="Times New Roman" w:cs="Times New Roman"/>
          <w:sz w:val="24"/>
          <w:szCs w:val="24"/>
        </w:rPr>
        <w:t xml:space="preserve">portunities (World Bank, 2021). </w:t>
      </w:r>
      <w:r w:rsidRPr="006223BB">
        <w:rPr>
          <w:rFonts w:ascii="Times New Roman" w:hAnsi="Times New Roman" w:cs="Times New Roman"/>
          <w:sz w:val="24"/>
          <w:szCs w:val="24"/>
        </w:rPr>
        <w:t>Moreover, recent evidence suggests that electricity access can influence more than just eco</w:t>
      </w:r>
      <w:r w:rsidR="00E16A77">
        <w:rPr>
          <w:rFonts w:ascii="Times New Roman" w:hAnsi="Times New Roman" w:cs="Times New Roman"/>
          <w:sz w:val="24"/>
          <w:szCs w:val="24"/>
        </w:rPr>
        <w:t xml:space="preserve">nomic inputs. A study by </w:t>
      </w:r>
      <w:r w:rsidR="00E16A77" w:rsidRPr="00D6665E">
        <w:rPr>
          <w:rFonts w:ascii="Times New Roman" w:eastAsia="Times New Roman" w:hAnsi="Times New Roman" w:cs="Times New Roman"/>
          <w:sz w:val="24"/>
          <w:szCs w:val="24"/>
          <w:lang w:eastAsia="fr-FR"/>
        </w:rPr>
        <w:t>Becker</w:t>
      </w:r>
      <w:r w:rsidR="00E16A77">
        <w:rPr>
          <w:rFonts w:ascii="Times New Roman" w:eastAsia="Times New Roman" w:hAnsi="Times New Roman" w:cs="Times New Roman"/>
          <w:sz w:val="24"/>
          <w:szCs w:val="24"/>
          <w:lang w:eastAsia="fr-FR"/>
        </w:rPr>
        <w:t xml:space="preserve"> et al.,</w:t>
      </w:r>
      <w:r w:rsidR="00E16A77">
        <w:rPr>
          <w:rFonts w:ascii="Times New Roman" w:hAnsi="Times New Roman" w:cs="Times New Roman"/>
          <w:sz w:val="24"/>
          <w:szCs w:val="24"/>
        </w:rPr>
        <w:t xml:space="preserve"> (2013</w:t>
      </w:r>
      <w:r w:rsidRPr="006223BB">
        <w:rPr>
          <w:rFonts w:ascii="Times New Roman" w:hAnsi="Times New Roman" w:cs="Times New Roman"/>
          <w:sz w:val="24"/>
          <w:szCs w:val="24"/>
        </w:rPr>
        <w:t>) in Senegal used mobile phone data to show that rural electrification increases the attractiveness of rural areas by raising communication centrality and mobility into these locations. In another piece of research, Mak and colleagues (2024) investigated how electricity impacts social capital in rural communities, finding heterogeneous effects on trust and social engagement (Empirical Economics, 2024). Such findings underscore that electrification can affect social cohesion and non‑economic dimensions of well‑being.</w:t>
      </w:r>
    </w:p>
    <w:p w14:paraId="7AEA5EDA" w14:textId="77777777" w:rsidR="006223BB" w:rsidRPr="006223BB" w:rsidRDefault="006223BB" w:rsidP="006223BB">
      <w:pPr>
        <w:spacing w:line="360" w:lineRule="auto"/>
        <w:jc w:val="both"/>
        <w:rPr>
          <w:rFonts w:ascii="Times New Roman" w:hAnsi="Times New Roman" w:cs="Times New Roman"/>
          <w:sz w:val="24"/>
          <w:szCs w:val="24"/>
        </w:rPr>
      </w:pPr>
      <w:r w:rsidRPr="006223BB">
        <w:rPr>
          <w:rFonts w:ascii="Times New Roman" w:hAnsi="Times New Roman" w:cs="Times New Roman"/>
          <w:sz w:val="24"/>
          <w:szCs w:val="24"/>
        </w:rPr>
        <w:t>However, despite this growing body of literature, important gaps remain. Few studies explore how electricity access interacts with place of residence (urban vs. rural) to shape overall household well‑being</w:t>
      </w:r>
      <w:r>
        <w:rPr>
          <w:rFonts w:ascii="Times New Roman" w:hAnsi="Times New Roman" w:cs="Times New Roman"/>
          <w:sz w:val="24"/>
          <w:szCs w:val="24"/>
        </w:rPr>
        <w:t xml:space="preserve"> </w:t>
      </w:r>
      <w:r w:rsidRPr="006223BB">
        <w:rPr>
          <w:rFonts w:ascii="Times New Roman" w:hAnsi="Times New Roman" w:cs="Times New Roman"/>
          <w:sz w:val="24"/>
          <w:szCs w:val="24"/>
        </w:rPr>
        <w:t xml:space="preserve">in other words, how the combined economic, social, and psychological dimensions of quality of life differ depending on where people live. Traditional approaches often assume a homogeneous effect of electrification, overlooking crucial contextual </w:t>
      </w:r>
      <w:r w:rsidRPr="006223BB">
        <w:rPr>
          <w:rFonts w:ascii="Times New Roman" w:hAnsi="Times New Roman" w:cs="Times New Roman"/>
          <w:sz w:val="24"/>
          <w:szCs w:val="24"/>
        </w:rPr>
        <w:lastRenderedPageBreak/>
        <w:t>differences in infrastructure reliability, income opportunities, and institutional capac</w:t>
      </w:r>
      <w:r>
        <w:rPr>
          <w:rFonts w:ascii="Times New Roman" w:hAnsi="Times New Roman" w:cs="Times New Roman"/>
          <w:sz w:val="24"/>
          <w:szCs w:val="24"/>
        </w:rPr>
        <w:t xml:space="preserve">ity across geographic settings. </w:t>
      </w:r>
      <w:r w:rsidRPr="006223BB">
        <w:rPr>
          <w:rFonts w:ascii="Times New Roman" w:hAnsi="Times New Roman" w:cs="Times New Roman"/>
          <w:sz w:val="24"/>
          <w:szCs w:val="24"/>
        </w:rPr>
        <w:t>Understanding these interactions is essential for designing effective policies. Without accounting for the rural–urban divide, electrification strategies risk being inefficient or exacerbate inequalities. For example, rural systems may be more vulnerable to climate stress and institutional fragility, as shown in recent research on East African countries (Frontiers in Climate, 2025), which found that rural electricity infrastructure is more exposed to climate shocks than urban systems.</w:t>
      </w:r>
    </w:p>
    <w:p w14:paraId="0C45D226" w14:textId="77777777" w:rsidR="006223BB" w:rsidRPr="006223BB" w:rsidRDefault="006223BB" w:rsidP="006223BB">
      <w:pPr>
        <w:spacing w:line="360" w:lineRule="auto"/>
        <w:jc w:val="both"/>
        <w:rPr>
          <w:rFonts w:ascii="Times New Roman" w:hAnsi="Times New Roman" w:cs="Times New Roman"/>
          <w:sz w:val="24"/>
          <w:szCs w:val="24"/>
        </w:rPr>
      </w:pPr>
      <w:r w:rsidRPr="006223BB">
        <w:rPr>
          <w:rFonts w:ascii="Times New Roman" w:hAnsi="Times New Roman" w:cs="Times New Roman"/>
          <w:sz w:val="24"/>
          <w:szCs w:val="24"/>
        </w:rPr>
        <w:t>The present study aims to fill this gap by empirically examining the effect of electricity access on aggregate well‑being of Congolese households, with a particular focus on the interaction with their place of residence. More specifically, we analyze how non‑electrified households’ welfare outcomes differ depending on whether they are in rural or urban contexts. We leverage robust econometric models to control for socio‑economic and demographic confounders, thereby isolating the causal impact of electrifica</w:t>
      </w:r>
      <w:r>
        <w:rPr>
          <w:rFonts w:ascii="Times New Roman" w:hAnsi="Times New Roman" w:cs="Times New Roman"/>
          <w:sz w:val="24"/>
          <w:szCs w:val="24"/>
        </w:rPr>
        <w:t xml:space="preserve">tion. </w:t>
      </w:r>
      <w:r w:rsidRPr="006223BB">
        <w:rPr>
          <w:rFonts w:ascii="Times New Roman" w:hAnsi="Times New Roman" w:cs="Times New Roman"/>
          <w:sz w:val="24"/>
          <w:szCs w:val="24"/>
        </w:rPr>
        <w:t>Our results affirm that lack of electricity is significantly associated with lower well‑being, and, importantly, that this negative effect is stronger in rural areas. These findings have both theoretical and policy implications. On a theoretical level, they emphasize the need to integrate spatial context into models of energy access and human development. From a policy standpoint, they suggest that energy interventions should be geographically differentiated to maximize their impact on quality of life.</w:t>
      </w:r>
    </w:p>
    <w:p w14:paraId="6D9BC681" w14:textId="77777777" w:rsidR="006223BB" w:rsidRDefault="006223BB" w:rsidP="006223BB">
      <w:pPr>
        <w:spacing w:line="360" w:lineRule="auto"/>
        <w:jc w:val="both"/>
        <w:rPr>
          <w:rFonts w:ascii="Times New Roman" w:hAnsi="Times New Roman" w:cs="Times New Roman"/>
          <w:sz w:val="24"/>
          <w:szCs w:val="24"/>
        </w:rPr>
      </w:pPr>
      <w:r w:rsidRPr="006223BB">
        <w:rPr>
          <w:rFonts w:ascii="Times New Roman" w:hAnsi="Times New Roman" w:cs="Times New Roman"/>
          <w:sz w:val="24"/>
          <w:szCs w:val="24"/>
        </w:rPr>
        <w:t>By contributing to the literature on the energy‑poverty–well‑being nexus, this study offers key insights for decision‑makers and development institutions. It points to the importance of tailoring electrification strategies to the socio‑economic and geographic characteristics of households. Furthermore, our work opens avenues for future research into integrating psychological and social dimensions into well‑being assessments, thereby enriching our understanding of the drivers of human development in the DRC and similar settings.</w:t>
      </w:r>
    </w:p>
    <w:p w14:paraId="0C1B46BE" w14:textId="77777777" w:rsidR="006223BB" w:rsidRPr="00CA324A" w:rsidRDefault="00305C86" w:rsidP="00CA324A">
      <w:pPr>
        <w:pStyle w:val="ListParagraph"/>
        <w:numPr>
          <w:ilvl w:val="0"/>
          <w:numId w:val="1"/>
        </w:numPr>
        <w:spacing w:line="360" w:lineRule="auto"/>
        <w:jc w:val="both"/>
        <w:rPr>
          <w:rFonts w:ascii="Times New Roman" w:hAnsi="Times New Roman" w:cs="Times New Roman"/>
          <w:b/>
          <w:sz w:val="24"/>
          <w:szCs w:val="24"/>
        </w:rPr>
      </w:pPr>
      <w:r w:rsidRPr="00CA324A">
        <w:rPr>
          <w:rFonts w:ascii="Times New Roman" w:hAnsi="Times New Roman" w:cs="Times New Roman"/>
          <w:b/>
          <w:sz w:val="24"/>
          <w:szCs w:val="24"/>
        </w:rPr>
        <w:t>Literature Review</w:t>
      </w:r>
    </w:p>
    <w:p w14:paraId="0D758E84" w14:textId="77777777" w:rsidR="00305C86" w:rsidRPr="00CA324A" w:rsidRDefault="00CA324A" w:rsidP="00CA324A">
      <w:pPr>
        <w:pStyle w:val="ListParagraph"/>
        <w:numPr>
          <w:ilvl w:val="1"/>
          <w:numId w:val="1"/>
        </w:numPr>
        <w:spacing w:line="360" w:lineRule="auto"/>
        <w:jc w:val="both"/>
        <w:rPr>
          <w:rFonts w:ascii="Times New Roman" w:hAnsi="Times New Roman" w:cs="Times New Roman"/>
          <w:b/>
          <w:sz w:val="24"/>
          <w:szCs w:val="24"/>
        </w:rPr>
      </w:pPr>
      <w:r w:rsidRPr="00CA324A">
        <w:rPr>
          <w:rFonts w:ascii="Times New Roman" w:hAnsi="Times New Roman" w:cs="Times New Roman"/>
          <w:b/>
          <w:sz w:val="24"/>
          <w:szCs w:val="24"/>
        </w:rPr>
        <w:t>Theoretical Framework</w:t>
      </w:r>
    </w:p>
    <w:p w14:paraId="71E906DC" w14:textId="77777777" w:rsidR="00CA324A" w:rsidRPr="00CA324A" w:rsidRDefault="002E1B4C" w:rsidP="00CA324A">
      <w:pPr>
        <w:spacing w:line="360" w:lineRule="auto"/>
        <w:jc w:val="both"/>
        <w:rPr>
          <w:rFonts w:ascii="Times New Roman" w:hAnsi="Times New Roman" w:cs="Times New Roman"/>
          <w:sz w:val="24"/>
          <w:szCs w:val="24"/>
        </w:rPr>
      </w:pPr>
      <w:r w:rsidRPr="002E1B4C">
        <w:rPr>
          <w:rFonts w:ascii="Times New Roman" w:hAnsi="Times New Roman" w:cs="Times New Roman"/>
          <w:sz w:val="24"/>
          <w:szCs w:val="24"/>
        </w:rPr>
        <w:t xml:space="preserve">The theoretical foundation of this study draws upon several major analytical frameworks in development economics, all of which converge on the idea that access to electricity constitutes a central determinant of household well-being. The Energy Ladder Theory (Leach, 1992) posits that households gradually shift from traditional fuels to modern energy sources as their income increases, making electricity a structural indicator of energy transition and improved living </w:t>
      </w:r>
      <w:r w:rsidRPr="002E1B4C">
        <w:rPr>
          <w:rFonts w:ascii="Times New Roman" w:hAnsi="Times New Roman" w:cs="Times New Roman"/>
          <w:sz w:val="24"/>
          <w:szCs w:val="24"/>
        </w:rPr>
        <w:lastRenderedPageBreak/>
        <w:t>conditions. This dynamic aligns with Sen’s Capability Approach (1985), which conceptualizes development as the expansion of real freedoms enabling individuals to lead the lives they value. Electricity enhances these capabilities by improving access to information, study conditions, domestic health environments, and economic opportunities, thereby directly strengthening the non-monetary well-being of households. In parallel, the Human Capital Theory (Becker, 1964) asserts that investments in education, health, and living conditions raise individuals’ future productivity. Access to electricity facilitates the accumulation of human capital by improving learning environments, reducing the burden of domestic tasks, and promoting safer sanitary conditions. These mechanisms are further embedded within the principles of the Energy Modernization Theory (Sovacool, 2011), which views modern energy as a fundamental driver of socio-economic transformation by enhancing households’ productive participation and their integration into essential services. Finally, contemporary approaches to multidimensional well-being (Alkire &amp; Foster, 2011) emphasize that well-being extends beyond income alone, encompassing education, health, security, aut</w:t>
      </w:r>
      <w:r>
        <w:rPr>
          <w:rFonts w:ascii="Times New Roman" w:hAnsi="Times New Roman" w:cs="Times New Roman"/>
          <w:sz w:val="24"/>
          <w:szCs w:val="24"/>
        </w:rPr>
        <w:t>onomy, and material condition</w:t>
      </w:r>
      <w:r w:rsidRPr="002E1B4C">
        <w:rPr>
          <w:rFonts w:ascii="Times New Roman" w:hAnsi="Times New Roman" w:cs="Times New Roman"/>
          <w:sz w:val="24"/>
          <w:szCs w:val="24"/>
        </w:rPr>
        <w:t xml:space="preserve"> all dimensions significantly influenced by access to electricity. Taken together, these theoretical perspectives support the hypothesis of a robust and multidimensional relationship between electrification and the combined well-being of households in the Democratic Republic of Congo.</w:t>
      </w:r>
    </w:p>
    <w:p w14:paraId="13B92CDF" w14:textId="77777777" w:rsidR="00305C86" w:rsidRPr="00F35BA3" w:rsidRDefault="00305C86" w:rsidP="00794C56">
      <w:pPr>
        <w:pStyle w:val="ListParagraph"/>
        <w:numPr>
          <w:ilvl w:val="1"/>
          <w:numId w:val="1"/>
        </w:numPr>
        <w:spacing w:line="360" w:lineRule="auto"/>
        <w:jc w:val="both"/>
        <w:rPr>
          <w:rFonts w:ascii="Times New Roman" w:hAnsi="Times New Roman" w:cs="Times New Roman"/>
          <w:b/>
          <w:sz w:val="24"/>
          <w:szCs w:val="24"/>
        </w:rPr>
      </w:pPr>
      <w:r w:rsidRPr="00F35BA3">
        <w:rPr>
          <w:rFonts w:ascii="Times New Roman" w:hAnsi="Times New Roman" w:cs="Times New Roman"/>
          <w:b/>
          <w:sz w:val="24"/>
          <w:szCs w:val="24"/>
        </w:rPr>
        <w:t>Empirical Literature</w:t>
      </w:r>
    </w:p>
    <w:p w14:paraId="41FB1FBC" w14:textId="1493B9A7" w:rsidR="00794C56" w:rsidRDefault="00B01733" w:rsidP="00794C56">
      <w:pPr>
        <w:spacing w:line="360" w:lineRule="auto"/>
        <w:jc w:val="both"/>
        <w:rPr>
          <w:rFonts w:ascii="Times New Roman" w:hAnsi="Times New Roman" w:cs="Times New Roman"/>
          <w:sz w:val="24"/>
          <w:szCs w:val="24"/>
        </w:rPr>
      </w:pPr>
      <w:r w:rsidRPr="00B01733">
        <w:rPr>
          <w:rFonts w:ascii="Times New Roman" w:hAnsi="Times New Roman" w:cs="Times New Roman"/>
          <w:sz w:val="24"/>
          <w:szCs w:val="24"/>
        </w:rPr>
        <w:t>Access to electricity is now widely recognized as a major determinant of household well-being, and a substantial body of empirical literature conducted across diverse socio‑economic contexts highlights its multiple benefits (Li et al., 2024)</w:t>
      </w:r>
      <w:r w:rsidR="00794C56" w:rsidRPr="00794C56">
        <w:rPr>
          <w:rFonts w:ascii="Times New Roman" w:hAnsi="Times New Roman" w:cs="Times New Roman"/>
          <w:sz w:val="24"/>
          <w:szCs w:val="24"/>
        </w:rPr>
        <w:t>. Early rigorous analyses on the subject focused primarily on the direct effects of electrification on economic activity and employment. Dinkelman (2011), exploiting a natural experiment linked to grid expansion in South Africa, shows that access to electricity significantly increases non-agricultural employment, particularly among women, by reducing the drudgery of domestic work. From a broader pe</w:t>
      </w:r>
      <w:r w:rsidR="005642AE">
        <w:rPr>
          <w:rFonts w:ascii="Times New Roman" w:hAnsi="Times New Roman" w:cs="Times New Roman"/>
          <w:sz w:val="24"/>
          <w:szCs w:val="24"/>
        </w:rPr>
        <w:t>rspective, Khandker et al. (2013</w:t>
      </w:r>
      <w:r w:rsidR="00794C56" w:rsidRPr="00794C56">
        <w:rPr>
          <w:rFonts w:ascii="Times New Roman" w:hAnsi="Times New Roman" w:cs="Times New Roman"/>
          <w:sz w:val="24"/>
          <w:szCs w:val="24"/>
        </w:rPr>
        <w:t>), using panel data from Bangladesh, India, and Vietnam, demonstrate that electrification simultaneously improves household income, educational outcomes, and certain health indicators, thereby confirming the multidimensional role of modern energy in human development. Similarly, Lipscomb et al. (2013), based on evidence from Brazil, find that expanding electricity access is associated with notable gains in education, productive activity, and local development, reinforcing the idea that energy functions as a key catalyst of structural transformation.</w:t>
      </w:r>
    </w:p>
    <w:p w14:paraId="59FD3607" w14:textId="2E6032E2" w:rsidR="00794C56" w:rsidRPr="00794C56" w:rsidRDefault="00794C56" w:rsidP="00794C56">
      <w:pPr>
        <w:spacing w:line="360" w:lineRule="auto"/>
        <w:jc w:val="both"/>
        <w:rPr>
          <w:rFonts w:ascii="Times New Roman" w:hAnsi="Times New Roman" w:cs="Times New Roman"/>
          <w:sz w:val="24"/>
          <w:szCs w:val="24"/>
        </w:rPr>
      </w:pPr>
      <w:r w:rsidRPr="00794C56">
        <w:rPr>
          <w:rFonts w:ascii="Times New Roman" w:hAnsi="Times New Roman" w:cs="Times New Roman"/>
          <w:sz w:val="24"/>
          <w:szCs w:val="24"/>
        </w:rPr>
        <w:lastRenderedPageBreak/>
        <w:t>Studies focusing on Sub-Saharan Africa provide a complementary understanding of these mechanisms. Bernard (2012), in Ethiopia, observes that rural electrification increases educational investment, improves material living conditions, and strengthens prospects for human capital accumulatio</w:t>
      </w:r>
      <w:r w:rsidR="006D0515">
        <w:rPr>
          <w:rFonts w:ascii="Times New Roman" w:hAnsi="Times New Roman" w:cs="Times New Roman"/>
          <w:sz w:val="24"/>
          <w:szCs w:val="24"/>
        </w:rPr>
        <w:t>n. Grimm, Hartwig, and Lay (2013</w:t>
      </w:r>
      <w:r w:rsidRPr="00794C56">
        <w:rPr>
          <w:rFonts w:ascii="Times New Roman" w:hAnsi="Times New Roman" w:cs="Times New Roman"/>
          <w:sz w:val="24"/>
          <w:szCs w:val="24"/>
        </w:rPr>
        <w:t>), drawing on data from several African countries, further confirm that electricity increases productive time use, reduces dependence on traditional biomass, and</w:t>
      </w:r>
      <w:r>
        <w:rPr>
          <w:rFonts w:ascii="Times New Roman" w:hAnsi="Times New Roman" w:cs="Times New Roman"/>
          <w:sz w:val="24"/>
          <w:szCs w:val="24"/>
        </w:rPr>
        <w:t xml:space="preserve"> enhances access to information </w:t>
      </w:r>
      <w:r w:rsidRPr="00794C56">
        <w:rPr>
          <w:rFonts w:ascii="Times New Roman" w:hAnsi="Times New Roman" w:cs="Times New Roman"/>
          <w:sz w:val="24"/>
          <w:szCs w:val="24"/>
        </w:rPr>
        <w:t xml:space="preserve">factors that directly contribute to multidimensional well-being. Moreover, </w:t>
      </w:r>
      <w:r w:rsidR="00BF6468">
        <w:rPr>
          <w:rFonts w:ascii="Times New Roman" w:eastAsia="Times New Roman" w:hAnsi="Times New Roman" w:cs="Times New Roman"/>
          <w:sz w:val="24"/>
          <w:szCs w:val="24"/>
          <w:lang w:eastAsia="fr-FR"/>
        </w:rPr>
        <w:t>Dinkelman, T. (2011)</w:t>
      </w:r>
      <w:r w:rsidRPr="00794C56">
        <w:rPr>
          <w:rFonts w:ascii="Times New Roman" w:hAnsi="Times New Roman" w:cs="Times New Roman"/>
          <w:sz w:val="24"/>
          <w:szCs w:val="24"/>
        </w:rPr>
        <w:t xml:space="preserve"> show</w:t>
      </w:r>
      <w:r w:rsidR="00BF6468">
        <w:rPr>
          <w:rFonts w:ascii="Times New Roman" w:hAnsi="Times New Roman" w:cs="Times New Roman"/>
          <w:sz w:val="24"/>
          <w:szCs w:val="24"/>
        </w:rPr>
        <w:t>s</w:t>
      </w:r>
      <w:r w:rsidRPr="00794C56">
        <w:rPr>
          <w:rFonts w:ascii="Times New Roman" w:hAnsi="Times New Roman" w:cs="Times New Roman"/>
          <w:sz w:val="24"/>
          <w:szCs w:val="24"/>
        </w:rPr>
        <w:t xml:space="preserve"> that access to electricity fosters the emergence of micro-enterprises, strengthens integration into local markets, and improves the economic mobility of rural households.</w:t>
      </w:r>
    </w:p>
    <w:p w14:paraId="620E965D" w14:textId="77777777" w:rsidR="00794C56" w:rsidRPr="00794C56" w:rsidRDefault="00794C56" w:rsidP="00794C56">
      <w:pPr>
        <w:spacing w:line="360" w:lineRule="auto"/>
        <w:jc w:val="both"/>
        <w:rPr>
          <w:rFonts w:ascii="Times New Roman" w:hAnsi="Times New Roman" w:cs="Times New Roman"/>
          <w:sz w:val="24"/>
          <w:szCs w:val="24"/>
        </w:rPr>
      </w:pPr>
      <w:r w:rsidRPr="00794C56">
        <w:rPr>
          <w:rFonts w:ascii="Times New Roman" w:hAnsi="Times New Roman" w:cs="Times New Roman"/>
          <w:sz w:val="24"/>
          <w:szCs w:val="24"/>
        </w:rPr>
        <w:t>Although these contributions reveal a strong consensus on the role of electricity in enhancing well-being, their findings rely largely on analyses conducted in South Asia or in a handful of African countries with relatively better infrastructure. The specific case of the Dem</w:t>
      </w:r>
      <w:r>
        <w:rPr>
          <w:rFonts w:ascii="Times New Roman" w:hAnsi="Times New Roman" w:cs="Times New Roman"/>
          <w:sz w:val="24"/>
          <w:szCs w:val="24"/>
        </w:rPr>
        <w:t xml:space="preserve">ocratic Republic of Congo (DRC) </w:t>
      </w:r>
      <w:r w:rsidRPr="00794C56">
        <w:rPr>
          <w:rFonts w:ascii="Times New Roman" w:hAnsi="Times New Roman" w:cs="Times New Roman"/>
          <w:sz w:val="24"/>
          <w:szCs w:val="24"/>
        </w:rPr>
        <w:t>where the electrification rate remain</w:t>
      </w:r>
      <w:r w:rsidR="002F5D59">
        <w:rPr>
          <w:rFonts w:ascii="Times New Roman" w:hAnsi="Times New Roman" w:cs="Times New Roman"/>
          <w:sz w:val="24"/>
          <w:szCs w:val="24"/>
        </w:rPr>
        <w:t xml:space="preserve">s among the lowest in the world </w:t>
      </w:r>
      <w:r w:rsidRPr="00794C56">
        <w:rPr>
          <w:rFonts w:ascii="Times New Roman" w:hAnsi="Times New Roman" w:cs="Times New Roman"/>
          <w:sz w:val="24"/>
          <w:szCs w:val="24"/>
        </w:rPr>
        <w:t>has until recently been largely understudied. The few available analyses, including those informing the interpretation of the present study’s results, nonetheless reveal robust patterns: non-electrified households consistently exhibit lower levels of well-being, whether measured through access to information, domestic health conditions, educational performance, or material living standards. The coefficients associated with non-electrification, largely negative and statistically significant, suggest that energy deprivation constitutes a major obstacle to expanding the real freedoms and socio-economic opportunities of Congolese households.</w:t>
      </w:r>
    </w:p>
    <w:p w14:paraId="64AB563C" w14:textId="77777777" w:rsidR="00F35BA3" w:rsidRPr="00794C56" w:rsidRDefault="00794C56" w:rsidP="00794C56">
      <w:pPr>
        <w:spacing w:line="360" w:lineRule="auto"/>
        <w:jc w:val="both"/>
        <w:rPr>
          <w:rFonts w:ascii="Times New Roman" w:hAnsi="Times New Roman" w:cs="Times New Roman"/>
          <w:sz w:val="24"/>
          <w:szCs w:val="24"/>
        </w:rPr>
      </w:pPr>
      <w:r w:rsidRPr="00794C56">
        <w:rPr>
          <w:rFonts w:ascii="Times New Roman" w:hAnsi="Times New Roman" w:cs="Times New Roman"/>
          <w:sz w:val="24"/>
          <w:szCs w:val="24"/>
        </w:rPr>
        <w:t>Despite the abundance of international and African studies, three major gaps persist in the empirical literature applied to the Congolese context. First, very few works employ an explicitly multidim</w:t>
      </w:r>
      <w:r>
        <w:rPr>
          <w:rFonts w:ascii="Times New Roman" w:hAnsi="Times New Roman" w:cs="Times New Roman"/>
          <w:sz w:val="24"/>
          <w:szCs w:val="24"/>
        </w:rPr>
        <w:t xml:space="preserve">ensional approach to well-being </w:t>
      </w:r>
      <w:r w:rsidRPr="00794C56">
        <w:rPr>
          <w:rFonts w:ascii="Times New Roman" w:hAnsi="Times New Roman" w:cs="Times New Roman"/>
          <w:sz w:val="24"/>
          <w:szCs w:val="24"/>
        </w:rPr>
        <w:t>such as that propo</w:t>
      </w:r>
      <w:r>
        <w:rPr>
          <w:rFonts w:ascii="Times New Roman" w:hAnsi="Times New Roman" w:cs="Times New Roman"/>
          <w:sz w:val="24"/>
          <w:szCs w:val="24"/>
        </w:rPr>
        <w:t xml:space="preserve">sed by Alkire and Foster (2011) </w:t>
      </w:r>
      <w:r w:rsidRPr="00794C56">
        <w:rPr>
          <w:rFonts w:ascii="Times New Roman" w:hAnsi="Times New Roman" w:cs="Times New Roman"/>
          <w:sz w:val="24"/>
          <w:szCs w:val="24"/>
        </w:rPr>
        <w:t>to analyze the impact of electrification. Most studies focus on a single dimension (income, education, or health), overlooking the structural complexity of well-being. Second, existing analyses in the DRC remain fragmented, often limited to sector-specific studies and lacking robust econometric models capable of isolating the causal effect of electricity access. Third, no study simultaneously examines the three major dim</w:t>
      </w:r>
      <w:r>
        <w:rPr>
          <w:rFonts w:ascii="Times New Roman" w:hAnsi="Times New Roman" w:cs="Times New Roman"/>
          <w:sz w:val="24"/>
          <w:szCs w:val="24"/>
        </w:rPr>
        <w:t xml:space="preserve">ensions of household well-being </w:t>
      </w:r>
      <w:r w:rsidRPr="00794C56">
        <w:rPr>
          <w:rFonts w:ascii="Times New Roman" w:hAnsi="Times New Roman" w:cs="Times New Roman"/>
          <w:sz w:val="24"/>
          <w:szCs w:val="24"/>
        </w:rPr>
        <w:t>human capital, material condit</w:t>
      </w:r>
      <w:r>
        <w:rPr>
          <w:rFonts w:ascii="Times New Roman" w:hAnsi="Times New Roman" w:cs="Times New Roman"/>
          <w:sz w:val="24"/>
          <w:szCs w:val="24"/>
        </w:rPr>
        <w:t xml:space="preserve">ions, and access to information </w:t>
      </w:r>
      <w:r w:rsidRPr="00794C56">
        <w:rPr>
          <w:rFonts w:ascii="Times New Roman" w:hAnsi="Times New Roman" w:cs="Times New Roman"/>
          <w:sz w:val="24"/>
          <w:szCs w:val="24"/>
        </w:rPr>
        <w:t>despite the fact that these dimensions are deeply interconnected in a context of very low energy access. This scientific void fully justifies the present study, which offers a rigorous and multidimensional assessment of the effects of access to electricity on the combined well-being of households in the DRC, thereby contributing to filling one of the most persistent gaps in the literature on energy and development.</w:t>
      </w:r>
    </w:p>
    <w:p w14:paraId="1C181D95" w14:textId="77777777" w:rsidR="00794C56" w:rsidRPr="005B17D6" w:rsidRDefault="00305C86" w:rsidP="005B17D6">
      <w:pPr>
        <w:pStyle w:val="ListParagraph"/>
        <w:numPr>
          <w:ilvl w:val="0"/>
          <w:numId w:val="1"/>
        </w:numPr>
        <w:spacing w:line="360" w:lineRule="auto"/>
        <w:jc w:val="both"/>
        <w:rPr>
          <w:rFonts w:ascii="Times New Roman" w:hAnsi="Times New Roman" w:cs="Times New Roman"/>
          <w:b/>
          <w:sz w:val="24"/>
          <w:szCs w:val="24"/>
        </w:rPr>
      </w:pPr>
      <w:r w:rsidRPr="00794C56">
        <w:rPr>
          <w:rFonts w:ascii="Times New Roman" w:hAnsi="Times New Roman" w:cs="Times New Roman"/>
          <w:b/>
          <w:sz w:val="24"/>
          <w:szCs w:val="24"/>
        </w:rPr>
        <w:lastRenderedPageBreak/>
        <w:t>Methodology</w:t>
      </w:r>
    </w:p>
    <w:p w14:paraId="6433922D" w14:textId="77777777" w:rsidR="00305C86" w:rsidRPr="005B17D6" w:rsidRDefault="00305C86" w:rsidP="005B17D6">
      <w:pPr>
        <w:pStyle w:val="ListParagraph"/>
        <w:numPr>
          <w:ilvl w:val="1"/>
          <w:numId w:val="1"/>
        </w:numPr>
        <w:spacing w:line="360" w:lineRule="auto"/>
        <w:jc w:val="both"/>
        <w:rPr>
          <w:rFonts w:ascii="Times New Roman" w:hAnsi="Times New Roman" w:cs="Times New Roman"/>
          <w:b/>
          <w:sz w:val="24"/>
          <w:szCs w:val="24"/>
        </w:rPr>
      </w:pPr>
      <w:r w:rsidRPr="005B17D6">
        <w:rPr>
          <w:rFonts w:ascii="Times New Roman" w:hAnsi="Times New Roman" w:cs="Times New Roman"/>
          <w:b/>
          <w:sz w:val="24"/>
          <w:szCs w:val="24"/>
        </w:rPr>
        <w:t>Data and source</w:t>
      </w:r>
    </w:p>
    <w:p w14:paraId="297BB944" w14:textId="77777777" w:rsidR="005B17D6" w:rsidRPr="005B17D6" w:rsidRDefault="005B17D6" w:rsidP="005B17D6">
      <w:pPr>
        <w:spacing w:line="360" w:lineRule="auto"/>
        <w:jc w:val="both"/>
        <w:rPr>
          <w:rFonts w:ascii="Times New Roman" w:hAnsi="Times New Roman" w:cs="Times New Roman"/>
          <w:sz w:val="24"/>
          <w:szCs w:val="24"/>
        </w:rPr>
      </w:pPr>
      <w:r w:rsidRPr="005B17D6">
        <w:rPr>
          <w:rFonts w:ascii="Times New Roman" w:hAnsi="Times New Roman" w:cs="Times New Roman"/>
          <w:sz w:val="24"/>
          <w:szCs w:val="24"/>
        </w:rPr>
        <w:t>The data used in this study come from the Multiple Indicator Cluster Surveys (MICS) conducted in the Democratic Republic of Congo in 2018. The MICS are nationally representative surveys designed by UNICEF, providing detailed information on household living conditions, health, education, access to basic services, as well as energy use and domestic infrastructure. Utilizing this dataset allows for a reliable and comprehensive analysis of the relationship between electricity access and combined household well-being at the national level, ensuring representativeness across both urban and rural areas. The richness of the available indicators enables the construction of multidimensional well-being measures and the identification of heterogeneous effects of electrification across socio-economic and geographic household characteristics.</w:t>
      </w:r>
    </w:p>
    <w:p w14:paraId="0A7F3548" w14:textId="77777777" w:rsidR="00305C86" w:rsidRPr="00CA324A" w:rsidRDefault="00305C86" w:rsidP="00305C86">
      <w:pPr>
        <w:jc w:val="both"/>
        <w:rPr>
          <w:rFonts w:ascii="Times New Roman" w:hAnsi="Times New Roman" w:cs="Times New Roman"/>
          <w:b/>
          <w:sz w:val="24"/>
          <w:szCs w:val="24"/>
        </w:rPr>
      </w:pPr>
      <w:r w:rsidRPr="00CA324A">
        <w:rPr>
          <w:rFonts w:ascii="Times New Roman" w:hAnsi="Times New Roman" w:cs="Times New Roman"/>
          <w:b/>
          <w:sz w:val="24"/>
          <w:szCs w:val="24"/>
        </w:rPr>
        <w:t>3.2.</w:t>
      </w:r>
      <w:r w:rsidRPr="00CA324A">
        <w:rPr>
          <w:rFonts w:ascii="Times New Roman" w:hAnsi="Times New Roman" w:cs="Times New Roman"/>
          <w:b/>
          <w:sz w:val="24"/>
          <w:szCs w:val="24"/>
        </w:rPr>
        <w:tab/>
        <w:t xml:space="preserve">Definition of Variables </w:t>
      </w:r>
    </w:p>
    <w:p w14:paraId="4D2BBAE3" w14:textId="77777777" w:rsidR="00305C86" w:rsidRDefault="00305C86" w:rsidP="00305C86">
      <w:pPr>
        <w:jc w:val="both"/>
        <w:rPr>
          <w:rFonts w:ascii="Times New Roman" w:hAnsi="Times New Roman" w:cs="Times New Roman"/>
          <w:b/>
          <w:sz w:val="24"/>
          <w:szCs w:val="24"/>
        </w:rPr>
      </w:pPr>
      <w:r w:rsidRPr="00CA324A">
        <w:rPr>
          <w:rFonts w:ascii="Times New Roman" w:hAnsi="Times New Roman" w:cs="Times New Roman"/>
          <w:b/>
          <w:sz w:val="24"/>
          <w:szCs w:val="24"/>
        </w:rPr>
        <w:t>3.2.1.</w:t>
      </w:r>
      <w:r w:rsidRPr="00CA324A">
        <w:rPr>
          <w:rFonts w:ascii="Times New Roman" w:hAnsi="Times New Roman" w:cs="Times New Roman"/>
          <w:b/>
          <w:sz w:val="24"/>
          <w:szCs w:val="24"/>
        </w:rPr>
        <w:tab/>
        <w:t>Dependent variable</w:t>
      </w:r>
    </w:p>
    <w:p w14:paraId="21AD64FE" w14:textId="77777777" w:rsidR="00D326E4" w:rsidRPr="003E3B67" w:rsidRDefault="008A71EF" w:rsidP="003E3B67">
      <w:pPr>
        <w:spacing w:line="360" w:lineRule="auto"/>
        <w:jc w:val="both"/>
        <w:rPr>
          <w:rFonts w:ascii="Times New Roman" w:hAnsi="Times New Roman" w:cs="Times New Roman"/>
          <w:sz w:val="24"/>
          <w:szCs w:val="24"/>
        </w:rPr>
      </w:pPr>
      <w:r>
        <w:rPr>
          <w:rFonts w:ascii="Times New Roman" w:hAnsi="Times New Roman" w:cs="Times New Roman"/>
          <w:sz w:val="24"/>
          <w:szCs w:val="24"/>
        </w:rPr>
        <w:t>The dependent variable, « </w:t>
      </w:r>
      <w:r w:rsidR="003E3B67" w:rsidRPr="003E3B67">
        <w:rPr>
          <w:rFonts w:ascii="Times New Roman" w:hAnsi="Times New Roman" w:cs="Times New Roman"/>
          <w:sz w:val="24"/>
          <w:szCs w:val="24"/>
        </w:rPr>
        <w:t>combi</w:t>
      </w:r>
      <w:r>
        <w:rPr>
          <w:rFonts w:ascii="Times New Roman" w:hAnsi="Times New Roman" w:cs="Times New Roman"/>
          <w:sz w:val="24"/>
          <w:szCs w:val="24"/>
        </w:rPr>
        <w:t>ned household well</w:t>
      </w:r>
      <w:r>
        <w:rPr>
          <w:rFonts w:ascii="Times New Roman" w:hAnsi="Times New Roman" w:cs="Times New Roman"/>
          <w:sz w:val="24"/>
          <w:szCs w:val="24"/>
        </w:rPr>
        <w:noBreakHyphen/>
        <w:t>being »</w:t>
      </w:r>
      <w:r w:rsidR="003E3B67" w:rsidRPr="003E3B67">
        <w:rPr>
          <w:rFonts w:ascii="Times New Roman" w:hAnsi="Times New Roman" w:cs="Times New Roman"/>
          <w:sz w:val="24"/>
          <w:szCs w:val="24"/>
        </w:rPr>
        <w:t xml:space="preserve"> in the Democratic Republic of the Congo, as constructed from the 2018 MICS data, corresponds to a composite index measuring the households’ level of wealth and living conditions. This index combines several dimensions of economic well</w:t>
      </w:r>
      <w:r w:rsidR="003E3B67" w:rsidRPr="003E3B67">
        <w:rPr>
          <w:rFonts w:ascii="Times New Roman" w:hAnsi="Times New Roman" w:cs="Times New Roman"/>
          <w:sz w:val="24"/>
          <w:szCs w:val="24"/>
        </w:rPr>
        <w:noBreakHyphen/>
        <w:t>being, including ownership of durable assets such as appliances and means of transport, housing characteristics such as materials of the floor, walls, and roof, and access to basic services such as clean water and sanitation. The resulting score is then classified into quintiles, ranging from the poorest to the richest households, providing a stable and robust measure of material well</w:t>
      </w:r>
      <w:r w:rsidR="003E3B67" w:rsidRPr="003E3B67">
        <w:rPr>
          <w:rFonts w:ascii="Times New Roman" w:hAnsi="Times New Roman" w:cs="Times New Roman"/>
          <w:sz w:val="24"/>
          <w:szCs w:val="24"/>
        </w:rPr>
        <w:noBreakHyphen/>
        <w:t>being that is independent of fluctuations in income or expenditure. This indicator allows one to capture the overall wealth and living conditions of households and serves as a reliable basis for analyzing inequalities and the factors influencing well</w:t>
      </w:r>
      <w:r w:rsidR="003E3B67" w:rsidRPr="003E3B67">
        <w:rPr>
          <w:rFonts w:ascii="Times New Roman" w:hAnsi="Times New Roman" w:cs="Times New Roman"/>
          <w:sz w:val="24"/>
          <w:szCs w:val="24"/>
        </w:rPr>
        <w:noBreakHyphen/>
        <w:t>being in the Congolese context (Tumwebaze &amp; Kikafunda, 2022).</w:t>
      </w:r>
    </w:p>
    <w:p w14:paraId="1408258A" w14:textId="77777777" w:rsidR="00305C86" w:rsidRDefault="00305C86" w:rsidP="00305C86">
      <w:pPr>
        <w:jc w:val="both"/>
        <w:rPr>
          <w:rFonts w:ascii="Times New Roman" w:hAnsi="Times New Roman" w:cs="Times New Roman"/>
          <w:b/>
          <w:sz w:val="24"/>
          <w:szCs w:val="24"/>
        </w:rPr>
      </w:pPr>
      <w:r w:rsidRPr="00CA324A">
        <w:rPr>
          <w:rFonts w:ascii="Times New Roman" w:hAnsi="Times New Roman" w:cs="Times New Roman"/>
          <w:b/>
          <w:sz w:val="24"/>
          <w:szCs w:val="24"/>
        </w:rPr>
        <w:t>3.2.2.</w:t>
      </w:r>
      <w:r w:rsidRPr="00CA324A">
        <w:rPr>
          <w:rFonts w:ascii="Times New Roman" w:hAnsi="Times New Roman" w:cs="Times New Roman"/>
          <w:b/>
          <w:sz w:val="24"/>
          <w:szCs w:val="24"/>
        </w:rPr>
        <w:tab/>
        <w:t>Independent variable</w:t>
      </w:r>
    </w:p>
    <w:p w14:paraId="1794DAA1" w14:textId="4CECF0EA" w:rsidR="00FE733E" w:rsidRPr="00572186" w:rsidRDefault="00572186" w:rsidP="00572186">
      <w:pPr>
        <w:spacing w:line="360" w:lineRule="auto"/>
        <w:jc w:val="both"/>
        <w:rPr>
          <w:rFonts w:ascii="Times New Roman" w:hAnsi="Times New Roman" w:cs="Times New Roman"/>
          <w:sz w:val="24"/>
          <w:szCs w:val="24"/>
        </w:rPr>
      </w:pPr>
      <w:r w:rsidRPr="00572186">
        <w:rPr>
          <w:rFonts w:ascii="Times New Roman" w:hAnsi="Times New Roman" w:cs="Times New Roman"/>
          <w:sz w:val="24"/>
          <w:szCs w:val="24"/>
        </w:rPr>
        <w:t>The independent variable examined in this study is household access to electricity in the Democratic Republic of the Congo (DRC), measured using data from the MICS‑Palu 2017–2018 survey (MICS 2018). According to the definition adopted in the MICS report, a household is considered to have access to electricity if at least one of its members benefits from this utility. For the purposes of analysis, this variable was coded as a bina</w:t>
      </w:r>
      <w:r>
        <w:rPr>
          <w:rFonts w:ascii="Times New Roman" w:hAnsi="Times New Roman" w:cs="Times New Roman"/>
          <w:sz w:val="24"/>
          <w:szCs w:val="24"/>
        </w:rPr>
        <w:t>ry indicator, taking the value « 1 »</w:t>
      </w:r>
      <w:r w:rsidRPr="00572186">
        <w:rPr>
          <w:rFonts w:ascii="Times New Roman" w:hAnsi="Times New Roman" w:cs="Times New Roman"/>
          <w:sz w:val="24"/>
          <w:szCs w:val="24"/>
        </w:rPr>
        <w:t xml:space="preserve"> when the household </w:t>
      </w:r>
      <w:r>
        <w:rPr>
          <w:rFonts w:ascii="Times New Roman" w:hAnsi="Times New Roman" w:cs="Times New Roman"/>
          <w:sz w:val="24"/>
          <w:szCs w:val="24"/>
        </w:rPr>
        <w:t>has electricity (yes</w:t>
      </w:r>
      <w:r w:rsidRPr="00572186">
        <w:rPr>
          <w:rFonts w:ascii="Times New Roman" w:hAnsi="Times New Roman" w:cs="Times New Roman"/>
          <w:sz w:val="24"/>
          <w:szCs w:val="24"/>
        </w:rPr>
        <w:t xml:space="preserve">) and </w:t>
      </w:r>
      <w:r>
        <w:rPr>
          <w:rFonts w:ascii="Times New Roman" w:hAnsi="Times New Roman" w:cs="Times New Roman"/>
          <w:sz w:val="24"/>
          <w:szCs w:val="24"/>
        </w:rPr>
        <w:t>« 2 » when it does not (no</w:t>
      </w:r>
      <w:r w:rsidRPr="00572186">
        <w:rPr>
          <w:rFonts w:ascii="Times New Roman" w:hAnsi="Times New Roman" w:cs="Times New Roman"/>
          <w:sz w:val="24"/>
          <w:szCs w:val="24"/>
        </w:rPr>
        <w:t xml:space="preserve">). This coding </w:t>
      </w:r>
      <w:r w:rsidRPr="00572186">
        <w:rPr>
          <w:rFonts w:ascii="Times New Roman" w:hAnsi="Times New Roman" w:cs="Times New Roman"/>
          <w:sz w:val="24"/>
          <w:szCs w:val="24"/>
        </w:rPr>
        <w:lastRenderedPageBreak/>
        <w:t xml:space="preserve">allows for the examination of the influence of electricity access on various household well-being indicators, in line with practices commonly used in analyses based on MICS surveys. According to the MICS 2018 report, approximately 29.6% of households in the DRC have access to electricity, highlighting the level of inequality in access to this </w:t>
      </w:r>
      <w:r w:rsidR="00013C77">
        <w:rPr>
          <w:rFonts w:ascii="Times New Roman" w:hAnsi="Times New Roman" w:cs="Times New Roman"/>
          <w:sz w:val="24"/>
          <w:szCs w:val="24"/>
        </w:rPr>
        <w:t>essential resource (UNICEF, 2019</w:t>
      </w:r>
      <w:r w:rsidRPr="00572186">
        <w:rPr>
          <w:rFonts w:ascii="Times New Roman" w:hAnsi="Times New Roman" w:cs="Times New Roman"/>
          <w:sz w:val="24"/>
          <w:szCs w:val="24"/>
        </w:rPr>
        <w:t>)</w:t>
      </w:r>
    </w:p>
    <w:p w14:paraId="44940E82" w14:textId="77777777" w:rsidR="00305C86" w:rsidRDefault="00305C86" w:rsidP="00305C86">
      <w:pPr>
        <w:jc w:val="both"/>
        <w:rPr>
          <w:rFonts w:ascii="Times New Roman" w:hAnsi="Times New Roman" w:cs="Times New Roman"/>
          <w:b/>
          <w:sz w:val="24"/>
          <w:szCs w:val="24"/>
        </w:rPr>
      </w:pPr>
      <w:r w:rsidRPr="00CA324A">
        <w:rPr>
          <w:rFonts w:ascii="Times New Roman" w:hAnsi="Times New Roman" w:cs="Times New Roman"/>
          <w:b/>
          <w:sz w:val="24"/>
          <w:szCs w:val="24"/>
        </w:rPr>
        <w:t>3.2.3.</w:t>
      </w:r>
      <w:r w:rsidRPr="00CA324A">
        <w:rPr>
          <w:rFonts w:ascii="Times New Roman" w:hAnsi="Times New Roman" w:cs="Times New Roman"/>
          <w:b/>
          <w:sz w:val="24"/>
          <w:szCs w:val="24"/>
        </w:rPr>
        <w:tab/>
        <w:t>Control Variables</w:t>
      </w:r>
    </w:p>
    <w:p w14:paraId="7EFD57A8" w14:textId="518B1EF2" w:rsidR="00572186" w:rsidRPr="00330C06" w:rsidRDefault="00652A31" w:rsidP="00330C06">
      <w:pPr>
        <w:spacing w:line="360" w:lineRule="auto"/>
        <w:jc w:val="both"/>
        <w:rPr>
          <w:rFonts w:ascii="Times New Roman" w:hAnsi="Times New Roman" w:cs="Times New Roman"/>
          <w:sz w:val="24"/>
          <w:szCs w:val="24"/>
        </w:rPr>
      </w:pPr>
      <w:r w:rsidRPr="00652A31">
        <w:rPr>
          <w:rFonts w:ascii="Times New Roman" w:hAnsi="Times New Roman" w:cs="Times New Roman"/>
          <w:sz w:val="24"/>
          <w:szCs w:val="24"/>
        </w:rPr>
        <w:t>We include as control variables t</w:t>
      </w:r>
      <w:r>
        <w:rPr>
          <w:rFonts w:ascii="Times New Roman" w:hAnsi="Times New Roman" w:cs="Times New Roman"/>
          <w:sz w:val="24"/>
          <w:szCs w:val="24"/>
        </w:rPr>
        <w:t xml:space="preserve">he gender of the household head </w:t>
      </w:r>
      <w:r w:rsidRPr="00652A31">
        <w:rPr>
          <w:rFonts w:ascii="Times New Roman" w:hAnsi="Times New Roman" w:cs="Times New Roman"/>
          <w:sz w:val="24"/>
          <w:szCs w:val="24"/>
        </w:rPr>
        <w:t>(Gender_Household_Head), the age of the household head (Age_Household_Head), the square of their age (Age_Household_Head²), the education level of the household head (Education_Household_Head), and the place of residence of the household (Place_Residence), because empirical literature on the determinants of modern energy and electricity access shows that these socio-demographic characteristics significantly influence energy-related decisions and household well-being. Studies in Africa have demonstrated that female-headed households exhibit different profiles in the adoption of modern energy sources, notably due to gender-related dynamics affecting health and d</w:t>
      </w:r>
      <w:r w:rsidR="005615BE">
        <w:rPr>
          <w:rFonts w:ascii="Times New Roman" w:hAnsi="Times New Roman" w:cs="Times New Roman"/>
          <w:sz w:val="24"/>
          <w:szCs w:val="24"/>
        </w:rPr>
        <w:t>omestic priorities (Bakehe, 2022</w:t>
      </w:r>
      <w:r w:rsidRPr="00652A31">
        <w:rPr>
          <w:rFonts w:ascii="Times New Roman" w:hAnsi="Times New Roman" w:cs="Times New Roman"/>
          <w:sz w:val="24"/>
          <w:szCs w:val="24"/>
        </w:rPr>
        <w:t xml:space="preserve">). The education level of the household head is a key </w:t>
      </w:r>
      <w:proofErr w:type="gramStart"/>
      <w:r w:rsidRPr="00652A31">
        <w:rPr>
          <w:rFonts w:ascii="Times New Roman" w:hAnsi="Times New Roman" w:cs="Times New Roman"/>
          <w:sz w:val="24"/>
          <w:szCs w:val="24"/>
        </w:rPr>
        <w:t>factor:</w:t>
      </w:r>
      <w:proofErr w:type="gramEnd"/>
      <w:r w:rsidRPr="00652A31">
        <w:rPr>
          <w:rFonts w:ascii="Times New Roman" w:hAnsi="Times New Roman" w:cs="Times New Roman"/>
          <w:sz w:val="24"/>
          <w:szCs w:val="24"/>
        </w:rPr>
        <w:t xml:space="preserve"> families whose head has a higher level of schooling are more likely to adopt modern energy, as education enhances not only income-generating capacity but also awareness of health and energy efficiency benefits (Démurger &amp; Fournier, 2011; Gebreegziabher et al., 2012). Regarding age, several studies indicate a non-linear effect, where older age may be associated with more conservative energy use or different consumption preferences across the life cycle, justifying the inclusion of both age and its square (for example, in electricity demand models) (Bakiri &amp; Mbembati, 2023). Finally, place of residence (urban vs. rural) plays a fundamental role, as disparities in infrastructure, network density, and access costs vary greatly depending on location, influencing the likelihood of electricity access (Tete, Soro, Coulibaly, &amp; Jones, 2024; Koomson &amp; Danquah, 2022). By controlling for these variables, our model aims to isolate the effect of electricity access on well-being indicators, minimizing biases related to the structural heterogeneity of households.</w:t>
      </w:r>
      <w:r w:rsidR="009F2FCC">
        <w:rPr>
          <w:rFonts w:ascii="Times New Roman" w:hAnsi="Times New Roman" w:cs="Times New Roman"/>
          <w:sz w:val="24"/>
          <w:szCs w:val="24"/>
        </w:rPr>
        <w:t xml:space="preserve"> </w:t>
      </w:r>
    </w:p>
    <w:p w14:paraId="5818BE58" w14:textId="77777777" w:rsidR="00305C86" w:rsidRPr="00CA324A" w:rsidRDefault="00305C86" w:rsidP="00305C86">
      <w:pPr>
        <w:jc w:val="both"/>
        <w:rPr>
          <w:rFonts w:ascii="Times New Roman" w:hAnsi="Times New Roman" w:cs="Times New Roman"/>
          <w:b/>
          <w:sz w:val="24"/>
          <w:szCs w:val="24"/>
        </w:rPr>
      </w:pPr>
      <w:r w:rsidRPr="00CA324A">
        <w:rPr>
          <w:rFonts w:ascii="Times New Roman" w:hAnsi="Times New Roman" w:cs="Times New Roman"/>
          <w:b/>
          <w:sz w:val="24"/>
          <w:szCs w:val="24"/>
        </w:rPr>
        <w:t>3.3.</w:t>
      </w:r>
      <w:r w:rsidRPr="00CA324A">
        <w:rPr>
          <w:rFonts w:ascii="Times New Roman" w:hAnsi="Times New Roman" w:cs="Times New Roman"/>
          <w:b/>
          <w:sz w:val="24"/>
          <w:szCs w:val="24"/>
        </w:rPr>
        <w:tab/>
        <w:t>Model and estimation method</w:t>
      </w:r>
    </w:p>
    <w:p w14:paraId="484B089D" w14:textId="77777777" w:rsidR="0060342C" w:rsidRDefault="0060342C" w:rsidP="0060342C">
      <w:pPr>
        <w:spacing w:line="360" w:lineRule="auto"/>
        <w:jc w:val="both"/>
        <w:rPr>
          <w:rFonts w:ascii="Times New Roman" w:hAnsi="Times New Roman" w:cs="Times New Roman"/>
          <w:sz w:val="24"/>
          <w:szCs w:val="24"/>
        </w:rPr>
      </w:pPr>
      <w:r w:rsidRPr="0060342C">
        <w:rPr>
          <w:rFonts w:ascii="Times New Roman" w:hAnsi="Times New Roman" w:cs="Times New Roman"/>
          <w:sz w:val="24"/>
          <w:szCs w:val="24"/>
        </w:rPr>
        <w:t>Referring to the work of Démurger and Fournier (2011), who highlighted the importance of household socio-demographic characteristics in the adoption and use of electricity, we estimate the effect of electricity access on household well-being in the Democratic Republic of the Congo using the following model</w:t>
      </w:r>
      <w:r>
        <w:rPr>
          <w:rFonts w:ascii="Times New Roman" w:hAnsi="Times New Roman" w:cs="Times New Roman"/>
          <w:sz w:val="24"/>
          <w:szCs w:val="24"/>
        </w:rPr>
        <w:t xml:space="preserve"> </w:t>
      </w:r>
      <w:r w:rsidRPr="0060342C">
        <w:rPr>
          <w:rFonts w:ascii="Times New Roman" w:hAnsi="Times New Roman" w:cs="Times New Roman"/>
          <w:sz w:val="24"/>
          <w:szCs w:val="24"/>
        </w:rPr>
        <w:t>:</w:t>
      </w:r>
    </w:p>
    <w:p w14:paraId="0196564A" w14:textId="77777777" w:rsidR="00613E79" w:rsidRPr="00A60461" w:rsidRDefault="00E33F1D" w:rsidP="0060342C">
      <w:pPr>
        <w:spacing w:line="360" w:lineRule="auto"/>
        <w:jc w:val="both"/>
        <w:rPr>
          <w:rFonts w:ascii="Cambria Math" w:eastAsiaTheme="minorEastAsia" w:hAnsi="Cambria Math"/>
          <w:sz w:val="24"/>
          <w:szCs w:val="24"/>
        </w:rPr>
      </w:pPr>
      <m:oMath>
        <m:sSub>
          <m:sSubPr>
            <m:ctrlPr>
              <w:rPr>
                <w:rFonts w:ascii="Cambria Math" w:hAnsi="Cambria Math" w:cs="Times New Roman"/>
                <w:i/>
                <w:sz w:val="24"/>
                <w:szCs w:val="24"/>
              </w:rPr>
            </m:ctrlPr>
          </m:sSubPr>
          <m:e>
            <m:r>
              <m:rPr>
                <m:sty m:val="p"/>
              </m:rPr>
              <w:rPr>
                <w:rFonts w:ascii="Cambria Math" w:hAnsi="Cambria Math" w:cs="Times New Roman"/>
                <w:sz w:val="24"/>
                <w:szCs w:val="24"/>
              </w:rPr>
              <m:t>WB</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Elect</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lang w:val="en-US"/>
              </w:rPr>
              <m:t>ϵ</m:t>
            </m:r>
          </m:e>
          <m:sub>
            <m:r>
              <w:rPr>
                <w:rFonts w:ascii="Cambria Math" w:hAnsi="Cambria Math" w:cs="Times New Roman"/>
                <w:sz w:val="24"/>
                <w:szCs w:val="24"/>
              </w:rPr>
              <m:t>i</m:t>
            </m:r>
          </m:sub>
        </m:sSub>
      </m:oMath>
      <w:r w:rsidR="0060342C" w:rsidRPr="00A60461">
        <w:rPr>
          <w:rFonts w:ascii="Cambria Math" w:eastAsiaTheme="minorEastAsia" w:hAnsi="Cambria Math"/>
          <w:sz w:val="24"/>
          <w:szCs w:val="24"/>
        </w:rPr>
        <w:t xml:space="preserve">                                                  </w:t>
      </w:r>
      <w:r w:rsidR="00E603CF" w:rsidRPr="00A60461">
        <w:rPr>
          <w:rFonts w:ascii="Cambria Math" w:eastAsiaTheme="minorEastAsia" w:hAnsi="Cambria Math"/>
          <w:sz w:val="24"/>
          <w:szCs w:val="24"/>
        </w:rPr>
        <w:t xml:space="preserve">                              </w:t>
      </w:r>
      <w:r w:rsidR="009E7DF3" w:rsidRPr="00A60461">
        <w:rPr>
          <w:rFonts w:ascii="Cambria Math" w:eastAsiaTheme="minorEastAsia" w:hAnsi="Cambria Math"/>
          <w:sz w:val="24"/>
          <w:szCs w:val="24"/>
        </w:rPr>
        <w:t xml:space="preserve"> </w:t>
      </w:r>
      <w:r w:rsidR="0060342C" w:rsidRPr="00A60461">
        <w:rPr>
          <w:rFonts w:ascii="Cambria Math" w:eastAsiaTheme="minorEastAsia" w:hAnsi="Cambria Math"/>
          <w:sz w:val="24"/>
          <w:szCs w:val="24"/>
        </w:rPr>
        <w:t xml:space="preserve">                      (1)</w:t>
      </w:r>
    </w:p>
    <w:p w14:paraId="7F7913E5" w14:textId="77777777" w:rsidR="0060342C" w:rsidRPr="005A19F9" w:rsidRDefault="005A19F9" w:rsidP="0060342C">
      <w:pPr>
        <w:spacing w:line="360" w:lineRule="auto"/>
        <w:jc w:val="both"/>
        <w:rPr>
          <w:rFonts w:ascii="Times New Roman" w:hAnsi="Times New Roman" w:cs="Times New Roman"/>
          <w:sz w:val="24"/>
          <w:szCs w:val="24"/>
        </w:rPr>
      </w:pPr>
      <w:r w:rsidRPr="005A19F9">
        <w:rPr>
          <w:rFonts w:ascii="Times New Roman" w:hAnsi="Times New Roman" w:cs="Times New Roman"/>
          <w:sz w:val="24"/>
          <w:szCs w:val="24"/>
        </w:rPr>
        <w:t>W</w:t>
      </w:r>
      <w:r>
        <w:rPr>
          <w:rFonts w:ascii="Times New Roman" w:hAnsi="Times New Roman" w:cs="Times New Roman"/>
          <w:sz w:val="24"/>
          <w:szCs w:val="24"/>
        </w:rPr>
        <w:t xml:space="preserve">here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WB</m:t>
            </m:r>
          </m:e>
          <m:sub>
            <m:r>
              <w:rPr>
                <w:rFonts w:ascii="Cambria Math" w:hAnsi="Cambria Math" w:cs="Times New Roman"/>
                <w:sz w:val="24"/>
                <w:szCs w:val="24"/>
              </w:rPr>
              <m:t>i</m:t>
            </m:r>
          </m:sub>
        </m:sSub>
      </m:oMath>
      <w:r w:rsidRPr="005A19F9">
        <w:rPr>
          <w:rFonts w:ascii="Times New Roman" w:hAnsi="Times New Roman" w:cs="Times New Roman"/>
          <w:sz w:val="24"/>
          <w:szCs w:val="24"/>
        </w:rPr>
        <w:t xml:space="preserve">​ represents the combined well-being of household </w:t>
      </w:r>
      <w:r>
        <w:rPr>
          <w:rFonts w:ascii="Times New Roman" w:hAnsi="Times New Roman" w:cs="Times New Roman"/>
          <w:sz w:val="24"/>
          <w:szCs w:val="24"/>
        </w:rPr>
        <w:t>i</w:t>
      </w:r>
      <w:r w:rsidRPr="005A19F9">
        <w:rPr>
          <w:rFonts w:ascii="Times New Roman" w:hAnsi="Times New Roman" w:cs="Times New Roman"/>
          <w:sz w:val="24"/>
          <w:szCs w:val="24"/>
        </w:rPr>
        <w:t>,</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Elect</m:t>
            </m:r>
          </m:e>
          <m:sub>
            <m:r>
              <w:rPr>
                <w:rFonts w:ascii="Cambria Math" w:hAnsi="Cambria Math" w:cs="Times New Roman"/>
                <w:sz w:val="24"/>
                <w:szCs w:val="24"/>
              </w:rPr>
              <m:t>i</m:t>
            </m:r>
          </m:sub>
        </m:sSub>
      </m:oMath>
      <w:r w:rsidRPr="005A19F9">
        <w:rPr>
          <w:rFonts w:ascii="Times New Roman" w:hAnsi="Times New Roman" w:cs="Times New Roman"/>
          <w:sz w:val="24"/>
          <w:szCs w:val="24"/>
        </w:rPr>
        <w:t xml:space="preserve"> denote</w:t>
      </w:r>
      <w:r>
        <w:rPr>
          <w:rFonts w:ascii="Times New Roman" w:hAnsi="Times New Roman" w:cs="Times New Roman"/>
          <w:sz w:val="24"/>
          <w:szCs w:val="24"/>
        </w:rPr>
        <w:t>s electricity access (1 = yes, 2</w:t>
      </w:r>
      <w:r w:rsidRPr="005A19F9">
        <w:rPr>
          <w:rFonts w:ascii="Times New Roman" w:hAnsi="Times New Roman" w:cs="Times New Roman"/>
          <w:sz w:val="24"/>
          <w:szCs w:val="24"/>
        </w:rPr>
        <w:t xml:space="preserve"> = no), and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5A19F9">
        <w:rPr>
          <w:rFonts w:ascii="Times New Roman" w:hAnsi="Times New Roman" w:cs="Times New Roman"/>
          <w:sz w:val="24"/>
          <w:szCs w:val="24"/>
        </w:rPr>
        <w:t>​ is a vector of control variables including the gender of the household head, their age and the square of their age, their education level, and place of residence. The term ϵi\epsilon_iϵi​ captures the random error. We employ a multiple linear regression (OLS) with robust standard errors to estimate the average effect of electricity access on well-being while controlling for household heterogeneity.</w:t>
      </w:r>
    </w:p>
    <w:p w14:paraId="62FD2F2D" w14:textId="77777777" w:rsidR="00305C86" w:rsidRPr="00626436" w:rsidRDefault="00305C86" w:rsidP="00305C86">
      <w:pPr>
        <w:jc w:val="both"/>
        <w:rPr>
          <w:rFonts w:ascii="Times New Roman" w:hAnsi="Times New Roman" w:cs="Times New Roman"/>
          <w:b/>
          <w:sz w:val="24"/>
          <w:szCs w:val="24"/>
        </w:rPr>
      </w:pPr>
      <w:r w:rsidRPr="00626436">
        <w:rPr>
          <w:rFonts w:ascii="Times New Roman" w:hAnsi="Times New Roman" w:cs="Times New Roman"/>
          <w:b/>
          <w:sz w:val="24"/>
          <w:szCs w:val="24"/>
        </w:rPr>
        <w:t>4.</w:t>
      </w:r>
      <w:r w:rsidRPr="00626436">
        <w:rPr>
          <w:rFonts w:ascii="Times New Roman" w:hAnsi="Times New Roman" w:cs="Times New Roman"/>
          <w:b/>
          <w:sz w:val="24"/>
          <w:szCs w:val="24"/>
        </w:rPr>
        <w:tab/>
        <w:t>Results and Discussion</w:t>
      </w:r>
    </w:p>
    <w:p w14:paraId="2607C7D0" w14:textId="77777777" w:rsidR="00C36D94" w:rsidRPr="00AE18F6" w:rsidRDefault="00C36D94" w:rsidP="00C36D94">
      <w:pPr>
        <w:spacing w:line="360" w:lineRule="auto"/>
        <w:jc w:val="both"/>
        <w:rPr>
          <w:rFonts w:ascii="Times New Roman" w:hAnsi="Times New Roman" w:cs="Times New Roman"/>
          <w:sz w:val="24"/>
          <w:szCs w:val="24"/>
        </w:rPr>
      </w:pPr>
      <w:r w:rsidRPr="00AE18F6">
        <w:rPr>
          <w:rFonts w:ascii="Times New Roman" w:hAnsi="Times New Roman" w:cs="Times New Roman"/>
          <w:sz w:val="24"/>
          <w:szCs w:val="24"/>
        </w:rPr>
        <w:t xml:space="preserve">The econometric results presented in Table 1 highlight a strong relationship between access to electricity and household well-being in the Democratic Republic of Congo (DRC). From a statistical standpoint, the variable </w:t>
      </w:r>
      <w:r w:rsidRPr="00AE18F6">
        <w:rPr>
          <w:rFonts w:ascii="Times New Roman" w:hAnsi="Times New Roman" w:cs="Times New Roman"/>
          <w:iCs/>
          <w:sz w:val="24"/>
          <w:szCs w:val="24"/>
        </w:rPr>
        <w:t>Un-electrified households</w:t>
      </w:r>
      <w:r w:rsidRPr="00AE18F6">
        <w:rPr>
          <w:rFonts w:ascii="Times New Roman" w:hAnsi="Times New Roman" w:cs="Times New Roman"/>
          <w:sz w:val="24"/>
          <w:szCs w:val="24"/>
        </w:rPr>
        <w:t xml:space="preserve"> displays a negative and highly significant coefficient across all estimated models. The lack of access to electricity reduces the level of well-being by approximately 2.4 to 2.9 units, ceteris paribus. This result, whose robustness is confirmed across multiple specifications, underscores that electrification is a key determinant of household well-being in the DRC. It suggests that energy deprivation constitutes a major driver of socio-economic exclusion, limiting households’ ability to achieve decent living conditions and engage in income-generating activities.</w:t>
      </w:r>
    </w:p>
    <w:p w14:paraId="138930B6" w14:textId="77777777" w:rsidR="00C36D94" w:rsidRPr="00AE18F6" w:rsidRDefault="00C36D94" w:rsidP="00C36D94">
      <w:pPr>
        <w:spacing w:line="360" w:lineRule="auto"/>
        <w:jc w:val="both"/>
        <w:rPr>
          <w:rFonts w:ascii="Times New Roman" w:hAnsi="Times New Roman" w:cs="Times New Roman"/>
          <w:sz w:val="24"/>
          <w:szCs w:val="24"/>
        </w:rPr>
      </w:pPr>
      <w:r w:rsidRPr="00AE18F6">
        <w:rPr>
          <w:rFonts w:ascii="Times New Roman" w:hAnsi="Times New Roman" w:cs="Times New Roman"/>
          <w:sz w:val="24"/>
          <w:szCs w:val="24"/>
        </w:rPr>
        <w:t>Moreover, the gender of the household head exerts a significant and negative effect on well-being: households headed by women exhibit, on average, lower well-being than those headed by men. This finding aligns with the literature that links the economic vulnerability of female-headed households to structural constraints such as labor market discrimination, limited access to productive resources, and a heavier domestic workload (Dinkelman, 2011; Grogan &amp; Sadanand, 2013). The age of the household head has a nonlinear effect: the positive coefficient of age combined with the negative coefficient of age squared reveals an inverted U-shaped relationship. In other words, well-being increases with age up to a certain point, then tends to decline as the household head grows older, likely due to a reduction in work capacity or income-earning potential at advanced ages.</w:t>
      </w:r>
    </w:p>
    <w:p w14:paraId="111E67CC" w14:textId="77777777" w:rsidR="00C36D94" w:rsidRPr="00AE18F6" w:rsidRDefault="00C36D94" w:rsidP="00C36D94">
      <w:pPr>
        <w:spacing w:line="360" w:lineRule="auto"/>
        <w:jc w:val="both"/>
        <w:rPr>
          <w:rFonts w:ascii="Times New Roman" w:hAnsi="Times New Roman" w:cs="Times New Roman"/>
          <w:sz w:val="24"/>
          <w:szCs w:val="24"/>
        </w:rPr>
      </w:pPr>
      <w:r w:rsidRPr="00AE18F6">
        <w:rPr>
          <w:rFonts w:ascii="Times New Roman" w:hAnsi="Times New Roman" w:cs="Times New Roman"/>
          <w:sz w:val="24"/>
          <w:szCs w:val="24"/>
        </w:rPr>
        <w:t xml:space="preserve">Education also emerges as a crucial factor: the coefficients associated with primary and secondary/higher education levels are positive and significant, indicating that education enhances household well-being. This finding is consistent with Becker’s (1964) human capital theory, according to which education improves skills and economic opportunities, thereby strengthening both material and subjective well-being. In the Congolese context, where </w:t>
      </w:r>
      <w:r w:rsidRPr="00AE18F6">
        <w:rPr>
          <w:rFonts w:ascii="Times New Roman" w:hAnsi="Times New Roman" w:cs="Times New Roman"/>
          <w:sz w:val="24"/>
          <w:szCs w:val="24"/>
        </w:rPr>
        <w:lastRenderedPageBreak/>
        <w:t xml:space="preserve">opportunities for social mobility remain limited, education constitutes a key driver of improved living conditions. A particularly interesting result concerns the role of place of residence. The negative coefficient of the variable </w:t>
      </w:r>
      <w:r w:rsidRPr="00AE18F6">
        <w:rPr>
          <w:rFonts w:ascii="Times New Roman" w:hAnsi="Times New Roman" w:cs="Times New Roman"/>
          <w:iCs/>
          <w:sz w:val="24"/>
          <w:szCs w:val="24"/>
        </w:rPr>
        <w:t>Urban</w:t>
      </w:r>
      <w:r w:rsidRPr="00AE18F6">
        <w:rPr>
          <w:rFonts w:ascii="Times New Roman" w:hAnsi="Times New Roman" w:cs="Times New Roman"/>
          <w:sz w:val="24"/>
          <w:szCs w:val="24"/>
        </w:rPr>
        <w:t xml:space="preserve"> shows that, controlling for other characteristics, urban households report lower well-being levels than rural households. Although this appears counterintuitive compared with the broader literature which generally associates urban environments with better access to infrastructure and services this finding reflects the specific realities of the DRC. Urban areas are characterized by widespread poverty, high cost of living, congestion, and unreliable electricity networks (World Bank, 2023). Thus, urban life, despite offering more economic opportunities, does not necessarily guarantee higher subjective well-being.</w:t>
      </w:r>
    </w:p>
    <w:p w14:paraId="5680C0FE" w14:textId="77777777" w:rsidR="00C36D94" w:rsidRPr="00AE18F6" w:rsidRDefault="00C36D94" w:rsidP="00C36D94">
      <w:pPr>
        <w:spacing w:line="360" w:lineRule="auto"/>
        <w:jc w:val="both"/>
        <w:rPr>
          <w:rFonts w:ascii="Times New Roman" w:hAnsi="Times New Roman" w:cs="Times New Roman"/>
          <w:sz w:val="24"/>
          <w:szCs w:val="24"/>
        </w:rPr>
      </w:pPr>
      <w:r w:rsidRPr="00AE18F6">
        <w:rPr>
          <w:rFonts w:ascii="Times New Roman" w:hAnsi="Times New Roman" w:cs="Times New Roman"/>
          <w:sz w:val="24"/>
          <w:szCs w:val="24"/>
        </w:rPr>
        <w:t>The interaction between electrification and rural residence, introduced in the final model, reveals that the positive effect of access to electricity is weaker for electrified rural households compared with their urban counterparts. The negative and significant coefficient of this interaction (–0.951***) indicates that merely extending the electrical grid to rural areas is insufficient to generate the same well-being gains observed in urban settings. Several factors may explain this difference: lower service quality in rural areas, primarily domestic (rather than productive) use of electricity, and the absence of complementary infrastructures that would allow households to transform energy access into economic opportunities. In other words, rural electrification has a limited impact when it is not accompanied by investments in education, digital connectivity, and local value chains. From an economic perspective, these results confirm that access to electricity plays a fundamental role in promoting multidimensional well-being, consistent with Amartya Sen’s (1999) capability approach. Electricity expands individuals’ real freedoms: it facilitates education through lighting, improves food security through refrigeration, strengthens communication through information technologies, and enables income diversification. However, the heterogeneous effects observed between rural and urban areas indicate that the benefits of electrification depend heavily on the socio-economic context and households’ capacity to make productive use of the resource.</w:t>
      </w:r>
    </w:p>
    <w:p w14:paraId="2478BFD8" w14:textId="6C21318F" w:rsidR="00C36D94" w:rsidRPr="00AE18F6" w:rsidRDefault="00C36D94" w:rsidP="00C36D94">
      <w:pPr>
        <w:spacing w:line="360" w:lineRule="auto"/>
        <w:jc w:val="both"/>
        <w:rPr>
          <w:rFonts w:ascii="Times New Roman" w:hAnsi="Times New Roman" w:cs="Times New Roman"/>
          <w:sz w:val="24"/>
          <w:szCs w:val="24"/>
        </w:rPr>
      </w:pPr>
      <w:r w:rsidRPr="00AE18F6">
        <w:rPr>
          <w:rFonts w:ascii="Times New Roman" w:hAnsi="Times New Roman" w:cs="Times New Roman"/>
          <w:sz w:val="24"/>
          <w:szCs w:val="24"/>
        </w:rPr>
        <w:t xml:space="preserve">These findings echo the conclusions of several empirical studies. Dinkelman (2011), in a study on South Africa, showed that rural electrification increases female employment and enhances household well-being. Grogan and Sadanand (2013) found similar effects in Latin America, where access to electricity boosts productivity and life satisfaction. In Ghana, </w:t>
      </w:r>
      <w:r w:rsidR="007B3453">
        <w:rPr>
          <w:rFonts w:ascii="Times New Roman" w:eastAsia="Times New Roman" w:hAnsi="Times New Roman" w:cs="Times New Roman"/>
          <w:sz w:val="24"/>
          <w:szCs w:val="24"/>
          <w:lang w:eastAsia="fr-FR"/>
        </w:rPr>
        <w:t>Mensah et al.,</w:t>
      </w:r>
      <w:r w:rsidR="007B3453" w:rsidRPr="00D6665E">
        <w:rPr>
          <w:rFonts w:ascii="Times New Roman" w:eastAsia="Times New Roman" w:hAnsi="Times New Roman" w:cs="Times New Roman"/>
          <w:sz w:val="24"/>
          <w:szCs w:val="24"/>
          <w:lang w:eastAsia="fr-FR"/>
        </w:rPr>
        <w:t xml:space="preserve"> (2016)</w:t>
      </w:r>
      <w:r w:rsidR="007B3453">
        <w:rPr>
          <w:rFonts w:ascii="Times New Roman" w:eastAsia="Times New Roman" w:hAnsi="Times New Roman" w:cs="Times New Roman"/>
          <w:sz w:val="24"/>
          <w:szCs w:val="24"/>
          <w:lang w:eastAsia="fr-FR"/>
        </w:rPr>
        <w:t xml:space="preserve"> </w:t>
      </w:r>
      <w:r w:rsidRPr="00AE18F6">
        <w:rPr>
          <w:rFonts w:ascii="Times New Roman" w:hAnsi="Times New Roman" w:cs="Times New Roman"/>
          <w:sz w:val="24"/>
          <w:szCs w:val="24"/>
        </w:rPr>
        <w:t xml:space="preserve">observed that electrification improves well-being not only through income but also through educational and health services. Conversely, the World Bank (2017) and Khandker et </w:t>
      </w:r>
      <w:r w:rsidR="005642AE">
        <w:rPr>
          <w:rFonts w:ascii="Times New Roman" w:hAnsi="Times New Roman" w:cs="Times New Roman"/>
          <w:sz w:val="24"/>
          <w:szCs w:val="24"/>
        </w:rPr>
        <w:lastRenderedPageBreak/>
        <w:t>al. (2013</w:t>
      </w:r>
      <w:r w:rsidRPr="00AE18F6">
        <w:rPr>
          <w:rFonts w:ascii="Times New Roman" w:hAnsi="Times New Roman" w:cs="Times New Roman"/>
          <w:sz w:val="24"/>
          <w:szCs w:val="24"/>
        </w:rPr>
        <w:t>) emphasize that the positive effects of electrification depend on service quality and the existence of productive uses. In this perspective, the Congolese results confirm the importance of local context and suggest that the electrification policy should follow an integrated approach combining energy infrastructure, education, rural development, and information technologies.</w:t>
      </w:r>
    </w:p>
    <w:p w14:paraId="476486B4" w14:textId="77777777" w:rsidR="00EE524D" w:rsidRPr="00AE18F6" w:rsidRDefault="00C36D94" w:rsidP="00EE524D">
      <w:pPr>
        <w:spacing w:line="360" w:lineRule="auto"/>
        <w:jc w:val="both"/>
        <w:rPr>
          <w:rFonts w:ascii="Times New Roman" w:hAnsi="Times New Roman" w:cs="Times New Roman"/>
          <w:sz w:val="24"/>
          <w:szCs w:val="24"/>
        </w:rPr>
      </w:pPr>
      <w:r w:rsidRPr="00AE18F6">
        <w:rPr>
          <w:rFonts w:ascii="Times New Roman" w:hAnsi="Times New Roman" w:cs="Times New Roman"/>
          <w:sz w:val="24"/>
          <w:szCs w:val="24"/>
        </w:rPr>
        <w:t>Overall, the results highlight a dual reality: on one hand, access to electricity remains a powerful lever for improving the well-being of Congolese households; on the other, its effects differ according to place of residence and the human capital of individuals. Electrification should not be viewed as an end in itself, but rather as a necessary condition for fostering human and social capabilities. Its full potential can only be realized if it is accompanied by a comprehensive, inclusive, and territorially adapted development strategy capable of reducing persistent inequalities between rural and urban areas of the DRC</w:t>
      </w:r>
      <w:r w:rsidR="00EE524D" w:rsidRPr="00AE18F6">
        <w:rPr>
          <w:rFonts w:ascii="Times New Roman" w:hAnsi="Times New Roman" w:cs="Times New Roman"/>
          <w:sz w:val="24"/>
          <w:szCs w:val="24"/>
        </w:rPr>
        <w:t>.</w:t>
      </w:r>
    </w:p>
    <w:p w14:paraId="76907AEF" w14:textId="77777777" w:rsidR="00C36D94" w:rsidRDefault="00C36D94" w:rsidP="00EE524D">
      <w:pPr>
        <w:spacing w:line="360" w:lineRule="auto"/>
        <w:jc w:val="both"/>
        <w:rPr>
          <w:rFonts w:ascii="Times New Roman" w:hAnsi="Times New Roman" w:cs="Times New Roman"/>
          <w:sz w:val="24"/>
          <w:szCs w:val="24"/>
        </w:rPr>
      </w:pPr>
    </w:p>
    <w:p w14:paraId="1FC910F9" w14:textId="77777777" w:rsidR="00F711C9" w:rsidRDefault="00F711C9" w:rsidP="00FE331B">
      <w:pPr>
        <w:jc w:val="both"/>
        <w:rPr>
          <w:rFonts w:ascii="Times New Roman" w:hAnsi="Times New Roman" w:cs="Times New Roman"/>
          <w:sz w:val="24"/>
          <w:szCs w:val="24"/>
        </w:rPr>
      </w:pPr>
    </w:p>
    <w:p w14:paraId="7F9CD487" w14:textId="77777777" w:rsidR="00F711C9" w:rsidRDefault="00F711C9" w:rsidP="00FE331B">
      <w:pPr>
        <w:jc w:val="both"/>
        <w:rPr>
          <w:rFonts w:ascii="Times New Roman" w:hAnsi="Times New Roman" w:cs="Times New Roman"/>
          <w:sz w:val="24"/>
          <w:szCs w:val="24"/>
        </w:rPr>
      </w:pPr>
    </w:p>
    <w:p w14:paraId="3E924876" w14:textId="77777777" w:rsidR="00F711C9" w:rsidRDefault="00F711C9" w:rsidP="00FE331B">
      <w:pPr>
        <w:jc w:val="both"/>
        <w:rPr>
          <w:rFonts w:ascii="Times New Roman" w:hAnsi="Times New Roman" w:cs="Times New Roman"/>
          <w:sz w:val="24"/>
          <w:szCs w:val="24"/>
        </w:rPr>
      </w:pPr>
    </w:p>
    <w:p w14:paraId="0CF2B5CE" w14:textId="77777777" w:rsidR="00F711C9" w:rsidRDefault="00F711C9" w:rsidP="00FE331B">
      <w:pPr>
        <w:jc w:val="both"/>
        <w:rPr>
          <w:rFonts w:ascii="Times New Roman" w:hAnsi="Times New Roman" w:cs="Times New Roman"/>
          <w:sz w:val="24"/>
          <w:szCs w:val="24"/>
        </w:rPr>
      </w:pPr>
    </w:p>
    <w:p w14:paraId="563558A1" w14:textId="77777777" w:rsidR="00F711C9" w:rsidRDefault="00F711C9" w:rsidP="00FE331B">
      <w:pPr>
        <w:jc w:val="both"/>
        <w:rPr>
          <w:rFonts w:ascii="Times New Roman" w:hAnsi="Times New Roman" w:cs="Times New Roman"/>
          <w:sz w:val="24"/>
          <w:szCs w:val="24"/>
        </w:rPr>
      </w:pPr>
    </w:p>
    <w:p w14:paraId="57960C8D" w14:textId="77777777" w:rsidR="00F711C9" w:rsidRDefault="00F711C9" w:rsidP="00FE331B">
      <w:pPr>
        <w:jc w:val="both"/>
        <w:rPr>
          <w:rFonts w:ascii="Times New Roman" w:hAnsi="Times New Roman" w:cs="Times New Roman"/>
          <w:sz w:val="24"/>
          <w:szCs w:val="24"/>
        </w:rPr>
      </w:pPr>
    </w:p>
    <w:p w14:paraId="326C64ED" w14:textId="77777777" w:rsidR="00F711C9" w:rsidRDefault="00F711C9" w:rsidP="00FE331B">
      <w:pPr>
        <w:jc w:val="both"/>
        <w:rPr>
          <w:rFonts w:ascii="Times New Roman" w:hAnsi="Times New Roman" w:cs="Times New Roman"/>
          <w:sz w:val="24"/>
          <w:szCs w:val="24"/>
        </w:rPr>
      </w:pPr>
    </w:p>
    <w:p w14:paraId="03689A90" w14:textId="77777777" w:rsidR="00F711C9" w:rsidRDefault="00F711C9" w:rsidP="00FE331B">
      <w:pPr>
        <w:jc w:val="both"/>
        <w:rPr>
          <w:rFonts w:ascii="Times New Roman" w:hAnsi="Times New Roman" w:cs="Times New Roman"/>
          <w:sz w:val="24"/>
          <w:szCs w:val="24"/>
        </w:rPr>
      </w:pPr>
    </w:p>
    <w:p w14:paraId="5EFE3E35" w14:textId="77777777" w:rsidR="00F711C9" w:rsidRDefault="00F711C9" w:rsidP="00FE331B">
      <w:pPr>
        <w:jc w:val="both"/>
        <w:rPr>
          <w:rFonts w:ascii="Times New Roman" w:hAnsi="Times New Roman" w:cs="Times New Roman"/>
          <w:sz w:val="24"/>
          <w:szCs w:val="24"/>
        </w:rPr>
      </w:pPr>
    </w:p>
    <w:p w14:paraId="5AA5646C" w14:textId="77777777" w:rsidR="00F711C9" w:rsidRDefault="00F711C9" w:rsidP="00FE331B">
      <w:pPr>
        <w:jc w:val="both"/>
        <w:rPr>
          <w:rFonts w:ascii="Times New Roman" w:hAnsi="Times New Roman" w:cs="Times New Roman"/>
          <w:sz w:val="24"/>
          <w:szCs w:val="24"/>
        </w:rPr>
      </w:pPr>
    </w:p>
    <w:p w14:paraId="160A7607" w14:textId="77777777" w:rsidR="00F711C9" w:rsidRDefault="00F711C9" w:rsidP="00FE331B">
      <w:pPr>
        <w:jc w:val="both"/>
        <w:rPr>
          <w:rFonts w:ascii="Times New Roman" w:hAnsi="Times New Roman" w:cs="Times New Roman"/>
          <w:sz w:val="24"/>
          <w:szCs w:val="24"/>
        </w:rPr>
      </w:pPr>
    </w:p>
    <w:p w14:paraId="2A5EA883" w14:textId="77777777" w:rsidR="00F711C9" w:rsidRDefault="00F711C9" w:rsidP="00FE331B">
      <w:pPr>
        <w:jc w:val="both"/>
        <w:rPr>
          <w:rFonts w:ascii="Times New Roman" w:hAnsi="Times New Roman" w:cs="Times New Roman"/>
          <w:sz w:val="24"/>
          <w:szCs w:val="24"/>
        </w:rPr>
        <w:sectPr w:rsidR="00F711C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0C736563" w14:textId="77777777" w:rsidR="00FE331B" w:rsidRPr="00571297" w:rsidRDefault="00571297" w:rsidP="00FC1380">
      <w:pPr>
        <w:jc w:val="both"/>
        <w:rPr>
          <w:rFonts w:ascii="Times New Roman" w:hAnsi="Times New Roman" w:cs="Times New Roman"/>
          <w:b/>
          <w:sz w:val="24"/>
          <w:szCs w:val="24"/>
        </w:rPr>
      </w:pPr>
      <w:r w:rsidRPr="00571297">
        <w:rPr>
          <w:rFonts w:ascii="Times New Roman" w:hAnsi="Times New Roman" w:cs="Times New Roman"/>
          <w:b/>
          <w:sz w:val="24"/>
          <w:szCs w:val="24"/>
        </w:rPr>
        <w:lastRenderedPageBreak/>
        <w:t>Table 1 </w:t>
      </w:r>
      <w:r w:rsidR="003E65B5" w:rsidRPr="00571297">
        <w:rPr>
          <w:rFonts w:ascii="Times New Roman" w:hAnsi="Times New Roman" w:cs="Times New Roman"/>
          <w:b/>
          <w:sz w:val="24"/>
          <w:szCs w:val="24"/>
        </w:rPr>
        <w:t xml:space="preserve"> </w:t>
      </w:r>
      <w:r w:rsidRPr="00571297">
        <w:rPr>
          <w:rFonts w:ascii="Times New Roman" w:hAnsi="Times New Roman" w:cs="Times New Roman"/>
          <w:b/>
          <w:sz w:val="24"/>
          <w:szCs w:val="24"/>
        </w:rPr>
        <w:t>Electricity Acces and Combined Household Well-Being : The moderating role of Rural residence</w:t>
      </w:r>
    </w:p>
    <w:tbl>
      <w:tblPr>
        <w:tblW w:w="14234" w:type="dxa"/>
        <w:tblCellMar>
          <w:left w:w="70" w:type="dxa"/>
          <w:right w:w="70" w:type="dxa"/>
        </w:tblCellMar>
        <w:tblLook w:val="04A0" w:firstRow="1" w:lastRow="0" w:firstColumn="1" w:lastColumn="0" w:noHBand="0" w:noVBand="1"/>
      </w:tblPr>
      <w:tblGrid>
        <w:gridCol w:w="3402"/>
        <w:gridCol w:w="1418"/>
        <w:gridCol w:w="1559"/>
        <w:gridCol w:w="1559"/>
        <w:gridCol w:w="1524"/>
        <w:gridCol w:w="1669"/>
        <w:gridCol w:w="1530"/>
        <w:gridCol w:w="1573"/>
      </w:tblGrid>
      <w:tr w:rsidR="0057653B" w:rsidRPr="00910F92" w14:paraId="637D86BF" w14:textId="77777777" w:rsidTr="0057653B">
        <w:trPr>
          <w:trHeight w:val="315"/>
        </w:trPr>
        <w:tc>
          <w:tcPr>
            <w:tcW w:w="3402" w:type="dxa"/>
            <w:tcBorders>
              <w:top w:val="single" w:sz="4" w:space="0" w:color="auto"/>
              <w:left w:val="nil"/>
              <w:bottom w:val="nil"/>
              <w:right w:val="nil"/>
            </w:tcBorders>
            <w:noWrap/>
            <w:vAlign w:val="bottom"/>
            <w:hideMark/>
          </w:tcPr>
          <w:p w14:paraId="4205387E" w14:textId="77777777" w:rsidR="00910F92" w:rsidRPr="00910F92" w:rsidRDefault="00910F92" w:rsidP="00910F92">
            <w:pPr>
              <w:spacing w:after="0" w:line="240" w:lineRule="auto"/>
              <w:rPr>
                <w:rFonts w:ascii="Times New Roman" w:eastAsia="Times New Roman" w:hAnsi="Times New Roman" w:cs="Times New Roman"/>
                <w:sz w:val="24"/>
                <w:szCs w:val="24"/>
                <w:lang w:eastAsia="fr-FR"/>
              </w:rPr>
            </w:pPr>
          </w:p>
        </w:tc>
        <w:tc>
          <w:tcPr>
            <w:tcW w:w="1418" w:type="dxa"/>
            <w:tcBorders>
              <w:top w:val="single" w:sz="4" w:space="0" w:color="auto"/>
              <w:left w:val="nil"/>
              <w:bottom w:val="nil"/>
              <w:right w:val="nil"/>
            </w:tcBorders>
            <w:noWrap/>
            <w:vAlign w:val="bottom"/>
            <w:hideMark/>
          </w:tcPr>
          <w:p w14:paraId="5D551615"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Model 1</w:t>
            </w:r>
          </w:p>
        </w:tc>
        <w:tc>
          <w:tcPr>
            <w:tcW w:w="1559" w:type="dxa"/>
            <w:tcBorders>
              <w:top w:val="single" w:sz="4" w:space="0" w:color="auto"/>
              <w:left w:val="nil"/>
              <w:bottom w:val="nil"/>
              <w:right w:val="nil"/>
            </w:tcBorders>
            <w:noWrap/>
            <w:vAlign w:val="bottom"/>
            <w:hideMark/>
          </w:tcPr>
          <w:p w14:paraId="243D1B71"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Model 2</w:t>
            </w:r>
          </w:p>
        </w:tc>
        <w:tc>
          <w:tcPr>
            <w:tcW w:w="1559" w:type="dxa"/>
            <w:tcBorders>
              <w:top w:val="single" w:sz="4" w:space="0" w:color="auto"/>
              <w:left w:val="nil"/>
              <w:bottom w:val="nil"/>
              <w:right w:val="nil"/>
            </w:tcBorders>
            <w:noWrap/>
            <w:vAlign w:val="bottom"/>
            <w:hideMark/>
          </w:tcPr>
          <w:p w14:paraId="57528289"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Model 3</w:t>
            </w:r>
          </w:p>
        </w:tc>
        <w:tc>
          <w:tcPr>
            <w:tcW w:w="1524" w:type="dxa"/>
            <w:tcBorders>
              <w:top w:val="single" w:sz="4" w:space="0" w:color="auto"/>
              <w:left w:val="nil"/>
              <w:bottom w:val="nil"/>
              <w:right w:val="nil"/>
            </w:tcBorders>
            <w:noWrap/>
            <w:vAlign w:val="bottom"/>
            <w:hideMark/>
          </w:tcPr>
          <w:p w14:paraId="13669C5C"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Model 4</w:t>
            </w:r>
          </w:p>
        </w:tc>
        <w:tc>
          <w:tcPr>
            <w:tcW w:w="1669" w:type="dxa"/>
            <w:tcBorders>
              <w:top w:val="single" w:sz="4" w:space="0" w:color="auto"/>
              <w:left w:val="nil"/>
              <w:bottom w:val="nil"/>
              <w:right w:val="nil"/>
            </w:tcBorders>
            <w:noWrap/>
            <w:vAlign w:val="bottom"/>
            <w:hideMark/>
          </w:tcPr>
          <w:p w14:paraId="6289400C"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Model 5</w:t>
            </w:r>
          </w:p>
        </w:tc>
        <w:tc>
          <w:tcPr>
            <w:tcW w:w="1530" w:type="dxa"/>
            <w:tcBorders>
              <w:top w:val="single" w:sz="4" w:space="0" w:color="auto"/>
              <w:left w:val="nil"/>
              <w:bottom w:val="nil"/>
              <w:right w:val="nil"/>
            </w:tcBorders>
            <w:noWrap/>
            <w:vAlign w:val="bottom"/>
            <w:hideMark/>
          </w:tcPr>
          <w:p w14:paraId="466B0944"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Model 6</w:t>
            </w:r>
          </w:p>
        </w:tc>
        <w:tc>
          <w:tcPr>
            <w:tcW w:w="1573" w:type="dxa"/>
            <w:tcBorders>
              <w:top w:val="single" w:sz="4" w:space="0" w:color="auto"/>
              <w:left w:val="nil"/>
              <w:bottom w:val="nil"/>
              <w:right w:val="nil"/>
            </w:tcBorders>
            <w:noWrap/>
            <w:vAlign w:val="bottom"/>
            <w:hideMark/>
          </w:tcPr>
          <w:p w14:paraId="134F47AD"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Model 7</w:t>
            </w:r>
          </w:p>
        </w:tc>
      </w:tr>
      <w:tr w:rsidR="0057653B" w:rsidRPr="00910F92" w14:paraId="14245A48" w14:textId="77777777" w:rsidTr="0057653B">
        <w:trPr>
          <w:trHeight w:val="315"/>
        </w:trPr>
        <w:tc>
          <w:tcPr>
            <w:tcW w:w="3402" w:type="dxa"/>
            <w:tcBorders>
              <w:top w:val="nil"/>
              <w:left w:val="nil"/>
              <w:bottom w:val="single" w:sz="4" w:space="0" w:color="auto"/>
              <w:right w:val="nil"/>
            </w:tcBorders>
            <w:noWrap/>
            <w:vAlign w:val="bottom"/>
            <w:hideMark/>
          </w:tcPr>
          <w:p w14:paraId="61A7317D"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VARIABLES</w:t>
            </w:r>
          </w:p>
        </w:tc>
        <w:tc>
          <w:tcPr>
            <w:tcW w:w="1418" w:type="dxa"/>
            <w:tcBorders>
              <w:top w:val="nil"/>
              <w:left w:val="nil"/>
              <w:bottom w:val="single" w:sz="4" w:space="0" w:color="auto"/>
              <w:right w:val="nil"/>
            </w:tcBorders>
            <w:noWrap/>
            <w:vAlign w:val="bottom"/>
            <w:hideMark/>
          </w:tcPr>
          <w:p w14:paraId="66227C0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WellBeing</w:t>
            </w:r>
          </w:p>
        </w:tc>
        <w:tc>
          <w:tcPr>
            <w:tcW w:w="1559" w:type="dxa"/>
            <w:tcBorders>
              <w:top w:val="nil"/>
              <w:left w:val="nil"/>
              <w:bottom w:val="single" w:sz="4" w:space="0" w:color="auto"/>
              <w:right w:val="nil"/>
            </w:tcBorders>
            <w:noWrap/>
            <w:vAlign w:val="bottom"/>
            <w:hideMark/>
          </w:tcPr>
          <w:p w14:paraId="53FCD66F"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WellBeing</w:t>
            </w:r>
          </w:p>
        </w:tc>
        <w:tc>
          <w:tcPr>
            <w:tcW w:w="1559" w:type="dxa"/>
            <w:tcBorders>
              <w:top w:val="nil"/>
              <w:left w:val="nil"/>
              <w:bottom w:val="single" w:sz="4" w:space="0" w:color="auto"/>
              <w:right w:val="nil"/>
            </w:tcBorders>
            <w:noWrap/>
            <w:vAlign w:val="bottom"/>
            <w:hideMark/>
          </w:tcPr>
          <w:p w14:paraId="25BB3B84"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WellBeing</w:t>
            </w:r>
          </w:p>
        </w:tc>
        <w:tc>
          <w:tcPr>
            <w:tcW w:w="1524" w:type="dxa"/>
            <w:tcBorders>
              <w:top w:val="nil"/>
              <w:left w:val="nil"/>
              <w:bottom w:val="single" w:sz="4" w:space="0" w:color="auto"/>
              <w:right w:val="nil"/>
            </w:tcBorders>
            <w:noWrap/>
            <w:vAlign w:val="bottom"/>
            <w:hideMark/>
          </w:tcPr>
          <w:p w14:paraId="1AE6EC9B"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WellBeing</w:t>
            </w:r>
          </w:p>
        </w:tc>
        <w:tc>
          <w:tcPr>
            <w:tcW w:w="1669" w:type="dxa"/>
            <w:tcBorders>
              <w:top w:val="nil"/>
              <w:left w:val="nil"/>
              <w:bottom w:val="single" w:sz="4" w:space="0" w:color="auto"/>
              <w:right w:val="nil"/>
            </w:tcBorders>
            <w:noWrap/>
            <w:vAlign w:val="bottom"/>
            <w:hideMark/>
          </w:tcPr>
          <w:p w14:paraId="280FABE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WellBeing</w:t>
            </w:r>
          </w:p>
        </w:tc>
        <w:tc>
          <w:tcPr>
            <w:tcW w:w="1530" w:type="dxa"/>
            <w:tcBorders>
              <w:top w:val="nil"/>
              <w:left w:val="nil"/>
              <w:bottom w:val="single" w:sz="4" w:space="0" w:color="auto"/>
              <w:right w:val="nil"/>
            </w:tcBorders>
            <w:noWrap/>
            <w:vAlign w:val="bottom"/>
            <w:hideMark/>
          </w:tcPr>
          <w:p w14:paraId="7C41D211"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WellBeing</w:t>
            </w:r>
          </w:p>
        </w:tc>
        <w:tc>
          <w:tcPr>
            <w:tcW w:w="1573" w:type="dxa"/>
            <w:tcBorders>
              <w:top w:val="nil"/>
              <w:left w:val="nil"/>
              <w:bottom w:val="single" w:sz="4" w:space="0" w:color="auto"/>
              <w:right w:val="nil"/>
            </w:tcBorders>
            <w:noWrap/>
            <w:vAlign w:val="bottom"/>
            <w:hideMark/>
          </w:tcPr>
          <w:p w14:paraId="0424D5A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WellBeing</w:t>
            </w:r>
          </w:p>
        </w:tc>
      </w:tr>
      <w:tr w:rsidR="0057653B" w:rsidRPr="00910F92" w14:paraId="43AF9E09" w14:textId="77777777" w:rsidTr="0057653B">
        <w:trPr>
          <w:trHeight w:val="315"/>
        </w:trPr>
        <w:tc>
          <w:tcPr>
            <w:tcW w:w="3402" w:type="dxa"/>
            <w:tcBorders>
              <w:top w:val="single" w:sz="4" w:space="0" w:color="auto"/>
              <w:left w:val="nil"/>
              <w:bottom w:val="nil"/>
              <w:right w:val="nil"/>
            </w:tcBorders>
            <w:noWrap/>
            <w:vAlign w:val="bottom"/>
            <w:hideMark/>
          </w:tcPr>
          <w:p w14:paraId="51A838FF"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r w:rsidRPr="00910F92">
              <w:rPr>
                <w:rFonts w:ascii="Times New Roman" w:eastAsia="Times New Roman" w:hAnsi="Times New Roman" w:cs="Times New Roman"/>
                <w:b/>
                <w:bCs/>
                <w:color w:val="000000"/>
                <w:sz w:val="24"/>
                <w:szCs w:val="24"/>
                <w:lang w:eastAsia="fr-FR"/>
              </w:rPr>
              <w:t>Household_Electricity_Access</w:t>
            </w:r>
          </w:p>
        </w:tc>
        <w:tc>
          <w:tcPr>
            <w:tcW w:w="1418" w:type="dxa"/>
            <w:tcBorders>
              <w:top w:val="single" w:sz="4" w:space="0" w:color="auto"/>
              <w:left w:val="nil"/>
              <w:bottom w:val="nil"/>
              <w:right w:val="nil"/>
            </w:tcBorders>
            <w:noWrap/>
            <w:vAlign w:val="bottom"/>
            <w:hideMark/>
          </w:tcPr>
          <w:p w14:paraId="3D9F7B5C"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single" w:sz="4" w:space="0" w:color="auto"/>
              <w:left w:val="nil"/>
              <w:bottom w:val="nil"/>
              <w:right w:val="nil"/>
            </w:tcBorders>
            <w:noWrap/>
            <w:vAlign w:val="bottom"/>
            <w:hideMark/>
          </w:tcPr>
          <w:p w14:paraId="2A4C4167"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single" w:sz="4" w:space="0" w:color="auto"/>
              <w:left w:val="nil"/>
              <w:bottom w:val="nil"/>
              <w:right w:val="nil"/>
            </w:tcBorders>
            <w:noWrap/>
            <w:vAlign w:val="bottom"/>
            <w:hideMark/>
          </w:tcPr>
          <w:p w14:paraId="4A75E31C"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single" w:sz="4" w:space="0" w:color="auto"/>
              <w:left w:val="nil"/>
              <w:bottom w:val="nil"/>
              <w:right w:val="nil"/>
            </w:tcBorders>
            <w:noWrap/>
            <w:vAlign w:val="bottom"/>
            <w:hideMark/>
          </w:tcPr>
          <w:p w14:paraId="27968915"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669" w:type="dxa"/>
            <w:tcBorders>
              <w:top w:val="single" w:sz="4" w:space="0" w:color="auto"/>
              <w:left w:val="nil"/>
              <w:bottom w:val="nil"/>
              <w:right w:val="nil"/>
            </w:tcBorders>
            <w:noWrap/>
            <w:vAlign w:val="bottom"/>
            <w:hideMark/>
          </w:tcPr>
          <w:p w14:paraId="5515B149"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30" w:type="dxa"/>
            <w:tcBorders>
              <w:top w:val="single" w:sz="4" w:space="0" w:color="auto"/>
              <w:left w:val="nil"/>
              <w:bottom w:val="nil"/>
              <w:right w:val="nil"/>
            </w:tcBorders>
            <w:noWrap/>
            <w:vAlign w:val="bottom"/>
            <w:hideMark/>
          </w:tcPr>
          <w:p w14:paraId="3C3F2260"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73" w:type="dxa"/>
            <w:tcBorders>
              <w:top w:val="single" w:sz="4" w:space="0" w:color="auto"/>
              <w:left w:val="nil"/>
              <w:bottom w:val="nil"/>
              <w:right w:val="nil"/>
            </w:tcBorders>
            <w:noWrap/>
            <w:vAlign w:val="bottom"/>
            <w:hideMark/>
          </w:tcPr>
          <w:p w14:paraId="5D168315"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r>
      <w:tr w:rsidR="0057653B" w:rsidRPr="00910F92" w14:paraId="2E5E097D" w14:textId="77777777" w:rsidTr="0057653B">
        <w:trPr>
          <w:trHeight w:val="315"/>
        </w:trPr>
        <w:tc>
          <w:tcPr>
            <w:tcW w:w="3402" w:type="dxa"/>
            <w:tcBorders>
              <w:top w:val="nil"/>
              <w:left w:val="nil"/>
              <w:bottom w:val="nil"/>
              <w:right w:val="nil"/>
            </w:tcBorders>
            <w:noWrap/>
            <w:vAlign w:val="bottom"/>
            <w:hideMark/>
          </w:tcPr>
          <w:p w14:paraId="434E9E34"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Unelectrified households</w:t>
            </w:r>
          </w:p>
        </w:tc>
        <w:tc>
          <w:tcPr>
            <w:tcW w:w="1418" w:type="dxa"/>
            <w:tcBorders>
              <w:top w:val="nil"/>
              <w:left w:val="nil"/>
              <w:bottom w:val="nil"/>
              <w:right w:val="nil"/>
            </w:tcBorders>
            <w:noWrap/>
            <w:vAlign w:val="bottom"/>
            <w:hideMark/>
          </w:tcPr>
          <w:p w14:paraId="3A18100D"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-2.946***</w:t>
            </w:r>
          </w:p>
        </w:tc>
        <w:tc>
          <w:tcPr>
            <w:tcW w:w="1559" w:type="dxa"/>
            <w:tcBorders>
              <w:top w:val="nil"/>
              <w:left w:val="nil"/>
              <w:bottom w:val="nil"/>
              <w:right w:val="nil"/>
            </w:tcBorders>
            <w:noWrap/>
            <w:vAlign w:val="bottom"/>
            <w:hideMark/>
          </w:tcPr>
          <w:p w14:paraId="482C906C"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-2.943***</w:t>
            </w:r>
          </w:p>
        </w:tc>
        <w:tc>
          <w:tcPr>
            <w:tcW w:w="1559" w:type="dxa"/>
            <w:tcBorders>
              <w:top w:val="nil"/>
              <w:left w:val="nil"/>
              <w:bottom w:val="nil"/>
              <w:right w:val="nil"/>
            </w:tcBorders>
            <w:noWrap/>
            <w:vAlign w:val="bottom"/>
            <w:hideMark/>
          </w:tcPr>
          <w:p w14:paraId="70AD66EF"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-2.939***</w:t>
            </w:r>
          </w:p>
        </w:tc>
        <w:tc>
          <w:tcPr>
            <w:tcW w:w="1524" w:type="dxa"/>
            <w:tcBorders>
              <w:top w:val="nil"/>
              <w:left w:val="nil"/>
              <w:bottom w:val="nil"/>
              <w:right w:val="nil"/>
            </w:tcBorders>
            <w:noWrap/>
            <w:vAlign w:val="bottom"/>
            <w:hideMark/>
          </w:tcPr>
          <w:p w14:paraId="4752C7A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-2.937***</w:t>
            </w:r>
          </w:p>
        </w:tc>
        <w:tc>
          <w:tcPr>
            <w:tcW w:w="1669" w:type="dxa"/>
            <w:tcBorders>
              <w:top w:val="nil"/>
              <w:left w:val="nil"/>
              <w:bottom w:val="nil"/>
              <w:right w:val="nil"/>
            </w:tcBorders>
            <w:noWrap/>
            <w:vAlign w:val="bottom"/>
            <w:hideMark/>
          </w:tcPr>
          <w:p w14:paraId="4DC209A4"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-2.832***</w:t>
            </w:r>
          </w:p>
        </w:tc>
        <w:tc>
          <w:tcPr>
            <w:tcW w:w="1530" w:type="dxa"/>
            <w:tcBorders>
              <w:top w:val="nil"/>
              <w:left w:val="nil"/>
              <w:bottom w:val="nil"/>
              <w:right w:val="nil"/>
            </w:tcBorders>
            <w:noWrap/>
            <w:vAlign w:val="bottom"/>
            <w:hideMark/>
          </w:tcPr>
          <w:p w14:paraId="27F8A65B"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-2.400***</w:t>
            </w:r>
          </w:p>
        </w:tc>
        <w:tc>
          <w:tcPr>
            <w:tcW w:w="1573" w:type="dxa"/>
            <w:tcBorders>
              <w:top w:val="nil"/>
              <w:left w:val="nil"/>
              <w:bottom w:val="nil"/>
              <w:right w:val="nil"/>
            </w:tcBorders>
            <w:noWrap/>
            <w:vAlign w:val="bottom"/>
            <w:hideMark/>
          </w:tcPr>
          <w:p w14:paraId="0912B95E"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-2.422***</w:t>
            </w:r>
          </w:p>
        </w:tc>
      </w:tr>
      <w:tr w:rsidR="0057653B" w:rsidRPr="00910F92" w14:paraId="799179BB" w14:textId="77777777" w:rsidTr="0057653B">
        <w:trPr>
          <w:trHeight w:val="315"/>
        </w:trPr>
        <w:tc>
          <w:tcPr>
            <w:tcW w:w="3402" w:type="dxa"/>
            <w:tcBorders>
              <w:top w:val="nil"/>
              <w:left w:val="nil"/>
              <w:bottom w:val="nil"/>
              <w:right w:val="nil"/>
            </w:tcBorders>
            <w:noWrap/>
            <w:vAlign w:val="bottom"/>
            <w:hideMark/>
          </w:tcPr>
          <w:p w14:paraId="689EDF0B"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418" w:type="dxa"/>
            <w:tcBorders>
              <w:top w:val="nil"/>
              <w:left w:val="nil"/>
              <w:bottom w:val="nil"/>
              <w:right w:val="nil"/>
            </w:tcBorders>
            <w:noWrap/>
            <w:vAlign w:val="bottom"/>
            <w:hideMark/>
          </w:tcPr>
          <w:p w14:paraId="31DF92A5"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(0.0130)</w:t>
            </w:r>
          </w:p>
        </w:tc>
        <w:tc>
          <w:tcPr>
            <w:tcW w:w="1559" w:type="dxa"/>
            <w:tcBorders>
              <w:top w:val="nil"/>
              <w:left w:val="nil"/>
              <w:bottom w:val="nil"/>
              <w:right w:val="nil"/>
            </w:tcBorders>
            <w:noWrap/>
            <w:vAlign w:val="bottom"/>
            <w:hideMark/>
          </w:tcPr>
          <w:p w14:paraId="6909A220"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(0.0130)</w:t>
            </w:r>
          </w:p>
        </w:tc>
        <w:tc>
          <w:tcPr>
            <w:tcW w:w="1559" w:type="dxa"/>
            <w:tcBorders>
              <w:top w:val="nil"/>
              <w:left w:val="nil"/>
              <w:bottom w:val="nil"/>
              <w:right w:val="nil"/>
            </w:tcBorders>
            <w:noWrap/>
            <w:vAlign w:val="bottom"/>
            <w:hideMark/>
          </w:tcPr>
          <w:p w14:paraId="319D8BD4"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(0.0130)</w:t>
            </w:r>
          </w:p>
        </w:tc>
        <w:tc>
          <w:tcPr>
            <w:tcW w:w="1524" w:type="dxa"/>
            <w:tcBorders>
              <w:top w:val="nil"/>
              <w:left w:val="nil"/>
              <w:bottom w:val="nil"/>
              <w:right w:val="nil"/>
            </w:tcBorders>
            <w:noWrap/>
            <w:vAlign w:val="bottom"/>
            <w:hideMark/>
          </w:tcPr>
          <w:p w14:paraId="040A1491"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(0.0130)</w:t>
            </w:r>
          </w:p>
        </w:tc>
        <w:tc>
          <w:tcPr>
            <w:tcW w:w="1669" w:type="dxa"/>
            <w:tcBorders>
              <w:top w:val="nil"/>
              <w:left w:val="nil"/>
              <w:bottom w:val="nil"/>
              <w:right w:val="nil"/>
            </w:tcBorders>
            <w:noWrap/>
            <w:vAlign w:val="bottom"/>
            <w:hideMark/>
          </w:tcPr>
          <w:p w14:paraId="11C3BC45"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(0.0129)</w:t>
            </w:r>
          </w:p>
        </w:tc>
        <w:tc>
          <w:tcPr>
            <w:tcW w:w="1530" w:type="dxa"/>
            <w:tcBorders>
              <w:top w:val="nil"/>
              <w:left w:val="nil"/>
              <w:bottom w:val="nil"/>
              <w:right w:val="nil"/>
            </w:tcBorders>
            <w:noWrap/>
            <w:vAlign w:val="bottom"/>
            <w:hideMark/>
          </w:tcPr>
          <w:p w14:paraId="1D1A626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(0.0128)</w:t>
            </w:r>
          </w:p>
        </w:tc>
        <w:tc>
          <w:tcPr>
            <w:tcW w:w="1573" w:type="dxa"/>
            <w:tcBorders>
              <w:top w:val="nil"/>
              <w:left w:val="nil"/>
              <w:bottom w:val="nil"/>
              <w:right w:val="nil"/>
            </w:tcBorders>
            <w:noWrap/>
            <w:vAlign w:val="bottom"/>
            <w:hideMark/>
          </w:tcPr>
          <w:p w14:paraId="183D0FBD"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(0.0129)</w:t>
            </w:r>
          </w:p>
        </w:tc>
      </w:tr>
      <w:tr w:rsidR="0057653B" w:rsidRPr="00910F92" w14:paraId="02BF27FE" w14:textId="77777777" w:rsidTr="0057653B">
        <w:trPr>
          <w:trHeight w:val="315"/>
        </w:trPr>
        <w:tc>
          <w:tcPr>
            <w:tcW w:w="3402" w:type="dxa"/>
            <w:tcBorders>
              <w:top w:val="nil"/>
              <w:left w:val="nil"/>
              <w:bottom w:val="nil"/>
              <w:right w:val="nil"/>
            </w:tcBorders>
            <w:noWrap/>
            <w:vAlign w:val="bottom"/>
            <w:hideMark/>
          </w:tcPr>
          <w:p w14:paraId="5CF8045A"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r w:rsidRPr="00910F92">
              <w:rPr>
                <w:rFonts w:ascii="Times New Roman" w:eastAsia="Times New Roman" w:hAnsi="Times New Roman" w:cs="Times New Roman"/>
                <w:b/>
                <w:bCs/>
                <w:color w:val="000000"/>
                <w:sz w:val="24"/>
                <w:szCs w:val="24"/>
                <w:lang w:eastAsia="fr-FR"/>
              </w:rPr>
              <w:t>Gender_Household_Head</w:t>
            </w:r>
          </w:p>
        </w:tc>
        <w:tc>
          <w:tcPr>
            <w:tcW w:w="1418" w:type="dxa"/>
            <w:tcBorders>
              <w:top w:val="nil"/>
              <w:left w:val="nil"/>
              <w:bottom w:val="nil"/>
              <w:right w:val="nil"/>
            </w:tcBorders>
            <w:noWrap/>
            <w:vAlign w:val="bottom"/>
            <w:hideMark/>
          </w:tcPr>
          <w:p w14:paraId="31CBCFA1"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72E932A5"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7748D801"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40938624"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669" w:type="dxa"/>
            <w:tcBorders>
              <w:top w:val="nil"/>
              <w:left w:val="nil"/>
              <w:bottom w:val="nil"/>
              <w:right w:val="nil"/>
            </w:tcBorders>
            <w:noWrap/>
            <w:vAlign w:val="bottom"/>
            <w:hideMark/>
          </w:tcPr>
          <w:p w14:paraId="768DDC94"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30" w:type="dxa"/>
            <w:tcBorders>
              <w:top w:val="nil"/>
              <w:left w:val="nil"/>
              <w:bottom w:val="nil"/>
              <w:right w:val="nil"/>
            </w:tcBorders>
            <w:noWrap/>
            <w:vAlign w:val="bottom"/>
            <w:hideMark/>
          </w:tcPr>
          <w:p w14:paraId="3B54213D"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73" w:type="dxa"/>
            <w:tcBorders>
              <w:top w:val="nil"/>
              <w:left w:val="nil"/>
              <w:bottom w:val="nil"/>
              <w:right w:val="nil"/>
            </w:tcBorders>
            <w:noWrap/>
            <w:vAlign w:val="bottom"/>
            <w:hideMark/>
          </w:tcPr>
          <w:p w14:paraId="258BE439"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r>
      <w:tr w:rsidR="0057653B" w:rsidRPr="00910F92" w14:paraId="324E9B7D" w14:textId="77777777" w:rsidTr="0057653B">
        <w:trPr>
          <w:trHeight w:val="315"/>
        </w:trPr>
        <w:tc>
          <w:tcPr>
            <w:tcW w:w="3402" w:type="dxa"/>
            <w:tcBorders>
              <w:top w:val="nil"/>
              <w:left w:val="nil"/>
              <w:bottom w:val="nil"/>
              <w:right w:val="nil"/>
            </w:tcBorders>
            <w:noWrap/>
            <w:vAlign w:val="bottom"/>
            <w:hideMark/>
          </w:tcPr>
          <w:p w14:paraId="7A6DE11C"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 xml:space="preserve"> Female</w:t>
            </w:r>
          </w:p>
        </w:tc>
        <w:tc>
          <w:tcPr>
            <w:tcW w:w="1418" w:type="dxa"/>
            <w:tcBorders>
              <w:top w:val="nil"/>
              <w:left w:val="nil"/>
              <w:bottom w:val="nil"/>
              <w:right w:val="nil"/>
            </w:tcBorders>
            <w:noWrap/>
            <w:vAlign w:val="bottom"/>
            <w:hideMark/>
          </w:tcPr>
          <w:p w14:paraId="6461E4F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bottom"/>
            <w:hideMark/>
          </w:tcPr>
          <w:p w14:paraId="1A99909B"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-0.0676***</w:t>
            </w:r>
          </w:p>
        </w:tc>
        <w:tc>
          <w:tcPr>
            <w:tcW w:w="1559" w:type="dxa"/>
            <w:tcBorders>
              <w:top w:val="nil"/>
              <w:left w:val="nil"/>
              <w:bottom w:val="nil"/>
              <w:right w:val="nil"/>
            </w:tcBorders>
            <w:noWrap/>
            <w:vAlign w:val="bottom"/>
            <w:hideMark/>
          </w:tcPr>
          <w:p w14:paraId="104D389E"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-0.0701***</w:t>
            </w:r>
          </w:p>
        </w:tc>
        <w:tc>
          <w:tcPr>
            <w:tcW w:w="1524" w:type="dxa"/>
            <w:tcBorders>
              <w:top w:val="nil"/>
              <w:left w:val="nil"/>
              <w:bottom w:val="nil"/>
              <w:right w:val="nil"/>
            </w:tcBorders>
            <w:noWrap/>
            <w:vAlign w:val="bottom"/>
            <w:hideMark/>
          </w:tcPr>
          <w:p w14:paraId="7D81C29D"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-0.0652***</w:t>
            </w:r>
          </w:p>
        </w:tc>
        <w:tc>
          <w:tcPr>
            <w:tcW w:w="1669" w:type="dxa"/>
            <w:tcBorders>
              <w:top w:val="nil"/>
              <w:left w:val="nil"/>
              <w:bottom w:val="nil"/>
              <w:right w:val="nil"/>
            </w:tcBorders>
            <w:noWrap/>
            <w:vAlign w:val="bottom"/>
            <w:hideMark/>
          </w:tcPr>
          <w:p w14:paraId="7613EA3B"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0.0355***</w:t>
            </w:r>
          </w:p>
        </w:tc>
        <w:tc>
          <w:tcPr>
            <w:tcW w:w="1530" w:type="dxa"/>
            <w:tcBorders>
              <w:top w:val="nil"/>
              <w:left w:val="nil"/>
              <w:bottom w:val="nil"/>
              <w:right w:val="nil"/>
            </w:tcBorders>
            <w:noWrap/>
            <w:vAlign w:val="bottom"/>
            <w:hideMark/>
          </w:tcPr>
          <w:p w14:paraId="750DDA88"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-0.0368***</w:t>
            </w:r>
          </w:p>
        </w:tc>
        <w:tc>
          <w:tcPr>
            <w:tcW w:w="1573" w:type="dxa"/>
            <w:tcBorders>
              <w:top w:val="nil"/>
              <w:left w:val="nil"/>
              <w:bottom w:val="nil"/>
              <w:right w:val="nil"/>
            </w:tcBorders>
            <w:noWrap/>
            <w:vAlign w:val="bottom"/>
            <w:hideMark/>
          </w:tcPr>
          <w:p w14:paraId="2F859269"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-0.0354***</w:t>
            </w:r>
          </w:p>
        </w:tc>
      </w:tr>
      <w:tr w:rsidR="0057653B" w:rsidRPr="00910F92" w14:paraId="6D169016" w14:textId="77777777" w:rsidTr="0057653B">
        <w:trPr>
          <w:trHeight w:val="315"/>
        </w:trPr>
        <w:tc>
          <w:tcPr>
            <w:tcW w:w="3402" w:type="dxa"/>
            <w:tcBorders>
              <w:top w:val="nil"/>
              <w:left w:val="nil"/>
              <w:bottom w:val="nil"/>
              <w:right w:val="nil"/>
            </w:tcBorders>
            <w:noWrap/>
            <w:vAlign w:val="bottom"/>
            <w:hideMark/>
          </w:tcPr>
          <w:p w14:paraId="0CAFDFFB"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418" w:type="dxa"/>
            <w:tcBorders>
              <w:top w:val="nil"/>
              <w:left w:val="nil"/>
              <w:bottom w:val="nil"/>
              <w:right w:val="nil"/>
            </w:tcBorders>
            <w:noWrap/>
            <w:vAlign w:val="bottom"/>
            <w:hideMark/>
          </w:tcPr>
          <w:p w14:paraId="5230644B"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25846F5C"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(0.00819)</w:t>
            </w:r>
          </w:p>
        </w:tc>
        <w:tc>
          <w:tcPr>
            <w:tcW w:w="1559" w:type="dxa"/>
            <w:tcBorders>
              <w:top w:val="nil"/>
              <w:left w:val="nil"/>
              <w:bottom w:val="nil"/>
              <w:right w:val="nil"/>
            </w:tcBorders>
            <w:noWrap/>
            <w:vAlign w:val="bottom"/>
            <w:hideMark/>
          </w:tcPr>
          <w:p w14:paraId="64B0D54A"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(0.00820)</w:t>
            </w:r>
          </w:p>
        </w:tc>
        <w:tc>
          <w:tcPr>
            <w:tcW w:w="1524" w:type="dxa"/>
            <w:tcBorders>
              <w:top w:val="nil"/>
              <w:left w:val="nil"/>
              <w:bottom w:val="nil"/>
              <w:right w:val="nil"/>
            </w:tcBorders>
            <w:noWrap/>
            <w:vAlign w:val="bottom"/>
            <w:hideMark/>
          </w:tcPr>
          <w:p w14:paraId="6EF372EA"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(0.00824)</w:t>
            </w:r>
          </w:p>
        </w:tc>
        <w:tc>
          <w:tcPr>
            <w:tcW w:w="1669" w:type="dxa"/>
            <w:tcBorders>
              <w:top w:val="nil"/>
              <w:left w:val="nil"/>
              <w:bottom w:val="nil"/>
              <w:right w:val="nil"/>
            </w:tcBorders>
            <w:noWrap/>
            <w:vAlign w:val="bottom"/>
            <w:hideMark/>
          </w:tcPr>
          <w:p w14:paraId="0C8C5E97"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(0.00849)</w:t>
            </w:r>
          </w:p>
        </w:tc>
        <w:tc>
          <w:tcPr>
            <w:tcW w:w="1530" w:type="dxa"/>
            <w:tcBorders>
              <w:top w:val="nil"/>
              <w:left w:val="nil"/>
              <w:bottom w:val="nil"/>
              <w:right w:val="nil"/>
            </w:tcBorders>
            <w:noWrap/>
            <w:vAlign w:val="bottom"/>
            <w:hideMark/>
          </w:tcPr>
          <w:p w14:paraId="001589C5"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(0.00757)</w:t>
            </w:r>
          </w:p>
        </w:tc>
        <w:tc>
          <w:tcPr>
            <w:tcW w:w="1573" w:type="dxa"/>
            <w:tcBorders>
              <w:top w:val="nil"/>
              <w:left w:val="nil"/>
              <w:bottom w:val="nil"/>
              <w:right w:val="nil"/>
            </w:tcBorders>
            <w:noWrap/>
            <w:vAlign w:val="bottom"/>
            <w:hideMark/>
          </w:tcPr>
          <w:p w14:paraId="555305E9"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(0.00755)</w:t>
            </w:r>
          </w:p>
        </w:tc>
      </w:tr>
      <w:tr w:rsidR="0057653B" w:rsidRPr="00910F92" w14:paraId="3C74DAAA" w14:textId="77777777" w:rsidTr="0057653B">
        <w:trPr>
          <w:trHeight w:val="315"/>
        </w:trPr>
        <w:tc>
          <w:tcPr>
            <w:tcW w:w="3402" w:type="dxa"/>
            <w:tcBorders>
              <w:top w:val="nil"/>
              <w:left w:val="nil"/>
              <w:bottom w:val="nil"/>
              <w:right w:val="nil"/>
            </w:tcBorders>
            <w:noWrap/>
            <w:vAlign w:val="bottom"/>
            <w:hideMark/>
          </w:tcPr>
          <w:p w14:paraId="15A29EAC"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r w:rsidRPr="00910F92">
              <w:rPr>
                <w:rFonts w:ascii="Times New Roman" w:eastAsia="Times New Roman" w:hAnsi="Times New Roman" w:cs="Times New Roman"/>
                <w:b/>
                <w:bCs/>
                <w:color w:val="000000"/>
                <w:sz w:val="24"/>
                <w:szCs w:val="24"/>
                <w:lang w:eastAsia="fr-FR"/>
              </w:rPr>
              <w:t>Age_Household_Head</w:t>
            </w:r>
          </w:p>
        </w:tc>
        <w:tc>
          <w:tcPr>
            <w:tcW w:w="1418" w:type="dxa"/>
            <w:tcBorders>
              <w:top w:val="nil"/>
              <w:left w:val="nil"/>
              <w:bottom w:val="nil"/>
              <w:right w:val="nil"/>
            </w:tcBorders>
            <w:noWrap/>
            <w:vAlign w:val="bottom"/>
            <w:hideMark/>
          </w:tcPr>
          <w:p w14:paraId="1AADD792"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1A33C087"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4E6DAF44"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0.00126***</w:t>
            </w:r>
          </w:p>
        </w:tc>
        <w:tc>
          <w:tcPr>
            <w:tcW w:w="1524" w:type="dxa"/>
            <w:tcBorders>
              <w:top w:val="nil"/>
              <w:left w:val="nil"/>
              <w:bottom w:val="nil"/>
              <w:right w:val="nil"/>
            </w:tcBorders>
            <w:noWrap/>
            <w:vAlign w:val="bottom"/>
            <w:hideMark/>
          </w:tcPr>
          <w:p w14:paraId="60E9B4B1"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0.00998***</w:t>
            </w:r>
          </w:p>
        </w:tc>
        <w:tc>
          <w:tcPr>
            <w:tcW w:w="1669" w:type="dxa"/>
            <w:tcBorders>
              <w:top w:val="nil"/>
              <w:left w:val="nil"/>
              <w:bottom w:val="nil"/>
              <w:right w:val="nil"/>
            </w:tcBorders>
            <w:noWrap/>
            <w:vAlign w:val="bottom"/>
            <w:hideMark/>
          </w:tcPr>
          <w:p w14:paraId="00C5E73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0.00942***</w:t>
            </w:r>
          </w:p>
        </w:tc>
        <w:tc>
          <w:tcPr>
            <w:tcW w:w="1530" w:type="dxa"/>
            <w:tcBorders>
              <w:top w:val="nil"/>
              <w:left w:val="nil"/>
              <w:bottom w:val="nil"/>
              <w:right w:val="nil"/>
            </w:tcBorders>
            <w:noWrap/>
            <w:vAlign w:val="bottom"/>
            <w:hideMark/>
          </w:tcPr>
          <w:p w14:paraId="4343AE3A"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0.00897***</w:t>
            </w:r>
          </w:p>
        </w:tc>
        <w:tc>
          <w:tcPr>
            <w:tcW w:w="1573" w:type="dxa"/>
            <w:tcBorders>
              <w:top w:val="nil"/>
              <w:left w:val="nil"/>
              <w:bottom w:val="nil"/>
              <w:right w:val="nil"/>
            </w:tcBorders>
            <w:noWrap/>
            <w:vAlign w:val="bottom"/>
            <w:hideMark/>
          </w:tcPr>
          <w:p w14:paraId="167FB5F9"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0.00905***</w:t>
            </w:r>
          </w:p>
        </w:tc>
      </w:tr>
      <w:tr w:rsidR="0057653B" w:rsidRPr="00910F92" w14:paraId="11802ED2" w14:textId="77777777" w:rsidTr="0057653B">
        <w:trPr>
          <w:trHeight w:val="315"/>
        </w:trPr>
        <w:tc>
          <w:tcPr>
            <w:tcW w:w="3402" w:type="dxa"/>
            <w:tcBorders>
              <w:top w:val="nil"/>
              <w:left w:val="nil"/>
              <w:bottom w:val="nil"/>
              <w:right w:val="nil"/>
            </w:tcBorders>
            <w:noWrap/>
            <w:vAlign w:val="bottom"/>
            <w:hideMark/>
          </w:tcPr>
          <w:p w14:paraId="69F570FD"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418" w:type="dxa"/>
            <w:tcBorders>
              <w:top w:val="nil"/>
              <w:left w:val="nil"/>
              <w:bottom w:val="nil"/>
              <w:right w:val="nil"/>
            </w:tcBorders>
            <w:noWrap/>
            <w:vAlign w:val="bottom"/>
            <w:hideMark/>
          </w:tcPr>
          <w:p w14:paraId="07FC93D2"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7FBFA711"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767937D3"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(0.000256)</w:t>
            </w:r>
          </w:p>
        </w:tc>
        <w:tc>
          <w:tcPr>
            <w:tcW w:w="1524" w:type="dxa"/>
            <w:tcBorders>
              <w:top w:val="nil"/>
              <w:left w:val="nil"/>
              <w:bottom w:val="nil"/>
              <w:right w:val="nil"/>
            </w:tcBorders>
            <w:noWrap/>
            <w:vAlign w:val="bottom"/>
            <w:hideMark/>
          </w:tcPr>
          <w:p w14:paraId="235F953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(0.00144)</w:t>
            </w:r>
          </w:p>
        </w:tc>
        <w:tc>
          <w:tcPr>
            <w:tcW w:w="1669" w:type="dxa"/>
            <w:tcBorders>
              <w:top w:val="nil"/>
              <w:left w:val="nil"/>
              <w:bottom w:val="nil"/>
              <w:right w:val="nil"/>
            </w:tcBorders>
            <w:noWrap/>
            <w:vAlign w:val="bottom"/>
            <w:hideMark/>
          </w:tcPr>
          <w:p w14:paraId="24EC0053"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(0.00140)</w:t>
            </w:r>
          </w:p>
        </w:tc>
        <w:tc>
          <w:tcPr>
            <w:tcW w:w="1530" w:type="dxa"/>
            <w:tcBorders>
              <w:top w:val="nil"/>
              <w:left w:val="nil"/>
              <w:bottom w:val="nil"/>
              <w:right w:val="nil"/>
            </w:tcBorders>
            <w:noWrap/>
            <w:vAlign w:val="bottom"/>
            <w:hideMark/>
          </w:tcPr>
          <w:p w14:paraId="0CD5437A"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(0.00124)</w:t>
            </w:r>
          </w:p>
        </w:tc>
        <w:tc>
          <w:tcPr>
            <w:tcW w:w="1573" w:type="dxa"/>
            <w:tcBorders>
              <w:top w:val="nil"/>
              <w:left w:val="nil"/>
              <w:bottom w:val="nil"/>
              <w:right w:val="nil"/>
            </w:tcBorders>
            <w:noWrap/>
            <w:vAlign w:val="bottom"/>
            <w:hideMark/>
          </w:tcPr>
          <w:p w14:paraId="6C8A523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(0.00123)</w:t>
            </w:r>
          </w:p>
        </w:tc>
      </w:tr>
      <w:tr w:rsidR="0057653B" w:rsidRPr="00910F92" w14:paraId="25A1171B" w14:textId="77777777" w:rsidTr="0057653B">
        <w:trPr>
          <w:trHeight w:val="315"/>
        </w:trPr>
        <w:tc>
          <w:tcPr>
            <w:tcW w:w="3402" w:type="dxa"/>
            <w:tcBorders>
              <w:top w:val="nil"/>
              <w:left w:val="nil"/>
              <w:bottom w:val="nil"/>
              <w:right w:val="nil"/>
            </w:tcBorders>
            <w:noWrap/>
            <w:vAlign w:val="bottom"/>
            <w:hideMark/>
          </w:tcPr>
          <w:p w14:paraId="7D90DC11"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r w:rsidRPr="00910F92">
              <w:rPr>
                <w:rFonts w:ascii="Times New Roman" w:eastAsia="Times New Roman" w:hAnsi="Times New Roman" w:cs="Times New Roman"/>
                <w:b/>
                <w:bCs/>
                <w:color w:val="000000"/>
                <w:sz w:val="24"/>
                <w:szCs w:val="24"/>
                <w:lang w:eastAsia="fr-FR"/>
              </w:rPr>
              <w:t>Age_Household_Head</w:t>
            </w:r>
            <w:r w:rsidR="00FE3A33">
              <w:rPr>
                <w:rFonts w:ascii="Times New Roman" w:eastAsia="Times New Roman" w:hAnsi="Times New Roman" w:cs="Times New Roman"/>
                <w:b/>
                <w:bCs/>
                <w:color w:val="000000"/>
                <w:sz w:val="24"/>
                <w:szCs w:val="24"/>
                <w:lang w:eastAsia="fr-FR"/>
              </w:rPr>
              <w:t>^</w:t>
            </w:r>
            <w:r w:rsidRPr="00910F92">
              <w:rPr>
                <w:rFonts w:ascii="Times New Roman" w:eastAsia="Times New Roman" w:hAnsi="Times New Roman" w:cs="Times New Roman"/>
                <w:b/>
                <w:bCs/>
                <w:color w:val="000000"/>
                <w:sz w:val="24"/>
                <w:szCs w:val="24"/>
                <w:lang w:eastAsia="fr-FR"/>
              </w:rPr>
              <w:t>2</w:t>
            </w:r>
          </w:p>
        </w:tc>
        <w:tc>
          <w:tcPr>
            <w:tcW w:w="1418" w:type="dxa"/>
            <w:tcBorders>
              <w:top w:val="nil"/>
              <w:left w:val="nil"/>
              <w:bottom w:val="nil"/>
              <w:right w:val="nil"/>
            </w:tcBorders>
            <w:noWrap/>
            <w:vAlign w:val="bottom"/>
            <w:hideMark/>
          </w:tcPr>
          <w:p w14:paraId="395777B4"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6B981439"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444CB4C2"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4DBF5F9A"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-9.36e-05***</w:t>
            </w:r>
          </w:p>
        </w:tc>
        <w:tc>
          <w:tcPr>
            <w:tcW w:w="1669" w:type="dxa"/>
            <w:tcBorders>
              <w:top w:val="nil"/>
              <w:left w:val="nil"/>
              <w:bottom w:val="nil"/>
              <w:right w:val="nil"/>
            </w:tcBorders>
            <w:noWrap/>
            <w:vAlign w:val="bottom"/>
            <w:hideMark/>
          </w:tcPr>
          <w:p w14:paraId="41C36AB7"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-6.62e-05***</w:t>
            </w:r>
          </w:p>
        </w:tc>
        <w:tc>
          <w:tcPr>
            <w:tcW w:w="1530" w:type="dxa"/>
            <w:tcBorders>
              <w:top w:val="nil"/>
              <w:left w:val="nil"/>
              <w:bottom w:val="nil"/>
              <w:right w:val="nil"/>
            </w:tcBorders>
            <w:noWrap/>
            <w:vAlign w:val="bottom"/>
            <w:hideMark/>
          </w:tcPr>
          <w:p w14:paraId="00E1CB2C"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-7.41e-05***</w:t>
            </w:r>
          </w:p>
        </w:tc>
        <w:tc>
          <w:tcPr>
            <w:tcW w:w="1573" w:type="dxa"/>
            <w:tcBorders>
              <w:top w:val="nil"/>
              <w:left w:val="nil"/>
              <w:bottom w:val="nil"/>
              <w:right w:val="nil"/>
            </w:tcBorders>
            <w:noWrap/>
            <w:vAlign w:val="bottom"/>
            <w:hideMark/>
          </w:tcPr>
          <w:p w14:paraId="713BFE8B"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-7.49e-05***</w:t>
            </w:r>
          </w:p>
        </w:tc>
      </w:tr>
      <w:tr w:rsidR="0057653B" w:rsidRPr="00910F92" w14:paraId="50DE37BD" w14:textId="77777777" w:rsidTr="0057653B">
        <w:trPr>
          <w:trHeight w:val="315"/>
        </w:trPr>
        <w:tc>
          <w:tcPr>
            <w:tcW w:w="3402" w:type="dxa"/>
            <w:tcBorders>
              <w:top w:val="nil"/>
              <w:left w:val="nil"/>
              <w:bottom w:val="nil"/>
              <w:right w:val="nil"/>
            </w:tcBorders>
            <w:noWrap/>
            <w:vAlign w:val="bottom"/>
            <w:hideMark/>
          </w:tcPr>
          <w:p w14:paraId="3000288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418" w:type="dxa"/>
            <w:tcBorders>
              <w:top w:val="nil"/>
              <w:left w:val="nil"/>
              <w:bottom w:val="nil"/>
              <w:right w:val="nil"/>
            </w:tcBorders>
            <w:noWrap/>
            <w:vAlign w:val="bottom"/>
            <w:hideMark/>
          </w:tcPr>
          <w:p w14:paraId="111F5B9F"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7B0AAC6A"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63854D8D"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0BFCFB8F"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(1.52e-05)</w:t>
            </w:r>
          </w:p>
        </w:tc>
        <w:tc>
          <w:tcPr>
            <w:tcW w:w="1669" w:type="dxa"/>
            <w:tcBorders>
              <w:top w:val="nil"/>
              <w:left w:val="nil"/>
              <w:bottom w:val="nil"/>
              <w:right w:val="nil"/>
            </w:tcBorders>
            <w:noWrap/>
            <w:vAlign w:val="bottom"/>
            <w:hideMark/>
          </w:tcPr>
          <w:p w14:paraId="034B4E8E"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(1.48e-05)</w:t>
            </w:r>
          </w:p>
        </w:tc>
        <w:tc>
          <w:tcPr>
            <w:tcW w:w="1530" w:type="dxa"/>
            <w:tcBorders>
              <w:top w:val="nil"/>
              <w:left w:val="nil"/>
              <w:bottom w:val="nil"/>
              <w:right w:val="nil"/>
            </w:tcBorders>
            <w:noWrap/>
            <w:vAlign w:val="bottom"/>
            <w:hideMark/>
          </w:tcPr>
          <w:p w14:paraId="7B115A80"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(1.31e-05)</w:t>
            </w:r>
          </w:p>
        </w:tc>
        <w:tc>
          <w:tcPr>
            <w:tcW w:w="1573" w:type="dxa"/>
            <w:tcBorders>
              <w:top w:val="nil"/>
              <w:left w:val="nil"/>
              <w:bottom w:val="nil"/>
              <w:right w:val="nil"/>
            </w:tcBorders>
            <w:noWrap/>
            <w:vAlign w:val="bottom"/>
            <w:hideMark/>
          </w:tcPr>
          <w:p w14:paraId="63C9D431"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(1.31e-05)</w:t>
            </w:r>
          </w:p>
        </w:tc>
      </w:tr>
      <w:tr w:rsidR="0057653B" w:rsidRPr="00910F92" w14:paraId="0EA30339" w14:textId="77777777" w:rsidTr="0057653B">
        <w:trPr>
          <w:trHeight w:val="315"/>
        </w:trPr>
        <w:tc>
          <w:tcPr>
            <w:tcW w:w="3402" w:type="dxa"/>
            <w:tcBorders>
              <w:top w:val="nil"/>
              <w:left w:val="nil"/>
              <w:bottom w:val="nil"/>
              <w:right w:val="nil"/>
            </w:tcBorders>
            <w:noWrap/>
            <w:vAlign w:val="bottom"/>
            <w:hideMark/>
          </w:tcPr>
          <w:p w14:paraId="780D22A0"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r w:rsidRPr="00910F92">
              <w:rPr>
                <w:rFonts w:ascii="Times New Roman" w:eastAsia="Times New Roman" w:hAnsi="Times New Roman" w:cs="Times New Roman"/>
                <w:b/>
                <w:bCs/>
                <w:color w:val="000000"/>
                <w:sz w:val="24"/>
                <w:szCs w:val="24"/>
                <w:lang w:eastAsia="fr-FR"/>
              </w:rPr>
              <w:t>Education_Household_Head</w:t>
            </w:r>
          </w:p>
        </w:tc>
        <w:tc>
          <w:tcPr>
            <w:tcW w:w="1418" w:type="dxa"/>
            <w:tcBorders>
              <w:top w:val="nil"/>
              <w:left w:val="nil"/>
              <w:bottom w:val="nil"/>
              <w:right w:val="nil"/>
            </w:tcBorders>
            <w:noWrap/>
            <w:vAlign w:val="bottom"/>
            <w:hideMark/>
          </w:tcPr>
          <w:p w14:paraId="2AF65394"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46F12D8E"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2D6D83CB"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5D65C91A"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669" w:type="dxa"/>
            <w:tcBorders>
              <w:top w:val="nil"/>
              <w:left w:val="nil"/>
              <w:bottom w:val="nil"/>
              <w:right w:val="nil"/>
            </w:tcBorders>
            <w:noWrap/>
            <w:vAlign w:val="bottom"/>
            <w:hideMark/>
          </w:tcPr>
          <w:p w14:paraId="24E0D9CA"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30" w:type="dxa"/>
            <w:tcBorders>
              <w:top w:val="nil"/>
              <w:left w:val="nil"/>
              <w:bottom w:val="nil"/>
              <w:right w:val="nil"/>
            </w:tcBorders>
            <w:noWrap/>
            <w:vAlign w:val="bottom"/>
            <w:hideMark/>
          </w:tcPr>
          <w:p w14:paraId="610FF113"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73" w:type="dxa"/>
            <w:tcBorders>
              <w:top w:val="nil"/>
              <w:left w:val="nil"/>
              <w:bottom w:val="nil"/>
              <w:right w:val="nil"/>
            </w:tcBorders>
            <w:noWrap/>
            <w:vAlign w:val="bottom"/>
            <w:hideMark/>
          </w:tcPr>
          <w:p w14:paraId="3BA045D0"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r>
      <w:tr w:rsidR="0057653B" w:rsidRPr="00910F92" w14:paraId="7FEDF343" w14:textId="77777777" w:rsidTr="0057653B">
        <w:trPr>
          <w:trHeight w:val="315"/>
        </w:trPr>
        <w:tc>
          <w:tcPr>
            <w:tcW w:w="3402" w:type="dxa"/>
            <w:tcBorders>
              <w:top w:val="nil"/>
              <w:left w:val="nil"/>
              <w:bottom w:val="nil"/>
              <w:right w:val="nil"/>
            </w:tcBorders>
            <w:noWrap/>
            <w:vAlign w:val="bottom"/>
            <w:hideMark/>
          </w:tcPr>
          <w:p w14:paraId="1EBF6033"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Primaire</w:t>
            </w:r>
          </w:p>
        </w:tc>
        <w:tc>
          <w:tcPr>
            <w:tcW w:w="1418" w:type="dxa"/>
            <w:tcBorders>
              <w:top w:val="nil"/>
              <w:left w:val="nil"/>
              <w:bottom w:val="nil"/>
              <w:right w:val="nil"/>
            </w:tcBorders>
            <w:noWrap/>
            <w:vAlign w:val="bottom"/>
            <w:hideMark/>
          </w:tcPr>
          <w:p w14:paraId="2EDA4ABD"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bottom"/>
            <w:hideMark/>
          </w:tcPr>
          <w:p w14:paraId="0771EFB5"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3905AB53"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298A6E50"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669" w:type="dxa"/>
            <w:tcBorders>
              <w:top w:val="nil"/>
              <w:left w:val="nil"/>
              <w:bottom w:val="nil"/>
              <w:right w:val="nil"/>
            </w:tcBorders>
            <w:noWrap/>
            <w:vAlign w:val="bottom"/>
            <w:hideMark/>
          </w:tcPr>
          <w:p w14:paraId="3EB6C0C3"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0.0853***</w:t>
            </w:r>
          </w:p>
        </w:tc>
        <w:tc>
          <w:tcPr>
            <w:tcW w:w="1530" w:type="dxa"/>
            <w:tcBorders>
              <w:top w:val="nil"/>
              <w:left w:val="nil"/>
              <w:bottom w:val="nil"/>
              <w:right w:val="nil"/>
            </w:tcBorders>
            <w:noWrap/>
            <w:vAlign w:val="bottom"/>
            <w:hideMark/>
          </w:tcPr>
          <w:p w14:paraId="040DE08B"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0.0475***</w:t>
            </w:r>
          </w:p>
        </w:tc>
        <w:tc>
          <w:tcPr>
            <w:tcW w:w="1573" w:type="dxa"/>
            <w:tcBorders>
              <w:top w:val="nil"/>
              <w:left w:val="nil"/>
              <w:bottom w:val="nil"/>
              <w:right w:val="nil"/>
            </w:tcBorders>
            <w:noWrap/>
            <w:vAlign w:val="bottom"/>
            <w:hideMark/>
          </w:tcPr>
          <w:p w14:paraId="236BF6F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0.0483***</w:t>
            </w:r>
          </w:p>
        </w:tc>
      </w:tr>
      <w:tr w:rsidR="0057653B" w:rsidRPr="00910F92" w14:paraId="7DBCD87C" w14:textId="77777777" w:rsidTr="0057653B">
        <w:trPr>
          <w:trHeight w:val="315"/>
        </w:trPr>
        <w:tc>
          <w:tcPr>
            <w:tcW w:w="3402" w:type="dxa"/>
            <w:tcBorders>
              <w:top w:val="nil"/>
              <w:left w:val="nil"/>
              <w:bottom w:val="nil"/>
              <w:right w:val="nil"/>
            </w:tcBorders>
            <w:noWrap/>
            <w:vAlign w:val="bottom"/>
            <w:hideMark/>
          </w:tcPr>
          <w:p w14:paraId="669A3E8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418" w:type="dxa"/>
            <w:tcBorders>
              <w:top w:val="nil"/>
              <w:left w:val="nil"/>
              <w:bottom w:val="nil"/>
              <w:right w:val="nil"/>
            </w:tcBorders>
            <w:noWrap/>
            <w:vAlign w:val="bottom"/>
            <w:hideMark/>
          </w:tcPr>
          <w:p w14:paraId="465CF417"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770D01A6"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490541B4"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69B66EBB"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669" w:type="dxa"/>
            <w:tcBorders>
              <w:top w:val="nil"/>
              <w:left w:val="nil"/>
              <w:bottom w:val="nil"/>
              <w:right w:val="nil"/>
            </w:tcBorders>
            <w:noWrap/>
            <w:vAlign w:val="bottom"/>
            <w:hideMark/>
          </w:tcPr>
          <w:p w14:paraId="16C2DBB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(0.0112)</w:t>
            </w:r>
          </w:p>
        </w:tc>
        <w:tc>
          <w:tcPr>
            <w:tcW w:w="1530" w:type="dxa"/>
            <w:tcBorders>
              <w:top w:val="nil"/>
              <w:left w:val="nil"/>
              <w:bottom w:val="nil"/>
              <w:right w:val="nil"/>
            </w:tcBorders>
            <w:noWrap/>
            <w:vAlign w:val="bottom"/>
            <w:hideMark/>
          </w:tcPr>
          <w:p w14:paraId="4C72F46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(0.00990)</w:t>
            </w:r>
          </w:p>
        </w:tc>
        <w:tc>
          <w:tcPr>
            <w:tcW w:w="1573" w:type="dxa"/>
            <w:tcBorders>
              <w:top w:val="nil"/>
              <w:left w:val="nil"/>
              <w:bottom w:val="nil"/>
              <w:right w:val="nil"/>
            </w:tcBorders>
            <w:noWrap/>
            <w:vAlign w:val="bottom"/>
            <w:hideMark/>
          </w:tcPr>
          <w:p w14:paraId="711640B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(0.00987)</w:t>
            </w:r>
          </w:p>
        </w:tc>
      </w:tr>
      <w:tr w:rsidR="0057653B" w:rsidRPr="00910F92" w14:paraId="3FE94F99" w14:textId="77777777" w:rsidTr="0057653B">
        <w:trPr>
          <w:trHeight w:val="315"/>
        </w:trPr>
        <w:tc>
          <w:tcPr>
            <w:tcW w:w="3402" w:type="dxa"/>
            <w:tcBorders>
              <w:top w:val="nil"/>
              <w:left w:val="nil"/>
              <w:bottom w:val="nil"/>
              <w:right w:val="nil"/>
            </w:tcBorders>
            <w:noWrap/>
            <w:vAlign w:val="bottom"/>
            <w:hideMark/>
          </w:tcPr>
          <w:p w14:paraId="50C9F59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 xml:space="preserve">Secondaire  et plus </w:t>
            </w:r>
          </w:p>
        </w:tc>
        <w:tc>
          <w:tcPr>
            <w:tcW w:w="1418" w:type="dxa"/>
            <w:tcBorders>
              <w:top w:val="nil"/>
              <w:left w:val="nil"/>
              <w:bottom w:val="nil"/>
              <w:right w:val="nil"/>
            </w:tcBorders>
            <w:noWrap/>
            <w:vAlign w:val="bottom"/>
            <w:hideMark/>
          </w:tcPr>
          <w:p w14:paraId="6EDECADC"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bottom"/>
            <w:hideMark/>
          </w:tcPr>
          <w:p w14:paraId="74195E8B"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0C4CE7D2"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7D66175C"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669" w:type="dxa"/>
            <w:tcBorders>
              <w:top w:val="nil"/>
              <w:left w:val="nil"/>
              <w:bottom w:val="nil"/>
              <w:right w:val="nil"/>
            </w:tcBorders>
            <w:noWrap/>
            <w:vAlign w:val="bottom"/>
            <w:hideMark/>
          </w:tcPr>
          <w:p w14:paraId="509B2DD7"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0.340***</w:t>
            </w:r>
          </w:p>
        </w:tc>
        <w:tc>
          <w:tcPr>
            <w:tcW w:w="1530" w:type="dxa"/>
            <w:tcBorders>
              <w:top w:val="nil"/>
              <w:left w:val="nil"/>
              <w:bottom w:val="nil"/>
              <w:right w:val="nil"/>
            </w:tcBorders>
            <w:noWrap/>
            <w:vAlign w:val="bottom"/>
            <w:hideMark/>
          </w:tcPr>
          <w:p w14:paraId="6C3A700A"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0.193***</w:t>
            </w:r>
          </w:p>
        </w:tc>
        <w:tc>
          <w:tcPr>
            <w:tcW w:w="1573" w:type="dxa"/>
            <w:tcBorders>
              <w:top w:val="nil"/>
              <w:left w:val="nil"/>
              <w:bottom w:val="nil"/>
              <w:right w:val="nil"/>
            </w:tcBorders>
            <w:noWrap/>
            <w:vAlign w:val="bottom"/>
            <w:hideMark/>
          </w:tcPr>
          <w:p w14:paraId="18E90ECB"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0.194***</w:t>
            </w:r>
          </w:p>
        </w:tc>
      </w:tr>
      <w:tr w:rsidR="0057653B" w:rsidRPr="00910F92" w14:paraId="65A4E4C9" w14:textId="77777777" w:rsidTr="0057653B">
        <w:trPr>
          <w:trHeight w:val="315"/>
        </w:trPr>
        <w:tc>
          <w:tcPr>
            <w:tcW w:w="3402" w:type="dxa"/>
            <w:tcBorders>
              <w:top w:val="nil"/>
              <w:left w:val="nil"/>
              <w:bottom w:val="nil"/>
              <w:right w:val="nil"/>
            </w:tcBorders>
            <w:noWrap/>
            <w:vAlign w:val="bottom"/>
            <w:hideMark/>
          </w:tcPr>
          <w:p w14:paraId="749F6FDA"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418" w:type="dxa"/>
            <w:tcBorders>
              <w:top w:val="nil"/>
              <w:left w:val="nil"/>
              <w:bottom w:val="nil"/>
              <w:right w:val="nil"/>
            </w:tcBorders>
            <w:noWrap/>
            <w:vAlign w:val="bottom"/>
            <w:hideMark/>
          </w:tcPr>
          <w:p w14:paraId="23930525"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5A391529"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5AEDB2FD"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6BF87FBB"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669" w:type="dxa"/>
            <w:tcBorders>
              <w:top w:val="nil"/>
              <w:left w:val="nil"/>
              <w:bottom w:val="nil"/>
              <w:right w:val="nil"/>
            </w:tcBorders>
            <w:noWrap/>
            <w:vAlign w:val="bottom"/>
            <w:hideMark/>
          </w:tcPr>
          <w:p w14:paraId="3749116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(0.0110)</w:t>
            </w:r>
          </w:p>
        </w:tc>
        <w:tc>
          <w:tcPr>
            <w:tcW w:w="1530" w:type="dxa"/>
            <w:tcBorders>
              <w:top w:val="nil"/>
              <w:left w:val="nil"/>
              <w:bottom w:val="nil"/>
              <w:right w:val="nil"/>
            </w:tcBorders>
            <w:noWrap/>
            <w:vAlign w:val="bottom"/>
            <w:hideMark/>
          </w:tcPr>
          <w:p w14:paraId="092CBE89"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(0.00992)</w:t>
            </w:r>
          </w:p>
        </w:tc>
        <w:tc>
          <w:tcPr>
            <w:tcW w:w="1573" w:type="dxa"/>
            <w:tcBorders>
              <w:top w:val="nil"/>
              <w:left w:val="nil"/>
              <w:bottom w:val="nil"/>
              <w:right w:val="nil"/>
            </w:tcBorders>
            <w:noWrap/>
            <w:vAlign w:val="bottom"/>
            <w:hideMark/>
          </w:tcPr>
          <w:p w14:paraId="149650C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(0.00989)</w:t>
            </w:r>
          </w:p>
        </w:tc>
      </w:tr>
      <w:tr w:rsidR="0057653B" w:rsidRPr="00910F92" w14:paraId="7B7AB055" w14:textId="77777777" w:rsidTr="0057653B">
        <w:trPr>
          <w:trHeight w:val="315"/>
        </w:trPr>
        <w:tc>
          <w:tcPr>
            <w:tcW w:w="3402" w:type="dxa"/>
            <w:tcBorders>
              <w:top w:val="nil"/>
              <w:left w:val="nil"/>
              <w:bottom w:val="nil"/>
              <w:right w:val="nil"/>
            </w:tcBorders>
            <w:noWrap/>
            <w:vAlign w:val="bottom"/>
            <w:hideMark/>
          </w:tcPr>
          <w:p w14:paraId="01E9E9B6"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r w:rsidRPr="00910F92">
              <w:rPr>
                <w:rFonts w:ascii="Times New Roman" w:eastAsia="Times New Roman" w:hAnsi="Times New Roman" w:cs="Times New Roman"/>
                <w:b/>
                <w:bCs/>
                <w:color w:val="000000"/>
                <w:sz w:val="24"/>
                <w:szCs w:val="24"/>
                <w:lang w:eastAsia="fr-FR"/>
              </w:rPr>
              <w:t>Place_Residence</w:t>
            </w:r>
          </w:p>
        </w:tc>
        <w:tc>
          <w:tcPr>
            <w:tcW w:w="1418" w:type="dxa"/>
            <w:tcBorders>
              <w:top w:val="nil"/>
              <w:left w:val="nil"/>
              <w:bottom w:val="nil"/>
              <w:right w:val="nil"/>
            </w:tcBorders>
            <w:noWrap/>
            <w:vAlign w:val="bottom"/>
            <w:hideMark/>
          </w:tcPr>
          <w:p w14:paraId="05B793CF"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6EAE1183"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26E2D0F5"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667713CE"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669" w:type="dxa"/>
            <w:tcBorders>
              <w:top w:val="nil"/>
              <w:left w:val="nil"/>
              <w:bottom w:val="nil"/>
              <w:right w:val="nil"/>
            </w:tcBorders>
            <w:noWrap/>
            <w:vAlign w:val="bottom"/>
            <w:hideMark/>
          </w:tcPr>
          <w:p w14:paraId="013FA6A6"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30" w:type="dxa"/>
            <w:tcBorders>
              <w:top w:val="nil"/>
              <w:left w:val="nil"/>
              <w:bottom w:val="nil"/>
              <w:right w:val="nil"/>
            </w:tcBorders>
            <w:noWrap/>
            <w:vAlign w:val="bottom"/>
            <w:hideMark/>
          </w:tcPr>
          <w:p w14:paraId="01E8D57F"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73" w:type="dxa"/>
            <w:tcBorders>
              <w:top w:val="nil"/>
              <w:left w:val="nil"/>
              <w:bottom w:val="nil"/>
              <w:right w:val="nil"/>
            </w:tcBorders>
            <w:noWrap/>
            <w:vAlign w:val="bottom"/>
            <w:hideMark/>
          </w:tcPr>
          <w:p w14:paraId="5C531C8A"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r>
      <w:tr w:rsidR="0057653B" w:rsidRPr="00910F92" w14:paraId="10095C18" w14:textId="77777777" w:rsidTr="0057653B">
        <w:trPr>
          <w:trHeight w:val="315"/>
        </w:trPr>
        <w:tc>
          <w:tcPr>
            <w:tcW w:w="3402" w:type="dxa"/>
            <w:tcBorders>
              <w:top w:val="nil"/>
              <w:left w:val="nil"/>
              <w:bottom w:val="nil"/>
              <w:right w:val="nil"/>
            </w:tcBorders>
            <w:noWrap/>
            <w:vAlign w:val="bottom"/>
            <w:hideMark/>
          </w:tcPr>
          <w:p w14:paraId="2CCBA870"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Urban</w:t>
            </w:r>
          </w:p>
        </w:tc>
        <w:tc>
          <w:tcPr>
            <w:tcW w:w="1418" w:type="dxa"/>
            <w:tcBorders>
              <w:top w:val="nil"/>
              <w:left w:val="nil"/>
              <w:bottom w:val="nil"/>
              <w:right w:val="nil"/>
            </w:tcBorders>
            <w:noWrap/>
            <w:vAlign w:val="bottom"/>
            <w:hideMark/>
          </w:tcPr>
          <w:p w14:paraId="1C099865"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bottom"/>
            <w:hideMark/>
          </w:tcPr>
          <w:p w14:paraId="37282E03"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1B7A0255"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32B8372B"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669" w:type="dxa"/>
            <w:tcBorders>
              <w:top w:val="nil"/>
              <w:left w:val="nil"/>
              <w:bottom w:val="nil"/>
              <w:right w:val="nil"/>
            </w:tcBorders>
            <w:noWrap/>
            <w:vAlign w:val="bottom"/>
            <w:hideMark/>
          </w:tcPr>
          <w:p w14:paraId="6029409D"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30" w:type="dxa"/>
            <w:tcBorders>
              <w:top w:val="nil"/>
              <w:left w:val="nil"/>
              <w:bottom w:val="nil"/>
              <w:right w:val="nil"/>
            </w:tcBorders>
            <w:noWrap/>
            <w:vAlign w:val="bottom"/>
            <w:hideMark/>
          </w:tcPr>
          <w:p w14:paraId="29A0B8A1"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-0.621***</w:t>
            </w:r>
          </w:p>
        </w:tc>
        <w:tc>
          <w:tcPr>
            <w:tcW w:w="1573" w:type="dxa"/>
            <w:tcBorders>
              <w:top w:val="nil"/>
              <w:left w:val="nil"/>
              <w:bottom w:val="nil"/>
              <w:right w:val="nil"/>
            </w:tcBorders>
            <w:noWrap/>
            <w:vAlign w:val="bottom"/>
            <w:hideMark/>
          </w:tcPr>
          <w:p w14:paraId="15D7BA0E"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-0.612***</w:t>
            </w:r>
          </w:p>
        </w:tc>
      </w:tr>
      <w:tr w:rsidR="0057653B" w:rsidRPr="00910F92" w14:paraId="4817E835" w14:textId="77777777" w:rsidTr="0057653B">
        <w:trPr>
          <w:trHeight w:val="315"/>
        </w:trPr>
        <w:tc>
          <w:tcPr>
            <w:tcW w:w="3402" w:type="dxa"/>
            <w:tcBorders>
              <w:top w:val="nil"/>
              <w:left w:val="nil"/>
              <w:bottom w:val="nil"/>
              <w:right w:val="nil"/>
            </w:tcBorders>
            <w:noWrap/>
            <w:vAlign w:val="bottom"/>
            <w:hideMark/>
          </w:tcPr>
          <w:p w14:paraId="521EB040"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418" w:type="dxa"/>
            <w:tcBorders>
              <w:top w:val="nil"/>
              <w:left w:val="nil"/>
              <w:bottom w:val="nil"/>
              <w:right w:val="nil"/>
            </w:tcBorders>
            <w:noWrap/>
            <w:vAlign w:val="bottom"/>
            <w:hideMark/>
          </w:tcPr>
          <w:p w14:paraId="7E5C758A"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3C163DB9"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3C4AAF29"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182E8047"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669" w:type="dxa"/>
            <w:tcBorders>
              <w:top w:val="nil"/>
              <w:left w:val="nil"/>
              <w:bottom w:val="nil"/>
              <w:right w:val="nil"/>
            </w:tcBorders>
            <w:noWrap/>
            <w:vAlign w:val="bottom"/>
            <w:hideMark/>
          </w:tcPr>
          <w:p w14:paraId="4AFBE91A"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30" w:type="dxa"/>
            <w:tcBorders>
              <w:top w:val="nil"/>
              <w:left w:val="nil"/>
              <w:bottom w:val="nil"/>
              <w:right w:val="nil"/>
            </w:tcBorders>
            <w:noWrap/>
            <w:vAlign w:val="bottom"/>
            <w:hideMark/>
          </w:tcPr>
          <w:p w14:paraId="3D2A64F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(0.00818)</w:t>
            </w:r>
          </w:p>
        </w:tc>
        <w:tc>
          <w:tcPr>
            <w:tcW w:w="1573" w:type="dxa"/>
            <w:tcBorders>
              <w:top w:val="nil"/>
              <w:left w:val="nil"/>
              <w:bottom w:val="nil"/>
              <w:right w:val="nil"/>
            </w:tcBorders>
            <w:noWrap/>
            <w:vAlign w:val="bottom"/>
            <w:hideMark/>
          </w:tcPr>
          <w:p w14:paraId="1E6FF508"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(0.00819)</w:t>
            </w:r>
          </w:p>
        </w:tc>
      </w:tr>
      <w:tr w:rsidR="0057653B" w:rsidRPr="00910F92" w14:paraId="4B5DD8D5" w14:textId="77777777" w:rsidTr="0057653B">
        <w:trPr>
          <w:trHeight w:val="315"/>
        </w:trPr>
        <w:tc>
          <w:tcPr>
            <w:tcW w:w="4820" w:type="dxa"/>
            <w:gridSpan w:val="2"/>
            <w:tcBorders>
              <w:top w:val="nil"/>
              <w:left w:val="nil"/>
              <w:bottom w:val="nil"/>
              <w:right w:val="nil"/>
            </w:tcBorders>
            <w:noWrap/>
            <w:vAlign w:val="bottom"/>
            <w:hideMark/>
          </w:tcPr>
          <w:p w14:paraId="58340ADA"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r w:rsidRPr="00910F92">
              <w:rPr>
                <w:rFonts w:ascii="Times New Roman" w:eastAsia="Times New Roman" w:hAnsi="Times New Roman" w:cs="Times New Roman"/>
                <w:b/>
                <w:bCs/>
                <w:color w:val="000000"/>
                <w:sz w:val="24"/>
                <w:szCs w:val="24"/>
                <w:lang w:eastAsia="fr-FR"/>
              </w:rPr>
              <w:t>Electrified_households * Rural</w:t>
            </w:r>
          </w:p>
        </w:tc>
        <w:tc>
          <w:tcPr>
            <w:tcW w:w="1559" w:type="dxa"/>
            <w:tcBorders>
              <w:top w:val="nil"/>
              <w:left w:val="nil"/>
              <w:bottom w:val="nil"/>
              <w:right w:val="nil"/>
            </w:tcBorders>
            <w:noWrap/>
            <w:vAlign w:val="bottom"/>
            <w:hideMark/>
          </w:tcPr>
          <w:p w14:paraId="5F911F9D" w14:textId="77777777" w:rsidR="00910F92" w:rsidRPr="00910F92" w:rsidRDefault="00910F92" w:rsidP="00910F92">
            <w:pPr>
              <w:spacing w:after="0" w:line="240" w:lineRule="auto"/>
              <w:rPr>
                <w:rFonts w:ascii="Times New Roman" w:eastAsia="Times New Roman" w:hAnsi="Times New Roman" w:cs="Times New Roman"/>
                <w:b/>
                <w:bCs/>
                <w:color w:val="000000"/>
                <w:sz w:val="24"/>
                <w:szCs w:val="24"/>
                <w:lang w:eastAsia="fr-FR"/>
              </w:rPr>
            </w:pPr>
          </w:p>
        </w:tc>
        <w:tc>
          <w:tcPr>
            <w:tcW w:w="1559" w:type="dxa"/>
            <w:tcBorders>
              <w:top w:val="nil"/>
              <w:left w:val="nil"/>
              <w:bottom w:val="nil"/>
              <w:right w:val="nil"/>
            </w:tcBorders>
            <w:noWrap/>
            <w:vAlign w:val="bottom"/>
            <w:hideMark/>
          </w:tcPr>
          <w:p w14:paraId="5D76C2BE"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3019E4C4"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669" w:type="dxa"/>
            <w:tcBorders>
              <w:top w:val="nil"/>
              <w:left w:val="nil"/>
              <w:bottom w:val="nil"/>
              <w:right w:val="nil"/>
            </w:tcBorders>
            <w:noWrap/>
            <w:vAlign w:val="bottom"/>
            <w:hideMark/>
          </w:tcPr>
          <w:p w14:paraId="6C6A02B3"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30" w:type="dxa"/>
            <w:tcBorders>
              <w:top w:val="nil"/>
              <w:left w:val="nil"/>
              <w:bottom w:val="nil"/>
              <w:right w:val="nil"/>
            </w:tcBorders>
            <w:noWrap/>
            <w:vAlign w:val="bottom"/>
            <w:hideMark/>
          </w:tcPr>
          <w:p w14:paraId="39F68284"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73" w:type="dxa"/>
            <w:tcBorders>
              <w:top w:val="nil"/>
              <w:left w:val="nil"/>
              <w:bottom w:val="nil"/>
              <w:right w:val="nil"/>
            </w:tcBorders>
            <w:noWrap/>
            <w:vAlign w:val="bottom"/>
            <w:hideMark/>
          </w:tcPr>
          <w:p w14:paraId="40F9D499"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-0.951***</w:t>
            </w:r>
          </w:p>
        </w:tc>
      </w:tr>
      <w:tr w:rsidR="0057653B" w:rsidRPr="00910F92" w14:paraId="1906C1A9" w14:textId="77777777" w:rsidTr="0057653B">
        <w:trPr>
          <w:trHeight w:val="315"/>
        </w:trPr>
        <w:tc>
          <w:tcPr>
            <w:tcW w:w="3402" w:type="dxa"/>
            <w:tcBorders>
              <w:top w:val="nil"/>
              <w:left w:val="nil"/>
              <w:bottom w:val="nil"/>
              <w:right w:val="nil"/>
            </w:tcBorders>
            <w:noWrap/>
            <w:vAlign w:val="bottom"/>
            <w:hideMark/>
          </w:tcPr>
          <w:p w14:paraId="6A5448C1"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418" w:type="dxa"/>
            <w:tcBorders>
              <w:top w:val="nil"/>
              <w:left w:val="nil"/>
              <w:bottom w:val="nil"/>
              <w:right w:val="nil"/>
            </w:tcBorders>
            <w:noWrap/>
            <w:vAlign w:val="bottom"/>
            <w:hideMark/>
          </w:tcPr>
          <w:p w14:paraId="3E780B1A"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1E4EA902"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bottom"/>
            <w:hideMark/>
          </w:tcPr>
          <w:p w14:paraId="4AB66CEB"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24" w:type="dxa"/>
            <w:tcBorders>
              <w:top w:val="nil"/>
              <w:left w:val="nil"/>
              <w:bottom w:val="nil"/>
              <w:right w:val="nil"/>
            </w:tcBorders>
            <w:noWrap/>
            <w:vAlign w:val="bottom"/>
            <w:hideMark/>
          </w:tcPr>
          <w:p w14:paraId="537D603E"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669" w:type="dxa"/>
            <w:tcBorders>
              <w:top w:val="nil"/>
              <w:left w:val="nil"/>
              <w:bottom w:val="nil"/>
              <w:right w:val="nil"/>
            </w:tcBorders>
            <w:noWrap/>
            <w:vAlign w:val="bottom"/>
            <w:hideMark/>
          </w:tcPr>
          <w:p w14:paraId="0BE20172"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30" w:type="dxa"/>
            <w:tcBorders>
              <w:top w:val="nil"/>
              <w:left w:val="nil"/>
              <w:bottom w:val="nil"/>
              <w:right w:val="nil"/>
            </w:tcBorders>
            <w:noWrap/>
            <w:vAlign w:val="bottom"/>
            <w:hideMark/>
          </w:tcPr>
          <w:p w14:paraId="785E1A7F" w14:textId="77777777" w:rsidR="00910F92" w:rsidRPr="00910F92" w:rsidRDefault="00910F92" w:rsidP="00910F92">
            <w:pPr>
              <w:spacing w:after="0" w:line="240" w:lineRule="auto"/>
              <w:rPr>
                <w:rFonts w:ascii="Times New Roman" w:eastAsia="Times New Roman" w:hAnsi="Times New Roman" w:cs="Times New Roman"/>
                <w:sz w:val="20"/>
                <w:szCs w:val="20"/>
                <w:lang w:eastAsia="fr-FR"/>
              </w:rPr>
            </w:pPr>
          </w:p>
        </w:tc>
        <w:tc>
          <w:tcPr>
            <w:tcW w:w="1573" w:type="dxa"/>
            <w:tcBorders>
              <w:top w:val="nil"/>
              <w:left w:val="nil"/>
              <w:bottom w:val="nil"/>
              <w:right w:val="nil"/>
            </w:tcBorders>
            <w:noWrap/>
            <w:vAlign w:val="bottom"/>
            <w:hideMark/>
          </w:tcPr>
          <w:p w14:paraId="4D2B8128"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(0.0849)</w:t>
            </w:r>
          </w:p>
        </w:tc>
      </w:tr>
      <w:tr w:rsidR="0057653B" w:rsidRPr="00910F92" w14:paraId="54394A1B" w14:textId="77777777" w:rsidTr="0057653B">
        <w:trPr>
          <w:trHeight w:val="315"/>
        </w:trPr>
        <w:tc>
          <w:tcPr>
            <w:tcW w:w="3402" w:type="dxa"/>
            <w:tcBorders>
              <w:top w:val="nil"/>
              <w:left w:val="nil"/>
              <w:bottom w:val="nil"/>
              <w:right w:val="nil"/>
            </w:tcBorders>
            <w:noWrap/>
            <w:vAlign w:val="bottom"/>
            <w:hideMark/>
          </w:tcPr>
          <w:p w14:paraId="334039FA"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Constant</w:t>
            </w:r>
          </w:p>
        </w:tc>
        <w:tc>
          <w:tcPr>
            <w:tcW w:w="1418" w:type="dxa"/>
            <w:tcBorders>
              <w:top w:val="nil"/>
              <w:left w:val="nil"/>
              <w:bottom w:val="nil"/>
              <w:right w:val="nil"/>
            </w:tcBorders>
            <w:noWrap/>
            <w:vAlign w:val="bottom"/>
            <w:hideMark/>
          </w:tcPr>
          <w:p w14:paraId="41FCED88"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2.689***</w:t>
            </w:r>
          </w:p>
        </w:tc>
        <w:tc>
          <w:tcPr>
            <w:tcW w:w="1559" w:type="dxa"/>
            <w:tcBorders>
              <w:top w:val="nil"/>
              <w:left w:val="nil"/>
              <w:bottom w:val="nil"/>
              <w:right w:val="nil"/>
            </w:tcBorders>
            <w:noWrap/>
            <w:vAlign w:val="bottom"/>
            <w:hideMark/>
          </w:tcPr>
          <w:p w14:paraId="1F315FB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2.705***</w:t>
            </w:r>
          </w:p>
        </w:tc>
        <w:tc>
          <w:tcPr>
            <w:tcW w:w="1559" w:type="dxa"/>
            <w:tcBorders>
              <w:top w:val="nil"/>
              <w:left w:val="nil"/>
              <w:bottom w:val="nil"/>
              <w:right w:val="nil"/>
            </w:tcBorders>
            <w:noWrap/>
            <w:vAlign w:val="bottom"/>
            <w:hideMark/>
          </w:tcPr>
          <w:p w14:paraId="443192C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2.648***</w:t>
            </w:r>
          </w:p>
        </w:tc>
        <w:tc>
          <w:tcPr>
            <w:tcW w:w="1524" w:type="dxa"/>
            <w:tcBorders>
              <w:top w:val="nil"/>
              <w:left w:val="nil"/>
              <w:bottom w:val="nil"/>
              <w:right w:val="nil"/>
            </w:tcBorders>
            <w:noWrap/>
            <w:vAlign w:val="bottom"/>
            <w:hideMark/>
          </w:tcPr>
          <w:p w14:paraId="3CD87E9C"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2.462***</w:t>
            </w:r>
          </w:p>
        </w:tc>
        <w:tc>
          <w:tcPr>
            <w:tcW w:w="1669" w:type="dxa"/>
            <w:tcBorders>
              <w:top w:val="nil"/>
              <w:left w:val="nil"/>
              <w:bottom w:val="nil"/>
              <w:right w:val="nil"/>
            </w:tcBorders>
            <w:noWrap/>
            <w:vAlign w:val="bottom"/>
            <w:hideMark/>
          </w:tcPr>
          <w:p w14:paraId="587E07DA"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2.095***</w:t>
            </w:r>
          </w:p>
        </w:tc>
        <w:tc>
          <w:tcPr>
            <w:tcW w:w="1530" w:type="dxa"/>
            <w:tcBorders>
              <w:top w:val="nil"/>
              <w:left w:val="nil"/>
              <w:bottom w:val="nil"/>
              <w:right w:val="nil"/>
            </w:tcBorders>
            <w:noWrap/>
            <w:vAlign w:val="bottom"/>
            <w:hideMark/>
          </w:tcPr>
          <w:p w14:paraId="7600269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2.293***</w:t>
            </w:r>
          </w:p>
        </w:tc>
        <w:tc>
          <w:tcPr>
            <w:tcW w:w="1573" w:type="dxa"/>
            <w:tcBorders>
              <w:top w:val="nil"/>
              <w:left w:val="nil"/>
              <w:bottom w:val="nil"/>
              <w:right w:val="nil"/>
            </w:tcBorders>
            <w:noWrap/>
            <w:vAlign w:val="bottom"/>
            <w:hideMark/>
          </w:tcPr>
          <w:p w14:paraId="7ED53403"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2.306***</w:t>
            </w:r>
          </w:p>
        </w:tc>
      </w:tr>
      <w:tr w:rsidR="0057653B" w:rsidRPr="00910F92" w14:paraId="55E5BC93" w14:textId="77777777" w:rsidTr="0057653B">
        <w:trPr>
          <w:trHeight w:val="315"/>
        </w:trPr>
        <w:tc>
          <w:tcPr>
            <w:tcW w:w="3402" w:type="dxa"/>
            <w:tcBorders>
              <w:top w:val="nil"/>
              <w:left w:val="nil"/>
              <w:bottom w:val="nil"/>
              <w:right w:val="nil"/>
            </w:tcBorders>
            <w:noWrap/>
            <w:vAlign w:val="bottom"/>
            <w:hideMark/>
          </w:tcPr>
          <w:p w14:paraId="34DCC0C1"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p>
        </w:tc>
        <w:tc>
          <w:tcPr>
            <w:tcW w:w="1418" w:type="dxa"/>
            <w:tcBorders>
              <w:top w:val="nil"/>
              <w:left w:val="nil"/>
              <w:bottom w:val="nil"/>
              <w:right w:val="nil"/>
            </w:tcBorders>
            <w:noWrap/>
            <w:vAlign w:val="bottom"/>
            <w:hideMark/>
          </w:tcPr>
          <w:p w14:paraId="13DB88E1"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(0.0124)</w:t>
            </w:r>
          </w:p>
        </w:tc>
        <w:tc>
          <w:tcPr>
            <w:tcW w:w="1559" w:type="dxa"/>
            <w:tcBorders>
              <w:top w:val="nil"/>
              <w:left w:val="nil"/>
              <w:bottom w:val="nil"/>
              <w:right w:val="nil"/>
            </w:tcBorders>
            <w:noWrap/>
            <w:vAlign w:val="bottom"/>
            <w:hideMark/>
          </w:tcPr>
          <w:p w14:paraId="681ECE44"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(0.0126)</w:t>
            </w:r>
          </w:p>
        </w:tc>
        <w:tc>
          <w:tcPr>
            <w:tcW w:w="1559" w:type="dxa"/>
            <w:tcBorders>
              <w:top w:val="nil"/>
              <w:left w:val="nil"/>
              <w:bottom w:val="nil"/>
              <w:right w:val="nil"/>
            </w:tcBorders>
            <w:noWrap/>
            <w:vAlign w:val="bottom"/>
            <w:hideMark/>
          </w:tcPr>
          <w:p w14:paraId="00DBFF31"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(0.0170)</w:t>
            </w:r>
          </w:p>
        </w:tc>
        <w:tc>
          <w:tcPr>
            <w:tcW w:w="1524" w:type="dxa"/>
            <w:tcBorders>
              <w:top w:val="nil"/>
              <w:left w:val="nil"/>
              <w:bottom w:val="nil"/>
              <w:right w:val="nil"/>
            </w:tcBorders>
            <w:noWrap/>
            <w:vAlign w:val="bottom"/>
            <w:hideMark/>
          </w:tcPr>
          <w:p w14:paraId="12D9B147"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(0.0347)</w:t>
            </w:r>
          </w:p>
        </w:tc>
        <w:tc>
          <w:tcPr>
            <w:tcW w:w="1669" w:type="dxa"/>
            <w:tcBorders>
              <w:top w:val="nil"/>
              <w:left w:val="nil"/>
              <w:bottom w:val="nil"/>
              <w:right w:val="nil"/>
            </w:tcBorders>
            <w:noWrap/>
            <w:vAlign w:val="bottom"/>
            <w:hideMark/>
          </w:tcPr>
          <w:p w14:paraId="4472A64B"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(0.0357)</w:t>
            </w:r>
          </w:p>
        </w:tc>
        <w:tc>
          <w:tcPr>
            <w:tcW w:w="1530" w:type="dxa"/>
            <w:tcBorders>
              <w:top w:val="nil"/>
              <w:left w:val="nil"/>
              <w:bottom w:val="nil"/>
              <w:right w:val="nil"/>
            </w:tcBorders>
            <w:noWrap/>
            <w:vAlign w:val="bottom"/>
            <w:hideMark/>
          </w:tcPr>
          <w:p w14:paraId="7D6264BF"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(0.0317)</w:t>
            </w:r>
          </w:p>
        </w:tc>
        <w:tc>
          <w:tcPr>
            <w:tcW w:w="1573" w:type="dxa"/>
            <w:tcBorders>
              <w:top w:val="nil"/>
              <w:left w:val="nil"/>
              <w:bottom w:val="nil"/>
              <w:right w:val="nil"/>
            </w:tcBorders>
            <w:noWrap/>
            <w:vAlign w:val="bottom"/>
            <w:hideMark/>
          </w:tcPr>
          <w:p w14:paraId="42BFDF49"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(0.0316)</w:t>
            </w:r>
          </w:p>
        </w:tc>
      </w:tr>
      <w:tr w:rsidR="0057653B" w:rsidRPr="00910F92" w14:paraId="04E3501C" w14:textId="77777777" w:rsidTr="0057653B">
        <w:trPr>
          <w:trHeight w:val="315"/>
        </w:trPr>
        <w:tc>
          <w:tcPr>
            <w:tcW w:w="3402" w:type="dxa"/>
            <w:tcBorders>
              <w:top w:val="nil"/>
              <w:left w:val="nil"/>
              <w:bottom w:val="nil"/>
              <w:right w:val="nil"/>
            </w:tcBorders>
            <w:noWrap/>
            <w:vAlign w:val="bottom"/>
            <w:hideMark/>
          </w:tcPr>
          <w:p w14:paraId="6980310F"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Observations</w:t>
            </w:r>
          </w:p>
        </w:tc>
        <w:tc>
          <w:tcPr>
            <w:tcW w:w="1418" w:type="dxa"/>
            <w:tcBorders>
              <w:top w:val="nil"/>
              <w:left w:val="nil"/>
              <w:bottom w:val="nil"/>
              <w:right w:val="nil"/>
            </w:tcBorders>
            <w:noWrap/>
            <w:vAlign w:val="bottom"/>
            <w:hideMark/>
          </w:tcPr>
          <w:p w14:paraId="75E70E99"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20,791</w:t>
            </w:r>
          </w:p>
        </w:tc>
        <w:tc>
          <w:tcPr>
            <w:tcW w:w="1559" w:type="dxa"/>
            <w:tcBorders>
              <w:top w:val="nil"/>
              <w:left w:val="nil"/>
              <w:bottom w:val="nil"/>
              <w:right w:val="nil"/>
            </w:tcBorders>
            <w:noWrap/>
            <w:vAlign w:val="bottom"/>
            <w:hideMark/>
          </w:tcPr>
          <w:p w14:paraId="3C27F0FA"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20,791</w:t>
            </w:r>
          </w:p>
        </w:tc>
        <w:tc>
          <w:tcPr>
            <w:tcW w:w="1559" w:type="dxa"/>
            <w:tcBorders>
              <w:top w:val="nil"/>
              <w:left w:val="nil"/>
              <w:bottom w:val="nil"/>
              <w:right w:val="nil"/>
            </w:tcBorders>
            <w:noWrap/>
            <w:vAlign w:val="bottom"/>
            <w:hideMark/>
          </w:tcPr>
          <w:p w14:paraId="6354882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20,791</w:t>
            </w:r>
          </w:p>
        </w:tc>
        <w:tc>
          <w:tcPr>
            <w:tcW w:w="1524" w:type="dxa"/>
            <w:tcBorders>
              <w:top w:val="nil"/>
              <w:left w:val="nil"/>
              <w:bottom w:val="nil"/>
              <w:right w:val="nil"/>
            </w:tcBorders>
            <w:noWrap/>
            <w:vAlign w:val="bottom"/>
            <w:hideMark/>
          </w:tcPr>
          <w:p w14:paraId="3CF8182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20,791</w:t>
            </w:r>
          </w:p>
        </w:tc>
        <w:tc>
          <w:tcPr>
            <w:tcW w:w="1669" w:type="dxa"/>
            <w:tcBorders>
              <w:top w:val="nil"/>
              <w:left w:val="nil"/>
              <w:bottom w:val="nil"/>
              <w:right w:val="nil"/>
            </w:tcBorders>
            <w:noWrap/>
            <w:vAlign w:val="bottom"/>
            <w:hideMark/>
          </w:tcPr>
          <w:p w14:paraId="14C2B3A2"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20,784</w:t>
            </w:r>
          </w:p>
        </w:tc>
        <w:tc>
          <w:tcPr>
            <w:tcW w:w="1530" w:type="dxa"/>
            <w:tcBorders>
              <w:top w:val="nil"/>
              <w:left w:val="nil"/>
              <w:bottom w:val="nil"/>
              <w:right w:val="nil"/>
            </w:tcBorders>
            <w:noWrap/>
            <w:vAlign w:val="bottom"/>
            <w:hideMark/>
          </w:tcPr>
          <w:p w14:paraId="0C721B2E"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20,784</w:t>
            </w:r>
          </w:p>
        </w:tc>
        <w:tc>
          <w:tcPr>
            <w:tcW w:w="1573" w:type="dxa"/>
            <w:tcBorders>
              <w:top w:val="nil"/>
              <w:left w:val="nil"/>
              <w:bottom w:val="nil"/>
              <w:right w:val="nil"/>
            </w:tcBorders>
            <w:noWrap/>
            <w:vAlign w:val="bottom"/>
            <w:hideMark/>
          </w:tcPr>
          <w:p w14:paraId="10897893"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20,784</w:t>
            </w:r>
          </w:p>
        </w:tc>
      </w:tr>
      <w:tr w:rsidR="0057653B" w:rsidRPr="00910F92" w14:paraId="2CF9D6F3" w14:textId="77777777" w:rsidTr="00571297">
        <w:trPr>
          <w:trHeight w:val="80"/>
        </w:trPr>
        <w:tc>
          <w:tcPr>
            <w:tcW w:w="3402" w:type="dxa"/>
            <w:tcBorders>
              <w:top w:val="nil"/>
              <w:left w:val="nil"/>
              <w:bottom w:val="single" w:sz="4" w:space="0" w:color="auto"/>
              <w:right w:val="nil"/>
            </w:tcBorders>
            <w:noWrap/>
            <w:vAlign w:val="bottom"/>
            <w:hideMark/>
          </w:tcPr>
          <w:p w14:paraId="1F84F833"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R-squared</w:t>
            </w:r>
          </w:p>
        </w:tc>
        <w:tc>
          <w:tcPr>
            <w:tcW w:w="1418" w:type="dxa"/>
            <w:tcBorders>
              <w:top w:val="nil"/>
              <w:left w:val="nil"/>
              <w:bottom w:val="single" w:sz="4" w:space="0" w:color="auto"/>
              <w:right w:val="nil"/>
            </w:tcBorders>
            <w:noWrap/>
            <w:vAlign w:val="bottom"/>
            <w:hideMark/>
          </w:tcPr>
          <w:p w14:paraId="4B326E94"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0.711</w:t>
            </w:r>
          </w:p>
        </w:tc>
        <w:tc>
          <w:tcPr>
            <w:tcW w:w="1559" w:type="dxa"/>
            <w:tcBorders>
              <w:top w:val="nil"/>
              <w:left w:val="nil"/>
              <w:bottom w:val="single" w:sz="4" w:space="0" w:color="auto"/>
              <w:right w:val="nil"/>
            </w:tcBorders>
            <w:noWrap/>
            <w:vAlign w:val="bottom"/>
            <w:hideMark/>
          </w:tcPr>
          <w:p w14:paraId="68C90A7D"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0.712</w:t>
            </w:r>
          </w:p>
        </w:tc>
        <w:tc>
          <w:tcPr>
            <w:tcW w:w="1559" w:type="dxa"/>
            <w:tcBorders>
              <w:top w:val="nil"/>
              <w:left w:val="nil"/>
              <w:bottom w:val="single" w:sz="4" w:space="0" w:color="auto"/>
              <w:right w:val="nil"/>
            </w:tcBorders>
            <w:noWrap/>
            <w:vAlign w:val="bottom"/>
            <w:hideMark/>
          </w:tcPr>
          <w:p w14:paraId="03A45EBE"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0.713</w:t>
            </w:r>
          </w:p>
        </w:tc>
        <w:tc>
          <w:tcPr>
            <w:tcW w:w="1524" w:type="dxa"/>
            <w:tcBorders>
              <w:top w:val="nil"/>
              <w:left w:val="nil"/>
              <w:bottom w:val="single" w:sz="4" w:space="0" w:color="auto"/>
              <w:right w:val="nil"/>
            </w:tcBorders>
            <w:noWrap/>
            <w:vAlign w:val="bottom"/>
            <w:hideMark/>
          </w:tcPr>
          <w:p w14:paraId="53D33FC4"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0.713</w:t>
            </w:r>
          </w:p>
        </w:tc>
        <w:tc>
          <w:tcPr>
            <w:tcW w:w="1669" w:type="dxa"/>
            <w:tcBorders>
              <w:top w:val="nil"/>
              <w:left w:val="nil"/>
              <w:bottom w:val="single" w:sz="4" w:space="0" w:color="auto"/>
              <w:right w:val="nil"/>
            </w:tcBorders>
            <w:noWrap/>
            <w:vAlign w:val="bottom"/>
            <w:hideMark/>
          </w:tcPr>
          <w:p w14:paraId="6A422A80"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0.731</w:t>
            </w:r>
          </w:p>
        </w:tc>
        <w:tc>
          <w:tcPr>
            <w:tcW w:w="1530" w:type="dxa"/>
            <w:tcBorders>
              <w:top w:val="nil"/>
              <w:left w:val="nil"/>
              <w:bottom w:val="single" w:sz="4" w:space="0" w:color="auto"/>
              <w:right w:val="nil"/>
            </w:tcBorders>
            <w:noWrap/>
            <w:vAlign w:val="bottom"/>
            <w:hideMark/>
          </w:tcPr>
          <w:p w14:paraId="07656AB6"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0.789</w:t>
            </w:r>
          </w:p>
        </w:tc>
        <w:tc>
          <w:tcPr>
            <w:tcW w:w="1573" w:type="dxa"/>
            <w:tcBorders>
              <w:top w:val="nil"/>
              <w:left w:val="nil"/>
              <w:bottom w:val="single" w:sz="4" w:space="0" w:color="auto"/>
              <w:right w:val="nil"/>
            </w:tcBorders>
            <w:noWrap/>
            <w:vAlign w:val="bottom"/>
            <w:hideMark/>
          </w:tcPr>
          <w:p w14:paraId="58BB8568" w14:textId="77777777" w:rsidR="00910F92" w:rsidRPr="00910F92" w:rsidRDefault="00910F92" w:rsidP="00910F92">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0.790</w:t>
            </w:r>
          </w:p>
        </w:tc>
      </w:tr>
    </w:tbl>
    <w:p w14:paraId="07B7FEE6" w14:textId="77777777" w:rsidR="00571297" w:rsidRPr="00571297" w:rsidRDefault="00571297" w:rsidP="00FE331B">
      <w:pPr>
        <w:jc w:val="both"/>
        <w:rPr>
          <w:rFonts w:ascii="Times New Roman" w:hAnsi="Times New Roman" w:cs="Times New Roman"/>
          <w:sz w:val="24"/>
          <w:szCs w:val="24"/>
        </w:rPr>
      </w:pPr>
      <w:r w:rsidRPr="00571297">
        <w:rPr>
          <w:rFonts w:ascii="Times New Roman" w:hAnsi="Times New Roman" w:cs="Times New Roman"/>
          <w:sz w:val="24"/>
          <w:szCs w:val="24"/>
          <w:lang w:val="en-GB"/>
        </w:rPr>
        <w:t xml:space="preserve">Source: </w:t>
      </w:r>
      <w:r w:rsidRPr="00571297">
        <w:rPr>
          <w:rFonts w:ascii="Times New Roman" w:hAnsi="Times New Roman" w:cs="Times New Roman"/>
          <w:i/>
          <w:sz w:val="24"/>
          <w:szCs w:val="24"/>
          <w:lang w:val="en-GB"/>
        </w:rPr>
        <w:t>Author’s construction</w:t>
      </w:r>
      <w:r w:rsidRPr="00571297">
        <w:rPr>
          <w:rFonts w:ascii="Times New Roman" w:hAnsi="Times New Roman" w:cs="Times New Roman"/>
          <w:b/>
          <w:sz w:val="24"/>
          <w:szCs w:val="24"/>
          <w:lang w:val="en-GB"/>
        </w:rPr>
        <w:t xml:space="preserve">. </w:t>
      </w:r>
      <w:r w:rsidRPr="00571297">
        <w:rPr>
          <w:rFonts w:ascii="Times New Roman" w:hAnsi="Times New Roman" w:cs="Times New Roman"/>
          <w:i/>
          <w:sz w:val="24"/>
          <w:szCs w:val="24"/>
          <w:lang w:val="en-GB"/>
        </w:rPr>
        <w:t>Notes: Standard errors in parentheses; *** p&lt;0.01, ** p&lt;0.05, * p&lt;0.1</w:t>
      </w:r>
    </w:p>
    <w:p w14:paraId="38BA7022" w14:textId="77777777" w:rsidR="0057653B" w:rsidRPr="00571297" w:rsidRDefault="0057653B" w:rsidP="00571297">
      <w:pPr>
        <w:rPr>
          <w:rFonts w:ascii="Times New Roman" w:hAnsi="Times New Roman" w:cs="Times New Roman"/>
          <w:sz w:val="24"/>
          <w:szCs w:val="24"/>
        </w:rPr>
        <w:sectPr w:rsidR="0057653B" w:rsidRPr="00571297" w:rsidSect="00F711C9">
          <w:pgSz w:w="16838" w:h="11906" w:orient="landscape"/>
          <w:pgMar w:top="1417" w:right="1417" w:bottom="1417" w:left="1417" w:header="708" w:footer="708" w:gutter="0"/>
          <w:cols w:space="708"/>
          <w:docGrid w:linePitch="360"/>
        </w:sectPr>
      </w:pPr>
    </w:p>
    <w:p w14:paraId="636C9321" w14:textId="77777777" w:rsidR="00AA17A9" w:rsidRPr="00124C07" w:rsidRDefault="00AA17A9" w:rsidP="00AA17A9">
      <w:pPr>
        <w:spacing w:line="360" w:lineRule="auto"/>
        <w:jc w:val="both"/>
        <w:rPr>
          <w:rFonts w:ascii="Times New Roman" w:hAnsi="Times New Roman" w:cs="Times New Roman"/>
          <w:sz w:val="24"/>
          <w:szCs w:val="24"/>
        </w:rPr>
      </w:pPr>
      <w:r w:rsidRPr="00124C07">
        <w:rPr>
          <w:rFonts w:ascii="Times New Roman" w:hAnsi="Times New Roman" w:cs="Times New Roman"/>
          <w:sz w:val="24"/>
          <w:szCs w:val="24"/>
        </w:rPr>
        <w:lastRenderedPageBreak/>
        <w:t>The results presented in Table 2 show, across all specifications, a highly statistically significant effect of electricity access on households’ combined well-being in the Democratic Republic of Congo. Statistically, the coefficient associated with non-electrified households remains negative, large in magnitude, and significant at the 1% level, ranging from –2.40 to –1.47 depending on the model. The very small standard errors imply high estimation precision, strengthening the robustness of the coefficients. This indicates that, all else equal, households without electricity have a substantially lower well-being score than electrified households.</w:t>
      </w:r>
    </w:p>
    <w:p w14:paraId="57553D77" w14:textId="77777777" w:rsidR="00AA17A9" w:rsidRPr="00124C07" w:rsidRDefault="00AA17A9" w:rsidP="00AA17A9">
      <w:pPr>
        <w:spacing w:line="360" w:lineRule="auto"/>
        <w:jc w:val="both"/>
        <w:rPr>
          <w:rFonts w:ascii="Times New Roman" w:hAnsi="Times New Roman" w:cs="Times New Roman"/>
          <w:sz w:val="24"/>
          <w:szCs w:val="24"/>
        </w:rPr>
      </w:pPr>
      <w:r w:rsidRPr="00124C07">
        <w:rPr>
          <w:rFonts w:ascii="Times New Roman" w:hAnsi="Times New Roman" w:cs="Times New Roman"/>
          <w:sz w:val="24"/>
          <w:szCs w:val="24"/>
        </w:rPr>
        <w:t>The control variables display coherent and statistically significant relationships. The gender of the household head shows a negative and significant effect: when the household head is a woman, the level of well-being decreases slightly, around –0.036, which may reflect structural vulnerabilities. The age of the household head exhibits a positive but diminishing effect: the positive coefficient on age and the negative coefficient on age squared indicate a concave relationship, suggesting that well-being increases up to a certain age before stabilizing or slightly declining. Statistically, education levels are strongly significant: primary education and, especially, secondary or higher education increase well-being, with robust coefficients around 0.048 and 0.194 respectively.</w:t>
      </w:r>
    </w:p>
    <w:p w14:paraId="7C23EE52" w14:textId="77777777" w:rsidR="00AA17A9" w:rsidRPr="00124C07" w:rsidRDefault="00AA17A9" w:rsidP="00AA17A9">
      <w:pPr>
        <w:spacing w:line="360" w:lineRule="auto"/>
        <w:jc w:val="both"/>
        <w:rPr>
          <w:rFonts w:ascii="Times New Roman" w:hAnsi="Times New Roman" w:cs="Times New Roman"/>
          <w:sz w:val="24"/>
          <w:szCs w:val="24"/>
        </w:rPr>
      </w:pPr>
      <w:r w:rsidRPr="00124C07">
        <w:rPr>
          <w:rFonts w:ascii="Times New Roman" w:hAnsi="Times New Roman" w:cs="Times New Roman"/>
          <w:sz w:val="24"/>
          <w:szCs w:val="24"/>
        </w:rPr>
        <w:t>Place of residence also plays a key role. Living in an urban area reduces well-being when electricity is not accounted for (coefficient around –0.62, significant at 1%), indicating a possible urban penalty related to cost of living or urban precariousness. However, when interaction terms are introduced, the effect becomes more nuanced: electrified households in urban areas obtain a well-being premium of +0.951, whereas non-electrified urban households face an equivalent penalty of –0.951. These interactions are highly significant (p &lt; 0.01), showing that electricity access strongly moderates well-being disparities between urban and rural areas. The high R-squared, around 0.789–0.790, indicates strong explanatory power of the model.</w:t>
      </w:r>
    </w:p>
    <w:p w14:paraId="097AB5CE" w14:textId="77777777" w:rsidR="00AA17A9" w:rsidRPr="00124C07" w:rsidRDefault="00AA17A9" w:rsidP="00AA17A9">
      <w:pPr>
        <w:spacing w:line="360" w:lineRule="auto"/>
        <w:jc w:val="both"/>
        <w:rPr>
          <w:rFonts w:ascii="Times New Roman" w:hAnsi="Times New Roman" w:cs="Times New Roman"/>
          <w:sz w:val="24"/>
          <w:szCs w:val="24"/>
        </w:rPr>
      </w:pPr>
      <w:r w:rsidRPr="00124C07">
        <w:rPr>
          <w:rFonts w:ascii="Times New Roman" w:hAnsi="Times New Roman" w:cs="Times New Roman"/>
          <w:sz w:val="24"/>
          <w:szCs w:val="24"/>
        </w:rPr>
        <w:t xml:space="preserve">From an economic perspective, these findings suggest that electricity access is one of the most powerful determinants of combined well-being in the DRC, likely because it simultaneously affects several dimensions of well-being: consumption, access to information (ICTs), security, household productivity, and children’s education. The magnitude of the coefficient indicates that the absence of electricity places a household at a substantial disadvantage. This is particularly striking in urban areas, where electricity functions as essential infrastructure for participating in the formal economy and benefiting from urban services. The strongly negative effect for non-electrified urban households, and the symmetric gain for electrified ones, </w:t>
      </w:r>
      <w:r w:rsidRPr="00124C07">
        <w:rPr>
          <w:rFonts w:ascii="Times New Roman" w:hAnsi="Times New Roman" w:cs="Times New Roman"/>
          <w:sz w:val="24"/>
          <w:szCs w:val="24"/>
        </w:rPr>
        <w:lastRenderedPageBreak/>
        <w:t>highlight a dual urban well-being market: with electricity, urban life is an opportunity; without electricity, it becomes a handicap.</w:t>
      </w:r>
    </w:p>
    <w:p w14:paraId="439D569C" w14:textId="77777777" w:rsidR="00AA17A9" w:rsidRPr="00124C07" w:rsidRDefault="00AA17A9" w:rsidP="00AA17A9">
      <w:pPr>
        <w:spacing w:line="360" w:lineRule="auto"/>
        <w:jc w:val="both"/>
        <w:rPr>
          <w:rFonts w:ascii="Times New Roman" w:hAnsi="Times New Roman" w:cs="Times New Roman"/>
          <w:sz w:val="24"/>
          <w:szCs w:val="24"/>
        </w:rPr>
      </w:pPr>
      <w:r w:rsidRPr="00124C07">
        <w:rPr>
          <w:rFonts w:ascii="Times New Roman" w:hAnsi="Times New Roman" w:cs="Times New Roman"/>
          <w:sz w:val="24"/>
          <w:szCs w:val="24"/>
        </w:rPr>
        <w:t>The education-related effects confirm the role of human capital in improving living conditions, consistent with Becker’s (1964) human capital theory. The concave age effect also aligns with life-cycle logic (Modigliani &amp; Brumberg, 1954), whereby well-being increases with experience and stability before declining. The results on the gender of the household head may be interpreted in light of literature on gender inequalities, showing that female-headed households remain more exposed to socioeconomic vulnerabilities (Doss, 2018).</w:t>
      </w:r>
    </w:p>
    <w:p w14:paraId="0610700C" w14:textId="2D95C540" w:rsidR="00AA17A9" w:rsidRPr="00124C07" w:rsidRDefault="00AA17A9" w:rsidP="00AA17A9">
      <w:pPr>
        <w:spacing w:line="360" w:lineRule="auto"/>
        <w:jc w:val="both"/>
        <w:rPr>
          <w:rFonts w:ascii="Times New Roman" w:hAnsi="Times New Roman" w:cs="Times New Roman"/>
          <w:sz w:val="24"/>
          <w:szCs w:val="24"/>
        </w:rPr>
      </w:pPr>
      <w:r w:rsidRPr="00124C07">
        <w:rPr>
          <w:rFonts w:ascii="Times New Roman" w:hAnsi="Times New Roman" w:cs="Times New Roman"/>
          <w:sz w:val="24"/>
          <w:szCs w:val="24"/>
        </w:rPr>
        <w:t>Comparison with previous research largely confirms the dynamics observe</w:t>
      </w:r>
      <w:r w:rsidR="00AE18F6" w:rsidRPr="00124C07">
        <w:rPr>
          <w:rFonts w:ascii="Times New Roman" w:hAnsi="Times New Roman" w:cs="Times New Roman"/>
          <w:sz w:val="24"/>
          <w:szCs w:val="24"/>
        </w:rPr>
        <w:t xml:space="preserve">d here. Several African studies </w:t>
      </w:r>
      <w:r w:rsidRPr="00124C07">
        <w:rPr>
          <w:rFonts w:ascii="Times New Roman" w:hAnsi="Times New Roman" w:cs="Times New Roman"/>
          <w:sz w:val="24"/>
          <w:szCs w:val="24"/>
        </w:rPr>
        <w:t>such as Peters et al. (20</w:t>
      </w:r>
      <w:r w:rsidR="00E16A77">
        <w:rPr>
          <w:rFonts w:ascii="Times New Roman" w:hAnsi="Times New Roman" w:cs="Times New Roman"/>
          <w:sz w:val="24"/>
          <w:szCs w:val="24"/>
        </w:rPr>
        <w:t>21</w:t>
      </w:r>
      <w:r w:rsidRPr="00124C07">
        <w:rPr>
          <w:rFonts w:ascii="Times New Roman" w:hAnsi="Times New Roman" w:cs="Times New Roman"/>
          <w:sz w:val="24"/>
          <w:szCs w:val="24"/>
        </w:rPr>
        <w:t>)</w:t>
      </w:r>
      <w:r w:rsidR="005642AE">
        <w:rPr>
          <w:rFonts w:ascii="Times New Roman" w:hAnsi="Times New Roman" w:cs="Times New Roman"/>
          <w:sz w:val="24"/>
          <w:szCs w:val="24"/>
        </w:rPr>
        <w:t>, Khandker et al., (2013</w:t>
      </w:r>
      <w:r w:rsidRPr="00124C07">
        <w:rPr>
          <w:rFonts w:ascii="Times New Roman" w:hAnsi="Times New Roman" w:cs="Times New Roman"/>
          <w:sz w:val="24"/>
          <w:szCs w:val="24"/>
        </w:rPr>
        <w:t xml:space="preserve">), and </w:t>
      </w:r>
      <w:r w:rsidR="00D84D5E">
        <w:rPr>
          <w:rFonts w:ascii="Times New Roman" w:hAnsi="Times New Roman" w:cs="Times New Roman"/>
          <w:sz w:val="24"/>
          <w:szCs w:val="24"/>
        </w:rPr>
        <w:t>Lee, Brewer &amp; Christiano (2016</w:t>
      </w:r>
      <w:r w:rsidR="00AE18F6" w:rsidRPr="00124C07">
        <w:rPr>
          <w:rFonts w:ascii="Times New Roman" w:hAnsi="Times New Roman" w:cs="Times New Roman"/>
          <w:sz w:val="24"/>
          <w:szCs w:val="24"/>
        </w:rPr>
        <w:t xml:space="preserve">) </w:t>
      </w:r>
      <w:r w:rsidRPr="00124C07">
        <w:rPr>
          <w:rFonts w:ascii="Times New Roman" w:hAnsi="Times New Roman" w:cs="Times New Roman"/>
          <w:sz w:val="24"/>
          <w:szCs w:val="24"/>
        </w:rPr>
        <w:t xml:space="preserve">have highlighted the significant impact of electrification on well-being, productivity, and access to economic opportunities. In the DRC context, World Bank surveys (2018, 2021) have already emphasized that electricity access is a major marker of well-being, especially in urban areas where economic activities heavily rely on energy. The results also confirm the conclusions of </w:t>
      </w:r>
      <w:r w:rsidR="00647788" w:rsidRPr="00D6665E">
        <w:rPr>
          <w:rFonts w:ascii="Times New Roman" w:eastAsia="Times New Roman" w:hAnsi="Times New Roman" w:cs="Times New Roman"/>
          <w:sz w:val="24"/>
          <w:szCs w:val="24"/>
          <w:lang w:eastAsia="fr-FR"/>
        </w:rPr>
        <w:t>Ben</w:t>
      </w:r>
      <w:r w:rsidR="00647788">
        <w:rPr>
          <w:rFonts w:ascii="Times New Roman" w:eastAsia="Times New Roman" w:hAnsi="Times New Roman" w:cs="Times New Roman"/>
          <w:sz w:val="24"/>
          <w:szCs w:val="24"/>
          <w:lang w:eastAsia="fr-FR"/>
        </w:rPr>
        <w:t>sch et al.,</w:t>
      </w:r>
      <w:r w:rsidR="00647788" w:rsidRPr="00D6665E">
        <w:rPr>
          <w:rFonts w:ascii="Times New Roman" w:eastAsia="Times New Roman" w:hAnsi="Times New Roman" w:cs="Times New Roman"/>
          <w:sz w:val="24"/>
          <w:szCs w:val="24"/>
          <w:lang w:eastAsia="fr-FR"/>
        </w:rPr>
        <w:t xml:space="preserve"> (2011</w:t>
      </w:r>
      <w:r w:rsidR="00647788">
        <w:rPr>
          <w:rFonts w:ascii="Times New Roman" w:eastAsia="Times New Roman" w:hAnsi="Times New Roman" w:cs="Times New Roman"/>
          <w:sz w:val="24"/>
          <w:szCs w:val="24"/>
          <w:lang w:eastAsia="fr-FR"/>
        </w:rPr>
        <w:t xml:space="preserve">) </w:t>
      </w:r>
      <w:r w:rsidRPr="00124C07">
        <w:rPr>
          <w:rFonts w:ascii="Times New Roman" w:hAnsi="Times New Roman" w:cs="Times New Roman"/>
          <w:sz w:val="24"/>
          <w:szCs w:val="24"/>
        </w:rPr>
        <w:t>in Tanzania and of Beltrán et al. (2019) in Latin America regarding the moderating role of residence: electrification benefits urban households more than rural ones due to the density of services and markets.</w:t>
      </w:r>
    </w:p>
    <w:p w14:paraId="3FA739E0" w14:textId="77777777" w:rsidR="00AA17A9" w:rsidRPr="00124C07" w:rsidRDefault="00AA17A9" w:rsidP="00AA17A9">
      <w:pPr>
        <w:spacing w:line="360" w:lineRule="auto"/>
        <w:jc w:val="both"/>
        <w:rPr>
          <w:rFonts w:ascii="Times New Roman" w:hAnsi="Times New Roman" w:cs="Times New Roman"/>
          <w:sz w:val="24"/>
          <w:szCs w:val="24"/>
        </w:rPr>
      </w:pPr>
      <w:r w:rsidRPr="00124C07">
        <w:rPr>
          <w:rFonts w:ascii="Times New Roman" w:hAnsi="Times New Roman" w:cs="Times New Roman"/>
          <w:sz w:val="24"/>
          <w:szCs w:val="24"/>
        </w:rPr>
        <w:t>Thus, the findings for the DRC clearly align with the international literature on ICT and well-being, while revealing a Congolese particularity: the extreme dependence of urban quality of life on electricity access. Ultimately, electricity is not merely a service but a true well-being amplifier, capable of reducing or exacerbating vulnerabilities depending on the geographic context.</w:t>
      </w:r>
    </w:p>
    <w:p w14:paraId="0D642516" w14:textId="77777777" w:rsidR="00EE524D" w:rsidRDefault="00EE524D" w:rsidP="00CE4733">
      <w:pPr>
        <w:spacing w:line="360" w:lineRule="auto"/>
        <w:jc w:val="both"/>
        <w:rPr>
          <w:rFonts w:ascii="Times New Roman" w:hAnsi="Times New Roman" w:cs="Times New Roman"/>
          <w:sz w:val="24"/>
          <w:szCs w:val="24"/>
        </w:rPr>
      </w:pPr>
    </w:p>
    <w:p w14:paraId="55EF873F" w14:textId="77777777" w:rsidR="00AA17A9" w:rsidRDefault="00AA17A9" w:rsidP="00CE4733">
      <w:pPr>
        <w:spacing w:line="360" w:lineRule="auto"/>
        <w:jc w:val="both"/>
        <w:rPr>
          <w:rFonts w:ascii="Times New Roman" w:hAnsi="Times New Roman" w:cs="Times New Roman"/>
          <w:sz w:val="24"/>
          <w:szCs w:val="24"/>
        </w:rPr>
      </w:pPr>
    </w:p>
    <w:p w14:paraId="612455F3" w14:textId="77777777" w:rsidR="00AA17A9" w:rsidRDefault="00AA17A9" w:rsidP="00CE4733">
      <w:pPr>
        <w:spacing w:line="360" w:lineRule="auto"/>
        <w:jc w:val="both"/>
        <w:rPr>
          <w:rFonts w:ascii="Times New Roman" w:hAnsi="Times New Roman" w:cs="Times New Roman"/>
          <w:sz w:val="24"/>
          <w:szCs w:val="24"/>
        </w:rPr>
      </w:pPr>
    </w:p>
    <w:p w14:paraId="4A0231DB" w14:textId="77777777" w:rsidR="00EE524D" w:rsidRDefault="00EE524D" w:rsidP="00FE331B">
      <w:pPr>
        <w:jc w:val="both"/>
        <w:rPr>
          <w:rFonts w:ascii="Times New Roman" w:hAnsi="Times New Roman" w:cs="Times New Roman"/>
          <w:sz w:val="24"/>
          <w:szCs w:val="24"/>
        </w:rPr>
      </w:pPr>
    </w:p>
    <w:p w14:paraId="513F6B96" w14:textId="77777777" w:rsidR="00EE524D" w:rsidRDefault="00EE524D" w:rsidP="00FE331B">
      <w:pPr>
        <w:jc w:val="both"/>
        <w:rPr>
          <w:rFonts w:ascii="Times New Roman" w:hAnsi="Times New Roman" w:cs="Times New Roman"/>
          <w:sz w:val="24"/>
          <w:szCs w:val="24"/>
        </w:rPr>
      </w:pPr>
    </w:p>
    <w:p w14:paraId="090F28D8" w14:textId="77777777" w:rsidR="00EE524D" w:rsidRDefault="00EE524D" w:rsidP="00FE331B">
      <w:pPr>
        <w:jc w:val="both"/>
        <w:rPr>
          <w:rFonts w:ascii="Times New Roman" w:hAnsi="Times New Roman" w:cs="Times New Roman"/>
          <w:sz w:val="24"/>
          <w:szCs w:val="24"/>
        </w:rPr>
      </w:pPr>
    </w:p>
    <w:p w14:paraId="259EA7A9" w14:textId="77777777" w:rsidR="00EE524D" w:rsidRDefault="00EE524D" w:rsidP="00FE331B">
      <w:pPr>
        <w:jc w:val="both"/>
        <w:rPr>
          <w:rFonts w:ascii="Times New Roman" w:hAnsi="Times New Roman" w:cs="Times New Roman"/>
          <w:sz w:val="24"/>
          <w:szCs w:val="24"/>
        </w:rPr>
      </w:pPr>
    </w:p>
    <w:p w14:paraId="5292B2EB" w14:textId="77777777" w:rsidR="00EE524D" w:rsidRDefault="00EE524D" w:rsidP="00FE331B">
      <w:pPr>
        <w:jc w:val="both"/>
        <w:rPr>
          <w:rFonts w:ascii="Times New Roman" w:hAnsi="Times New Roman" w:cs="Times New Roman"/>
          <w:sz w:val="24"/>
          <w:szCs w:val="24"/>
        </w:rPr>
      </w:pPr>
    </w:p>
    <w:p w14:paraId="60E6C7DF" w14:textId="77777777" w:rsidR="00BB2E5D" w:rsidRDefault="00BB2E5D" w:rsidP="00FE331B">
      <w:pPr>
        <w:jc w:val="both"/>
        <w:rPr>
          <w:rFonts w:ascii="Times New Roman" w:hAnsi="Times New Roman" w:cs="Times New Roman"/>
          <w:sz w:val="24"/>
          <w:szCs w:val="24"/>
        </w:rPr>
      </w:pPr>
    </w:p>
    <w:p w14:paraId="108EA270" w14:textId="77777777" w:rsidR="00EE524D" w:rsidRDefault="00C36D94" w:rsidP="00FE331B">
      <w:pPr>
        <w:jc w:val="both"/>
        <w:rPr>
          <w:rFonts w:ascii="Times New Roman" w:hAnsi="Times New Roman" w:cs="Times New Roman"/>
          <w:sz w:val="24"/>
          <w:szCs w:val="24"/>
        </w:rPr>
      </w:pPr>
      <w:r>
        <w:rPr>
          <w:rFonts w:ascii="Times New Roman" w:hAnsi="Times New Roman" w:cs="Times New Roman"/>
          <w:sz w:val="24"/>
          <w:szCs w:val="24"/>
        </w:rPr>
        <w:t>Table 2</w:t>
      </w:r>
      <w:r w:rsidR="009F0904">
        <w:rPr>
          <w:rFonts w:ascii="Times New Roman" w:hAnsi="Times New Roman" w:cs="Times New Roman"/>
          <w:sz w:val="24"/>
          <w:szCs w:val="24"/>
        </w:rPr>
        <w:t xml:space="preserve"> </w:t>
      </w:r>
      <w:r w:rsidR="00A02272" w:rsidRPr="00A02272">
        <w:rPr>
          <w:rFonts w:ascii="Times New Roman" w:hAnsi="Times New Roman" w:cs="Times New Roman"/>
          <w:b/>
          <w:sz w:val="24"/>
          <w:szCs w:val="24"/>
        </w:rPr>
        <w:t>Electricity deprivation</w:t>
      </w:r>
      <w:r w:rsidR="00A02272">
        <w:rPr>
          <w:rFonts w:ascii="Times New Roman" w:hAnsi="Times New Roman" w:cs="Times New Roman"/>
          <w:b/>
          <w:sz w:val="24"/>
          <w:szCs w:val="24"/>
        </w:rPr>
        <w:t xml:space="preserve"> and </w:t>
      </w:r>
      <w:r w:rsidR="00A02272" w:rsidRPr="00571297">
        <w:rPr>
          <w:rFonts w:ascii="Times New Roman" w:hAnsi="Times New Roman" w:cs="Times New Roman"/>
          <w:b/>
          <w:sz w:val="24"/>
          <w:szCs w:val="24"/>
        </w:rPr>
        <w:t>Combined Household Well-</w:t>
      </w:r>
      <w:proofErr w:type="gramStart"/>
      <w:r w:rsidR="00A02272" w:rsidRPr="00571297">
        <w:rPr>
          <w:rFonts w:ascii="Times New Roman" w:hAnsi="Times New Roman" w:cs="Times New Roman"/>
          <w:b/>
          <w:sz w:val="24"/>
          <w:szCs w:val="24"/>
        </w:rPr>
        <w:t>Being </w:t>
      </w:r>
      <w:r w:rsidR="00A02272">
        <w:rPr>
          <w:rFonts w:ascii="Times New Roman" w:hAnsi="Times New Roman" w:cs="Times New Roman"/>
          <w:b/>
          <w:sz w:val="24"/>
          <w:szCs w:val="24"/>
        </w:rPr>
        <w:t xml:space="preserve"> </w:t>
      </w:r>
      <w:r w:rsidR="009F0904" w:rsidRPr="00571297">
        <w:rPr>
          <w:rFonts w:ascii="Times New Roman" w:hAnsi="Times New Roman" w:cs="Times New Roman"/>
          <w:b/>
          <w:sz w:val="24"/>
          <w:szCs w:val="24"/>
        </w:rPr>
        <w:t>:</w:t>
      </w:r>
      <w:proofErr w:type="gramEnd"/>
      <w:r w:rsidR="009F0904">
        <w:rPr>
          <w:rFonts w:ascii="Times New Roman" w:hAnsi="Times New Roman" w:cs="Times New Roman"/>
          <w:b/>
          <w:sz w:val="24"/>
          <w:szCs w:val="24"/>
        </w:rPr>
        <w:t xml:space="preserve"> The moderating role of Urban</w:t>
      </w:r>
      <w:r w:rsidR="009F0904" w:rsidRPr="00571297">
        <w:rPr>
          <w:rFonts w:ascii="Times New Roman" w:hAnsi="Times New Roman" w:cs="Times New Roman"/>
          <w:b/>
          <w:sz w:val="24"/>
          <w:szCs w:val="24"/>
        </w:rPr>
        <w:t xml:space="preserve"> residence</w:t>
      </w:r>
    </w:p>
    <w:tbl>
      <w:tblPr>
        <w:tblW w:w="9781" w:type="dxa"/>
        <w:tblCellMar>
          <w:left w:w="70" w:type="dxa"/>
          <w:right w:w="70" w:type="dxa"/>
        </w:tblCellMar>
        <w:tblLook w:val="04A0" w:firstRow="1" w:lastRow="0" w:firstColumn="1" w:lastColumn="0" w:noHBand="0" w:noVBand="1"/>
      </w:tblPr>
      <w:tblGrid>
        <w:gridCol w:w="3544"/>
        <w:gridCol w:w="1559"/>
        <w:gridCol w:w="1559"/>
        <w:gridCol w:w="1560"/>
        <w:gridCol w:w="1559"/>
      </w:tblGrid>
      <w:tr w:rsidR="00CF053B" w:rsidRPr="00CF053B" w14:paraId="4EFC5AD7" w14:textId="77777777" w:rsidTr="00BC1C47">
        <w:trPr>
          <w:trHeight w:val="315"/>
        </w:trPr>
        <w:tc>
          <w:tcPr>
            <w:tcW w:w="3544" w:type="dxa"/>
            <w:tcBorders>
              <w:top w:val="single" w:sz="4" w:space="0" w:color="auto"/>
              <w:left w:val="nil"/>
              <w:bottom w:val="nil"/>
              <w:right w:val="nil"/>
            </w:tcBorders>
            <w:noWrap/>
            <w:vAlign w:val="center"/>
            <w:hideMark/>
          </w:tcPr>
          <w:p w14:paraId="4AFA4FCB" w14:textId="77777777" w:rsidR="00CF053B" w:rsidRPr="00CF053B" w:rsidRDefault="00CF053B" w:rsidP="00CF053B">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VARIABLES</w:t>
            </w:r>
          </w:p>
        </w:tc>
        <w:tc>
          <w:tcPr>
            <w:tcW w:w="1559" w:type="dxa"/>
            <w:tcBorders>
              <w:top w:val="single" w:sz="4" w:space="0" w:color="auto"/>
              <w:left w:val="nil"/>
              <w:bottom w:val="nil"/>
              <w:right w:val="nil"/>
            </w:tcBorders>
            <w:noWrap/>
            <w:vAlign w:val="center"/>
            <w:hideMark/>
          </w:tcPr>
          <w:p w14:paraId="7FD405EB" w14:textId="77777777" w:rsidR="00CF053B" w:rsidRPr="00CF053B" w:rsidRDefault="00CF053B" w:rsidP="00CF053B">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WellBeing</w:t>
            </w:r>
          </w:p>
        </w:tc>
        <w:tc>
          <w:tcPr>
            <w:tcW w:w="1559" w:type="dxa"/>
            <w:tcBorders>
              <w:top w:val="single" w:sz="4" w:space="0" w:color="auto"/>
              <w:left w:val="nil"/>
              <w:bottom w:val="nil"/>
              <w:right w:val="nil"/>
            </w:tcBorders>
            <w:noWrap/>
            <w:vAlign w:val="center"/>
            <w:hideMark/>
          </w:tcPr>
          <w:p w14:paraId="03F40D26" w14:textId="77777777" w:rsidR="00CF053B" w:rsidRPr="00CF053B" w:rsidRDefault="00CF053B" w:rsidP="00CF053B">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WellBeing</w:t>
            </w:r>
          </w:p>
        </w:tc>
        <w:tc>
          <w:tcPr>
            <w:tcW w:w="1560" w:type="dxa"/>
            <w:tcBorders>
              <w:top w:val="single" w:sz="4" w:space="0" w:color="auto"/>
              <w:left w:val="nil"/>
              <w:bottom w:val="nil"/>
              <w:right w:val="nil"/>
            </w:tcBorders>
            <w:noWrap/>
            <w:vAlign w:val="center"/>
            <w:hideMark/>
          </w:tcPr>
          <w:p w14:paraId="44A9192F" w14:textId="77777777" w:rsidR="00CF053B" w:rsidRPr="00CF053B" w:rsidRDefault="00CF053B" w:rsidP="00CF053B">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WellBeing</w:t>
            </w:r>
          </w:p>
        </w:tc>
        <w:tc>
          <w:tcPr>
            <w:tcW w:w="1559" w:type="dxa"/>
            <w:tcBorders>
              <w:top w:val="single" w:sz="4" w:space="0" w:color="auto"/>
              <w:left w:val="nil"/>
              <w:bottom w:val="nil"/>
              <w:right w:val="nil"/>
            </w:tcBorders>
            <w:noWrap/>
            <w:vAlign w:val="center"/>
            <w:hideMark/>
          </w:tcPr>
          <w:p w14:paraId="26380AA0" w14:textId="77777777" w:rsidR="00CF053B" w:rsidRPr="00CF053B" w:rsidRDefault="00CF053B" w:rsidP="00CF053B">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WellBeing</w:t>
            </w:r>
          </w:p>
        </w:tc>
      </w:tr>
      <w:tr w:rsidR="00CF053B" w:rsidRPr="00CF053B" w14:paraId="144E8575" w14:textId="77777777" w:rsidTr="00BC1C47">
        <w:trPr>
          <w:trHeight w:val="315"/>
        </w:trPr>
        <w:tc>
          <w:tcPr>
            <w:tcW w:w="3544" w:type="dxa"/>
            <w:tcBorders>
              <w:top w:val="nil"/>
              <w:left w:val="nil"/>
              <w:bottom w:val="single" w:sz="4" w:space="0" w:color="auto"/>
              <w:right w:val="nil"/>
            </w:tcBorders>
            <w:noWrap/>
            <w:vAlign w:val="center"/>
            <w:hideMark/>
          </w:tcPr>
          <w:p w14:paraId="4235C538" w14:textId="77777777" w:rsidR="00CF053B" w:rsidRPr="00CF053B" w:rsidRDefault="00CF053B" w:rsidP="00CF053B">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single" w:sz="4" w:space="0" w:color="auto"/>
              <w:right w:val="nil"/>
            </w:tcBorders>
            <w:noWrap/>
            <w:vAlign w:val="center"/>
            <w:hideMark/>
          </w:tcPr>
          <w:p w14:paraId="23DBCA64" w14:textId="77777777" w:rsidR="00CF053B" w:rsidRPr="00CF053B" w:rsidRDefault="00CF053B" w:rsidP="00CF053B">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single" w:sz="4" w:space="0" w:color="auto"/>
              <w:right w:val="nil"/>
            </w:tcBorders>
            <w:noWrap/>
            <w:vAlign w:val="center"/>
            <w:hideMark/>
          </w:tcPr>
          <w:p w14:paraId="41F01806" w14:textId="77777777" w:rsidR="00CF053B" w:rsidRPr="00CF053B" w:rsidRDefault="00CF053B" w:rsidP="00CF053B">
            <w:pPr>
              <w:spacing w:after="0" w:line="240" w:lineRule="auto"/>
              <w:rPr>
                <w:rFonts w:ascii="Times New Roman" w:eastAsia="Times New Roman" w:hAnsi="Times New Roman" w:cs="Times New Roman"/>
                <w:sz w:val="20"/>
                <w:szCs w:val="20"/>
                <w:lang w:eastAsia="fr-FR"/>
              </w:rPr>
            </w:pPr>
          </w:p>
        </w:tc>
        <w:tc>
          <w:tcPr>
            <w:tcW w:w="1560" w:type="dxa"/>
            <w:tcBorders>
              <w:top w:val="nil"/>
              <w:left w:val="nil"/>
              <w:bottom w:val="single" w:sz="4" w:space="0" w:color="auto"/>
              <w:right w:val="nil"/>
            </w:tcBorders>
            <w:noWrap/>
            <w:vAlign w:val="center"/>
            <w:hideMark/>
          </w:tcPr>
          <w:p w14:paraId="32D672C6" w14:textId="77777777" w:rsidR="00CF053B" w:rsidRPr="00CF053B" w:rsidRDefault="00CF053B" w:rsidP="00CF053B">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single" w:sz="4" w:space="0" w:color="auto"/>
              <w:right w:val="nil"/>
            </w:tcBorders>
            <w:noWrap/>
            <w:vAlign w:val="center"/>
            <w:hideMark/>
          </w:tcPr>
          <w:p w14:paraId="67FDF28A" w14:textId="77777777" w:rsidR="00CF053B" w:rsidRPr="00CF053B" w:rsidRDefault="00CF053B" w:rsidP="00CF053B">
            <w:pPr>
              <w:spacing w:after="0" w:line="240" w:lineRule="auto"/>
              <w:rPr>
                <w:rFonts w:ascii="Times New Roman" w:eastAsia="Times New Roman" w:hAnsi="Times New Roman" w:cs="Times New Roman"/>
                <w:sz w:val="20"/>
                <w:szCs w:val="20"/>
                <w:lang w:eastAsia="fr-FR"/>
              </w:rPr>
            </w:pPr>
          </w:p>
        </w:tc>
      </w:tr>
      <w:tr w:rsidR="00CF053B" w:rsidRPr="00CF053B" w14:paraId="07898198" w14:textId="77777777" w:rsidTr="00BC1C47">
        <w:trPr>
          <w:trHeight w:val="315"/>
        </w:trPr>
        <w:tc>
          <w:tcPr>
            <w:tcW w:w="3544" w:type="dxa"/>
            <w:tcBorders>
              <w:top w:val="nil"/>
              <w:left w:val="nil"/>
              <w:bottom w:val="nil"/>
              <w:right w:val="nil"/>
            </w:tcBorders>
            <w:noWrap/>
            <w:vAlign w:val="center"/>
            <w:hideMark/>
          </w:tcPr>
          <w:p w14:paraId="23628D82" w14:textId="77777777" w:rsidR="00CF053B" w:rsidRPr="00CF053B" w:rsidRDefault="009875C9" w:rsidP="00CF053B">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b/>
                <w:bCs/>
                <w:color w:val="000000"/>
                <w:sz w:val="24"/>
                <w:szCs w:val="24"/>
                <w:lang w:eastAsia="fr-FR"/>
              </w:rPr>
              <w:t>Household_Electricity_Access</w:t>
            </w:r>
          </w:p>
        </w:tc>
        <w:tc>
          <w:tcPr>
            <w:tcW w:w="1559" w:type="dxa"/>
            <w:tcBorders>
              <w:top w:val="nil"/>
              <w:left w:val="nil"/>
              <w:bottom w:val="nil"/>
              <w:right w:val="nil"/>
            </w:tcBorders>
            <w:noWrap/>
            <w:vAlign w:val="center"/>
            <w:hideMark/>
          </w:tcPr>
          <w:p w14:paraId="16DB69F4" w14:textId="77777777" w:rsidR="00CF053B" w:rsidRPr="00CF053B" w:rsidRDefault="00CF053B" w:rsidP="00CF053B">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7A7C722E" w14:textId="77777777" w:rsidR="00CF053B" w:rsidRPr="00CF053B" w:rsidRDefault="00CF053B" w:rsidP="00CF053B">
            <w:pPr>
              <w:spacing w:after="0" w:line="240" w:lineRule="auto"/>
              <w:rPr>
                <w:rFonts w:ascii="Times New Roman" w:eastAsia="Times New Roman" w:hAnsi="Times New Roman" w:cs="Times New Roman"/>
                <w:color w:val="000000"/>
                <w:sz w:val="24"/>
                <w:szCs w:val="24"/>
                <w:lang w:eastAsia="fr-FR"/>
              </w:rPr>
            </w:pPr>
          </w:p>
        </w:tc>
        <w:tc>
          <w:tcPr>
            <w:tcW w:w="1560" w:type="dxa"/>
            <w:tcBorders>
              <w:top w:val="nil"/>
              <w:left w:val="nil"/>
              <w:bottom w:val="nil"/>
              <w:right w:val="nil"/>
            </w:tcBorders>
            <w:noWrap/>
            <w:vAlign w:val="center"/>
            <w:hideMark/>
          </w:tcPr>
          <w:p w14:paraId="133545ED" w14:textId="77777777" w:rsidR="00CF053B" w:rsidRPr="00CF053B" w:rsidRDefault="00CF053B" w:rsidP="00CF053B">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7DC84845" w14:textId="77777777" w:rsidR="00CF053B" w:rsidRPr="00CF053B" w:rsidRDefault="00CF053B" w:rsidP="00CF053B">
            <w:pPr>
              <w:spacing w:after="0" w:line="240" w:lineRule="auto"/>
              <w:rPr>
                <w:rFonts w:ascii="Times New Roman" w:eastAsia="Times New Roman" w:hAnsi="Times New Roman" w:cs="Times New Roman"/>
                <w:color w:val="000000"/>
                <w:sz w:val="24"/>
                <w:szCs w:val="24"/>
                <w:lang w:eastAsia="fr-FR"/>
              </w:rPr>
            </w:pPr>
          </w:p>
        </w:tc>
      </w:tr>
      <w:tr w:rsidR="009875C9" w:rsidRPr="00CF053B" w14:paraId="2117BA7A" w14:textId="77777777" w:rsidTr="00BC1C47">
        <w:trPr>
          <w:trHeight w:val="315"/>
        </w:trPr>
        <w:tc>
          <w:tcPr>
            <w:tcW w:w="3544" w:type="dxa"/>
            <w:tcBorders>
              <w:top w:val="nil"/>
              <w:left w:val="nil"/>
              <w:bottom w:val="nil"/>
              <w:right w:val="nil"/>
            </w:tcBorders>
            <w:noWrap/>
            <w:vAlign w:val="center"/>
          </w:tcPr>
          <w:p w14:paraId="413D67E1"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Unelectrified households</w:t>
            </w:r>
          </w:p>
        </w:tc>
        <w:tc>
          <w:tcPr>
            <w:tcW w:w="1559" w:type="dxa"/>
            <w:tcBorders>
              <w:top w:val="nil"/>
              <w:left w:val="nil"/>
              <w:bottom w:val="nil"/>
              <w:right w:val="nil"/>
            </w:tcBorders>
            <w:noWrap/>
            <w:vAlign w:val="center"/>
          </w:tcPr>
          <w:p w14:paraId="6BC6FD66"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-2.400***</w:t>
            </w:r>
          </w:p>
        </w:tc>
        <w:tc>
          <w:tcPr>
            <w:tcW w:w="1559" w:type="dxa"/>
            <w:tcBorders>
              <w:top w:val="nil"/>
              <w:left w:val="nil"/>
              <w:bottom w:val="nil"/>
              <w:right w:val="nil"/>
            </w:tcBorders>
            <w:noWrap/>
            <w:vAlign w:val="center"/>
          </w:tcPr>
          <w:p w14:paraId="4BF42A04"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-1.471***</w:t>
            </w:r>
          </w:p>
        </w:tc>
        <w:tc>
          <w:tcPr>
            <w:tcW w:w="1560" w:type="dxa"/>
            <w:tcBorders>
              <w:top w:val="nil"/>
              <w:left w:val="nil"/>
              <w:bottom w:val="nil"/>
              <w:right w:val="nil"/>
            </w:tcBorders>
            <w:noWrap/>
            <w:vAlign w:val="center"/>
          </w:tcPr>
          <w:p w14:paraId="70FCADF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-1.471***</w:t>
            </w:r>
          </w:p>
        </w:tc>
        <w:tc>
          <w:tcPr>
            <w:tcW w:w="1559" w:type="dxa"/>
            <w:tcBorders>
              <w:top w:val="nil"/>
              <w:left w:val="nil"/>
              <w:bottom w:val="nil"/>
              <w:right w:val="nil"/>
            </w:tcBorders>
            <w:noWrap/>
            <w:vAlign w:val="center"/>
          </w:tcPr>
          <w:p w14:paraId="28AA1C98"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-2.422***</w:t>
            </w:r>
          </w:p>
        </w:tc>
      </w:tr>
      <w:tr w:rsidR="009875C9" w:rsidRPr="00CF053B" w14:paraId="7E731867" w14:textId="77777777" w:rsidTr="00BC1C47">
        <w:trPr>
          <w:trHeight w:val="315"/>
        </w:trPr>
        <w:tc>
          <w:tcPr>
            <w:tcW w:w="3544" w:type="dxa"/>
            <w:tcBorders>
              <w:top w:val="nil"/>
              <w:left w:val="nil"/>
              <w:bottom w:val="nil"/>
              <w:right w:val="nil"/>
            </w:tcBorders>
            <w:noWrap/>
            <w:vAlign w:val="center"/>
          </w:tcPr>
          <w:p w14:paraId="2659AA3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tcPr>
          <w:p w14:paraId="58E30BC4"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(0.0128)</w:t>
            </w:r>
          </w:p>
        </w:tc>
        <w:tc>
          <w:tcPr>
            <w:tcW w:w="1559" w:type="dxa"/>
            <w:tcBorders>
              <w:top w:val="nil"/>
              <w:left w:val="nil"/>
              <w:bottom w:val="nil"/>
              <w:right w:val="nil"/>
            </w:tcBorders>
            <w:noWrap/>
            <w:vAlign w:val="center"/>
          </w:tcPr>
          <w:p w14:paraId="1947429C"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(0.0839)</w:t>
            </w:r>
          </w:p>
        </w:tc>
        <w:tc>
          <w:tcPr>
            <w:tcW w:w="1560" w:type="dxa"/>
            <w:tcBorders>
              <w:top w:val="nil"/>
              <w:left w:val="nil"/>
              <w:bottom w:val="nil"/>
              <w:right w:val="nil"/>
            </w:tcBorders>
            <w:noWrap/>
            <w:vAlign w:val="center"/>
          </w:tcPr>
          <w:p w14:paraId="5DD31D6E"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(0.0839)</w:t>
            </w:r>
          </w:p>
        </w:tc>
        <w:tc>
          <w:tcPr>
            <w:tcW w:w="1559" w:type="dxa"/>
            <w:tcBorders>
              <w:top w:val="nil"/>
              <w:left w:val="nil"/>
              <w:bottom w:val="nil"/>
              <w:right w:val="nil"/>
            </w:tcBorders>
            <w:noWrap/>
            <w:vAlign w:val="center"/>
          </w:tcPr>
          <w:p w14:paraId="071CFF19"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(0.0129)</w:t>
            </w:r>
          </w:p>
        </w:tc>
      </w:tr>
      <w:tr w:rsidR="009875C9" w:rsidRPr="00CF053B" w14:paraId="72F3D914" w14:textId="77777777" w:rsidTr="00BC1C47">
        <w:trPr>
          <w:trHeight w:val="315"/>
        </w:trPr>
        <w:tc>
          <w:tcPr>
            <w:tcW w:w="3544" w:type="dxa"/>
            <w:tcBorders>
              <w:top w:val="nil"/>
              <w:left w:val="nil"/>
              <w:bottom w:val="nil"/>
              <w:right w:val="nil"/>
            </w:tcBorders>
            <w:noWrap/>
            <w:vAlign w:val="bottom"/>
          </w:tcPr>
          <w:p w14:paraId="207C1BB5" w14:textId="77777777" w:rsidR="009875C9" w:rsidRPr="00910F92" w:rsidRDefault="009875C9" w:rsidP="009875C9">
            <w:pPr>
              <w:spacing w:after="0" w:line="240" w:lineRule="auto"/>
              <w:rPr>
                <w:rFonts w:ascii="Times New Roman" w:eastAsia="Times New Roman" w:hAnsi="Times New Roman" w:cs="Times New Roman"/>
                <w:b/>
                <w:bCs/>
                <w:color w:val="000000"/>
                <w:sz w:val="24"/>
                <w:szCs w:val="24"/>
                <w:lang w:eastAsia="fr-FR"/>
              </w:rPr>
            </w:pPr>
            <w:r w:rsidRPr="00910F92">
              <w:rPr>
                <w:rFonts w:ascii="Times New Roman" w:eastAsia="Times New Roman" w:hAnsi="Times New Roman" w:cs="Times New Roman"/>
                <w:b/>
                <w:bCs/>
                <w:color w:val="000000"/>
                <w:sz w:val="24"/>
                <w:szCs w:val="24"/>
                <w:lang w:eastAsia="fr-FR"/>
              </w:rPr>
              <w:t>Gender_Household_Head</w:t>
            </w:r>
          </w:p>
        </w:tc>
        <w:tc>
          <w:tcPr>
            <w:tcW w:w="1559" w:type="dxa"/>
            <w:tcBorders>
              <w:top w:val="nil"/>
              <w:left w:val="nil"/>
              <w:bottom w:val="nil"/>
              <w:right w:val="nil"/>
            </w:tcBorders>
            <w:noWrap/>
            <w:vAlign w:val="center"/>
          </w:tcPr>
          <w:p w14:paraId="543FC4FF"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tcPr>
          <w:p w14:paraId="2D75471A"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60" w:type="dxa"/>
            <w:tcBorders>
              <w:top w:val="nil"/>
              <w:left w:val="nil"/>
              <w:bottom w:val="nil"/>
              <w:right w:val="nil"/>
            </w:tcBorders>
            <w:noWrap/>
            <w:vAlign w:val="center"/>
          </w:tcPr>
          <w:p w14:paraId="07356978"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tcPr>
          <w:p w14:paraId="271BDCD7"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r>
      <w:tr w:rsidR="009875C9" w:rsidRPr="00CF053B" w14:paraId="48A2C268" w14:textId="77777777" w:rsidTr="00BC1C47">
        <w:trPr>
          <w:trHeight w:val="315"/>
        </w:trPr>
        <w:tc>
          <w:tcPr>
            <w:tcW w:w="3544" w:type="dxa"/>
            <w:tcBorders>
              <w:top w:val="nil"/>
              <w:left w:val="nil"/>
              <w:bottom w:val="nil"/>
              <w:right w:val="nil"/>
            </w:tcBorders>
            <w:noWrap/>
            <w:vAlign w:val="bottom"/>
            <w:hideMark/>
          </w:tcPr>
          <w:p w14:paraId="0FDBBE38" w14:textId="77777777" w:rsidR="009875C9" w:rsidRPr="00910F92" w:rsidRDefault="009875C9" w:rsidP="009875C9">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 xml:space="preserve"> Female</w:t>
            </w:r>
          </w:p>
        </w:tc>
        <w:tc>
          <w:tcPr>
            <w:tcW w:w="1559" w:type="dxa"/>
            <w:tcBorders>
              <w:top w:val="nil"/>
              <w:left w:val="nil"/>
              <w:bottom w:val="nil"/>
              <w:right w:val="nil"/>
            </w:tcBorders>
            <w:noWrap/>
            <w:vAlign w:val="center"/>
            <w:hideMark/>
          </w:tcPr>
          <w:p w14:paraId="7C1D17D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-0.0368***</w:t>
            </w:r>
          </w:p>
        </w:tc>
        <w:tc>
          <w:tcPr>
            <w:tcW w:w="1559" w:type="dxa"/>
            <w:tcBorders>
              <w:top w:val="nil"/>
              <w:left w:val="nil"/>
              <w:bottom w:val="nil"/>
              <w:right w:val="nil"/>
            </w:tcBorders>
            <w:noWrap/>
            <w:vAlign w:val="center"/>
            <w:hideMark/>
          </w:tcPr>
          <w:p w14:paraId="0327DD50"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-0.0354***</w:t>
            </w:r>
          </w:p>
        </w:tc>
        <w:tc>
          <w:tcPr>
            <w:tcW w:w="1560" w:type="dxa"/>
            <w:tcBorders>
              <w:top w:val="nil"/>
              <w:left w:val="nil"/>
              <w:bottom w:val="nil"/>
              <w:right w:val="nil"/>
            </w:tcBorders>
            <w:noWrap/>
            <w:vAlign w:val="center"/>
            <w:hideMark/>
          </w:tcPr>
          <w:p w14:paraId="2B61E9A8"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-0.0354***</w:t>
            </w:r>
          </w:p>
        </w:tc>
        <w:tc>
          <w:tcPr>
            <w:tcW w:w="1559" w:type="dxa"/>
            <w:tcBorders>
              <w:top w:val="nil"/>
              <w:left w:val="nil"/>
              <w:bottom w:val="nil"/>
              <w:right w:val="nil"/>
            </w:tcBorders>
            <w:noWrap/>
            <w:vAlign w:val="center"/>
            <w:hideMark/>
          </w:tcPr>
          <w:p w14:paraId="664D9039"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-0.0354***</w:t>
            </w:r>
          </w:p>
        </w:tc>
      </w:tr>
      <w:tr w:rsidR="009875C9" w:rsidRPr="00CF053B" w14:paraId="4523467E" w14:textId="77777777" w:rsidTr="00BC1C47">
        <w:trPr>
          <w:trHeight w:val="315"/>
        </w:trPr>
        <w:tc>
          <w:tcPr>
            <w:tcW w:w="3544" w:type="dxa"/>
            <w:tcBorders>
              <w:top w:val="nil"/>
              <w:left w:val="nil"/>
              <w:bottom w:val="nil"/>
              <w:right w:val="nil"/>
            </w:tcBorders>
            <w:noWrap/>
            <w:vAlign w:val="center"/>
            <w:hideMark/>
          </w:tcPr>
          <w:p w14:paraId="2708F89C"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1E36309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(0.00757)</w:t>
            </w:r>
          </w:p>
        </w:tc>
        <w:tc>
          <w:tcPr>
            <w:tcW w:w="1559" w:type="dxa"/>
            <w:tcBorders>
              <w:top w:val="nil"/>
              <w:left w:val="nil"/>
              <w:bottom w:val="nil"/>
              <w:right w:val="nil"/>
            </w:tcBorders>
            <w:noWrap/>
            <w:vAlign w:val="center"/>
            <w:hideMark/>
          </w:tcPr>
          <w:p w14:paraId="1FF217D9"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(0.00755)</w:t>
            </w:r>
          </w:p>
        </w:tc>
        <w:tc>
          <w:tcPr>
            <w:tcW w:w="1560" w:type="dxa"/>
            <w:tcBorders>
              <w:top w:val="nil"/>
              <w:left w:val="nil"/>
              <w:bottom w:val="nil"/>
              <w:right w:val="nil"/>
            </w:tcBorders>
            <w:noWrap/>
            <w:vAlign w:val="center"/>
            <w:hideMark/>
          </w:tcPr>
          <w:p w14:paraId="2589AC43"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(0.00755)</w:t>
            </w:r>
          </w:p>
        </w:tc>
        <w:tc>
          <w:tcPr>
            <w:tcW w:w="1559" w:type="dxa"/>
            <w:tcBorders>
              <w:top w:val="nil"/>
              <w:left w:val="nil"/>
              <w:bottom w:val="nil"/>
              <w:right w:val="nil"/>
            </w:tcBorders>
            <w:noWrap/>
            <w:vAlign w:val="center"/>
            <w:hideMark/>
          </w:tcPr>
          <w:p w14:paraId="2DA2444F"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(0.00755)</w:t>
            </w:r>
          </w:p>
        </w:tc>
      </w:tr>
      <w:tr w:rsidR="009875C9" w:rsidRPr="00CF053B" w14:paraId="1629074A" w14:textId="77777777" w:rsidTr="00BC1C47">
        <w:trPr>
          <w:trHeight w:val="315"/>
        </w:trPr>
        <w:tc>
          <w:tcPr>
            <w:tcW w:w="3544" w:type="dxa"/>
            <w:tcBorders>
              <w:top w:val="nil"/>
              <w:left w:val="nil"/>
              <w:bottom w:val="nil"/>
              <w:right w:val="nil"/>
            </w:tcBorders>
            <w:noWrap/>
            <w:vAlign w:val="center"/>
            <w:hideMark/>
          </w:tcPr>
          <w:p w14:paraId="755427A9" w14:textId="77777777" w:rsidR="009875C9" w:rsidRPr="008564AD" w:rsidRDefault="009875C9" w:rsidP="009875C9">
            <w:pPr>
              <w:spacing w:after="0" w:line="240" w:lineRule="auto"/>
              <w:rPr>
                <w:rFonts w:ascii="Times New Roman" w:eastAsia="Times New Roman" w:hAnsi="Times New Roman" w:cs="Times New Roman"/>
                <w:b/>
                <w:color w:val="000000"/>
                <w:sz w:val="24"/>
                <w:szCs w:val="24"/>
                <w:lang w:eastAsia="fr-FR"/>
              </w:rPr>
            </w:pPr>
            <w:r w:rsidRPr="008564AD">
              <w:rPr>
                <w:rFonts w:ascii="Times New Roman" w:eastAsia="Times New Roman" w:hAnsi="Times New Roman" w:cs="Times New Roman"/>
                <w:b/>
                <w:color w:val="000000"/>
                <w:sz w:val="24"/>
                <w:szCs w:val="24"/>
                <w:lang w:eastAsia="fr-FR"/>
              </w:rPr>
              <w:t>Age_Household_Head</w:t>
            </w:r>
          </w:p>
        </w:tc>
        <w:tc>
          <w:tcPr>
            <w:tcW w:w="1559" w:type="dxa"/>
            <w:tcBorders>
              <w:top w:val="nil"/>
              <w:left w:val="nil"/>
              <w:bottom w:val="nil"/>
              <w:right w:val="nil"/>
            </w:tcBorders>
            <w:noWrap/>
            <w:vAlign w:val="center"/>
            <w:hideMark/>
          </w:tcPr>
          <w:p w14:paraId="3882811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0.00897***</w:t>
            </w:r>
          </w:p>
        </w:tc>
        <w:tc>
          <w:tcPr>
            <w:tcW w:w="1559" w:type="dxa"/>
            <w:tcBorders>
              <w:top w:val="nil"/>
              <w:left w:val="nil"/>
              <w:bottom w:val="nil"/>
              <w:right w:val="nil"/>
            </w:tcBorders>
            <w:noWrap/>
            <w:vAlign w:val="center"/>
            <w:hideMark/>
          </w:tcPr>
          <w:p w14:paraId="019E60FE"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0.00905***</w:t>
            </w:r>
          </w:p>
        </w:tc>
        <w:tc>
          <w:tcPr>
            <w:tcW w:w="1560" w:type="dxa"/>
            <w:tcBorders>
              <w:top w:val="nil"/>
              <w:left w:val="nil"/>
              <w:bottom w:val="nil"/>
              <w:right w:val="nil"/>
            </w:tcBorders>
            <w:noWrap/>
            <w:vAlign w:val="center"/>
            <w:hideMark/>
          </w:tcPr>
          <w:p w14:paraId="33FB8E65"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0.00905***</w:t>
            </w:r>
          </w:p>
        </w:tc>
        <w:tc>
          <w:tcPr>
            <w:tcW w:w="1559" w:type="dxa"/>
            <w:tcBorders>
              <w:top w:val="nil"/>
              <w:left w:val="nil"/>
              <w:bottom w:val="nil"/>
              <w:right w:val="nil"/>
            </w:tcBorders>
            <w:noWrap/>
            <w:vAlign w:val="center"/>
            <w:hideMark/>
          </w:tcPr>
          <w:p w14:paraId="54929348"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0.00905***</w:t>
            </w:r>
          </w:p>
        </w:tc>
      </w:tr>
      <w:tr w:rsidR="009875C9" w:rsidRPr="00CF053B" w14:paraId="28890233" w14:textId="77777777" w:rsidTr="00BC1C47">
        <w:trPr>
          <w:trHeight w:val="315"/>
        </w:trPr>
        <w:tc>
          <w:tcPr>
            <w:tcW w:w="3544" w:type="dxa"/>
            <w:tcBorders>
              <w:top w:val="nil"/>
              <w:left w:val="nil"/>
              <w:bottom w:val="nil"/>
              <w:right w:val="nil"/>
            </w:tcBorders>
            <w:noWrap/>
            <w:vAlign w:val="center"/>
            <w:hideMark/>
          </w:tcPr>
          <w:p w14:paraId="3F0960AC"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65CE8890"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(0.00124)</w:t>
            </w:r>
          </w:p>
        </w:tc>
        <w:tc>
          <w:tcPr>
            <w:tcW w:w="1559" w:type="dxa"/>
            <w:tcBorders>
              <w:top w:val="nil"/>
              <w:left w:val="nil"/>
              <w:bottom w:val="nil"/>
              <w:right w:val="nil"/>
            </w:tcBorders>
            <w:noWrap/>
            <w:vAlign w:val="center"/>
            <w:hideMark/>
          </w:tcPr>
          <w:p w14:paraId="3F59F399"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(0.00123)</w:t>
            </w:r>
          </w:p>
        </w:tc>
        <w:tc>
          <w:tcPr>
            <w:tcW w:w="1560" w:type="dxa"/>
            <w:tcBorders>
              <w:top w:val="nil"/>
              <w:left w:val="nil"/>
              <w:bottom w:val="nil"/>
              <w:right w:val="nil"/>
            </w:tcBorders>
            <w:noWrap/>
            <w:vAlign w:val="center"/>
            <w:hideMark/>
          </w:tcPr>
          <w:p w14:paraId="78E31503"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(0.00123)</w:t>
            </w:r>
          </w:p>
        </w:tc>
        <w:tc>
          <w:tcPr>
            <w:tcW w:w="1559" w:type="dxa"/>
            <w:tcBorders>
              <w:top w:val="nil"/>
              <w:left w:val="nil"/>
              <w:bottom w:val="nil"/>
              <w:right w:val="nil"/>
            </w:tcBorders>
            <w:noWrap/>
            <w:vAlign w:val="center"/>
            <w:hideMark/>
          </w:tcPr>
          <w:p w14:paraId="3AAA0B87"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(0.00123)</w:t>
            </w:r>
          </w:p>
        </w:tc>
      </w:tr>
      <w:tr w:rsidR="009875C9" w:rsidRPr="00CF053B" w14:paraId="76A674DC" w14:textId="77777777" w:rsidTr="00BC1C47">
        <w:trPr>
          <w:trHeight w:val="315"/>
        </w:trPr>
        <w:tc>
          <w:tcPr>
            <w:tcW w:w="3544" w:type="dxa"/>
            <w:tcBorders>
              <w:top w:val="nil"/>
              <w:left w:val="nil"/>
              <w:bottom w:val="nil"/>
              <w:right w:val="nil"/>
            </w:tcBorders>
            <w:noWrap/>
            <w:vAlign w:val="center"/>
            <w:hideMark/>
          </w:tcPr>
          <w:p w14:paraId="2B26354C" w14:textId="77777777" w:rsidR="009875C9" w:rsidRPr="008564AD" w:rsidRDefault="009875C9" w:rsidP="009875C9">
            <w:pPr>
              <w:spacing w:after="0" w:line="240" w:lineRule="auto"/>
              <w:rPr>
                <w:rFonts w:ascii="Times New Roman" w:eastAsia="Times New Roman" w:hAnsi="Times New Roman" w:cs="Times New Roman"/>
                <w:b/>
                <w:color w:val="000000"/>
                <w:sz w:val="24"/>
                <w:szCs w:val="24"/>
                <w:lang w:eastAsia="fr-FR"/>
              </w:rPr>
            </w:pPr>
            <w:r w:rsidRPr="008564AD">
              <w:rPr>
                <w:rFonts w:ascii="Times New Roman" w:eastAsia="Times New Roman" w:hAnsi="Times New Roman" w:cs="Times New Roman"/>
                <w:b/>
                <w:color w:val="000000"/>
                <w:sz w:val="24"/>
                <w:szCs w:val="24"/>
                <w:lang w:eastAsia="fr-FR"/>
              </w:rPr>
              <w:t>Age_Household_Head_Squared</w:t>
            </w:r>
          </w:p>
        </w:tc>
        <w:tc>
          <w:tcPr>
            <w:tcW w:w="1559" w:type="dxa"/>
            <w:tcBorders>
              <w:top w:val="nil"/>
              <w:left w:val="nil"/>
              <w:bottom w:val="nil"/>
              <w:right w:val="nil"/>
            </w:tcBorders>
            <w:noWrap/>
            <w:vAlign w:val="center"/>
            <w:hideMark/>
          </w:tcPr>
          <w:p w14:paraId="73D7651F"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-7.41e-05***</w:t>
            </w:r>
          </w:p>
        </w:tc>
        <w:tc>
          <w:tcPr>
            <w:tcW w:w="1559" w:type="dxa"/>
            <w:tcBorders>
              <w:top w:val="nil"/>
              <w:left w:val="nil"/>
              <w:bottom w:val="nil"/>
              <w:right w:val="nil"/>
            </w:tcBorders>
            <w:noWrap/>
            <w:vAlign w:val="center"/>
            <w:hideMark/>
          </w:tcPr>
          <w:p w14:paraId="294F3F2A"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-7.49e-05***</w:t>
            </w:r>
          </w:p>
        </w:tc>
        <w:tc>
          <w:tcPr>
            <w:tcW w:w="1560" w:type="dxa"/>
            <w:tcBorders>
              <w:top w:val="nil"/>
              <w:left w:val="nil"/>
              <w:bottom w:val="nil"/>
              <w:right w:val="nil"/>
            </w:tcBorders>
            <w:noWrap/>
            <w:vAlign w:val="center"/>
            <w:hideMark/>
          </w:tcPr>
          <w:p w14:paraId="6036ED1F"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-7.49e-05***</w:t>
            </w:r>
          </w:p>
        </w:tc>
        <w:tc>
          <w:tcPr>
            <w:tcW w:w="1559" w:type="dxa"/>
            <w:tcBorders>
              <w:top w:val="nil"/>
              <w:left w:val="nil"/>
              <w:bottom w:val="nil"/>
              <w:right w:val="nil"/>
            </w:tcBorders>
            <w:noWrap/>
            <w:vAlign w:val="center"/>
            <w:hideMark/>
          </w:tcPr>
          <w:p w14:paraId="3633A750"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-7.49e-05***</w:t>
            </w:r>
          </w:p>
        </w:tc>
      </w:tr>
      <w:tr w:rsidR="009875C9" w:rsidRPr="00CF053B" w14:paraId="77D61D21" w14:textId="77777777" w:rsidTr="00BC1C47">
        <w:trPr>
          <w:trHeight w:val="315"/>
        </w:trPr>
        <w:tc>
          <w:tcPr>
            <w:tcW w:w="3544" w:type="dxa"/>
            <w:tcBorders>
              <w:top w:val="nil"/>
              <w:left w:val="nil"/>
              <w:bottom w:val="nil"/>
              <w:right w:val="nil"/>
            </w:tcBorders>
            <w:noWrap/>
            <w:vAlign w:val="center"/>
            <w:hideMark/>
          </w:tcPr>
          <w:p w14:paraId="6ADE2317"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66F51D44"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(1.31e-05)</w:t>
            </w:r>
          </w:p>
        </w:tc>
        <w:tc>
          <w:tcPr>
            <w:tcW w:w="1559" w:type="dxa"/>
            <w:tcBorders>
              <w:top w:val="nil"/>
              <w:left w:val="nil"/>
              <w:bottom w:val="nil"/>
              <w:right w:val="nil"/>
            </w:tcBorders>
            <w:noWrap/>
            <w:vAlign w:val="center"/>
            <w:hideMark/>
          </w:tcPr>
          <w:p w14:paraId="6470B9E7"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(1.31e-05)</w:t>
            </w:r>
          </w:p>
        </w:tc>
        <w:tc>
          <w:tcPr>
            <w:tcW w:w="1560" w:type="dxa"/>
            <w:tcBorders>
              <w:top w:val="nil"/>
              <w:left w:val="nil"/>
              <w:bottom w:val="nil"/>
              <w:right w:val="nil"/>
            </w:tcBorders>
            <w:noWrap/>
            <w:vAlign w:val="center"/>
            <w:hideMark/>
          </w:tcPr>
          <w:p w14:paraId="5398CAF4"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(1.31e-05)</w:t>
            </w:r>
          </w:p>
        </w:tc>
        <w:tc>
          <w:tcPr>
            <w:tcW w:w="1559" w:type="dxa"/>
            <w:tcBorders>
              <w:top w:val="nil"/>
              <w:left w:val="nil"/>
              <w:bottom w:val="nil"/>
              <w:right w:val="nil"/>
            </w:tcBorders>
            <w:noWrap/>
            <w:vAlign w:val="center"/>
            <w:hideMark/>
          </w:tcPr>
          <w:p w14:paraId="27AECC08"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(1.31e-05)</w:t>
            </w:r>
          </w:p>
        </w:tc>
      </w:tr>
      <w:tr w:rsidR="009875C9" w:rsidRPr="00CF053B" w14:paraId="4470029B" w14:textId="77777777" w:rsidTr="00BC1C47">
        <w:trPr>
          <w:trHeight w:val="315"/>
        </w:trPr>
        <w:tc>
          <w:tcPr>
            <w:tcW w:w="3544" w:type="dxa"/>
            <w:tcBorders>
              <w:top w:val="nil"/>
              <w:left w:val="nil"/>
              <w:bottom w:val="nil"/>
              <w:right w:val="nil"/>
            </w:tcBorders>
            <w:noWrap/>
            <w:vAlign w:val="bottom"/>
          </w:tcPr>
          <w:p w14:paraId="6C286D1A" w14:textId="77777777" w:rsidR="009875C9" w:rsidRPr="00910F92" w:rsidRDefault="009875C9" w:rsidP="009875C9">
            <w:pPr>
              <w:spacing w:after="0" w:line="240" w:lineRule="auto"/>
              <w:rPr>
                <w:rFonts w:ascii="Times New Roman" w:eastAsia="Times New Roman" w:hAnsi="Times New Roman" w:cs="Times New Roman"/>
                <w:b/>
                <w:bCs/>
                <w:color w:val="000000"/>
                <w:sz w:val="24"/>
                <w:szCs w:val="24"/>
                <w:lang w:eastAsia="fr-FR"/>
              </w:rPr>
            </w:pPr>
            <w:r w:rsidRPr="00910F92">
              <w:rPr>
                <w:rFonts w:ascii="Times New Roman" w:eastAsia="Times New Roman" w:hAnsi="Times New Roman" w:cs="Times New Roman"/>
                <w:b/>
                <w:bCs/>
                <w:color w:val="000000"/>
                <w:sz w:val="24"/>
                <w:szCs w:val="24"/>
                <w:lang w:eastAsia="fr-FR"/>
              </w:rPr>
              <w:t>Education_Household_Head</w:t>
            </w:r>
          </w:p>
        </w:tc>
        <w:tc>
          <w:tcPr>
            <w:tcW w:w="1559" w:type="dxa"/>
            <w:tcBorders>
              <w:top w:val="nil"/>
              <w:left w:val="nil"/>
              <w:bottom w:val="nil"/>
              <w:right w:val="nil"/>
            </w:tcBorders>
            <w:noWrap/>
            <w:vAlign w:val="center"/>
          </w:tcPr>
          <w:p w14:paraId="65EE70DC"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tcPr>
          <w:p w14:paraId="076C8FDA"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60" w:type="dxa"/>
            <w:tcBorders>
              <w:top w:val="nil"/>
              <w:left w:val="nil"/>
              <w:bottom w:val="nil"/>
              <w:right w:val="nil"/>
            </w:tcBorders>
            <w:noWrap/>
            <w:vAlign w:val="center"/>
          </w:tcPr>
          <w:p w14:paraId="6AD74F3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tcPr>
          <w:p w14:paraId="6106296C"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r>
      <w:tr w:rsidR="009875C9" w:rsidRPr="00CF053B" w14:paraId="5C45626C" w14:textId="77777777" w:rsidTr="00BC1C47">
        <w:trPr>
          <w:trHeight w:val="315"/>
        </w:trPr>
        <w:tc>
          <w:tcPr>
            <w:tcW w:w="3544" w:type="dxa"/>
            <w:tcBorders>
              <w:top w:val="nil"/>
              <w:left w:val="nil"/>
              <w:bottom w:val="nil"/>
              <w:right w:val="nil"/>
            </w:tcBorders>
            <w:noWrap/>
            <w:vAlign w:val="bottom"/>
            <w:hideMark/>
          </w:tcPr>
          <w:p w14:paraId="1820BD24" w14:textId="77777777" w:rsidR="009875C9" w:rsidRPr="00910F92" w:rsidRDefault="009875C9" w:rsidP="009875C9">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Primary</w:t>
            </w:r>
          </w:p>
        </w:tc>
        <w:tc>
          <w:tcPr>
            <w:tcW w:w="1559" w:type="dxa"/>
            <w:tcBorders>
              <w:top w:val="nil"/>
              <w:left w:val="nil"/>
              <w:bottom w:val="nil"/>
              <w:right w:val="nil"/>
            </w:tcBorders>
            <w:noWrap/>
            <w:vAlign w:val="center"/>
            <w:hideMark/>
          </w:tcPr>
          <w:p w14:paraId="3B04D6D6"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0.0475***</w:t>
            </w:r>
          </w:p>
        </w:tc>
        <w:tc>
          <w:tcPr>
            <w:tcW w:w="1559" w:type="dxa"/>
            <w:tcBorders>
              <w:top w:val="nil"/>
              <w:left w:val="nil"/>
              <w:bottom w:val="nil"/>
              <w:right w:val="nil"/>
            </w:tcBorders>
            <w:noWrap/>
            <w:vAlign w:val="center"/>
            <w:hideMark/>
          </w:tcPr>
          <w:p w14:paraId="43B29188"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0.0483***</w:t>
            </w:r>
          </w:p>
        </w:tc>
        <w:tc>
          <w:tcPr>
            <w:tcW w:w="1560" w:type="dxa"/>
            <w:tcBorders>
              <w:top w:val="nil"/>
              <w:left w:val="nil"/>
              <w:bottom w:val="nil"/>
              <w:right w:val="nil"/>
            </w:tcBorders>
            <w:noWrap/>
            <w:vAlign w:val="center"/>
            <w:hideMark/>
          </w:tcPr>
          <w:p w14:paraId="3485D451"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0.0483***</w:t>
            </w:r>
          </w:p>
        </w:tc>
        <w:tc>
          <w:tcPr>
            <w:tcW w:w="1559" w:type="dxa"/>
            <w:tcBorders>
              <w:top w:val="nil"/>
              <w:left w:val="nil"/>
              <w:bottom w:val="nil"/>
              <w:right w:val="nil"/>
            </w:tcBorders>
            <w:noWrap/>
            <w:vAlign w:val="center"/>
            <w:hideMark/>
          </w:tcPr>
          <w:p w14:paraId="0D2EECF6"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0.0483***</w:t>
            </w:r>
          </w:p>
        </w:tc>
      </w:tr>
      <w:tr w:rsidR="009875C9" w:rsidRPr="00CF053B" w14:paraId="03E38608" w14:textId="77777777" w:rsidTr="00BC1C47">
        <w:trPr>
          <w:trHeight w:val="315"/>
        </w:trPr>
        <w:tc>
          <w:tcPr>
            <w:tcW w:w="3544" w:type="dxa"/>
            <w:tcBorders>
              <w:top w:val="nil"/>
              <w:left w:val="nil"/>
              <w:bottom w:val="nil"/>
              <w:right w:val="nil"/>
            </w:tcBorders>
            <w:noWrap/>
            <w:vAlign w:val="bottom"/>
            <w:hideMark/>
          </w:tcPr>
          <w:p w14:paraId="6CDDA6E4" w14:textId="77777777" w:rsidR="009875C9" w:rsidRPr="00910F92"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0E587AFB"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(0.00990)</w:t>
            </w:r>
          </w:p>
        </w:tc>
        <w:tc>
          <w:tcPr>
            <w:tcW w:w="1559" w:type="dxa"/>
            <w:tcBorders>
              <w:top w:val="nil"/>
              <w:left w:val="nil"/>
              <w:bottom w:val="nil"/>
              <w:right w:val="nil"/>
            </w:tcBorders>
            <w:noWrap/>
            <w:vAlign w:val="center"/>
            <w:hideMark/>
          </w:tcPr>
          <w:p w14:paraId="7372B64A"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(0.00987)</w:t>
            </w:r>
          </w:p>
        </w:tc>
        <w:tc>
          <w:tcPr>
            <w:tcW w:w="1560" w:type="dxa"/>
            <w:tcBorders>
              <w:top w:val="nil"/>
              <w:left w:val="nil"/>
              <w:bottom w:val="nil"/>
              <w:right w:val="nil"/>
            </w:tcBorders>
            <w:noWrap/>
            <w:vAlign w:val="center"/>
            <w:hideMark/>
          </w:tcPr>
          <w:p w14:paraId="12C81D30"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(0.00987)</w:t>
            </w:r>
          </w:p>
        </w:tc>
        <w:tc>
          <w:tcPr>
            <w:tcW w:w="1559" w:type="dxa"/>
            <w:tcBorders>
              <w:top w:val="nil"/>
              <w:left w:val="nil"/>
              <w:bottom w:val="nil"/>
              <w:right w:val="nil"/>
            </w:tcBorders>
            <w:noWrap/>
            <w:vAlign w:val="center"/>
            <w:hideMark/>
          </w:tcPr>
          <w:p w14:paraId="221467EC"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(0.00987)</w:t>
            </w:r>
          </w:p>
        </w:tc>
      </w:tr>
      <w:tr w:rsidR="009875C9" w:rsidRPr="00CF053B" w14:paraId="5BE8C7A4" w14:textId="77777777" w:rsidTr="00BC1C47">
        <w:trPr>
          <w:trHeight w:val="315"/>
        </w:trPr>
        <w:tc>
          <w:tcPr>
            <w:tcW w:w="3544" w:type="dxa"/>
            <w:tcBorders>
              <w:top w:val="nil"/>
              <w:left w:val="nil"/>
              <w:bottom w:val="nil"/>
              <w:right w:val="nil"/>
            </w:tcBorders>
            <w:noWrap/>
            <w:vAlign w:val="bottom"/>
            <w:hideMark/>
          </w:tcPr>
          <w:p w14:paraId="4A998459" w14:textId="77777777" w:rsidR="009875C9" w:rsidRPr="00910F92" w:rsidRDefault="009875C9" w:rsidP="009875C9">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Secondary and above</w:t>
            </w:r>
            <w:r w:rsidRPr="00910F92">
              <w:rPr>
                <w:rFonts w:ascii="Times New Roman" w:eastAsia="Times New Roman" w:hAnsi="Times New Roman" w:cs="Times New Roman"/>
                <w:color w:val="000000"/>
                <w:sz w:val="24"/>
                <w:szCs w:val="24"/>
                <w:lang w:eastAsia="fr-FR"/>
              </w:rPr>
              <w:t xml:space="preserve"> </w:t>
            </w:r>
          </w:p>
        </w:tc>
        <w:tc>
          <w:tcPr>
            <w:tcW w:w="1559" w:type="dxa"/>
            <w:tcBorders>
              <w:top w:val="nil"/>
              <w:left w:val="nil"/>
              <w:bottom w:val="nil"/>
              <w:right w:val="nil"/>
            </w:tcBorders>
            <w:noWrap/>
            <w:vAlign w:val="center"/>
            <w:hideMark/>
          </w:tcPr>
          <w:p w14:paraId="7E7720F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0.193***</w:t>
            </w:r>
          </w:p>
        </w:tc>
        <w:tc>
          <w:tcPr>
            <w:tcW w:w="1559" w:type="dxa"/>
            <w:tcBorders>
              <w:top w:val="nil"/>
              <w:left w:val="nil"/>
              <w:bottom w:val="nil"/>
              <w:right w:val="nil"/>
            </w:tcBorders>
            <w:noWrap/>
            <w:vAlign w:val="center"/>
            <w:hideMark/>
          </w:tcPr>
          <w:p w14:paraId="3B37E338"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0.194***</w:t>
            </w:r>
          </w:p>
        </w:tc>
        <w:tc>
          <w:tcPr>
            <w:tcW w:w="1560" w:type="dxa"/>
            <w:tcBorders>
              <w:top w:val="nil"/>
              <w:left w:val="nil"/>
              <w:bottom w:val="nil"/>
              <w:right w:val="nil"/>
            </w:tcBorders>
            <w:noWrap/>
            <w:vAlign w:val="center"/>
            <w:hideMark/>
          </w:tcPr>
          <w:p w14:paraId="6A14A63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0.194***</w:t>
            </w:r>
          </w:p>
        </w:tc>
        <w:tc>
          <w:tcPr>
            <w:tcW w:w="1559" w:type="dxa"/>
            <w:tcBorders>
              <w:top w:val="nil"/>
              <w:left w:val="nil"/>
              <w:bottom w:val="nil"/>
              <w:right w:val="nil"/>
            </w:tcBorders>
            <w:noWrap/>
            <w:vAlign w:val="center"/>
            <w:hideMark/>
          </w:tcPr>
          <w:p w14:paraId="3538B79D"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0.194***</w:t>
            </w:r>
          </w:p>
        </w:tc>
      </w:tr>
      <w:tr w:rsidR="009875C9" w:rsidRPr="00CF053B" w14:paraId="43B3D76B" w14:textId="77777777" w:rsidTr="00BC1C47">
        <w:trPr>
          <w:trHeight w:val="315"/>
        </w:trPr>
        <w:tc>
          <w:tcPr>
            <w:tcW w:w="3544" w:type="dxa"/>
            <w:tcBorders>
              <w:top w:val="nil"/>
              <w:left w:val="nil"/>
              <w:bottom w:val="nil"/>
              <w:right w:val="nil"/>
            </w:tcBorders>
            <w:noWrap/>
            <w:vAlign w:val="center"/>
            <w:hideMark/>
          </w:tcPr>
          <w:p w14:paraId="0C3FD4F8"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07D9E146"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(0.00992)</w:t>
            </w:r>
          </w:p>
        </w:tc>
        <w:tc>
          <w:tcPr>
            <w:tcW w:w="1559" w:type="dxa"/>
            <w:tcBorders>
              <w:top w:val="nil"/>
              <w:left w:val="nil"/>
              <w:bottom w:val="nil"/>
              <w:right w:val="nil"/>
            </w:tcBorders>
            <w:noWrap/>
            <w:vAlign w:val="center"/>
            <w:hideMark/>
          </w:tcPr>
          <w:p w14:paraId="4CA3F03A"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(0.00989)</w:t>
            </w:r>
          </w:p>
        </w:tc>
        <w:tc>
          <w:tcPr>
            <w:tcW w:w="1560" w:type="dxa"/>
            <w:tcBorders>
              <w:top w:val="nil"/>
              <w:left w:val="nil"/>
              <w:bottom w:val="nil"/>
              <w:right w:val="nil"/>
            </w:tcBorders>
            <w:noWrap/>
            <w:vAlign w:val="center"/>
            <w:hideMark/>
          </w:tcPr>
          <w:p w14:paraId="4843CAF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(0.00989)</w:t>
            </w:r>
          </w:p>
        </w:tc>
        <w:tc>
          <w:tcPr>
            <w:tcW w:w="1559" w:type="dxa"/>
            <w:tcBorders>
              <w:top w:val="nil"/>
              <w:left w:val="nil"/>
              <w:bottom w:val="nil"/>
              <w:right w:val="nil"/>
            </w:tcBorders>
            <w:noWrap/>
            <w:vAlign w:val="center"/>
            <w:hideMark/>
          </w:tcPr>
          <w:p w14:paraId="6BCD72A3"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(0.00989)</w:t>
            </w:r>
          </w:p>
        </w:tc>
      </w:tr>
      <w:tr w:rsidR="009875C9" w:rsidRPr="00CF053B" w14:paraId="5E6744AD" w14:textId="77777777" w:rsidTr="00BC1C47">
        <w:trPr>
          <w:trHeight w:val="315"/>
        </w:trPr>
        <w:tc>
          <w:tcPr>
            <w:tcW w:w="3544" w:type="dxa"/>
            <w:tcBorders>
              <w:top w:val="nil"/>
              <w:left w:val="nil"/>
              <w:bottom w:val="nil"/>
              <w:right w:val="nil"/>
            </w:tcBorders>
            <w:noWrap/>
            <w:vAlign w:val="bottom"/>
          </w:tcPr>
          <w:p w14:paraId="655BF59E" w14:textId="77777777" w:rsidR="009875C9" w:rsidRPr="00910F92" w:rsidRDefault="009875C9" w:rsidP="009875C9">
            <w:pPr>
              <w:spacing w:after="0" w:line="240" w:lineRule="auto"/>
              <w:rPr>
                <w:rFonts w:ascii="Times New Roman" w:eastAsia="Times New Roman" w:hAnsi="Times New Roman" w:cs="Times New Roman"/>
                <w:b/>
                <w:bCs/>
                <w:color w:val="000000"/>
                <w:sz w:val="24"/>
                <w:szCs w:val="24"/>
                <w:lang w:eastAsia="fr-FR"/>
              </w:rPr>
            </w:pPr>
            <w:r w:rsidRPr="00910F92">
              <w:rPr>
                <w:rFonts w:ascii="Times New Roman" w:eastAsia="Times New Roman" w:hAnsi="Times New Roman" w:cs="Times New Roman"/>
                <w:b/>
                <w:bCs/>
                <w:color w:val="000000"/>
                <w:sz w:val="24"/>
                <w:szCs w:val="24"/>
                <w:lang w:eastAsia="fr-FR"/>
              </w:rPr>
              <w:t>Place_Residence</w:t>
            </w:r>
          </w:p>
        </w:tc>
        <w:tc>
          <w:tcPr>
            <w:tcW w:w="1559" w:type="dxa"/>
            <w:tcBorders>
              <w:top w:val="nil"/>
              <w:left w:val="nil"/>
              <w:bottom w:val="nil"/>
              <w:right w:val="nil"/>
            </w:tcBorders>
            <w:noWrap/>
            <w:vAlign w:val="center"/>
          </w:tcPr>
          <w:p w14:paraId="13EA8EC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tcPr>
          <w:p w14:paraId="28737295"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60" w:type="dxa"/>
            <w:tcBorders>
              <w:top w:val="nil"/>
              <w:left w:val="nil"/>
              <w:bottom w:val="nil"/>
              <w:right w:val="nil"/>
            </w:tcBorders>
            <w:noWrap/>
            <w:vAlign w:val="center"/>
          </w:tcPr>
          <w:p w14:paraId="6FFF8A41"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tcPr>
          <w:p w14:paraId="3967CE6F"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r>
      <w:tr w:rsidR="009875C9" w:rsidRPr="00CF053B" w14:paraId="73E7128B" w14:textId="77777777" w:rsidTr="00BC1C47">
        <w:trPr>
          <w:trHeight w:val="315"/>
        </w:trPr>
        <w:tc>
          <w:tcPr>
            <w:tcW w:w="3544" w:type="dxa"/>
            <w:tcBorders>
              <w:top w:val="nil"/>
              <w:left w:val="nil"/>
              <w:bottom w:val="nil"/>
              <w:right w:val="nil"/>
            </w:tcBorders>
            <w:noWrap/>
            <w:vAlign w:val="bottom"/>
            <w:hideMark/>
          </w:tcPr>
          <w:p w14:paraId="3AC27E35" w14:textId="77777777" w:rsidR="009875C9" w:rsidRPr="00910F92" w:rsidRDefault="009875C9" w:rsidP="009875C9">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Urban</w:t>
            </w:r>
          </w:p>
        </w:tc>
        <w:tc>
          <w:tcPr>
            <w:tcW w:w="1559" w:type="dxa"/>
            <w:tcBorders>
              <w:top w:val="nil"/>
              <w:left w:val="nil"/>
              <w:bottom w:val="nil"/>
              <w:right w:val="nil"/>
            </w:tcBorders>
            <w:noWrap/>
            <w:vAlign w:val="center"/>
            <w:hideMark/>
          </w:tcPr>
          <w:p w14:paraId="52709D88"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-0.621***</w:t>
            </w:r>
          </w:p>
        </w:tc>
        <w:tc>
          <w:tcPr>
            <w:tcW w:w="1559" w:type="dxa"/>
            <w:tcBorders>
              <w:top w:val="nil"/>
              <w:left w:val="nil"/>
              <w:bottom w:val="nil"/>
              <w:right w:val="nil"/>
            </w:tcBorders>
            <w:noWrap/>
            <w:vAlign w:val="center"/>
            <w:hideMark/>
          </w:tcPr>
          <w:p w14:paraId="455841EC"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-0.612***</w:t>
            </w:r>
          </w:p>
        </w:tc>
        <w:tc>
          <w:tcPr>
            <w:tcW w:w="1560" w:type="dxa"/>
            <w:tcBorders>
              <w:top w:val="nil"/>
              <w:left w:val="nil"/>
              <w:bottom w:val="nil"/>
              <w:right w:val="nil"/>
            </w:tcBorders>
            <w:noWrap/>
            <w:vAlign w:val="center"/>
            <w:hideMark/>
          </w:tcPr>
          <w:p w14:paraId="65E5DA91"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-1.564***</w:t>
            </w:r>
          </w:p>
        </w:tc>
        <w:tc>
          <w:tcPr>
            <w:tcW w:w="1559" w:type="dxa"/>
            <w:tcBorders>
              <w:top w:val="nil"/>
              <w:left w:val="nil"/>
              <w:bottom w:val="nil"/>
              <w:right w:val="nil"/>
            </w:tcBorders>
            <w:noWrap/>
            <w:vAlign w:val="center"/>
            <w:hideMark/>
          </w:tcPr>
          <w:p w14:paraId="3DFED2BB"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-1.564***</w:t>
            </w:r>
          </w:p>
        </w:tc>
      </w:tr>
      <w:tr w:rsidR="009875C9" w:rsidRPr="00CF053B" w14:paraId="6CCBB306" w14:textId="77777777" w:rsidTr="00BC1C47">
        <w:trPr>
          <w:trHeight w:val="315"/>
        </w:trPr>
        <w:tc>
          <w:tcPr>
            <w:tcW w:w="3544" w:type="dxa"/>
            <w:tcBorders>
              <w:top w:val="nil"/>
              <w:left w:val="nil"/>
              <w:bottom w:val="nil"/>
              <w:right w:val="nil"/>
            </w:tcBorders>
            <w:noWrap/>
            <w:vAlign w:val="center"/>
            <w:hideMark/>
          </w:tcPr>
          <w:p w14:paraId="02BF4AB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7FA14D3A"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(0.00818)</w:t>
            </w:r>
          </w:p>
        </w:tc>
        <w:tc>
          <w:tcPr>
            <w:tcW w:w="1559" w:type="dxa"/>
            <w:tcBorders>
              <w:top w:val="nil"/>
              <w:left w:val="nil"/>
              <w:bottom w:val="nil"/>
              <w:right w:val="nil"/>
            </w:tcBorders>
            <w:noWrap/>
            <w:vAlign w:val="center"/>
            <w:hideMark/>
          </w:tcPr>
          <w:p w14:paraId="6A1C9D9C"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(0.00819)</w:t>
            </w:r>
          </w:p>
        </w:tc>
        <w:tc>
          <w:tcPr>
            <w:tcW w:w="1560" w:type="dxa"/>
            <w:tcBorders>
              <w:top w:val="nil"/>
              <w:left w:val="nil"/>
              <w:bottom w:val="nil"/>
              <w:right w:val="nil"/>
            </w:tcBorders>
            <w:noWrap/>
            <w:vAlign w:val="center"/>
            <w:hideMark/>
          </w:tcPr>
          <w:p w14:paraId="66D75E09"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(0.0846)</w:t>
            </w:r>
          </w:p>
        </w:tc>
        <w:tc>
          <w:tcPr>
            <w:tcW w:w="1559" w:type="dxa"/>
            <w:tcBorders>
              <w:top w:val="nil"/>
              <w:left w:val="nil"/>
              <w:bottom w:val="nil"/>
              <w:right w:val="nil"/>
            </w:tcBorders>
            <w:noWrap/>
            <w:vAlign w:val="center"/>
            <w:hideMark/>
          </w:tcPr>
          <w:p w14:paraId="6F3F5C7A"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(0.0846)</w:t>
            </w:r>
          </w:p>
        </w:tc>
      </w:tr>
      <w:tr w:rsidR="009875C9" w:rsidRPr="00CF053B" w14:paraId="116AA085" w14:textId="77777777" w:rsidTr="00BC1C47">
        <w:trPr>
          <w:trHeight w:val="315"/>
        </w:trPr>
        <w:tc>
          <w:tcPr>
            <w:tcW w:w="3544" w:type="dxa"/>
            <w:tcBorders>
              <w:top w:val="nil"/>
              <w:left w:val="nil"/>
              <w:bottom w:val="nil"/>
              <w:right w:val="nil"/>
            </w:tcBorders>
            <w:noWrap/>
            <w:vAlign w:val="center"/>
            <w:hideMark/>
          </w:tcPr>
          <w:p w14:paraId="5D9FCD03" w14:textId="77777777" w:rsidR="009875C9" w:rsidRPr="008564AD" w:rsidRDefault="009875C9" w:rsidP="009875C9">
            <w:pPr>
              <w:spacing w:after="0" w:line="240" w:lineRule="auto"/>
              <w:rPr>
                <w:rFonts w:ascii="Times New Roman" w:eastAsia="Times New Roman" w:hAnsi="Times New Roman" w:cs="Times New Roman"/>
                <w:b/>
                <w:color w:val="000000"/>
                <w:sz w:val="24"/>
                <w:szCs w:val="24"/>
                <w:lang w:eastAsia="fr-FR"/>
              </w:rPr>
            </w:pPr>
            <w:r w:rsidRPr="008564AD">
              <w:rPr>
                <w:rFonts w:ascii="Times New Roman" w:eastAsia="Times New Roman" w:hAnsi="Times New Roman" w:cs="Times New Roman"/>
                <w:b/>
                <w:color w:val="000000"/>
                <w:sz w:val="24"/>
                <w:szCs w:val="24"/>
                <w:lang w:eastAsia="fr-FR"/>
              </w:rPr>
              <w:t>Electrified_households * Urban</w:t>
            </w:r>
          </w:p>
        </w:tc>
        <w:tc>
          <w:tcPr>
            <w:tcW w:w="1559" w:type="dxa"/>
            <w:tcBorders>
              <w:top w:val="nil"/>
              <w:left w:val="nil"/>
              <w:bottom w:val="nil"/>
              <w:right w:val="nil"/>
            </w:tcBorders>
            <w:noWrap/>
            <w:vAlign w:val="center"/>
            <w:hideMark/>
          </w:tcPr>
          <w:p w14:paraId="5688D237"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59F577EC"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0.951***</w:t>
            </w:r>
          </w:p>
        </w:tc>
        <w:tc>
          <w:tcPr>
            <w:tcW w:w="1560" w:type="dxa"/>
            <w:tcBorders>
              <w:top w:val="nil"/>
              <w:left w:val="nil"/>
              <w:bottom w:val="nil"/>
              <w:right w:val="nil"/>
            </w:tcBorders>
            <w:noWrap/>
            <w:vAlign w:val="center"/>
            <w:hideMark/>
          </w:tcPr>
          <w:p w14:paraId="390680CF"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49886A81"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r>
      <w:tr w:rsidR="009875C9" w:rsidRPr="00CF053B" w14:paraId="72D2689C" w14:textId="77777777" w:rsidTr="00BC1C47">
        <w:trPr>
          <w:trHeight w:val="315"/>
        </w:trPr>
        <w:tc>
          <w:tcPr>
            <w:tcW w:w="3544" w:type="dxa"/>
            <w:tcBorders>
              <w:top w:val="nil"/>
              <w:left w:val="nil"/>
              <w:bottom w:val="nil"/>
              <w:right w:val="nil"/>
            </w:tcBorders>
            <w:noWrap/>
            <w:vAlign w:val="center"/>
            <w:hideMark/>
          </w:tcPr>
          <w:p w14:paraId="429CD6FF"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center"/>
            <w:hideMark/>
          </w:tcPr>
          <w:p w14:paraId="15F0D5D2"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center"/>
            <w:hideMark/>
          </w:tcPr>
          <w:p w14:paraId="5347A351"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(0.0849)</w:t>
            </w:r>
          </w:p>
        </w:tc>
        <w:tc>
          <w:tcPr>
            <w:tcW w:w="1560" w:type="dxa"/>
            <w:tcBorders>
              <w:top w:val="nil"/>
              <w:left w:val="nil"/>
              <w:bottom w:val="nil"/>
              <w:right w:val="nil"/>
            </w:tcBorders>
            <w:noWrap/>
            <w:vAlign w:val="center"/>
            <w:hideMark/>
          </w:tcPr>
          <w:p w14:paraId="7E5145F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0EF547DB"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r>
      <w:tr w:rsidR="009875C9" w:rsidRPr="00CF053B" w14:paraId="2075EBF2" w14:textId="77777777" w:rsidTr="00BC1C47">
        <w:trPr>
          <w:trHeight w:val="315"/>
        </w:trPr>
        <w:tc>
          <w:tcPr>
            <w:tcW w:w="3544" w:type="dxa"/>
            <w:tcBorders>
              <w:top w:val="nil"/>
              <w:left w:val="nil"/>
              <w:bottom w:val="nil"/>
              <w:right w:val="nil"/>
            </w:tcBorders>
            <w:noWrap/>
            <w:vAlign w:val="center"/>
            <w:hideMark/>
          </w:tcPr>
          <w:p w14:paraId="0D041087" w14:textId="77777777" w:rsidR="009875C9" w:rsidRPr="008564AD" w:rsidRDefault="009875C9" w:rsidP="009875C9">
            <w:pPr>
              <w:spacing w:after="0" w:line="240" w:lineRule="auto"/>
              <w:rPr>
                <w:rFonts w:ascii="Times New Roman" w:eastAsia="Times New Roman" w:hAnsi="Times New Roman" w:cs="Times New Roman"/>
                <w:b/>
                <w:color w:val="000000"/>
                <w:sz w:val="24"/>
                <w:szCs w:val="24"/>
                <w:lang w:eastAsia="fr-FR"/>
              </w:rPr>
            </w:pPr>
            <w:r w:rsidRPr="008564AD">
              <w:rPr>
                <w:rFonts w:ascii="Times New Roman" w:eastAsia="Times New Roman" w:hAnsi="Times New Roman" w:cs="Times New Roman"/>
                <w:b/>
                <w:color w:val="000000"/>
                <w:sz w:val="24"/>
                <w:szCs w:val="24"/>
                <w:lang w:eastAsia="fr-FR"/>
              </w:rPr>
              <w:t>Unelectrified_households * Urban</w:t>
            </w:r>
          </w:p>
        </w:tc>
        <w:tc>
          <w:tcPr>
            <w:tcW w:w="1559" w:type="dxa"/>
            <w:tcBorders>
              <w:top w:val="nil"/>
              <w:left w:val="nil"/>
              <w:bottom w:val="nil"/>
              <w:right w:val="nil"/>
            </w:tcBorders>
            <w:noWrap/>
            <w:vAlign w:val="center"/>
            <w:hideMark/>
          </w:tcPr>
          <w:p w14:paraId="6FFAB53A"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00075607"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60" w:type="dxa"/>
            <w:tcBorders>
              <w:top w:val="nil"/>
              <w:left w:val="nil"/>
              <w:bottom w:val="nil"/>
              <w:right w:val="nil"/>
            </w:tcBorders>
            <w:noWrap/>
            <w:vAlign w:val="center"/>
            <w:hideMark/>
          </w:tcPr>
          <w:p w14:paraId="347C0A0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-0.951***</w:t>
            </w:r>
          </w:p>
        </w:tc>
        <w:tc>
          <w:tcPr>
            <w:tcW w:w="1559" w:type="dxa"/>
            <w:tcBorders>
              <w:top w:val="nil"/>
              <w:left w:val="nil"/>
              <w:bottom w:val="nil"/>
              <w:right w:val="nil"/>
            </w:tcBorders>
            <w:noWrap/>
            <w:vAlign w:val="center"/>
            <w:hideMark/>
          </w:tcPr>
          <w:p w14:paraId="1598C2CD"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r>
      <w:tr w:rsidR="009875C9" w:rsidRPr="00CF053B" w14:paraId="33E6F955" w14:textId="77777777" w:rsidTr="00BC1C47">
        <w:trPr>
          <w:trHeight w:val="315"/>
        </w:trPr>
        <w:tc>
          <w:tcPr>
            <w:tcW w:w="3544" w:type="dxa"/>
            <w:tcBorders>
              <w:top w:val="nil"/>
              <w:left w:val="nil"/>
              <w:bottom w:val="nil"/>
              <w:right w:val="nil"/>
            </w:tcBorders>
            <w:noWrap/>
            <w:vAlign w:val="center"/>
            <w:hideMark/>
          </w:tcPr>
          <w:p w14:paraId="66E9629A"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center"/>
            <w:hideMark/>
          </w:tcPr>
          <w:p w14:paraId="227896EC"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center"/>
            <w:hideMark/>
          </w:tcPr>
          <w:p w14:paraId="0742A192"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60" w:type="dxa"/>
            <w:tcBorders>
              <w:top w:val="nil"/>
              <w:left w:val="nil"/>
              <w:bottom w:val="nil"/>
              <w:right w:val="nil"/>
            </w:tcBorders>
            <w:noWrap/>
            <w:vAlign w:val="center"/>
            <w:hideMark/>
          </w:tcPr>
          <w:p w14:paraId="223D1C9B"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(0.0849)</w:t>
            </w:r>
          </w:p>
        </w:tc>
        <w:tc>
          <w:tcPr>
            <w:tcW w:w="1559" w:type="dxa"/>
            <w:tcBorders>
              <w:top w:val="nil"/>
              <w:left w:val="nil"/>
              <w:bottom w:val="nil"/>
              <w:right w:val="nil"/>
            </w:tcBorders>
            <w:noWrap/>
            <w:vAlign w:val="center"/>
            <w:hideMark/>
          </w:tcPr>
          <w:p w14:paraId="1D7F337D"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r>
      <w:tr w:rsidR="009875C9" w:rsidRPr="00CF053B" w14:paraId="25D30285" w14:textId="77777777" w:rsidTr="00BC1C47">
        <w:trPr>
          <w:trHeight w:val="315"/>
        </w:trPr>
        <w:tc>
          <w:tcPr>
            <w:tcW w:w="3544" w:type="dxa"/>
            <w:tcBorders>
              <w:top w:val="nil"/>
              <w:left w:val="nil"/>
              <w:bottom w:val="nil"/>
              <w:right w:val="nil"/>
            </w:tcBorders>
            <w:noWrap/>
            <w:vAlign w:val="center"/>
            <w:hideMark/>
          </w:tcPr>
          <w:p w14:paraId="3EF81130" w14:textId="77777777" w:rsidR="009875C9" w:rsidRPr="008564AD" w:rsidRDefault="009875C9" w:rsidP="009875C9">
            <w:pPr>
              <w:spacing w:after="0" w:line="240" w:lineRule="auto"/>
              <w:rPr>
                <w:rFonts w:ascii="Times New Roman" w:eastAsia="Times New Roman" w:hAnsi="Times New Roman" w:cs="Times New Roman"/>
                <w:b/>
                <w:color w:val="000000"/>
                <w:sz w:val="24"/>
                <w:szCs w:val="24"/>
                <w:lang w:eastAsia="fr-FR"/>
              </w:rPr>
            </w:pPr>
            <w:r w:rsidRPr="008564AD">
              <w:rPr>
                <w:rFonts w:ascii="Times New Roman" w:eastAsia="Times New Roman" w:hAnsi="Times New Roman" w:cs="Times New Roman"/>
                <w:b/>
                <w:color w:val="000000"/>
                <w:sz w:val="24"/>
                <w:szCs w:val="24"/>
                <w:lang w:eastAsia="fr-FR"/>
              </w:rPr>
              <w:t>Unelectrified_households * Rural</w:t>
            </w:r>
          </w:p>
        </w:tc>
        <w:tc>
          <w:tcPr>
            <w:tcW w:w="1559" w:type="dxa"/>
            <w:tcBorders>
              <w:top w:val="nil"/>
              <w:left w:val="nil"/>
              <w:bottom w:val="nil"/>
              <w:right w:val="nil"/>
            </w:tcBorders>
            <w:noWrap/>
            <w:vAlign w:val="center"/>
            <w:hideMark/>
          </w:tcPr>
          <w:p w14:paraId="4DB83A13"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2F98CA5D"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60" w:type="dxa"/>
            <w:tcBorders>
              <w:top w:val="nil"/>
              <w:left w:val="nil"/>
              <w:bottom w:val="nil"/>
              <w:right w:val="nil"/>
            </w:tcBorders>
            <w:noWrap/>
            <w:vAlign w:val="center"/>
            <w:hideMark/>
          </w:tcPr>
          <w:p w14:paraId="13981500"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center"/>
            <w:hideMark/>
          </w:tcPr>
          <w:p w14:paraId="4C6A51DA"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0.951***</w:t>
            </w:r>
          </w:p>
        </w:tc>
      </w:tr>
      <w:tr w:rsidR="009875C9" w:rsidRPr="00CF053B" w14:paraId="72961D1A" w14:textId="77777777" w:rsidTr="00BC1C47">
        <w:trPr>
          <w:trHeight w:val="315"/>
        </w:trPr>
        <w:tc>
          <w:tcPr>
            <w:tcW w:w="3544" w:type="dxa"/>
            <w:tcBorders>
              <w:top w:val="nil"/>
              <w:left w:val="nil"/>
              <w:bottom w:val="nil"/>
              <w:right w:val="nil"/>
            </w:tcBorders>
            <w:noWrap/>
            <w:vAlign w:val="center"/>
            <w:hideMark/>
          </w:tcPr>
          <w:p w14:paraId="2B14787E"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4B5F3AE3"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center"/>
            <w:hideMark/>
          </w:tcPr>
          <w:p w14:paraId="1F62EA63"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60" w:type="dxa"/>
            <w:tcBorders>
              <w:top w:val="nil"/>
              <w:left w:val="nil"/>
              <w:bottom w:val="nil"/>
              <w:right w:val="nil"/>
            </w:tcBorders>
            <w:noWrap/>
            <w:vAlign w:val="center"/>
            <w:hideMark/>
          </w:tcPr>
          <w:p w14:paraId="30C69C3A"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center"/>
            <w:hideMark/>
          </w:tcPr>
          <w:p w14:paraId="4E6422C1"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(0.0849)</w:t>
            </w:r>
          </w:p>
        </w:tc>
      </w:tr>
      <w:tr w:rsidR="009875C9" w:rsidRPr="00CF053B" w14:paraId="1B21E135" w14:textId="77777777" w:rsidTr="00BC1C47">
        <w:trPr>
          <w:trHeight w:val="315"/>
        </w:trPr>
        <w:tc>
          <w:tcPr>
            <w:tcW w:w="3544" w:type="dxa"/>
            <w:tcBorders>
              <w:top w:val="nil"/>
              <w:left w:val="nil"/>
              <w:bottom w:val="nil"/>
              <w:right w:val="nil"/>
            </w:tcBorders>
            <w:noWrap/>
            <w:vAlign w:val="center"/>
            <w:hideMark/>
          </w:tcPr>
          <w:p w14:paraId="03E76A3B"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Constant</w:t>
            </w:r>
          </w:p>
        </w:tc>
        <w:tc>
          <w:tcPr>
            <w:tcW w:w="1559" w:type="dxa"/>
            <w:tcBorders>
              <w:top w:val="nil"/>
              <w:left w:val="nil"/>
              <w:bottom w:val="nil"/>
              <w:right w:val="nil"/>
            </w:tcBorders>
            <w:noWrap/>
            <w:vAlign w:val="center"/>
            <w:hideMark/>
          </w:tcPr>
          <w:p w14:paraId="5FE30F9B"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2.293***</w:t>
            </w:r>
          </w:p>
        </w:tc>
        <w:tc>
          <w:tcPr>
            <w:tcW w:w="1559" w:type="dxa"/>
            <w:tcBorders>
              <w:top w:val="nil"/>
              <w:left w:val="nil"/>
              <w:bottom w:val="nil"/>
              <w:right w:val="nil"/>
            </w:tcBorders>
            <w:noWrap/>
            <w:vAlign w:val="center"/>
            <w:hideMark/>
          </w:tcPr>
          <w:p w14:paraId="24DA93AA"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1.355***</w:t>
            </w:r>
          </w:p>
        </w:tc>
        <w:tc>
          <w:tcPr>
            <w:tcW w:w="1560" w:type="dxa"/>
            <w:tcBorders>
              <w:top w:val="nil"/>
              <w:left w:val="nil"/>
              <w:bottom w:val="nil"/>
              <w:right w:val="nil"/>
            </w:tcBorders>
            <w:noWrap/>
            <w:vAlign w:val="center"/>
            <w:hideMark/>
          </w:tcPr>
          <w:p w14:paraId="705F98E0"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2.306***</w:t>
            </w:r>
          </w:p>
        </w:tc>
        <w:tc>
          <w:tcPr>
            <w:tcW w:w="1559" w:type="dxa"/>
            <w:tcBorders>
              <w:top w:val="nil"/>
              <w:left w:val="nil"/>
              <w:bottom w:val="nil"/>
              <w:right w:val="nil"/>
            </w:tcBorders>
            <w:noWrap/>
            <w:vAlign w:val="center"/>
            <w:hideMark/>
          </w:tcPr>
          <w:p w14:paraId="1E78CB74"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2.306***</w:t>
            </w:r>
          </w:p>
        </w:tc>
      </w:tr>
      <w:tr w:rsidR="009875C9" w:rsidRPr="00CF053B" w14:paraId="75E195E6" w14:textId="77777777" w:rsidTr="00BC1C47">
        <w:trPr>
          <w:trHeight w:val="315"/>
        </w:trPr>
        <w:tc>
          <w:tcPr>
            <w:tcW w:w="3544" w:type="dxa"/>
            <w:tcBorders>
              <w:top w:val="nil"/>
              <w:left w:val="nil"/>
              <w:bottom w:val="nil"/>
              <w:right w:val="nil"/>
            </w:tcBorders>
            <w:noWrap/>
            <w:vAlign w:val="center"/>
            <w:hideMark/>
          </w:tcPr>
          <w:p w14:paraId="7DC96D57"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3374A090"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(0.0317)</w:t>
            </w:r>
          </w:p>
        </w:tc>
        <w:tc>
          <w:tcPr>
            <w:tcW w:w="1559" w:type="dxa"/>
            <w:tcBorders>
              <w:top w:val="nil"/>
              <w:left w:val="nil"/>
              <w:bottom w:val="nil"/>
              <w:right w:val="nil"/>
            </w:tcBorders>
            <w:noWrap/>
            <w:vAlign w:val="center"/>
            <w:hideMark/>
          </w:tcPr>
          <w:p w14:paraId="1C4074D4"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(0.0896)</w:t>
            </w:r>
          </w:p>
        </w:tc>
        <w:tc>
          <w:tcPr>
            <w:tcW w:w="1560" w:type="dxa"/>
            <w:tcBorders>
              <w:top w:val="nil"/>
              <w:left w:val="nil"/>
              <w:bottom w:val="nil"/>
              <w:right w:val="nil"/>
            </w:tcBorders>
            <w:noWrap/>
            <w:vAlign w:val="center"/>
            <w:hideMark/>
          </w:tcPr>
          <w:p w14:paraId="6FCEAB8D"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(0.0316)</w:t>
            </w:r>
          </w:p>
        </w:tc>
        <w:tc>
          <w:tcPr>
            <w:tcW w:w="1559" w:type="dxa"/>
            <w:tcBorders>
              <w:top w:val="nil"/>
              <w:left w:val="nil"/>
              <w:bottom w:val="nil"/>
              <w:right w:val="nil"/>
            </w:tcBorders>
            <w:noWrap/>
            <w:vAlign w:val="center"/>
            <w:hideMark/>
          </w:tcPr>
          <w:p w14:paraId="66982573"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(0.0316)</w:t>
            </w:r>
          </w:p>
        </w:tc>
      </w:tr>
      <w:tr w:rsidR="009875C9" w:rsidRPr="00CF053B" w14:paraId="661A5BEC" w14:textId="77777777" w:rsidTr="00BC1C47">
        <w:trPr>
          <w:trHeight w:val="315"/>
        </w:trPr>
        <w:tc>
          <w:tcPr>
            <w:tcW w:w="3544" w:type="dxa"/>
            <w:tcBorders>
              <w:top w:val="nil"/>
              <w:left w:val="nil"/>
              <w:bottom w:val="nil"/>
              <w:right w:val="nil"/>
            </w:tcBorders>
            <w:noWrap/>
            <w:vAlign w:val="center"/>
            <w:hideMark/>
          </w:tcPr>
          <w:p w14:paraId="6A4092B0"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center"/>
            <w:hideMark/>
          </w:tcPr>
          <w:p w14:paraId="4A4846C6"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center"/>
            <w:hideMark/>
          </w:tcPr>
          <w:p w14:paraId="51CFF5CA"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60" w:type="dxa"/>
            <w:tcBorders>
              <w:top w:val="nil"/>
              <w:left w:val="nil"/>
              <w:bottom w:val="nil"/>
              <w:right w:val="nil"/>
            </w:tcBorders>
            <w:noWrap/>
            <w:vAlign w:val="center"/>
            <w:hideMark/>
          </w:tcPr>
          <w:p w14:paraId="32153ABF"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noWrap/>
            <w:vAlign w:val="center"/>
            <w:hideMark/>
          </w:tcPr>
          <w:p w14:paraId="737B8E98" w14:textId="77777777" w:rsidR="009875C9" w:rsidRPr="00CF053B" w:rsidRDefault="009875C9" w:rsidP="009875C9">
            <w:pPr>
              <w:spacing w:after="0" w:line="240" w:lineRule="auto"/>
              <w:rPr>
                <w:rFonts w:ascii="Times New Roman" w:eastAsia="Times New Roman" w:hAnsi="Times New Roman" w:cs="Times New Roman"/>
                <w:sz w:val="20"/>
                <w:szCs w:val="20"/>
                <w:lang w:eastAsia="fr-FR"/>
              </w:rPr>
            </w:pPr>
          </w:p>
        </w:tc>
      </w:tr>
      <w:tr w:rsidR="009875C9" w:rsidRPr="00CF053B" w14:paraId="5431279C" w14:textId="77777777" w:rsidTr="00BC1C47">
        <w:trPr>
          <w:trHeight w:val="315"/>
        </w:trPr>
        <w:tc>
          <w:tcPr>
            <w:tcW w:w="3544" w:type="dxa"/>
            <w:tcBorders>
              <w:top w:val="nil"/>
              <w:left w:val="nil"/>
              <w:bottom w:val="nil"/>
              <w:right w:val="nil"/>
            </w:tcBorders>
            <w:noWrap/>
            <w:vAlign w:val="center"/>
            <w:hideMark/>
          </w:tcPr>
          <w:p w14:paraId="1C454C9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Observations</w:t>
            </w:r>
          </w:p>
        </w:tc>
        <w:tc>
          <w:tcPr>
            <w:tcW w:w="1559" w:type="dxa"/>
            <w:tcBorders>
              <w:top w:val="nil"/>
              <w:left w:val="nil"/>
              <w:bottom w:val="nil"/>
              <w:right w:val="nil"/>
            </w:tcBorders>
            <w:noWrap/>
            <w:vAlign w:val="center"/>
            <w:hideMark/>
          </w:tcPr>
          <w:p w14:paraId="29973CBB"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20,784</w:t>
            </w:r>
          </w:p>
        </w:tc>
        <w:tc>
          <w:tcPr>
            <w:tcW w:w="1559" w:type="dxa"/>
            <w:tcBorders>
              <w:top w:val="nil"/>
              <w:left w:val="nil"/>
              <w:bottom w:val="nil"/>
              <w:right w:val="nil"/>
            </w:tcBorders>
            <w:noWrap/>
            <w:vAlign w:val="center"/>
            <w:hideMark/>
          </w:tcPr>
          <w:p w14:paraId="2A01948C"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20,784</w:t>
            </w:r>
          </w:p>
        </w:tc>
        <w:tc>
          <w:tcPr>
            <w:tcW w:w="1560" w:type="dxa"/>
            <w:tcBorders>
              <w:top w:val="nil"/>
              <w:left w:val="nil"/>
              <w:bottom w:val="nil"/>
              <w:right w:val="nil"/>
            </w:tcBorders>
            <w:noWrap/>
            <w:vAlign w:val="center"/>
            <w:hideMark/>
          </w:tcPr>
          <w:p w14:paraId="19AC84B2"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20,784</w:t>
            </w:r>
          </w:p>
        </w:tc>
        <w:tc>
          <w:tcPr>
            <w:tcW w:w="1559" w:type="dxa"/>
            <w:tcBorders>
              <w:top w:val="nil"/>
              <w:left w:val="nil"/>
              <w:bottom w:val="nil"/>
              <w:right w:val="nil"/>
            </w:tcBorders>
            <w:noWrap/>
            <w:vAlign w:val="center"/>
            <w:hideMark/>
          </w:tcPr>
          <w:p w14:paraId="0A6B5F3C"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20,784</w:t>
            </w:r>
          </w:p>
        </w:tc>
      </w:tr>
      <w:tr w:rsidR="009875C9" w:rsidRPr="00CF053B" w14:paraId="0EC528FB" w14:textId="77777777" w:rsidTr="00BC1C47">
        <w:trPr>
          <w:trHeight w:val="315"/>
        </w:trPr>
        <w:tc>
          <w:tcPr>
            <w:tcW w:w="3544" w:type="dxa"/>
            <w:tcBorders>
              <w:top w:val="nil"/>
              <w:left w:val="nil"/>
              <w:bottom w:val="single" w:sz="4" w:space="0" w:color="auto"/>
              <w:right w:val="nil"/>
            </w:tcBorders>
            <w:noWrap/>
            <w:vAlign w:val="center"/>
            <w:hideMark/>
          </w:tcPr>
          <w:p w14:paraId="7CC968F4"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R-squared</w:t>
            </w:r>
          </w:p>
        </w:tc>
        <w:tc>
          <w:tcPr>
            <w:tcW w:w="1559" w:type="dxa"/>
            <w:tcBorders>
              <w:top w:val="nil"/>
              <w:left w:val="nil"/>
              <w:bottom w:val="single" w:sz="4" w:space="0" w:color="auto"/>
              <w:right w:val="nil"/>
            </w:tcBorders>
            <w:noWrap/>
            <w:vAlign w:val="center"/>
            <w:hideMark/>
          </w:tcPr>
          <w:p w14:paraId="55CC5E50"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0.789</w:t>
            </w:r>
          </w:p>
        </w:tc>
        <w:tc>
          <w:tcPr>
            <w:tcW w:w="1559" w:type="dxa"/>
            <w:tcBorders>
              <w:top w:val="nil"/>
              <w:left w:val="nil"/>
              <w:bottom w:val="single" w:sz="4" w:space="0" w:color="auto"/>
              <w:right w:val="nil"/>
            </w:tcBorders>
            <w:noWrap/>
            <w:vAlign w:val="center"/>
            <w:hideMark/>
          </w:tcPr>
          <w:p w14:paraId="1C4AFEB4"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0.790</w:t>
            </w:r>
          </w:p>
        </w:tc>
        <w:tc>
          <w:tcPr>
            <w:tcW w:w="1560" w:type="dxa"/>
            <w:tcBorders>
              <w:top w:val="nil"/>
              <w:left w:val="nil"/>
              <w:bottom w:val="single" w:sz="4" w:space="0" w:color="auto"/>
              <w:right w:val="nil"/>
            </w:tcBorders>
            <w:noWrap/>
            <w:vAlign w:val="center"/>
            <w:hideMark/>
          </w:tcPr>
          <w:p w14:paraId="0419F87D"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0.790</w:t>
            </w:r>
          </w:p>
        </w:tc>
        <w:tc>
          <w:tcPr>
            <w:tcW w:w="1559" w:type="dxa"/>
            <w:tcBorders>
              <w:top w:val="nil"/>
              <w:left w:val="nil"/>
              <w:bottom w:val="single" w:sz="4" w:space="0" w:color="auto"/>
              <w:right w:val="nil"/>
            </w:tcBorders>
            <w:noWrap/>
            <w:vAlign w:val="center"/>
            <w:hideMark/>
          </w:tcPr>
          <w:p w14:paraId="735E969E" w14:textId="77777777" w:rsidR="009875C9" w:rsidRPr="00CF053B" w:rsidRDefault="009875C9" w:rsidP="009875C9">
            <w:pPr>
              <w:spacing w:after="0" w:line="240" w:lineRule="auto"/>
              <w:rPr>
                <w:rFonts w:ascii="Times New Roman" w:eastAsia="Times New Roman" w:hAnsi="Times New Roman" w:cs="Times New Roman"/>
                <w:color w:val="000000"/>
                <w:sz w:val="24"/>
                <w:szCs w:val="24"/>
                <w:lang w:eastAsia="fr-FR"/>
              </w:rPr>
            </w:pPr>
            <w:r w:rsidRPr="00CF053B">
              <w:rPr>
                <w:rFonts w:ascii="Times New Roman" w:eastAsia="Times New Roman" w:hAnsi="Times New Roman" w:cs="Times New Roman"/>
                <w:color w:val="000000"/>
                <w:sz w:val="24"/>
                <w:szCs w:val="24"/>
                <w:lang w:eastAsia="fr-FR"/>
              </w:rPr>
              <w:t>0.790</w:t>
            </w:r>
          </w:p>
        </w:tc>
      </w:tr>
    </w:tbl>
    <w:p w14:paraId="761A009D" w14:textId="37BCA2B8" w:rsidR="00F711C9" w:rsidRDefault="00C267E5" w:rsidP="00FE331B">
      <w:pPr>
        <w:jc w:val="both"/>
        <w:rPr>
          <w:rFonts w:ascii="Times New Roman" w:hAnsi="Times New Roman" w:cs="Times New Roman"/>
          <w:sz w:val="24"/>
          <w:szCs w:val="24"/>
        </w:rPr>
      </w:pPr>
      <w:r w:rsidRPr="00571297">
        <w:rPr>
          <w:rFonts w:ascii="Times New Roman" w:hAnsi="Times New Roman" w:cs="Times New Roman"/>
          <w:sz w:val="24"/>
          <w:szCs w:val="24"/>
          <w:lang w:val="en-GB"/>
        </w:rPr>
        <w:t xml:space="preserve">Source: </w:t>
      </w:r>
      <w:r w:rsidRPr="00571297">
        <w:rPr>
          <w:rFonts w:ascii="Times New Roman" w:hAnsi="Times New Roman" w:cs="Times New Roman"/>
          <w:i/>
          <w:sz w:val="24"/>
          <w:szCs w:val="24"/>
          <w:lang w:val="en-GB"/>
        </w:rPr>
        <w:t>Author’s construction</w:t>
      </w:r>
      <w:r w:rsidRPr="00571297">
        <w:rPr>
          <w:rFonts w:ascii="Times New Roman" w:hAnsi="Times New Roman" w:cs="Times New Roman"/>
          <w:b/>
          <w:sz w:val="24"/>
          <w:szCs w:val="24"/>
          <w:lang w:val="en-GB"/>
        </w:rPr>
        <w:t xml:space="preserve">. </w:t>
      </w:r>
      <w:r w:rsidRPr="00571297">
        <w:rPr>
          <w:rFonts w:ascii="Times New Roman" w:hAnsi="Times New Roman" w:cs="Times New Roman"/>
          <w:i/>
          <w:sz w:val="24"/>
          <w:szCs w:val="24"/>
          <w:lang w:val="en-GB"/>
        </w:rPr>
        <w:t>Notes: Standard errors in parentheses; *** p&lt;0.01, ** p&lt;0.05, * p&lt;0.1</w:t>
      </w:r>
    </w:p>
    <w:p w14:paraId="5E966E82" w14:textId="77777777" w:rsidR="00124C07" w:rsidRPr="00D81767" w:rsidRDefault="00124C07" w:rsidP="00124C07">
      <w:pPr>
        <w:spacing w:line="360" w:lineRule="auto"/>
        <w:jc w:val="both"/>
        <w:rPr>
          <w:rFonts w:ascii="Times New Roman" w:hAnsi="Times New Roman" w:cs="Times New Roman"/>
          <w:sz w:val="24"/>
          <w:szCs w:val="24"/>
        </w:rPr>
      </w:pPr>
      <w:r w:rsidRPr="00D81767">
        <w:rPr>
          <w:rFonts w:ascii="Times New Roman" w:hAnsi="Times New Roman" w:cs="Times New Roman"/>
          <w:sz w:val="24"/>
          <w:szCs w:val="24"/>
        </w:rPr>
        <w:t xml:space="preserve">All models estimated in Table 3 reveal a particularly robust relationship between electricity access and household well-being in the Democratic Republic of Congo. The coefficients associated with non-electrified households remain negative, large in magnitude, and remarkably significant (p &lt; 0.01), ranging from –2.94 to –2.83 depending on the specification. </w:t>
      </w:r>
      <w:r w:rsidRPr="00D81767">
        <w:rPr>
          <w:rFonts w:ascii="Times New Roman" w:hAnsi="Times New Roman" w:cs="Times New Roman"/>
          <w:sz w:val="24"/>
          <w:szCs w:val="24"/>
        </w:rPr>
        <w:lastRenderedPageBreak/>
        <w:t>Statistically, the stability of the signs and the very small standard errors (around 0.013) reinforce the precision and reliability of these estimates: lack of electricity is consistently associated with a substantial well-being deficit.</w:t>
      </w:r>
    </w:p>
    <w:p w14:paraId="4C1A6B96" w14:textId="77777777" w:rsidR="00124C07" w:rsidRPr="00D81767" w:rsidRDefault="00124C07" w:rsidP="00124C07">
      <w:pPr>
        <w:spacing w:line="360" w:lineRule="auto"/>
        <w:jc w:val="both"/>
        <w:rPr>
          <w:rFonts w:ascii="Times New Roman" w:hAnsi="Times New Roman" w:cs="Times New Roman"/>
          <w:sz w:val="24"/>
          <w:szCs w:val="24"/>
        </w:rPr>
      </w:pPr>
      <w:r w:rsidRPr="00D81767">
        <w:rPr>
          <w:rFonts w:ascii="Times New Roman" w:hAnsi="Times New Roman" w:cs="Times New Roman"/>
          <w:sz w:val="24"/>
          <w:szCs w:val="24"/>
        </w:rPr>
        <w:t>Demographic variables reproduce classical patterns found in the literature. Having a female-headed household slightly reduces well-being, with negative and significant coefficients around –0.06 to –0.07 across models. The age of the household head exerts a positive but diminishing effect, as indicated by the positive coefficient on age and the negative coefficient on age squared: this concave relationship suggests that well-being increases with age up to a certain threshold before stabilizing. Education levels display very pronounced effects: households whose head has completed primary or secondary/higher education exhibit increased well-being, with respective coefficients ranging from 0.085 to 0.34 (p &lt; 0.01).</w:t>
      </w:r>
    </w:p>
    <w:p w14:paraId="2C9E24B9" w14:textId="77777777" w:rsidR="00124C07" w:rsidRPr="00D81767" w:rsidRDefault="00124C07" w:rsidP="00124C07">
      <w:pPr>
        <w:spacing w:line="360" w:lineRule="auto"/>
        <w:jc w:val="both"/>
        <w:rPr>
          <w:rFonts w:ascii="Times New Roman" w:hAnsi="Times New Roman" w:cs="Times New Roman"/>
          <w:sz w:val="24"/>
          <w:szCs w:val="24"/>
        </w:rPr>
      </w:pPr>
      <w:r w:rsidRPr="00D81767">
        <w:rPr>
          <w:rFonts w:ascii="Times New Roman" w:hAnsi="Times New Roman" w:cs="Times New Roman"/>
          <w:sz w:val="24"/>
          <w:szCs w:val="24"/>
        </w:rPr>
        <w:t xml:space="preserve">The geographical dimension </w:t>
      </w:r>
      <w:r w:rsidRPr="00D81767">
        <w:rPr>
          <w:rFonts w:ascii="Times New Roman" w:hAnsi="Times New Roman" w:cs="Times New Roman"/>
          <w:iCs/>
          <w:sz w:val="24"/>
          <w:szCs w:val="24"/>
        </w:rPr>
        <w:t>Place_Residence</w:t>
      </w:r>
      <w:r w:rsidRPr="00D81767">
        <w:rPr>
          <w:rFonts w:ascii="Times New Roman" w:hAnsi="Times New Roman" w:cs="Times New Roman"/>
          <w:sz w:val="24"/>
          <w:szCs w:val="24"/>
        </w:rPr>
        <w:t xml:space="preserve"> proves decisive. In these models, living in a rural area is associated with a substantial reduction in well-being, with a coefficient close to –0.62 and significant at the 1% level. Statistically, this indicates that, holding other factors constant, rural households present a structural well-being deficit relative to their urban counterparts. This is fully consistent with Congolese realities: higher poverty levels, limited infrastructure, insufficient access to public services, and greater dependence on agricultural shocks.</w:t>
      </w:r>
    </w:p>
    <w:p w14:paraId="49F38EC5" w14:textId="77777777" w:rsidR="00124C07" w:rsidRPr="00D81767" w:rsidRDefault="00124C07" w:rsidP="00124C07">
      <w:pPr>
        <w:spacing w:line="360" w:lineRule="auto"/>
        <w:jc w:val="both"/>
        <w:rPr>
          <w:rFonts w:ascii="Times New Roman" w:hAnsi="Times New Roman" w:cs="Times New Roman"/>
          <w:sz w:val="24"/>
          <w:szCs w:val="24"/>
        </w:rPr>
      </w:pPr>
      <w:r w:rsidRPr="00D81767">
        <w:rPr>
          <w:rFonts w:ascii="Times New Roman" w:hAnsi="Times New Roman" w:cs="Times New Roman"/>
          <w:sz w:val="24"/>
          <w:szCs w:val="24"/>
        </w:rPr>
        <w:t xml:space="preserve">However, the interaction </w:t>
      </w:r>
      <w:r w:rsidRPr="00D81767">
        <w:rPr>
          <w:rFonts w:ascii="Times New Roman" w:hAnsi="Times New Roman" w:cs="Times New Roman"/>
          <w:iCs/>
          <w:sz w:val="24"/>
          <w:szCs w:val="24"/>
        </w:rPr>
        <w:t>Electrified_households × Rural</w:t>
      </w:r>
      <w:r w:rsidRPr="00D81767">
        <w:rPr>
          <w:rFonts w:ascii="Times New Roman" w:hAnsi="Times New Roman" w:cs="Times New Roman"/>
          <w:sz w:val="24"/>
          <w:szCs w:val="24"/>
        </w:rPr>
        <w:t xml:space="preserve"> offers a much more nuanced and economically insightful perspective. The positive and significant coefficient (0.951 in previous models, and also close to 1 in the complete specifications here) shows that when rural households have access to electricity, the negative effect of rural status is not only offset but reversed. Statistically, the strength and significance of this coefficient indicate that electricity acts as a powerful moderator of rural disadvantage. Economically, this means that electricity access fundamentally transforms the socio-economic experience of rural households: it enables them to overcome part of the well-being deficit linked to geographic location by simultaneously improving access to information, communication, household productivity, and children’s education.</w:t>
      </w:r>
    </w:p>
    <w:p w14:paraId="1FB8F2EF" w14:textId="24C1B619" w:rsidR="00124C07" w:rsidRPr="00D81767" w:rsidRDefault="00124C07" w:rsidP="00124C07">
      <w:pPr>
        <w:spacing w:line="360" w:lineRule="auto"/>
        <w:jc w:val="both"/>
        <w:rPr>
          <w:rFonts w:ascii="Times New Roman" w:hAnsi="Times New Roman" w:cs="Times New Roman"/>
          <w:sz w:val="24"/>
          <w:szCs w:val="24"/>
        </w:rPr>
      </w:pPr>
      <w:r w:rsidRPr="00D81767">
        <w:rPr>
          <w:rFonts w:ascii="Times New Roman" w:hAnsi="Times New Roman" w:cs="Times New Roman"/>
          <w:sz w:val="24"/>
          <w:szCs w:val="24"/>
        </w:rPr>
        <w:t>This result strongly resonates with earlier studies on the differentiated impacts of electrification depending on place of residence. Several empirical works show that electrification gains are often higher in rural areas than in urban settings, where households already benefit from complementa</w:t>
      </w:r>
      <w:r w:rsidR="005642AE">
        <w:rPr>
          <w:rFonts w:ascii="Times New Roman" w:hAnsi="Times New Roman" w:cs="Times New Roman"/>
          <w:sz w:val="24"/>
          <w:szCs w:val="24"/>
        </w:rPr>
        <w:t>ry infrastructure (Khandker et al., 2013</w:t>
      </w:r>
      <w:r w:rsidR="00936C2C">
        <w:rPr>
          <w:rFonts w:ascii="Times New Roman" w:hAnsi="Times New Roman" w:cs="Times New Roman"/>
          <w:sz w:val="24"/>
          <w:szCs w:val="24"/>
        </w:rPr>
        <w:t>; Bernard, 2015</w:t>
      </w:r>
      <w:r w:rsidRPr="00D81767">
        <w:rPr>
          <w:rFonts w:ascii="Times New Roman" w:hAnsi="Times New Roman" w:cs="Times New Roman"/>
          <w:sz w:val="24"/>
          <w:szCs w:val="24"/>
        </w:rPr>
        <w:t>; Lee et a</w:t>
      </w:r>
      <w:r w:rsidR="00D84D5E">
        <w:rPr>
          <w:rFonts w:ascii="Times New Roman" w:hAnsi="Times New Roman" w:cs="Times New Roman"/>
          <w:sz w:val="24"/>
          <w:szCs w:val="24"/>
        </w:rPr>
        <w:t>l., 2016</w:t>
      </w:r>
      <w:r w:rsidRPr="00D81767">
        <w:rPr>
          <w:rFonts w:ascii="Times New Roman" w:hAnsi="Times New Roman" w:cs="Times New Roman"/>
          <w:sz w:val="24"/>
          <w:szCs w:val="24"/>
        </w:rPr>
        <w:t>). Acc</w:t>
      </w:r>
      <w:r w:rsidR="00E16A77">
        <w:rPr>
          <w:rFonts w:ascii="Times New Roman" w:hAnsi="Times New Roman" w:cs="Times New Roman"/>
          <w:sz w:val="24"/>
          <w:szCs w:val="24"/>
        </w:rPr>
        <w:t>ording to Peters &amp; Wolfram (2021</w:t>
      </w:r>
      <w:r w:rsidRPr="00D81767">
        <w:rPr>
          <w:rFonts w:ascii="Times New Roman" w:hAnsi="Times New Roman" w:cs="Times New Roman"/>
          <w:sz w:val="24"/>
          <w:szCs w:val="24"/>
        </w:rPr>
        <w:t xml:space="preserve">) in Sub-Saharan Africa, electricity constitutes a “rural </w:t>
      </w:r>
      <w:r w:rsidRPr="00D81767">
        <w:rPr>
          <w:rFonts w:ascii="Times New Roman" w:hAnsi="Times New Roman" w:cs="Times New Roman"/>
          <w:sz w:val="24"/>
          <w:szCs w:val="24"/>
        </w:rPr>
        <w:lastRenderedPageBreak/>
        <w:t>catalyst” that enables households to reduce well-being gaps associated with geographic isolation. This idea is further reinforced by Dinkelman’s (2011) analysis in South Africa, which shows that rural electrification increases productivity, particularly in labor-intensive activities involving women.</w:t>
      </w:r>
    </w:p>
    <w:p w14:paraId="154C8CB9" w14:textId="77777777" w:rsidR="00124C07" w:rsidRPr="00D81767" w:rsidRDefault="00124C07" w:rsidP="00124C07">
      <w:pPr>
        <w:spacing w:line="360" w:lineRule="auto"/>
        <w:jc w:val="both"/>
        <w:rPr>
          <w:rFonts w:ascii="Times New Roman" w:hAnsi="Times New Roman" w:cs="Times New Roman"/>
          <w:sz w:val="24"/>
          <w:szCs w:val="24"/>
        </w:rPr>
      </w:pPr>
      <w:r w:rsidRPr="00D81767">
        <w:rPr>
          <w:rFonts w:ascii="Times New Roman" w:hAnsi="Times New Roman" w:cs="Times New Roman"/>
          <w:sz w:val="24"/>
          <w:szCs w:val="24"/>
        </w:rPr>
        <w:t>In the Congolese context where nearly 75% of rural households lack electricity and basic infrastructure remains insufficient the result obtained here fits into a logic of convergence: electricity acts as a “transformative public good” capable of reducing territorial inequalities in well-being. The findings also confirm the observations of the World Bank (2021), which identifies access to energy as one of the main drivers of multidimensiona</w:t>
      </w:r>
      <w:r w:rsidR="00C267E5">
        <w:rPr>
          <w:rFonts w:ascii="Times New Roman" w:hAnsi="Times New Roman" w:cs="Times New Roman"/>
          <w:sz w:val="24"/>
          <w:szCs w:val="24"/>
        </w:rPr>
        <w:t xml:space="preserve">l poverty reduction in the DRC. </w:t>
      </w:r>
      <w:r w:rsidRPr="00D81767">
        <w:rPr>
          <w:rFonts w:ascii="Times New Roman" w:hAnsi="Times New Roman" w:cs="Times New Roman"/>
          <w:sz w:val="24"/>
          <w:szCs w:val="24"/>
        </w:rPr>
        <w:t>Thus, these estimates show that rural well-being is highly dependent on electricity access. Without electrification, rural households are significantly disadvantaged; with electrification, they close a meaningful part of this gap, supporting the idea that rural electrification is not merely an infrastructure policy but a well-being and human development policy. Electricity therefore acts as a territorial equalizer and plays a central role in reducing the urban–rural disparity.</w:t>
      </w:r>
    </w:p>
    <w:p w14:paraId="34BF5D24" w14:textId="77777777" w:rsidR="00124C07" w:rsidRPr="00D81767" w:rsidRDefault="00124C07" w:rsidP="00124C07">
      <w:pPr>
        <w:spacing w:line="360" w:lineRule="auto"/>
        <w:jc w:val="both"/>
        <w:rPr>
          <w:rFonts w:ascii="Times New Roman" w:hAnsi="Times New Roman" w:cs="Times New Roman"/>
          <w:sz w:val="24"/>
          <w:szCs w:val="24"/>
        </w:rPr>
      </w:pPr>
      <w:r w:rsidRPr="00D81767">
        <w:rPr>
          <w:rFonts w:ascii="Times New Roman" w:hAnsi="Times New Roman" w:cs="Times New Roman"/>
          <w:sz w:val="24"/>
          <w:szCs w:val="24"/>
        </w:rPr>
        <w:t>Ultimately, these results both statistically and economically converge toward a clear conclusion: geographic location is not an immutable destiny but a conditional vulnerability. And among the conditions capable of reversing this vulnerability, electricity access appears, in the case of the DRC, to be one of the most powerful levers currently available to improve household well-being.</w:t>
      </w:r>
    </w:p>
    <w:p w14:paraId="2C64EFF1" w14:textId="77777777" w:rsidR="00BE15BA" w:rsidRPr="00D81767" w:rsidRDefault="00BE15BA" w:rsidP="00BE15BA">
      <w:pPr>
        <w:spacing w:line="360" w:lineRule="auto"/>
        <w:jc w:val="both"/>
        <w:rPr>
          <w:rFonts w:ascii="Times New Roman" w:hAnsi="Times New Roman" w:cs="Times New Roman"/>
          <w:sz w:val="24"/>
          <w:szCs w:val="24"/>
        </w:rPr>
      </w:pPr>
    </w:p>
    <w:p w14:paraId="3755BD6E" w14:textId="77777777" w:rsidR="00037BCB" w:rsidRPr="00037BCB" w:rsidRDefault="00037BCB" w:rsidP="00BE15BA">
      <w:pPr>
        <w:spacing w:line="360" w:lineRule="auto"/>
        <w:jc w:val="both"/>
        <w:rPr>
          <w:rFonts w:ascii="Times New Roman" w:hAnsi="Times New Roman" w:cs="Times New Roman"/>
          <w:b/>
          <w:sz w:val="24"/>
          <w:szCs w:val="24"/>
        </w:rPr>
      </w:pPr>
    </w:p>
    <w:p w14:paraId="6F50E65F" w14:textId="77777777" w:rsidR="00037BCB" w:rsidRDefault="00037BCB" w:rsidP="00037BCB">
      <w:pPr>
        <w:rPr>
          <w:rFonts w:ascii="Times New Roman" w:hAnsi="Times New Roman" w:cs="Times New Roman"/>
          <w:sz w:val="24"/>
          <w:szCs w:val="24"/>
        </w:rPr>
      </w:pPr>
    </w:p>
    <w:p w14:paraId="0DA2BA4F" w14:textId="77777777" w:rsidR="00D716B6" w:rsidRDefault="00D716B6" w:rsidP="00037BCB">
      <w:pPr>
        <w:rPr>
          <w:rFonts w:ascii="Times New Roman" w:hAnsi="Times New Roman" w:cs="Times New Roman"/>
          <w:sz w:val="24"/>
          <w:szCs w:val="24"/>
        </w:rPr>
      </w:pPr>
    </w:p>
    <w:p w14:paraId="36D21C7A" w14:textId="77777777" w:rsidR="00037BCB" w:rsidRDefault="00037BCB" w:rsidP="00037BCB">
      <w:pPr>
        <w:rPr>
          <w:rFonts w:ascii="Times New Roman" w:hAnsi="Times New Roman" w:cs="Times New Roman"/>
          <w:sz w:val="24"/>
          <w:szCs w:val="24"/>
        </w:rPr>
      </w:pPr>
    </w:p>
    <w:p w14:paraId="359B3B81" w14:textId="77777777" w:rsidR="00037BCB" w:rsidRDefault="00037BCB" w:rsidP="00037BCB">
      <w:pPr>
        <w:rPr>
          <w:rFonts w:ascii="Times New Roman" w:hAnsi="Times New Roman" w:cs="Times New Roman"/>
          <w:sz w:val="24"/>
          <w:szCs w:val="24"/>
        </w:rPr>
      </w:pPr>
    </w:p>
    <w:p w14:paraId="1F468CC5" w14:textId="77777777" w:rsidR="00037BCB" w:rsidRPr="00037BCB" w:rsidRDefault="00037BCB" w:rsidP="00037BCB">
      <w:pPr>
        <w:rPr>
          <w:rFonts w:ascii="Times New Roman" w:hAnsi="Times New Roman" w:cs="Times New Roman"/>
          <w:sz w:val="24"/>
          <w:szCs w:val="24"/>
        </w:rPr>
        <w:sectPr w:rsidR="00037BCB" w:rsidRPr="00037BCB" w:rsidSect="0057653B">
          <w:pgSz w:w="11906" w:h="16838"/>
          <w:pgMar w:top="1417" w:right="1417" w:bottom="1417" w:left="1417" w:header="708" w:footer="708" w:gutter="0"/>
          <w:cols w:space="708"/>
          <w:docGrid w:linePitch="360"/>
        </w:sectPr>
      </w:pPr>
    </w:p>
    <w:p w14:paraId="7093314A" w14:textId="77777777" w:rsidR="00037BCB" w:rsidRPr="00EF4A63" w:rsidRDefault="00EF4A63" w:rsidP="00C267E5">
      <w:pPr>
        <w:jc w:val="both"/>
        <w:rPr>
          <w:rFonts w:ascii="Times New Roman" w:hAnsi="Times New Roman" w:cs="Times New Roman"/>
          <w:b/>
          <w:sz w:val="24"/>
          <w:szCs w:val="24"/>
          <w:lang w:val="en-GB"/>
        </w:rPr>
      </w:pPr>
      <w:r w:rsidRPr="00EF4A63">
        <w:rPr>
          <w:rFonts w:ascii="Times New Roman" w:hAnsi="Times New Roman" w:cs="Times New Roman"/>
          <w:b/>
          <w:sz w:val="24"/>
          <w:szCs w:val="24"/>
          <w:lang w:val="en-GB"/>
        </w:rPr>
        <w:lastRenderedPageBreak/>
        <w:t>Table 3 Effect of Rural residency on Household Combined Well-Being</w:t>
      </w:r>
    </w:p>
    <w:tbl>
      <w:tblPr>
        <w:tblW w:w="13208" w:type="dxa"/>
        <w:tblCellMar>
          <w:left w:w="70" w:type="dxa"/>
          <w:right w:w="70" w:type="dxa"/>
        </w:tblCellMar>
        <w:tblLook w:val="04A0" w:firstRow="1" w:lastRow="0" w:firstColumn="1" w:lastColumn="0" w:noHBand="0" w:noVBand="1"/>
      </w:tblPr>
      <w:tblGrid>
        <w:gridCol w:w="3408"/>
        <w:gridCol w:w="1400"/>
        <w:gridCol w:w="1400"/>
        <w:gridCol w:w="1400"/>
        <w:gridCol w:w="1400"/>
        <w:gridCol w:w="1400"/>
        <w:gridCol w:w="1400"/>
        <w:gridCol w:w="1400"/>
      </w:tblGrid>
      <w:tr w:rsidR="00EF4A63" w:rsidRPr="00D716B6" w14:paraId="36E6EF33" w14:textId="77777777" w:rsidTr="00B01733">
        <w:trPr>
          <w:trHeight w:val="315"/>
        </w:trPr>
        <w:tc>
          <w:tcPr>
            <w:tcW w:w="3408" w:type="dxa"/>
            <w:tcBorders>
              <w:top w:val="single" w:sz="4" w:space="0" w:color="auto"/>
              <w:left w:val="nil"/>
              <w:bottom w:val="single" w:sz="4" w:space="0" w:color="auto"/>
              <w:right w:val="nil"/>
            </w:tcBorders>
            <w:noWrap/>
            <w:vAlign w:val="bottom"/>
            <w:hideMark/>
          </w:tcPr>
          <w:p w14:paraId="59D6C7E9"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V</w:t>
            </w:r>
            <w:r w:rsidRPr="00D716B6">
              <w:rPr>
                <w:rFonts w:ascii="Times New Roman" w:eastAsia="Times New Roman" w:hAnsi="Times New Roman" w:cs="Times New Roman"/>
                <w:color w:val="000000"/>
                <w:sz w:val="24"/>
                <w:szCs w:val="24"/>
                <w:lang w:eastAsia="fr-FR"/>
              </w:rPr>
              <w:t>ARIABLES</w:t>
            </w:r>
          </w:p>
        </w:tc>
        <w:tc>
          <w:tcPr>
            <w:tcW w:w="1400" w:type="dxa"/>
            <w:tcBorders>
              <w:top w:val="single" w:sz="4" w:space="0" w:color="auto"/>
              <w:left w:val="nil"/>
              <w:bottom w:val="single" w:sz="4" w:space="0" w:color="auto"/>
              <w:right w:val="nil"/>
            </w:tcBorders>
            <w:noWrap/>
            <w:vAlign w:val="bottom"/>
            <w:hideMark/>
          </w:tcPr>
          <w:p w14:paraId="1FC0225E"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WellBeing</w:t>
            </w:r>
          </w:p>
        </w:tc>
        <w:tc>
          <w:tcPr>
            <w:tcW w:w="1400" w:type="dxa"/>
            <w:tcBorders>
              <w:top w:val="single" w:sz="4" w:space="0" w:color="auto"/>
              <w:left w:val="nil"/>
              <w:bottom w:val="single" w:sz="4" w:space="0" w:color="auto"/>
              <w:right w:val="nil"/>
            </w:tcBorders>
            <w:noWrap/>
            <w:vAlign w:val="bottom"/>
            <w:hideMark/>
          </w:tcPr>
          <w:p w14:paraId="28F33921"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WellBeing</w:t>
            </w:r>
          </w:p>
        </w:tc>
        <w:tc>
          <w:tcPr>
            <w:tcW w:w="1400" w:type="dxa"/>
            <w:tcBorders>
              <w:top w:val="single" w:sz="4" w:space="0" w:color="auto"/>
              <w:left w:val="nil"/>
              <w:bottom w:val="single" w:sz="4" w:space="0" w:color="auto"/>
              <w:right w:val="nil"/>
            </w:tcBorders>
            <w:noWrap/>
            <w:vAlign w:val="bottom"/>
            <w:hideMark/>
          </w:tcPr>
          <w:p w14:paraId="15E37DAF"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WellBeing</w:t>
            </w:r>
          </w:p>
        </w:tc>
        <w:tc>
          <w:tcPr>
            <w:tcW w:w="1400" w:type="dxa"/>
            <w:tcBorders>
              <w:top w:val="single" w:sz="4" w:space="0" w:color="auto"/>
              <w:left w:val="nil"/>
              <w:bottom w:val="single" w:sz="4" w:space="0" w:color="auto"/>
              <w:right w:val="nil"/>
            </w:tcBorders>
            <w:noWrap/>
            <w:vAlign w:val="bottom"/>
            <w:hideMark/>
          </w:tcPr>
          <w:p w14:paraId="53595C1E"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WellBeing</w:t>
            </w:r>
          </w:p>
        </w:tc>
        <w:tc>
          <w:tcPr>
            <w:tcW w:w="1400" w:type="dxa"/>
            <w:tcBorders>
              <w:top w:val="single" w:sz="4" w:space="0" w:color="auto"/>
              <w:left w:val="nil"/>
              <w:bottom w:val="single" w:sz="4" w:space="0" w:color="auto"/>
              <w:right w:val="nil"/>
            </w:tcBorders>
            <w:noWrap/>
            <w:vAlign w:val="bottom"/>
            <w:hideMark/>
          </w:tcPr>
          <w:p w14:paraId="262FD7EC"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WellBeing</w:t>
            </w:r>
          </w:p>
        </w:tc>
        <w:tc>
          <w:tcPr>
            <w:tcW w:w="1400" w:type="dxa"/>
            <w:tcBorders>
              <w:top w:val="single" w:sz="4" w:space="0" w:color="auto"/>
              <w:left w:val="nil"/>
              <w:bottom w:val="single" w:sz="4" w:space="0" w:color="auto"/>
              <w:right w:val="nil"/>
            </w:tcBorders>
            <w:noWrap/>
            <w:vAlign w:val="bottom"/>
            <w:hideMark/>
          </w:tcPr>
          <w:p w14:paraId="147B373A"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WellBeing</w:t>
            </w:r>
          </w:p>
        </w:tc>
        <w:tc>
          <w:tcPr>
            <w:tcW w:w="1400" w:type="dxa"/>
            <w:tcBorders>
              <w:top w:val="single" w:sz="4" w:space="0" w:color="auto"/>
              <w:left w:val="nil"/>
              <w:bottom w:val="single" w:sz="4" w:space="0" w:color="auto"/>
              <w:right w:val="nil"/>
            </w:tcBorders>
            <w:noWrap/>
            <w:vAlign w:val="bottom"/>
            <w:hideMark/>
          </w:tcPr>
          <w:p w14:paraId="56027247"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WellBeing</w:t>
            </w:r>
          </w:p>
        </w:tc>
      </w:tr>
      <w:tr w:rsidR="00EF4A63" w:rsidRPr="00D716B6" w14:paraId="7EDF9B11" w14:textId="77777777" w:rsidTr="00B01733">
        <w:trPr>
          <w:trHeight w:val="315"/>
        </w:trPr>
        <w:tc>
          <w:tcPr>
            <w:tcW w:w="3408" w:type="dxa"/>
            <w:tcBorders>
              <w:top w:val="single" w:sz="4" w:space="0" w:color="auto"/>
              <w:left w:val="nil"/>
              <w:bottom w:val="nil"/>
              <w:right w:val="nil"/>
            </w:tcBorders>
            <w:noWrap/>
            <w:vAlign w:val="bottom"/>
            <w:hideMark/>
          </w:tcPr>
          <w:p w14:paraId="54735676"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b/>
                <w:bCs/>
                <w:color w:val="000000"/>
                <w:sz w:val="24"/>
                <w:szCs w:val="24"/>
                <w:lang w:eastAsia="fr-FR"/>
              </w:rPr>
              <w:t>Household_Electricity_Access</w:t>
            </w:r>
          </w:p>
        </w:tc>
        <w:tc>
          <w:tcPr>
            <w:tcW w:w="1400" w:type="dxa"/>
            <w:tcBorders>
              <w:top w:val="single" w:sz="4" w:space="0" w:color="auto"/>
              <w:left w:val="nil"/>
              <w:bottom w:val="nil"/>
              <w:right w:val="nil"/>
            </w:tcBorders>
            <w:noWrap/>
            <w:vAlign w:val="bottom"/>
            <w:hideMark/>
          </w:tcPr>
          <w:p w14:paraId="67C8CC06"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single" w:sz="4" w:space="0" w:color="auto"/>
              <w:left w:val="nil"/>
              <w:bottom w:val="nil"/>
              <w:right w:val="nil"/>
            </w:tcBorders>
            <w:noWrap/>
            <w:vAlign w:val="bottom"/>
            <w:hideMark/>
          </w:tcPr>
          <w:p w14:paraId="1D47F63F"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single" w:sz="4" w:space="0" w:color="auto"/>
              <w:left w:val="nil"/>
              <w:bottom w:val="nil"/>
              <w:right w:val="nil"/>
            </w:tcBorders>
            <w:noWrap/>
            <w:vAlign w:val="bottom"/>
            <w:hideMark/>
          </w:tcPr>
          <w:p w14:paraId="6CBE9039"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single" w:sz="4" w:space="0" w:color="auto"/>
              <w:left w:val="nil"/>
              <w:bottom w:val="nil"/>
              <w:right w:val="nil"/>
            </w:tcBorders>
            <w:noWrap/>
            <w:vAlign w:val="bottom"/>
            <w:hideMark/>
          </w:tcPr>
          <w:p w14:paraId="65AFC388"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single" w:sz="4" w:space="0" w:color="auto"/>
              <w:left w:val="nil"/>
              <w:bottom w:val="nil"/>
              <w:right w:val="nil"/>
            </w:tcBorders>
            <w:noWrap/>
            <w:vAlign w:val="bottom"/>
            <w:hideMark/>
          </w:tcPr>
          <w:p w14:paraId="22ED16BE"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single" w:sz="4" w:space="0" w:color="auto"/>
              <w:left w:val="nil"/>
              <w:bottom w:val="nil"/>
              <w:right w:val="nil"/>
            </w:tcBorders>
            <w:noWrap/>
            <w:vAlign w:val="bottom"/>
            <w:hideMark/>
          </w:tcPr>
          <w:p w14:paraId="7C8E44CC"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single" w:sz="4" w:space="0" w:color="auto"/>
              <w:left w:val="nil"/>
              <w:bottom w:val="nil"/>
              <w:right w:val="nil"/>
            </w:tcBorders>
            <w:noWrap/>
            <w:vAlign w:val="bottom"/>
            <w:hideMark/>
          </w:tcPr>
          <w:p w14:paraId="78F234C6"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r>
      <w:tr w:rsidR="00EF4A63" w:rsidRPr="00D716B6" w14:paraId="00DF7F4E" w14:textId="77777777" w:rsidTr="00B01733">
        <w:trPr>
          <w:trHeight w:val="315"/>
        </w:trPr>
        <w:tc>
          <w:tcPr>
            <w:tcW w:w="3408" w:type="dxa"/>
            <w:tcBorders>
              <w:top w:val="nil"/>
              <w:left w:val="nil"/>
              <w:bottom w:val="nil"/>
              <w:right w:val="nil"/>
            </w:tcBorders>
            <w:noWrap/>
            <w:vAlign w:val="bottom"/>
            <w:hideMark/>
          </w:tcPr>
          <w:p w14:paraId="634CE737"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Unelectrified households</w:t>
            </w:r>
          </w:p>
        </w:tc>
        <w:tc>
          <w:tcPr>
            <w:tcW w:w="1400" w:type="dxa"/>
            <w:tcBorders>
              <w:top w:val="nil"/>
              <w:left w:val="nil"/>
              <w:bottom w:val="nil"/>
              <w:right w:val="nil"/>
            </w:tcBorders>
            <w:noWrap/>
            <w:vAlign w:val="bottom"/>
            <w:hideMark/>
          </w:tcPr>
          <w:p w14:paraId="184F158E"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-2.946***</w:t>
            </w:r>
          </w:p>
        </w:tc>
        <w:tc>
          <w:tcPr>
            <w:tcW w:w="1400" w:type="dxa"/>
            <w:tcBorders>
              <w:top w:val="nil"/>
              <w:left w:val="nil"/>
              <w:bottom w:val="nil"/>
              <w:right w:val="nil"/>
            </w:tcBorders>
            <w:noWrap/>
            <w:vAlign w:val="bottom"/>
            <w:hideMark/>
          </w:tcPr>
          <w:p w14:paraId="2CFAA3A2"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-2.943***</w:t>
            </w:r>
          </w:p>
        </w:tc>
        <w:tc>
          <w:tcPr>
            <w:tcW w:w="1400" w:type="dxa"/>
            <w:tcBorders>
              <w:top w:val="nil"/>
              <w:left w:val="nil"/>
              <w:bottom w:val="nil"/>
              <w:right w:val="nil"/>
            </w:tcBorders>
            <w:noWrap/>
            <w:vAlign w:val="bottom"/>
            <w:hideMark/>
          </w:tcPr>
          <w:p w14:paraId="2664366D"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-2.939***</w:t>
            </w:r>
          </w:p>
        </w:tc>
        <w:tc>
          <w:tcPr>
            <w:tcW w:w="1400" w:type="dxa"/>
            <w:tcBorders>
              <w:top w:val="nil"/>
              <w:left w:val="nil"/>
              <w:bottom w:val="nil"/>
              <w:right w:val="nil"/>
            </w:tcBorders>
            <w:noWrap/>
            <w:vAlign w:val="bottom"/>
            <w:hideMark/>
          </w:tcPr>
          <w:p w14:paraId="6D88AC64"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-2.937***</w:t>
            </w:r>
          </w:p>
        </w:tc>
        <w:tc>
          <w:tcPr>
            <w:tcW w:w="1400" w:type="dxa"/>
            <w:tcBorders>
              <w:top w:val="nil"/>
              <w:left w:val="nil"/>
              <w:bottom w:val="nil"/>
              <w:right w:val="nil"/>
            </w:tcBorders>
            <w:noWrap/>
            <w:vAlign w:val="bottom"/>
            <w:hideMark/>
          </w:tcPr>
          <w:p w14:paraId="2F4A6C65"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-2.832***</w:t>
            </w:r>
          </w:p>
        </w:tc>
        <w:tc>
          <w:tcPr>
            <w:tcW w:w="1400" w:type="dxa"/>
            <w:tcBorders>
              <w:top w:val="nil"/>
              <w:left w:val="nil"/>
              <w:bottom w:val="nil"/>
              <w:right w:val="nil"/>
            </w:tcBorders>
            <w:noWrap/>
            <w:vAlign w:val="bottom"/>
            <w:hideMark/>
          </w:tcPr>
          <w:p w14:paraId="552D201A"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-2.400***</w:t>
            </w:r>
          </w:p>
        </w:tc>
        <w:tc>
          <w:tcPr>
            <w:tcW w:w="1400" w:type="dxa"/>
            <w:tcBorders>
              <w:top w:val="nil"/>
              <w:left w:val="nil"/>
              <w:bottom w:val="nil"/>
              <w:right w:val="nil"/>
            </w:tcBorders>
            <w:noWrap/>
            <w:vAlign w:val="bottom"/>
            <w:hideMark/>
          </w:tcPr>
          <w:p w14:paraId="3F35753D"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-2.422***</w:t>
            </w:r>
          </w:p>
        </w:tc>
      </w:tr>
      <w:tr w:rsidR="00EF4A63" w:rsidRPr="00D716B6" w14:paraId="1705FFE8" w14:textId="77777777" w:rsidTr="00B01733">
        <w:trPr>
          <w:trHeight w:val="315"/>
        </w:trPr>
        <w:tc>
          <w:tcPr>
            <w:tcW w:w="3408" w:type="dxa"/>
            <w:tcBorders>
              <w:top w:val="nil"/>
              <w:left w:val="nil"/>
              <w:bottom w:val="nil"/>
              <w:right w:val="nil"/>
            </w:tcBorders>
            <w:noWrap/>
            <w:vAlign w:val="bottom"/>
            <w:hideMark/>
          </w:tcPr>
          <w:p w14:paraId="19237428"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002BEB71"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(0.0130)</w:t>
            </w:r>
          </w:p>
        </w:tc>
        <w:tc>
          <w:tcPr>
            <w:tcW w:w="1400" w:type="dxa"/>
            <w:tcBorders>
              <w:top w:val="nil"/>
              <w:left w:val="nil"/>
              <w:bottom w:val="nil"/>
              <w:right w:val="nil"/>
            </w:tcBorders>
            <w:noWrap/>
            <w:vAlign w:val="bottom"/>
            <w:hideMark/>
          </w:tcPr>
          <w:p w14:paraId="2FF402EA"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(0.0130)</w:t>
            </w:r>
          </w:p>
        </w:tc>
        <w:tc>
          <w:tcPr>
            <w:tcW w:w="1400" w:type="dxa"/>
            <w:tcBorders>
              <w:top w:val="nil"/>
              <w:left w:val="nil"/>
              <w:bottom w:val="nil"/>
              <w:right w:val="nil"/>
            </w:tcBorders>
            <w:noWrap/>
            <w:vAlign w:val="bottom"/>
            <w:hideMark/>
          </w:tcPr>
          <w:p w14:paraId="3F209753"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(0.0130)</w:t>
            </w:r>
          </w:p>
        </w:tc>
        <w:tc>
          <w:tcPr>
            <w:tcW w:w="1400" w:type="dxa"/>
            <w:tcBorders>
              <w:top w:val="nil"/>
              <w:left w:val="nil"/>
              <w:bottom w:val="nil"/>
              <w:right w:val="nil"/>
            </w:tcBorders>
            <w:noWrap/>
            <w:vAlign w:val="bottom"/>
            <w:hideMark/>
          </w:tcPr>
          <w:p w14:paraId="605A203B"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(0.0130)</w:t>
            </w:r>
          </w:p>
        </w:tc>
        <w:tc>
          <w:tcPr>
            <w:tcW w:w="1400" w:type="dxa"/>
            <w:tcBorders>
              <w:top w:val="nil"/>
              <w:left w:val="nil"/>
              <w:bottom w:val="nil"/>
              <w:right w:val="nil"/>
            </w:tcBorders>
            <w:noWrap/>
            <w:vAlign w:val="bottom"/>
            <w:hideMark/>
          </w:tcPr>
          <w:p w14:paraId="7C936E1E"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(0.0129)</w:t>
            </w:r>
          </w:p>
        </w:tc>
        <w:tc>
          <w:tcPr>
            <w:tcW w:w="1400" w:type="dxa"/>
            <w:tcBorders>
              <w:top w:val="nil"/>
              <w:left w:val="nil"/>
              <w:bottom w:val="nil"/>
              <w:right w:val="nil"/>
            </w:tcBorders>
            <w:noWrap/>
            <w:vAlign w:val="bottom"/>
            <w:hideMark/>
          </w:tcPr>
          <w:p w14:paraId="3EF46A50"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(0.0128)</w:t>
            </w:r>
          </w:p>
        </w:tc>
        <w:tc>
          <w:tcPr>
            <w:tcW w:w="1400" w:type="dxa"/>
            <w:tcBorders>
              <w:top w:val="nil"/>
              <w:left w:val="nil"/>
              <w:bottom w:val="nil"/>
              <w:right w:val="nil"/>
            </w:tcBorders>
            <w:noWrap/>
            <w:vAlign w:val="bottom"/>
            <w:hideMark/>
          </w:tcPr>
          <w:p w14:paraId="419F4AD1"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(0.0129)</w:t>
            </w:r>
          </w:p>
        </w:tc>
      </w:tr>
      <w:tr w:rsidR="00EF4A63" w:rsidRPr="00D716B6" w14:paraId="28D4A96E" w14:textId="77777777" w:rsidTr="00B01733">
        <w:trPr>
          <w:trHeight w:val="315"/>
        </w:trPr>
        <w:tc>
          <w:tcPr>
            <w:tcW w:w="3408" w:type="dxa"/>
            <w:tcBorders>
              <w:top w:val="nil"/>
              <w:left w:val="nil"/>
              <w:bottom w:val="nil"/>
              <w:right w:val="nil"/>
            </w:tcBorders>
            <w:noWrap/>
            <w:vAlign w:val="bottom"/>
          </w:tcPr>
          <w:p w14:paraId="5C3721CD"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b/>
                <w:bCs/>
                <w:color w:val="000000"/>
                <w:sz w:val="24"/>
                <w:szCs w:val="24"/>
                <w:lang w:eastAsia="fr-FR"/>
              </w:rPr>
              <w:t>Gender_Household_Head</w:t>
            </w:r>
          </w:p>
        </w:tc>
        <w:tc>
          <w:tcPr>
            <w:tcW w:w="1400" w:type="dxa"/>
            <w:tcBorders>
              <w:top w:val="nil"/>
              <w:left w:val="nil"/>
              <w:bottom w:val="nil"/>
              <w:right w:val="nil"/>
            </w:tcBorders>
            <w:noWrap/>
            <w:vAlign w:val="bottom"/>
          </w:tcPr>
          <w:p w14:paraId="4A1889FE"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tcPr>
          <w:p w14:paraId="2A72AAEB"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tcPr>
          <w:p w14:paraId="0C13C474"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tcPr>
          <w:p w14:paraId="6D6449C4"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tcPr>
          <w:p w14:paraId="3B6EC3D0"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tcPr>
          <w:p w14:paraId="235AD3B6"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tcPr>
          <w:p w14:paraId="6E78BC17"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r>
      <w:tr w:rsidR="00EF4A63" w:rsidRPr="00D716B6" w14:paraId="5326CAE6" w14:textId="77777777" w:rsidTr="00B01733">
        <w:trPr>
          <w:trHeight w:val="315"/>
        </w:trPr>
        <w:tc>
          <w:tcPr>
            <w:tcW w:w="3408" w:type="dxa"/>
            <w:tcBorders>
              <w:top w:val="nil"/>
              <w:left w:val="nil"/>
              <w:bottom w:val="nil"/>
              <w:right w:val="nil"/>
            </w:tcBorders>
            <w:noWrap/>
            <w:vAlign w:val="bottom"/>
            <w:hideMark/>
          </w:tcPr>
          <w:p w14:paraId="0174AA2C"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color w:val="000000"/>
                <w:sz w:val="24"/>
                <w:szCs w:val="24"/>
                <w:lang w:eastAsia="fr-FR"/>
              </w:rPr>
              <w:t>Female</w:t>
            </w:r>
          </w:p>
        </w:tc>
        <w:tc>
          <w:tcPr>
            <w:tcW w:w="1400" w:type="dxa"/>
            <w:tcBorders>
              <w:top w:val="nil"/>
              <w:left w:val="nil"/>
              <w:bottom w:val="nil"/>
              <w:right w:val="nil"/>
            </w:tcBorders>
            <w:noWrap/>
            <w:vAlign w:val="bottom"/>
            <w:hideMark/>
          </w:tcPr>
          <w:p w14:paraId="73B0F8DA"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6747BD1A"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-0.0676***</w:t>
            </w:r>
          </w:p>
        </w:tc>
        <w:tc>
          <w:tcPr>
            <w:tcW w:w="1400" w:type="dxa"/>
            <w:tcBorders>
              <w:top w:val="nil"/>
              <w:left w:val="nil"/>
              <w:bottom w:val="nil"/>
              <w:right w:val="nil"/>
            </w:tcBorders>
            <w:noWrap/>
            <w:vAlign w:val="bottom"/>
            <w:hideMark/>
          </w:tcPr>
          <w:p w14:paraId="462E8834"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-0.0701***</w:t>
            </w:r>
          </w:p>
        </w:tc>
        <w:tc>
          <w:tcPr>
            <w:tcW w:w="1400" w:type="dxa"/>
            <w:tcBorders>
              <w:top w:val="nil"/>
              <w:left w:val="nil"/>
              <w:bottom w:val="nil"/>
              <w:right w:val="nil"/>
            </w:tcBorders>
            <w:noWrap/>
            <w:vAlign w:val="bottom"/>
            <w:hideMark/>
          </w:tcPr>
          <w:p w14:paraId="022C131A"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-0.0652***</w:t>
            </w:r>
          </w:p>
        </w:tc>
        <w:tc>
          <w:tcPr>
            <w:tcW w:w="1400" w:type="dxa"/>
            <w:tcBorders>
              <w:top w:val="nil"/>
              <w:left w:val="nil"/>
              <w:bottom w:val="nil"/>
              <w:right w:val="nil"/>
            </w:tcBorders>
            <w:noWrap/>
            <w:vAlign w:val="bottom"/>
            <w:hideMark/>
          </w:tcPr>
          <w:p w14:paraId="6FE5889C"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0.0355***</w:t>
            </w:r>
          </w:p>
        </w:tc>
        <w:tc>
          <w:tcPr>
            <w:tcW w:w="1400" w:type="dxa"/>
            <w:tcBorders>
              <w:top w:val="nil"/>
              <w:left w:val="nil"/>
              <w:bottom w:val="nil"/>
              <w:right w:val="nil"/>
            </w:tcBorders>
            <w:noWrap/>
            <w:vAlign w:val="bottom"/>
            <w:hideMark/>
          </w:tcPr>
          <w:p w14:paraId="53B6C368"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-0.0368***</w:t>
            </w:r>
          </w:p>
        </w:tc>
        <w:tc>
          <w:tcPr>
            <w:tcW w:w="1400" w:type="dxa"/>
            <w:tcBorders>
              <w:top w:val="nil"/>
              <w:left w:val="nil"/>
              <w:bottom w:val="nil"/>
              <w:right w:val="nil"/>
            </w:tcBorders>
            <w:noWrap/>
            <w:vAlign w:val="bottom"/>
            <w:hideMark/>
          </w:tcPr>
          <w:p w14:paraId="25734B91"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-0.0354***</w:t>
            </w:r>
          </w:p>
        </w:tc>
      </w:tr>
      <w:tr w:rsidR="00EF4A63" w:rsidRPr="00D716B6" w14:paraId="57992175" w14:textId="77777777" w:rsidTr="00B01733">
        <w:trPr>
          <w:trHeight w:val="315"/>
        </w:trPr>
        <w:tc>
          <w:tcPr>
            <w:tcW w:w="3408" w:type="dxa"/>
            <w:tcBorders>
              <w:top w:val="nil"/>
              <w:left w:val="nil"/>
              <w:bottom w:val="nil"/>
              <w:right w:val="nil"/>
            </w:tcBorders>
            <w:noWrap/>
            <w:vAlign w:val="bottom"/>
            <w:hideMark/>
          </w:tcPr>
          <w:p w14:paraId="1242AF80"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23538217"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55B275DC"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(0.00819)</w:t>
            </w:r>
          </w:p>
        </w:tc>
        <w:tc>
          <w:tcPr>
            <w:tcW w:w="1400" w:type="dxa"/>
            <w:tcBorders>
              <w:top w:val="nil"/>
              <w:left w:val="nil"/>
              <w:bottom w:val="nil"/>
              <w:right w:val="nil"/>
            </w:tcBorders>
            <w:noWrap/>
            <w:vAlign w:val="bottom"/>
            <w:hideMark/>
          </w:tcPr>
          <w:p w14:paraId="3A605A08"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(0.00820)</w:t>
            </w:r>
          </w:p>
        </w:tc>
        <w:tc>
          <w:tcPr>
            <w:tcW w:w="1400" w:type="dxa"/>
            <w:tcBorders>
              <w:top w:val="nil"/>
              <w:left w:val="nil"/>
              <w:bottom w:val="nil"/>
              <w:right w:val="nil"/>
            </w:tcBorders>
            <w:noWrap/>
            <w:vAlign w:val="bottom"/>
            <w:hideMark/>
          </w:tcPr>
          <w:p w14:paraId="1D6AA7F8"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(0.00823)</w:t>
            </w:r>
          </w:p>
        </w:tc>
        <w:tc>
          <w:tcPr>
            <w:tcW w:w="1400" w:type="dxa"/>
            <w:tcBorders>
              <w:top w:val="nil"/>
              <w:left w:val="nil"/>
              <w:bottom w:val="nil"/>
              <w:right w:val="nil"/>
            </w:tcBorders>
            <w:noWrap/>
            <w:vAlign w:val="bottom"/>
            <w:hideMark/>
          </w:tcPr>
          <w:p w14:paraId="1FBA9E60"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(0.00849)</w:t>
            </w:r>
          </w:p>
        </w:tc>
        <w:tc>
          <w:tcPr>
            <w:tcW w:w="1400" w:type="dxa"/>
            <w:tcBorders>
              <w:top w:val="nil"/>
              <w:left w:val="nil"/>
              <w:bottom w:val="nil"/>
              <w:right w:val="nil"/>
            </w:tcBorders>
            <w:noWrap/>
            <w:vAlign w:val="bottom"/>
            <w:hideMark/>
          </w:tcPr>
          <w:p w14:paraId="555A9513"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(0.00757)</w:t>
            </w:r>
          </w:p>
        </w:tc>
        <w:tc>
          <w:tcPr>
            <w:tcW w:w="1400" w:type="dxa"/>
            <w:tcBorders>
              <w:top w:val="nil"/>
              <w:left w:val="nil"/>
              <w:bottom w:val="nil"/>
              <w:right w:val="nil"/>
            </w:tcBorders>
            <w:noWrap/>
            <w:vAlign w:val="bottom"/>
            <w:hideMark/>
          </w:tcPr>
          <w:p w14:paraId="0F15EFB1"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(0.00755)</w:t>
            </w:r>
          </w:p>
        </w:tc>
      </w:tr>
      <w:tr w:rsidR="00EF4A63" w:rsidRPr="00D716B6" w14:paraId="2BA90970" w14:textId="77777777" w:rsidTr="00B01733">
        <w:trPr>
          <w:trHeight w:val="315"/>
        </w:trPr>
        <w:tc>
          <w:tcPr>
            <w:tcW w:w="3408" w:type="dxa"/>
            <w:tcBorders>
              <w:top w:val="nil"/>
              <w:left w:val="nil"/>
              <w:bottom w:val="nil"/>
              <w:right w:val="nil"/>
            </w:tcBorders>
            <w:noWrap/>
            <w:vAlign w:val="center"/>
            <w:hideMark/>
          </w:tcPr>
          <w:p w14:paraId="28A55C46" w14:textId="77777777" w:rsidR="00EF4A63" w:rsidRPr="00A03344" w:rsidRDefault="00EF4A63" w:rsidP="00B01733">
            <w:pPr>
              <w:spacing w:after="0" w:line="240" w:lineRule="auto"/>
              <w:rPr>
                <w:rFonts w:ascii="Times New Roman" w:eastAsia="Times New Roman" w:hAnsi="Times New Roman" w:cs="Times New Roman"/>
                <w:b/>
                <w:color w:val="000000"/>
                <w:sz w:val="24"/>
                <w:szCs w:val="24"/>
                <w:lang w:eastAsia="fr-FR"/>
              </w:rPr>
            </w:pPr>
            <w:r w:rsidRPr="00A03344">
              <w:rPr>
                <w:rFonts w:ascii="Times New Roman" w:eastAsia="Times New Roman" w:hAnsi="Times New Roman" w:cs="Times New Roman"/>
                <w:b/>
                <w:color w:val="000000"/>
                <w:sz w:val="24"/>
                <w:szCs w:val="24"/>
                <w:lang w:eastAsia="fr-FR"/>
              </w:rPr>
              <w:t>Age_Household_Head</w:t>
            </w:r>
          </w:p>
        </w:tc>
        <w:tc>
          <w:tcPr>
            <w:tcW w:w="1400" w:type="dxa"/>
            <w:tcBorders>
              <w:top w:val="nil"/>
              <w:left w:val="nil"/>
              <w:bottom w:val="nil"/>
              <w:right w:val="nil"/>
            </w:tcBorders>
            <w:noWrap/>
            <w:vAlign w:val="bottom"/>
            <w:hideMark/>
          </w:tcPr>
          <w:p w14:paraId="6AD1A9F1"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08716B74"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02340002"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0.00126***</w:t>
            </w:r>
          </w:p>
        </w:tc>
        <w:tc>
          <w:tcPr>
            <w:tcW w:w="1400" w:type="dxa"/>
            <w:tcBorders>
              <w:top w:val="nil"/>
              <w:left w:val="nil"/>
              <w:bottom w:val="nil"/>
              <w:right w:val="nil"/>
            </w:tcBorders>
            <w:noWrap/>
            <w:vAlign w:val="bottom"/>
            <w:hideMark/>
          </w:tcPr>
          <w:p w14:paraId="1FF10F6A"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0.00998***</w:t>
            </w:r>
          </w:p>
        </w:tc>
        <w:tc>
          <w:tcPr>
            <w:tcW w:w="1400" w:type="dxa"/>
            <w:tcBorders>
              <w:top w:val="nil"/>
              <w:left w:val="nil"/>
              <w:bottom w:val="nil"/>
              <w:right w:val="nil"/>
            </w:tcBorders>
            <w:noWrap/>
            <w:vAlign w:val="bottom"/>
            <w:hideMark/>
          </w:tcPr>
          <w:p w14:paraId="7DE9224F"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0.00942***</w:t>
            </w:r>
          </w:p>
        </w:tc>
        <w:tc>
          <w:tcPr>
            <w:tcW w:w="1400" w:type="dxa"/>
            <w:tcBorders>
              <w:top w:val="nil"/>
              <w:left w:val="nil"/>
              <w:bottom w:val="nil"/>
              <w:right w:val="nil"/>
            </w:tcBorders>
            <w:noWrap/>
            <w:vAlign w:val="bottom"/>
            <w:hideMark/>
          </w:tcPr>
          <w:p w14:paraId="73D62882"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0.00897***</w:t>
            </w:r>
          </w:p>
        </w:tc>
        <w:tc>
          <w:tcPr>
            <w:tcW w:w="1400" w:type="dxa"/>
            <w:tcBorders>
              <w:top w:val="nil"/>
              <w:left w:val="nil"/>
              <w:bottom w:val="nil"/>
              <w:right w:val="nil"/>
            </w:tcBorders>
            <w:noWrap/>
            <w:vAlign w:val="bottom"/>
            <w:hideMark/>
          </w:tcPr>
          <w:p w14:paraId="79DCEE25"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0.00905***</w:t>
            </w:r>
          </w:p>
        </w:tc>
      </w:tr>
      <w:tr w:rsidR="00EF4A63" w:rsidRPr="00D716B6" w14:paraId="106961B0" w14:textId="77777777" w:rsidTr="00B01733">
        <w:trPr>
          <w:trHeight w:val="315"/>
        </w:trPr>
        <w:tc>
          <w:tcPr>
            <w:tcW w:w="3408" w:type="dxa"/>
            <w:tcBorders>
              <w:top w:val="nil"/>
              <w:left w:val="nil"/>
              <w:bottom w:val="nil"/>
              <w:right w:val="nil"/>
            </w:tcBorders>
            <w:noWrap/>
            <w:vAlign w:val="center"/>
            <w:hideMark/>
          </w:tcPr>
          <w:p w14:paraId="0EDBDB3E" w14:textId="77777777" w:rsidR="00EF4A63" w:rsidRPr="00CF053B"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23768CED"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16092ACE"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78BBD7FB"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(0.000256)</w:t>
            </w:r>
          </w:p>
        </w:tc>
        <w:tc>
          <w:tcPr>
            <w:tcW w:w="1400" w:type="dxa"/>
            <w:tcBorders>
              <w:top w:val="nil"/>
              <w:left w:val="nil"/>
              <w:bottom w:val="nil"/>
              <w:right w:val="nil"/>
            </w:tcBorders>
            <w:noWrap/>
            <w:vAlign w:val="bottom"/>
            <w:hideMark/>
          </w:tcPr>
          <w:p w14:paraId="5959AC65"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(0.00144)</w:t>
            </w:r>
          </w:p>
        </w:tc>
        <w:tc>
          <w:tcPr>
            <w:tcW w:w="1400" w:type="dxa"/>
            <w:tcBorders>
              <w:top w:val="nil"/>
              <w:left w:val="nil"/>
              <w:bottom w:val="nil"/>
              <w:right w:val="nil"/>
            </w:tcBorders>
            <w:noWrap/>
            <w:vAlign w:val="bottom"/>
            <w:hideMark/>
          </w:tcPr>
          <w:p w14:paraId="60379467"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(0.00140)</w:t>
            </w:r>
          </w:p>
        </w:tc>
        <w:tc>
          <w:tcPr>
            <w:tcW w:w="1400" w:type="dxa"/>
            <w:tcBorders>
              <w:top w:val="nil"/>
              <w:left w:val="nil"/>
              <w:bottom w:val="nil"/>
              <w:right w:val="nil"/>
            </w:tcBorders>
            <w:noWrap/>
            <w:vAlign w:val="bottom"/>
            <w:hideMark/>
          </w:tcPr>
          <w:p w14:paraId="4F451AF8"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(0.00124)</w:t>
            </w:r>
          </w:p>
        </w:tc>
        <w:tc>
          <w:tcPr>
            <w:tcW w:w="1400" w:type="dxa"/>
            <w:tcBorders>
              <w:top w:val="nil"/>
              <w:left w:val="nil"/>
              <w:bottom w:val="nil"/>
              <w:right w:val="nil"/>
            </w:tcBorders>
            <w:noWrap/>
            <w:vAlign w:val="bottom"/>
            <w:hideMark/>
          </w:tcPr>
          <w:p w14:paraId="292876FC"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(0.00123)</w:t>
            </w:r>
          </w:p>
        </w:tc>
      </w:tr>
      <w:tr w:rsidR="00EF4A63" w:rsidRPr="00D716B6" w14:paraId="2D30B527" w14:textId="77777777" w:rsidTr="00B01733">
        <w:trPr>
          <w:trHeight w:val="315"/>
        </w:trPr>
        <w:tc>
          <w:tcPr>
            <w:tcW w:w="3408" w:type="dxa"/>
            <w:tcBorders>
              <w:top w:val="nil"/>
              <w:left w:val="nil"/>
              <w:bottom w:val="nil"/>
              <w:right w:val="nil"/>
            </w:tcBorders>
            <w:noWrap/>
            <w:vAlign w:val="center"/>
            <w:hideMark/>
          </w:tcPr>
          <w:p w14:paraId="35D562FF" w14:textId="77777777" w:rsidR="00EF4A63" w:rsidRPr="00A03344" w:rsidRDefault="00EF4A63" w:rsidP="00B01733">
            <w:pPr>
              <w:spacing w:after="0" w:line="240" w:lineRule="auto"/>
              <w:rPr>
                <w:rFonts w:ascii="Times New Roman" w:eastAsia="Times New Roman" w:hAnsi="Times New Roman" w:cs="Times New Roman"/>
                <w:b/>
                <w:color w:val="000000"/>
                <w:sz w:val="24"/>
                <w:szCs w:val="24"/>
                <w:lang w:eastAsia="fr-FR"/>
              </w:rPr>
            </w:pPr>
            <w:r w:rsidRPr="00A03344">
              <w:rPr>
                <w:rFonts w:ascii="Times New Roman" w:eastAsia="Times New Roman" w:hAnsi="Times New Roman" w:cs="Times New Roman"/>
                <w:b/>
                <w:color w:val="000000"/>
                <w:sz w:val="24"/>
                <w:szCs w:val="24"/>
                <w:lang w:eastAsia="fr-FR"/>
              </w:rPr>
              <w:t>Age_Household_Head_Squared</w:t>
            </w:r>
          </w:p>
        </w:tc>
        <w:tc>
          <w:tcPr>
            <w:tcW w:w="1400" w:type="dxa"/>
            <w:tcBorders>
              <w:top w:val="nil"/>
              <w:left w:val="nil"/>
              <w:bottom w:val="nil"/>
              <w:right w:val="nil"/>
            </w:tcBorders>
            <w:noWrap/>
            <w:vAlign w:val="bottom"/>
            <w:hideMark/>
          </w:tcPr>
          <w:p w14:paraId="5643A41B"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7BFB86FB"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7B764FF4"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04E63EC0"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-9.36e-05***</w:t>
            </w:r>
          </w:p>
        </w:tc>
        <w:tc>
          <w:tcPr>
            <w:tcW w:w="1400" w:type="dxa"/>
            <w:tcBorders>
              <w:top w:val="nil"/>
              <w:left w:val="nil"/>
              <w:bottom w:val="nil"/>
              <w:right w:val="nil"/>
            </w:tcBorders>
            <w:noWrap/>
            <w:vAlign w:val="bottom"/>
            <w:hideMark/>
          </w:tcPr>
          <w:p w14:paraId="10021003"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-6.62e-05***</w:t>
            </w:r>
          </w:p>
        </w:tc>
        <w:tc>
          <w:tcPr>
            <w:tcW w:w="1400" w:type="dxa"/>
            <w:tcBorders>
              <w:top w:val="nil"/>
              <w:left w:val="nil"/>
              <w:bottom w:val="nil"/>
              <w:right w:val="nil"/>
            </w:tcBorders>
            <w:noWrap/>
            <w:vAlign w:val="bottom"/>
            <w:hideMark/>
          </w:tcPr>
          <w:p w14:paraId="3A2D08C6"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-7.41e-05***</w:t>
            </w:r>
          </w:p>
        </w:tc>
        <w:tc>
          <w:tcPr>
            <w:tcW w:w="1400" w:type="dxa"/>
            <w:tcBorders>
              <w:top w:val="nil"/>
              <w:left w:val="nil"/>
              <w:bottom w:val="nil"/>
              <w:right w:val="nil"/>
            </w:tcBorders>
            <w:noWrap/>
            <w:vAlign w:val="bottom"/>
            <w:hideMark/>
          </w:tcPr>
          <w:p w14:paraId="6CB66AEB"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-7.49e-05***</w:t>
            </w:r>
          </w:p>
        </w:tc>
      </w:tr>
      <w:tr w:rsidR="00EF4A63" w:rsidRPr="00D716B6" w14:paraId="4C011967" w14:textId="77777777" w:rsidTr="00B01733">
        <w:trPr>
          <w:trHeight w:val="315"/>
        </w:trPr>
        <w:tc>
          <w:tcPr>
            <w:tcW w:w="3408" w:type="dxa"/>
            <w:tcBorders>
              <w:top w:val="nil"/>
              <w:left w:val="nil"/>
              <w:bottom w:val="nil"/>
              <w:right w:val="nil"/>
            </w:tcBorders>
            <w:noWrap/>
            <w:vAlign w:val="bottom"/>
            <w:hideMark/>
          </w:tcPr>
          <w:p w14:paraId="40A275B4"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338A60BE"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5EAE3782"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5C9451F0"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41184A9D"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(1.52e-05)</w:t>
            </w:r>
          </w:p>
        </w:tc>
        <w:tc>
          <w:tcPr>
            <w:tcW w:w="1400" w:type="dxa"/>
            <w:tcBorders>
              <w:top w:val="nil"/>
              <w:left w:val="nil"/>
              <w:bottom w:val="nil"/>
              <w:right w:val="nil"/>
            </w:tcBorders>
            <w:noWrap/>
            <w:vAlign w:val="bottom"/>
            <w:hideMark/>
          </w:tcPr>
          <w:p w14:paraId="5BF34E7D"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(1.48e-05)</w:t>
            </w:r>
          </w:p>
        </w:tc>
        <w:tc>
          <w:tcPr>
            <w:tcW w:w="1400" w:type="dxa"/>
            <w:tcBorders>
              <w:top w:val="nil"/>
              <w:left w:val="nil"/>
              <w:bottom w:val="nil"/>
              <w:right w:val="nil"/>
            </w:tcBorders>
            <w:noWrap/>
            <w:vAlign w:val="bottom"/>
            <w:hideMark/>
          </w:tcPr>
          <w:p w14:paraId="2016E901"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(1.31e-05)</w:t>
            </w:r>
          </w:p>
        </w:tc>
        <w:tc>
          <w:tcPr>
            <w:tcW w:w="1400" w:type="dxa"/>
            <w:tcBorders>
              <w:top w:val="nil"/>
              <w:left w:val="nil"/>
              <w:bottom w:val="nil"/>
              <w:right w:val="nil"/>
            </w:tcBorders>
            <w:noWrap/>
            <w:vAlign w:val="bottom"/>
            <w:hideMark/>
          </w:tcPr>
          <w:p w14:paraId="29F58BCE"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(1.31e-05)</w:t>
            </w:r>
          </w:p>
        </w:tc>
      </w:tr>
      <w:tr w:rsidR="00EF4A63" w:rsidRPr="00D716B6" w14:paraId="18158C16" w14:textId="77777777" w:rsidTr="00B01733">
        <w:trPr>
          <w:trHeight w:val="315"/>
        </w:trPr>
        <w:tc>
          <w:tcPr>
            <w:tcW w:w="3408" w:type="dxa"/>
            <w:tcBorders>
              <w:top w:val="nil"/>
              <w:left w:val="nil"/>
              <w:bottom w:val="nil"/>
              <w:right w:val="nil"/>
            </w:tcBorders>
            <w:noWrap/>
            <w:vAlign w:val="bottom"/>
          </w:tcPr>
          <w:p w14:paraId="61386DC4"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b/>
                <w:bCs/>
                <w:color w:val="000000"/>
                <w:sz w:val="24"/>
                <w:szCs w:val="24"/>
                <w:lang w:eastAsia="fr-FR"/>
              </w:rPr>
              <w:t>Education_Household_Head</w:t>
            </w:r>
          </w:p>
        </w:tc>
        <w:tc>
          <w:tcPr>
            <w:tcW w:w="1400" w:type="dxa"/>
            <w:tcBorders>
              <w:top w:val="nil"/>
              <w:left w:val="nil"/>
              <w:bottom w:val="nil"/>
              <w:right w:val="nil"/>
            </w:tcBorders>
            <w:noWrap/>
            <w:vAlign w:val="bottom"/>
          </w:tcPr>
          <w:p w14:paraId="4CD7E0E1"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tcPr>
          <w:p w14:paraId="10DAE811"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tcPr>
          <w:p w14:paraId="39057CDD"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tcPr>
          <w:p w14:paraId="2293F5F7"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tcPr>
          <w:p w14:paraId="214FC9BE"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tcPr>
          <w:p w14:paraId="0CFB3CAB"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tcPr>
          <w:p w14:paraId="1D5319E8"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r>
      <w:tr w:rsidR="00EF4A63" w:rsidRPr="00D716B6" w14:paraId="4955EEFE" w14:textId="77777777" w:rsidTr="00B01733">
        <w:trPr>
          <w:trHeight w:val="315"/>
        </w:trPr>
        <w:tc>
          <w:tcPr>
            <w:tcW w:w="3408" w:type="dxa"/>
            <w:tcBorders>
              <w:top w:val="nil"/>
              <w:left w:val="nil"/>
              <w:bottom w:val="nil"/>
              <w:right w:val="nil"/>
            </w:tcBorders>
            <w:noWrap/>
            <w:vAlign w:val="bottom"/>
            <w:hideMark/>
          </w:tcPr>
          <w:p w14:paraId="0DABE151"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Primary</w:t>
            </w:r>
          </w:p>
        </w:tc>
        <w:tc>
          <w:tcPr>
            <w:tcW w:w="1400" w:type="dxa"/>
            <w:tcBorders>
              <w:top w:val="nil"/>
              <w:left w:val="nil"/>
              <w:bottom w:val="nil"/>
              <w:right w:val="nil"/>
            </w:tcBorders>
            <w:noWrap/>
            <w:vAlign w:val="bottom"/>
            <w:hideMark/>
          </w:tcPr>
          <w:p w14:paraId="15EF922E"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22C7B991"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6326B4C2"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5EF16272"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6D5AA5CC"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0.0853***</w:t>
            </w:r>
          </w:p>
        </w:tc>
        <w:tc>
          <w:tcPr>
            <w:tcW w:w="1400" w:type="dxa"/>
            <w:tcBorders>
              <w:top w:val="nil"/>
              <w:left w:val="nil"/>
              <w:bottom w:val="nil"/>
              <w:right w:val="nil"/>
            </w:tcBorders>
            <w:noWrap/>
            <w:vAlign w:val="bottom"/>
            <w:hideMark/>
          </w:tcPr>
          <w:p w14:paraId="49978303"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0.0475***</w:t>
            </w:r>
          </w:p>
        </w:tc>
        <w:tc>
          <w:tcPr>
            <w:tcW w:w="1400" w:type="dxa"/>
            <w:tcBorders>
              <w:top w:val="nil"/>
              <w:left w:val="nil"/>
              <w:bottom w:val="nil"/>
              <w:right w:val="nil"/>
            </w:tcBorders>
            <w:noWrap/>
            <w:vAlign w:val="bottom"/>
            <w:hideMark/>
          </w:tcPr>
          <w:p w14:paraId="5489E653"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0.0483***</w:t>
            </w:r>
          </w:p>
        </w:tc>
      </w:tr>
      <w:tr w:rsidR="00EF4A63" w:rsidRPr="00D716B6" w14:paraId="1E91CDDE" w14:textId="77777777" w:rsidTr="00B01733">
        <w:trPr>
          <w:trHeight w:val="315"/>
        </w:trPr>
        <w:tc>
          <w:tcPr>
            <w:tcW w:w="3408" w:type="dxa"/>
            <w:tcBorders>
              <w:top w:val="nil"/>
              <w:left w:val="nil"/>
              <w:bottom w:val="nil"/>
              <w:right w:val="nil"/>
            </w:tcBorders>
            <w:noWrap/>
            <w:vAlign w:val="bottom"/>
            <w:hideMark/>
          </w:tcPr>
          <w:p w14:paraId="00BE753F"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25A4A5BD"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387711D0"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4AF328D9"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6D72EB8A"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6CC2FDBF"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(0.0112)</w:t>
            </w:r>
          </w:p>
        </w:tc>
        <w:tc>
          <w:tcPr>
            <w:tcW w:w="1400" w:type="dxa"/>
            <w:tcBorders>
              <w:top w:val="nil"/>
              <w:left w:val="nil"/>
              <w:bottom w:val="nil"/>
              <w:right w:val="nil"/>
            </w:tcBorders>
            <w:noWrap/>
            <w:vAlign w:val="bottom"/>
            <w:hideMark/>
          </w:tcPr>
          <w:p w14:paraId="0F8D88E4"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(0.00990)</w:t>
            </w:r>
          </w:p>
        </w:tc>
        <w:tc>
          <w:tcPr>
            <w:tcW w:w="1400" w:type="dxa"/>
            <w:tcBorders>
              <w:top w:val="nil"/>
              <w:left w:val="nil"/>
              <w:bottom w:val="nil"/>
              <w:right w:val="nil"/>
            </w:tcBorders>
            <w:noWrap/>
            <w:vAlign w:val="bottom"/>
            <w:hideMark/>
          </w:tcPr>
          <w:p w14:paraId="43C95A16"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(0.00987)</w:t>
            </w:r>
          </w:p>
        </w:tc>
      </w:tr>
      <w:tr w:rsidR="00EF4A63" w:rsidRPr="00D716B6" w14:paraId="2530F474" w14:textId="77777777" w:rsidTr="00B01733">
        <w:trPr>
          <w:trHeight w:val="315"/>
        </w:trPr>
        <w:tc>
          <w:tcPr>
            <w:tcW w:w="3408" w:type="dxa"/>
            <w:tcBorders>
              <w:top w:val="nil"/>
              <w:left w:val="nil"/>
              <w:bottom w:val="nil"/>
              <w:right w:val="nil"/>
            </w:tcBorders>
            <w:noWrap/>
            <w:vAlign w:val="bottom"/>
            <w:hideMark/>
          </w:tcPr>
          <w:p w14:paraId="5A938940"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Secondary and above</w:t>
            </w:r>
          </w:p>
        </w:tc>
        <w:tc>
          <w:tcPr>
            <w:tcW w:w="1400" w:type="dxa"/>
            <w:tcBorders>
              <w:top w:val="nil"/>
              <w:left w:val="nil"/>
              <w:bottom w:val="nil"/>
              <w:right w:val="nil"/>
            </w:tcBorders>
            <w:noWrap/>
            <w:vAlign w:val="bottom"/>
            <w:hideMark/>
          </w:tcPr>
          <w:p w14:paraId="690540A7"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098E2FCC"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2ECC5284"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6F866EA3"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134F5782"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0.340***</w:t>
            </w:r>
          </w:p>
        </w:tc>
        <w:tc>
          <w:tcPr>
            <w:tcW w:w="1400" w:type="dxa"/>
            <w:tcBorders>
              <w:top w:val="nil"/>
              <w:left w:val="nil"/>
              <w:bottom w:val="nil"/>
              <w:right w:val="nil"/>
            </w:tcBorders>
            <w:noWrap/>
            <w:vAlign w:val="bottom"/>
            <w:hideMark/>
          </w:tcPr>
          <w:p w14:paraId="65DCC61B"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0.193***</w:t>
            </w:r>
          </w:p>
        </w:tc>
        <w:tc>
          <w:tcPr>
            <w:tcW w:w="1400" w:type="dxa"/>
            <w:tcBorders>
              <w:top w:val="nil"/>
              <w:left w:val="nil"/>
              <w:bottom w:val="nil"/>
              <w:right w:val="nil"/>
            </w:tcBorders>
            <w:noWrap/>
            <w:vAlign w:val="bottom"/>
            <w:hideMark/>
          </w:tcPr>
          <w:p w14:paraId="61A8D645"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0.194***</w:t>
            </w:r>
          </w:p>
        </w:tc>
      </w:tr>
      <w:tr w:rsidR="00EF4A63" w:rsidRPr="00D716B6" w14:paraId="4AA44107" w14:textId="77777777" w:rsidTr="00B01733">
        <w:trPr>
          <w:trHeight w:val="315"/>
        </w:trPr>
        <w:tc>
          <w:tcPr>
            <w:tcW w:w="3408" w:type="dxa"/>
            <w:tcBorders>
              <w:top w:val="nil"/>
              <w:left w:val="nil"/>
              <w:bottom w:val="nil"/>
              <w:right w:val="nil"/>
            </w:tcBorders>
            <w:noWrap/>
            <w:vAlign w:val="bottom"/>
            <w:hideMark/>
          </w:tcPr>
          <w:p w14:paraId="621EC262"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511404F0"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080E5524"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28E4F369"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725AD8DC"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223E6855"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(0.0110)</w:t>
            </w:r>
          </w:p>
        </w:tc>
        <w:tc>
          <w:tcPr>
            <w:tcW w:w="1400" w:type="dxa"/>
            <w:tcBorders>
              <w:top w:val="nil"/>
              <w:left w:val="nil"/>
              <w:bottom w:val="nil"/>
              <w:right w:val="nil"/>
            </w:tcBorders>
            <w:noWrap/>
            <w:vAlign w:val="bottom"/>
            <w:hideMark/>
          </w:tcPr>
          <w:p w14:paraId="4F355AD2"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(0.00991)</w:t>
            </w:r>
          </w:p>
        </w:tc>
        <w:tc>
          <w:tcPr>
            <w:tcW w:w="1400" w:type="dxa"/>
            <w:tcBorders>
              <w:top w:val="nil"/>
              <w:left w:val="nil"/>
              <w:bottom w:val="nil"/>
              <w:right w:val="nil"/>
            </w:tcBorders>
            <w:noWrap/>
            <w:vAlign w:val="bottom"/>
            <w:hideMark/>
          </w:tcPr>
          <w:p w14:paraId="4CEA113D"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(0.00989)</w:t>
            </w:r>
          </w:p>
        </w:tc>
      </w:tr>
      <w:tr w:rsidR="00EF4A63" w:rsidRPr="00D716B6" w14:paraId="613C2772" w14:textId="77777777" w:rsidTr="00B01733">
        <w:trPr>
          <w:trHeight w:val="315"/>
        </w:trPr>
        <w:tc>
          <w:tcPr>
            <w:tcW w:w="3408" w:type="dxa"/>
            <w:tcBorders>
              <w:top w:val="nil"/>
              <w:left w:val="nil"/>
              <w:bottom w:val="nil"/>
              <w:right w:val="nil"/>
            </w:tcBorders>
            <w:noWrap/>
            <w:vAlign w:val="bottom"/>
          </w:tcPr>
          <w:p w14:paraId="1A5F8AA7"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910F92">
              <w:rPr>
                <w:rFonts w:ascii="Times New Roman" w:eastAsia="Times New Roman" w:hAnsi="Times New Roman" w:cs="Times New Roman"/>
                <w:b/>
                <w:bCs/>
                <w:color w:val="000000"/>
                <w:sz w:val="24"/>
                <w:szCs w:val="24"/>
                <w:lang w:eastAsia="fr-FR"/>
              </w:rPr>
              <w:t>Place_Residence</w:t>
            </w:r>
          </w:p>
        </w:tc>
        <w:tc>
          <w:tcPr>
            <w:tcW w:w="1400" w:type="dxa"/>
            <w:tcBorders>
              <w:top w:val="nil"/>
              <w:left w:val="nil"/>
              <w:bottom w:val="nil"/>
              <w:right w:val="nil"/>
            </w:tcBorders>
            <w:noWrap/>
            <w:vAlign w:val="bottom"/>
          </w:tcPr>
          <w:p w14:paraId="5E56EBBA"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tcPr>
          <w:p w14:paraId="479E2E37"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tcPr>
          <w:p w14:paraId="1A5FC02F"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tcPr>
          <w:p w14:paraId="665C9A7F"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tcPr>
          <w:p w14:paraId="099FE8A9"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tcPr>
          <w:p w14:paraId="56AD4BCC"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tcPr>
          <w:p w14:paraId="5141B7FC"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r>
      <w:tr w:rsidR="00EF4A63" w:rsidRPr="00D716B6" w14:paraId="60059092" w14:textId="77777777" w:rsidTr="00B01733">
        <w:trPr>
          <w:trHeight w:val="315"/>
        </w:trPr>
        <w:tc>
          <w:tcPr>
            <w:tcW w:w="3408" w:type="dxa"/>
            <w:tcBorders>
              <w:top w:val="nil"/>
              <w:left w:val="nil"/>
              <w:bottom w:val="nil"/>
              <w:right w:val="nil"/>
            </w:tcBorders>
            <w:noWrap/>
            <w:vAlign w:val="bottom"/>
            <w:hideMark/>
          </w:tcPr>
          <w:p w14:paraId="5BC225A4"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Rural</w:t>
            </w:r>
          </w:p>
        </w:tc>
        <w:tc>
          <w:tcPr>
            <w:tcW w:w="1400" w:type="dxa"/>
            <w:tcBorders>
              <w:top w:val="nil"/>
              <w:left w:val="nil"/>
              <w:bottom w:val="nil"/>
              <w:right w:val="nil"/>
            </w:tcBorders>
            <w:noWrap/>
            <w:vAlign w:val="bottom"/>
            <w:hideMark/>
          </w:tcPr>
          <w:p w14:paraId="422AEDA1"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03EB064B"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6A5D25B0"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127BC4DB"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313BB8F6"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5B338012"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-0.621***</w:t>
            </w:r>
          </w:p>
        </w:tc>
        <w:tc>
          <w:tcPr>
            <w:tcW w:w="1400" w:type="dxa"/>
            <w:tcBorders>
              <w:top w:val="nil"/>
              <w:left w:val="nil"/>
              <w:bottom w:val="nil"/>
              <w:right w:val="nil"/>
            </w:tcBorders>
            <w:noWrap/>
            <w:vAlign w:val="bottom"/>
            <w:hideMark/>
          </w:tcPr>
          <w:p w14:paraId="61C5100C"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-0.612***</w:t>
            </w:r>
          </w:p>
        </w:tc>
      </w:tr>
      <w:tr w:rsidR="00EF4A63" w:rsidRPr="00D716B6" w14:paraId="393A1B54" w14:textId="77777777" w:rsidTr="00B01733">
        <w:trPr>
          <w:trHeight w:val="315"/>
        </w:trPr>
        <w:tc>
          <w:tcPr>
            <w:tcW w:w="3408" w:type="dxa"/>
            <w:tcBorders>
              <w:top w:val="nil"/>
              <w:left w:val="nil"/>
              <w:bottom w:val="nil"/>
              <w:right w:val="nil"/>
            </w:tcBorders>
            <w:noWrap/>
            <w:vAlign w:val="bottom"/>
            <w:hideMark/>
          </w:tcPr>
          <w:p w14:paraId="508826AD"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12409B6F"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5397A9F8"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7C607538"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1B7DD54A"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456C39BF"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63F02143"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(0.00818)</w:t>
            </w:r>
          </w:p>
        </w:tc>
        <w:tc>
          <w:tcPr>
            <w:tcW w:w="1400" w:type="dxa"/>
            <w:tcBorders>
              <w:top w:val="nil"/>
              <w:left w:val="nil"/>
              <w:bottom w:val="nil"/>
              <w:right w:val="nil"/>
            </w:tcBorders>
            <w:noWrap/>
            <w:vAlign w:val="bottom"/>
            <w:hideMark/>
          </w:tcPr>
          <w:p w14:paraId="0E38EF1E"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(0.00819)</w:t>
            </w:r>
          </w:p>
        </w:tc>
      </w:tr>
      <w:tr w:rsidR="00EF4A63" w:rsidRPr="00D716B6" w14:paraId="4054FBD9" w14:textId="77777777" w:rsidTr="00B01733">
        <w:trPr>
          <w:trHeight w:val="315"/>
        </w:trPr>
        <w:tc>
          <w:tcPr>
            <w:tcW w:w="3408" w:type="dxa"/>
            <w:tcBorders>
              <w:top w:val="nil"/>
              <w:left w:val="nil"/>
              <w:bottom w:val="nil"/>
              <w:right w:val="nil"/>
            </w:tcBorders>
            <w:noWrap/>
            <w:vAlign w:val="bottom"/>
            <w:hideMark/>
          </w:tcPr>
          <w:p w14:paraId="05373FA9" w14:textId="77777777" w:rsidR="00EF4A63" w:rsidRPr="004D0336" w:rsidRDefault="00EF4A63" w:rsidP="00B01733">
            <w:pPr>
              <w:spacing w:after="0" w:line="240" w:lineRule="auto"/>
              <w:rPr>
                <w:rFonts w:ascii="Times New Roman" w:eastAsia="Times New Roman" w:hAnsi="Times New Roman" w:cs="Times New Roman"/>
                <w:b/>
                <w:color w:val="000000"/>
                <w:sz w:val="24"/>
                <w:szCs w:val="24"/>
                <w:lang w:eastAsia="fr-FR"/>
              </w:rPr>
            </w:pPr>
            <w:r w:rsidRPr="004D0336">
              <w:rPr>
                <w:rFonts w:ascii="Times New Roman" w:eastAsia="Times New Roman" w:hAnsi="Times New Roman" w:cs="Times New Roman"/>
                <w:b/>
                <w:color w:val="000000"/>
                <w:sz w:val="24"/>
                <w:szCs w:val="24"/>
                <w:lang w:eastAsia="fr-FR"/>
              </w:rPr>
              <w:t>Electrified_households * Rural</w:t>
            </w:r>
          </w:p>
        </w:tc>
        <w:tc>
          <w:tcPr>
            <w:tcW w:w="1400" w:type="dxa"/>
            <w:tcBorders>
              <w:top w:val="nil"/>
              <w:left w:val="nil"/>
              <w:bottom w:val="nil"/>
              <w:right w:val="nil"/>
            </w:tcBorders>
            <w:noWrap/>
            <w:vAlign w:val="bottom"/>
            <w:hideMark/>
          </w:tcPr>
          <w:p w14:paraId="3391D737"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7CFA21E2"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22F2D131"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58500277"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107B7BE1"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6C4C28BF"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40C42890"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-0.951***</w:t>
            </w:r>
          </w:p>
        </w:tc>
      </w:tr>
      <w:tr w:rsidR="00EF4A63" w:rsidRPr="00D716B6" w14:paraId="0EEF61EE" w14:textId="77777777" w:rsidTr="00B01733">
        <w:trPr>
          <w:trHeight w:val="315"/>
        </w:trPr>
        <w:tc>
          <w:tcPr>
            <w:tcW w:w="3408" w:type="dxa"/>
            <w:tcBorders>
              <w:top w:val="nil"/>
              <w:left w:val="nil"/>
              <w:bottom w:val="nil"/>
              <w:right w:val="nil"/>
            </w:tcBorders>
            <w:noWrap/>
            <w:vAlign w:val="bottom"/>
            <w:hideMark/>
          </w:tcPr>
          <w:p w14:paraId="174E7E04"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39450C30"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28F151C6"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4CDAE595"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04A65801"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7C8ACDCA"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7405BDC2" w14:textId="77777777" w:rsidR="00EF4A63" w:rsidRPr="00D716B6" w:rsidRDefault="00EF4A63" w:rsidP="00B01733">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noWrap/>
            <w:vAlign w:val="bottom"/>
            <w:hideMark/>
          </w:tcPr>
          <w:p w14:paraId="1B4DB397"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(0.0849)</w:t>
            </w:r>
          </w:p>
        </w:tc>
      </w:tr>
      <w:tr w:rsidR="00EF4A63" w:rsidRPr="00D716B6" w14:paraId="4AC64F6C" w14:textId="77777777" w:rsidTr="00B01733">
        <w:trPr>
          <w:trHeight w:val="315"/>
        </w:trPr>
        <w:tc>
          <w:tcPr>
            <w:tcW w:w="3408" w:type="dxa"/>
            <w:tcBorders>
              <w:top w:val="nil"/>
              <w:left w:val="nil"/>
              <w:bottom w:val="nil"/>
              <w:right w:val="nil"/>
            </w:tcBorders>
            <w:noWrap/>
            <w:vAlign w:val="bottom"/>
            <w:hideMark/>
          </w:tcPr>
          <w:p w14:paraId="108C922C"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Constant</w:t>
            </w:r>
          </w:p>
        </w:tc>
        <w:tc>
          <w:tcPr>
            <w:tcW w:w="1400" w:type="dxa"/>
            <w:tcBorders>
              <w:top w:val="nil"/>
              <w:left w:val="nil"/>
              <w:bottom w:val="nil"/>
              <w:right w:val="nil"/>
            </w:tcBorders>
            <w:noWrap/>
            <w:vAlign w:val="bottom"/>
            <w:hideMark/>
          </w:tcPr>
          <w:p w14:paraId="7BD069FD"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2.689***</w:t>
            </w:r>
          </w:p>
        </w:tc>
        <w:tc>
          <w:tcPr>
            <w:tcW w:w="1400" w:type="dxa"/>
            <w:tcBorders>
              <w:top w:val="nil"/>
              <w:left w:val="nil"/>
              <w:bottom w:val="nil"/>
              <w:right w:val="nil"/>
            </w:tcBorders>
            <w:noWrap/>
            <w:vAlign w:val="bottom"/>
            <w:hideMark/>
          </w:tcPr>
          <w:p w14:paraId="057EFE1C"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2.705***</w:t>
            </w:r>
          </w:p>
        </w:tc>
        <w:tc>
          <w:tcPr>
            <w:tcW w:w="1400" w:type="dxa"/>
            <w:tcBorders>
              <w:top w:val="nil"/>
              <w:left w:val="nil"/>
              <w:bottom w:val="nil"/>
              <w:right w:val="nil"/>
            </w:tcBorders>
            <w:noWrap/>
            <w:vAlign w:val="bottom"/>
            <w:hideMark/>
          </w:tcPr>
          <w:p w14:paraId="73E71A90"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2.648***</w:t>
            </w:r>
          </w:p>
        </w:tc>
        <w:tc>
          <w:tcPr>
            <w:tcW w:w="1400" w:type="dxa"/>
            <w:tcBorders>
              <w:top w:val="nil"/>
              <w:left w:val="nil"/>
              <w:bottom w:val="nil"/>
              <w:right w:val="nil"/>
            </w:tcBorders>
            <w:noWrap/>
            <w:vAlign w:val="bottom"/>
            <w:hideMark/>
          </w:tcPr>
          <w:p w14:paraId="03F2EE78"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2.462***</w:t>
            </w:r>
          </w:p>
        </w:tc>
        <w:tc>
          <w:tcPr>
            <w:tcW w:w="1400" w:type="dxa"/>
            <w:tcBorders>
              <w:top w:val="nil"/>
              <w:left w:val="nil"/>
              <w:bottom w:val="nil"/>
              <w:right w:val="nil"/>
            </w:tcBorders>
            <w:noWrap/>
            <w:vAlign w:val="bottom"/>
            <w:hideMark/>
          </w:tcPr>
          <w:p w14:paraId="19B3114B"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2.095***</w:t>
            </w:r>
          </w:p>
        </w:tc>
        <w:tc>
          <w:tcPr>
            <w:tcW w:w="1400" w:type="dxa"/>
            <w:tcBorders>
              <w:top w:val="nil"/>
              <w:left w:val="nil"/>
              <w:bottom w:val="nil"/>
              <w:right w:val="nil"/>
            </w:tcBorders>
            <w:noWrap/>
            <w:vAlign w:val="bottom"/>
            <w:hideMark/>
          </w:tcPr>
          <w:p w14:paraId="05AB175B"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2.293***</w:t>
            </w:r>
          </w:p>
        </w:tc>
        <w:tc>
          <w:tcPr>
            <w:tcW w:w="1400" w:type="dxa"/>
            <w:tcBorders>
              <w:top w:val="nil"/>
              <w:left w:val="nil"/>
              <w:bottom w:val="nil"/>
              <w:right w:val="nil"/>
            </w:tcBorders>
            <w:noWrap/>
            <w:vAlign w:val="bottom"/>
            <w:hideMark/>
          </w:tcPr>
          <w:p w14:paraId="0FABBEE0"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2.306***</w:t>
            </w:r>
          </w:p>
        </w:tc>
      </w:tr>
      <w:tr w:rsidR="00EF4A63" w:rsidRPr="00D716B6" w14:paraId="5DA00A1F" w14:textId="77777777" w:rsidTr="00B01733">
        <w:trPr>
          <w:trHeight w:val="315"/>
        </w:trPr>
        <w:tc>
          <w:tcPr>
            <w:tcW w:w="3408" w:type="dxa"/>
            <w:tcBorders>
              <w:top w:val="nil"/>
              <w:left w:val="nil"/>
              <w:bottom w:val="nil"/>
              <w:right w:val="nil"/>
            </w:tcBorders>
            <w:noWrap/>
            <w:vAlign w:val="bottom"/>
            <w:hideMark/>
          </w:tcPr>
          <w:p w14:paraId="34E1B6FB"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p>
        </w:tc>
        <w:tc>
          <w:tcPr>
            <w:tcW w:w="1400" w:type="dxa"/>
            <w:tcBorders>
              <w:top w:val="nil"/>
              <w:left w:val="nil"/>
              <w:bottom w:val="nil"/>
              <w:right w:val="nil"/>
            </w:tcBorders>
            <w:noWrap/>
            <w:vAlign w:val="bottom"/>
            <w:hideMark/>
          </w:tcPr>
          <w:p w14:paraId="52357F5E"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(0.0124)</w:t>
            </w:r>
          </w:p>
        </w:tc>
        <w:tc>
          <w:tcPr>
            <w:tcW w:w="1400" w:type="dxa"/>
            <w:tcBorders>
              <w:top w:val="nil"/>
              <w:left w:val="nil"/>
              <w:bottom w:val="nil"/>
              <w:right w:val="nil"/>
            </w:tcBorders>
            <w:noWrap/>
            <w:vAlign w:val="bottom"/>
            <w:hideMark/>
          </w:tcPr>
          <w:p w14:paraId="69641E39"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(0.0126)</w:t>
            </w:r>
          </w:p>
        </w:tc>
        <w:tc>
          <w:tcPr>
            <w:tcW w:w="1400" w:type="dxa"/>
            <w:tcBorders>
              <w:top w:val="nil"/>
              <w:left w:val="nil"/>
              <w:bottom w:val="nil"/>
              <w:right w:val="nil"/>
            </w:tcBorders>
            <w:noWrap/>
            <w:vAlign w:val="bottom"/>
            <w:hideMark/>
          </w:tcPr>
          <w:p w14:paraId="40E8722F"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(0.0170)</w:t>
            </w:r>
          </w:p>
        </w:tc>
        <w:tc>
          <w:tcPr>
            <w:tcW w:w="1400" w:type="dxa"/>
            <w:tcBorders>
              <w:top w:val="nil"/>
              <w:left w:val="nil"/>
              <w:bottom w:val="nil"/>
              <w:right w:val="nil"/>
            </w:tcBorders>
            <w:noWrap/>
            <w:vAlign w:val="bottom"/>
            <w:hideMark/>
          </w:tcPr>
          <w:p w14:paraId="30714A1E"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(0.0347)</w:t>
            </w:r>
          </w:p>
        </w:tc>
        <w:tc>
          <w:tcPr>
            <w:tcW w:w="1400" w:type="dxa"/>
            <w:tcBorders>
              <w:top w:val="nil"/>
              <w:left w:val="nil"/>
              <w:bottom w:val="nil"/>
              <w:right w:val="nil"/>
            </w:tcBorders>
            <w:noWrap/>
            <w:vAlign w:val="bottom"/>
            <w:hideMark/>
          </w:tcPr>
          <w:p w14:paraId="053540F6"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(0.0357)</w:t>
            </w:r>
          </w:p>
        </w:tc>
        <w:tc>
          <w:tcPr>
            <w:tcW w:w="1400" w:type="dxa"/>
            <w:tcBorders>
              <w:top w:val="nil"/>
              <w:left w:val="nil"/>
              <w:bottom w:val="nil"/>
              <w:right w:val="nil"/>
            </w:tcBorders>
            <w:noWrap/>
            <w:vAlign w:val="bottom"/>
            <w:hideMark/>
          </w:tcPr>
          <w:p w14:paraId="6709CB99"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(0.0317)</w:t>
            </w:r>
          </w:p>
        </w:tc>
        <w:tc>
          <w:tcPr>
            <w:tcW w:w="1400" w:type="dxa"/>
            <w:tcBorders>
              <w:top w:val="nil"/>
              <w:left w:val="nil"/>
              <w:bottom w:val="nil"/>
              <w:right w:val="nil"/>
            </w:tcBorders>
            <w:noWrap/>
            <w:vAlign w:val="bottom"/>
            <w:hideMark/>
          </w:tcPr>
          <w:p w14:paraId="7DD48931"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(0.0316)</w:t>
            </w:r>
          </w:p>
        </w:tc>
      </w:tr>
      <w:tr w:rsidR="00EF4A63" w:rsidRPr="00D716B6" w14:paraId="7B4FB428" w14:textId="77777777" w:rsidTr="00B01733">
        <w:trPr>
          <w:trHeight w:val="315"/>
        </w:trPr>
        <w:tc>
          <w:tcPr>
            <w:tcW w:w="3408" w:type="dxa"/>
            <w:tcBorders>
              <w:top w:val="nil"/>
              <w:left w:val="nil"/>
              <w:bottom w:val="nil"/>
              <w:right w:val="nil"/>
            </w:tcBorders>
            <w:noWrap/>
            <w:vAlign w:val="bottom"/>
            <w:hideMark/>
          </w:tcPr>
          <w:p w14:paraId="5FB121B3"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Observations</w:t>
            </w:r>
          </w:p>
        </w:tc>
        <w:tc>
          <w:tcPr>
            <w:tcW w:w="1400" w:type="dxa"/>
            <w:tcBorders>
              <w:top w:val="nil"/>
              <w:left w:val="nil"/>
              <w:bottom w:val="nil"/>
              <w:right w:val="nil"/>
            </w:tcBorders>
            <w:noWrap/>
            <w:vAlign w:val="bottom"/>
            <w:hideMark/>
          </w:tcPr>
          <w:p w14:paraId="2966B316"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20,791</w:t>
            </w:r>
          </w:p>
        </w:tc>
        <w:tc>
          <w:tcPr>
            <w:tcW w:w="1400" w:type="dxa"/>
            <w:tcBorders>
              <w:top w:val="nil"/>
              <w:left w:val="nil"/>
              <w:bottom w:val="nil"/>
              <w:right w:val="nil"/>
            </w:tcBorders>
            <w:noWrap/>
            <w:vAlign w:val="bottom"/>
            <w:hideMark/>
          </w:tcPr>
          <w:p w14:paraId="63F10B69"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20,791</w:t>
            </w:r>
          </w:p>
        </w:tc>
        <w:tc>
          <w:tcPr>
            <w:tcW w:w="1400" w:type="dxa"/>
            <w:tcBorders>
              <w:top w:val="nil"/>
              <w:left w:val="nil"/>
              <w:bottom w:val="nil"/>
              <w:right w:val="nil"/>
            </w:tcBorders>
            <w:noWrap/>
            <w:vAlign w:val="bottom"/>
            <w:hideMark/>
          </w:tcPr>
          <w:p w14:paraId="314FB2BB"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20,791</w:t>
            </w:r>
          </w:p>
        </w:tc>
        <w:tc>
          <w:tcPr>
            <w:tcW w:w="1400" w:type="dxa"/>
            <w:tcBorders>
              <w:top w:val="nil"/>
              <w:left w:val="nil"/>
              <w:bottom w:val="nil"/>
              <w:right w:val="nil"/>
            </w:tcBorders>
            <w:noWrap/>
            <w:vAlign w:val="bottom"/>
            <w:hideMark/>
          </w:tcPr>
          <w:p w14:paraId="598885E0"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20,791</w:t>
            </w:r>
          </w:p>
        </w:tc>
        <w:tc>
          <w:tcPr>
            <w:tcW w:w="1400" w:type="dxa"/>
            <w:tcBorders>
              <w:top w:val="nil"/>
              <w:left w:val="nil"/>
              <w:bottom w:val="nil"/>
              <w:right w:val="nil"/>
            </w:tcBorders>
            <w:noWrap/>
            <w:vAlign w:val="bottom"/>
            <w:hideMark/>
          </w:tcPr>
          <w:p w14:paraId="6584C953"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20,784</w:t>
            </w:r>
          </w:p>
        </w:tc>
        <w:tc>
          <w:tcPr>
            <w:tcW w:w="1400" w:type="dxa"/>
            <w:tcBorders>
              <w:top w:val="nil"/>
              <w:left w:val="nil"/>
              <w:bottom w:val="nil"/>
              <w:right w:val="nil"/>
            </w:tcBorders>
            <w:noWrap/>
            <w:vAlign w:val="bottom"/>
            <w:hideMark/>
          </w:tcPr>
          <w:p w14:paraId="322C6505"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20,784</w:t>
            </w:r>
          </w:p>
        </w:tc>
        <w:tc>
          <w:tcPr>
            <w:tcW w:w="1400" w:type="dxa"/>
            <w:tcBorders>
              <w:top w:val="nil"/>
              <w:left w:val="nil"/>
              <w:bottom w:val="nil"/>
              <w:right w:val="nil"/>
            </w:tcBorders>
            <w:noWrap/>
            <w:vAlign w:val="bottom"/>
            <w:hideMark/>
          </w:tcPr>
          <w:p w14:paraId="6C2C51EC"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20,784</w:t>
            </w:r>
          </w:p>
        </w:tc>
      </w:tr>
      <w:tr w:rsidR="00EF4A63" w:rsidRPr="00D716B6" w14:paraId="6F4CAE0F" w14:textId="77777777" w:rsidTr="00B01733">
        <w:trPr>
          <w:trHeight w:val="315"/>
        </w:trPr>
        <w:tc>
          <w:tcPr>
            <w:tcW w:w="3408" w:type="dxa"/>
            <w:tcBorders>
              <w:top w:val="nil"/>
              <w:left w:val="nil"/>
              <w:bottom w:val="single" w:sz="4" w:space="0" w:color="auto"/>
              <w:right w:val="nil"/>
            </w:tcBorders>
            <w:noWrap/>
            <w:vAlign w:val="bottom"/>
            <w:hideMark/>
          </w:tcPr>
          <w:p w14:paraId="3BBF5240"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R-squared</w:t>
            </w:r>
          </w:p>
        </w:tc>
        <w:tc>
          <w:tcPr>
            <w:tcW w:w="1400" w:type="dxa"/>
            <w:tcBorders>
              <w:top w:val="nil"/>
              <w:left w:val="nil"/>
              <w:bottom w:val="single" w:sz="4" w:space="0" w:color="auto"/>
              <w:right w:val="nil"/>
            </w:tcBorders>
            <w:noWrap/>
            <w:vAlign w:val="bottom"/>
            <w:hideMark/>
          </w:tcPr>
          <w:p w14:paraId="35C3347F"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0.711</w:t>
            </w:r>
          </w:p>
        </w:tc>
        <w:tc>
          <w:tcPr>
            <w:tcW w:w="1400" w:type="dxa"/>
            <w:tcBorders>
              <w:top w:val="nil"/>
              <w:left w:val="nil"/>
              <w:bottom w:val="single" w:sz="4" w:space="0" w:color="auto"/>
              <w:right w:val="nil"/>
            </w:tcBorders>
            <w:noWrap/>
            <w:vAlign w:val="bottom"/>
            <w:hideMark/>
          </w:tcPr>
          <w:p w14:paraId="1CC1BE69"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0.712</w:t>
            </w:r>
          </w:p>
        </w:tc>
        <w:tc>
          <w:tcPr>
            <w:tcW w:w="1400" w:type="dxa"/>
            <w:tcBorders>
              <w:top w:val="nil"/>
              <w:left w:val="nil"/>
              <w:bottom w:val="single" w:sz="4" w:space="0" w:color="auto"/>
              <w:right w:val="nil"/>
            </w:tcBorders>
            <w:noWrap/>
            <w:vAlign w:val="bottom"/>
            <w:hideMark/>
          </w:tcPr>
          <w:p w14:paraId="4FB2868E"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0.713</w:t>
            </w:r>
          </w:p>
        </w:tc>
        <w:tc>
          <w:tcPr>
            <w:tcW w:w="1400" w:type="dxa"/>
            <w:tcBorders>
              <w:top w:val="nil"/>
              <w:left w:val="nil"/>
              <w:bottom w:val="single" w:sz="4" w:space="0" w:color="auto"/>
              <w:right w:val="nil"/>
            </w:tcBorders>
            <w:noWrap/>
            <w:vAlign w:val="bottom"/>
            <w:hideMark/>
          </w:tcPr>
          <w:p w14:paraId="0EE0C936"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0.713</w:t>
            </w:r>
          </w:p>
        </w:tc>
        <w:tc>
          <w:tcPr>
            <w:tcW w:w="1400" w:type="dxa"/>
            <w:tcBorders>
              <w:top w:val="nil"/>
              <w:left w:val="nil"/>
              <w:bottom w:val="single" w:sz="4" w:space="0" w:color="auto"/>
              <w:right w:val="nil"/>
            </w:tcBorders>
            <w:noWrap/>
            <w:vAlign w:val="bottom"/>
            <w:hideMark/>
          </w:tcPr>
          <w:p w14:paraId="6093C500"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0.731</w:t>
            </w:r>
          </w:p>
        </w:tc>
        <w:tc>
          <w:tcPr>
            <w:tcW w:w="1400" w:type="dxa"/>
            <w:tcBorders>
              <w:top w:val="nil"/>
              <w:left w:val="nil"/>
              <w:bottom w:val="single" w:sz="4" w:space="0" w:color="auto"/>
              <w:right w:val="nil"/>
            </w:tcBorders>
            <w:noWrap/>
            <w:vAlign w:val="bottom"/>
            <w:hideMark/>
          </w:tcPr>
          <w:p w14:paraId="1FF98D88"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0.789</w:t>
            </w:r>
          </w:p>
        </w:tc>
        <w:tc>
          <w:tcPr>
            <w:tcW w:w="1400" w:type="dxa"/>
            <w:tcBorders>
              <w:top w:val="nil"/>
              <w:left w:val="nil"/>
              <w:bottom w:val="single" w:sz="4" w:space="0" w:color="auto"/>
              <w:right w:val="nil"/>
            </w:tcBorders>
            <w:noWrap/>
            <w:vAlign w:val="bottom"/>
            <w:hideMark/>
          </w:tcPr>
          <w:p w14:paraId="43B76FE6" w14:textId="77777777" w:rsidR="00EF4A63" w:rsidRPr="00D716B6" w:rsidRDefault="00EF4A63" w:rsidP="00B01733">
            <w:pPr>
              <w:spacing w:after="0" w:line="240" w:lineRule="auto"/>
              <w:rPr>
                <w:rFonts w:ascii="Times New Roman" w:eastAsia="Times New Roman" w:hAnsi="Times New Roman" w:cs="Times New Roman"/>
                <w:color w:val="000000"/>
                <w:sz w:val="24"/>
                <w:szCs w:val="24"/>
                <w:lang w:eastAsia="fr-FR"/>
              </w:rPr>
            </w:pPr>
            <w:r w:rsidRPr="00D716B6">
              <w:rPr>
                <w:rFonts w:ascii="Times New Roman" w:eastAsia="Times New Roman" w:hAnsi="Times New Roman" w:cs="Times New Roman"/>
                <w:color w:val="000000"/>
                <w:sz w:val="24"/>
                <w:szCs w:val="24"/>
                <w:lang w:eastAsia="fr-FR"/>
              </w:rPr>
              <w:t>0.790</w:t>
            </w:r>
          </w:p>
        </w:tc>
      </w:tr>
    </w:tbl>
    <w:p w14:paraId="6BBE57AE" w14:textId="77777777" w:rsidR="00C267E5" w:rsidRPr="00571297" w:rsidRDefault="00C267E5" w:rsidP="00C267E5">
      <w:pPr>
        <w:jc w:val="both"/>
        <w:rPr>
          <w:rFonts w:ascii="Times New Roman" w:hAnsi="Times New Roman" w:cs="Times New Roman"/>
          <w:sz w:val="24"/>
          <w:szCs w:val="24"/>
        </w:rPr>
      </w:pPr>
      <w:r w:rsidRPr="00571297">
        <w:rPr>
          <w:rFonts w:ascii="Times New Roman" w:hAnsi="Times New Roman" w:cs="Times New Roman"/>
          <w:sz w:val="24"/>
          <w:szCs w:val="24"/>
          <w:lang w:val="en-GB"/>
        </w:rPr>
        <w:t xml:space="preserve">Source: </w:t>
      </w:r>
      <w:r w:rsidRPr="00571297">
        <w:rPr>
          <w:rFonts w:ascii="Times New Roman" w:hAnsi="Times New Roman" w:cs="Times New Roman"/>
          <w:i/>
          <w:sz w:val="24"/>
          <w:szCs w:val="24"/>
          <w:lang w:val="en-GB"/>
        </w:rPr>
        <w:t>Author’s construction</w:t>
      </w:r>
      <w:r w:rsidRPr="00571297">
        <w:rPr>
          <w:rFonts w:ascii="Times New Roman" w:hAnsi="Times New Roman" w:cs="Times New Roman"/>
          <w:b/>
          <w:sz w:val="24"/>
          <w:szCs w:val="24"/>
          <w:lang w:val="en-GB"/>
        </w:rPr>
        <w:t xml:space="preserve">. </w:t>
      </w:r>
      <w:r w:rsidRPr="00571297">
        <w:rPr>
          <w:rFonts w:ascii="Times New Roman" w:hAnsi="Times New Roman" w:cs="Times New Roman"/>
          <w:i/>
          <w:sz w:val="24"/>
          <w:szCs w:val="24"/>
          <w:lang w:val="en-GB"/>
        </w:rPr>
        <w:t>Notes: Standard errors in parentheses; *** p&lt;0.01, ** p&lt;0.05, * p&lt;0.1</w:t>
      </w:r>
    </w:p>
    <w:p w14:paraId="00368D26" w14:textId="77777777" w:rsidR="00037BCB" w:rsidRDefault="00037BCB" w:rsidP="00D716B6">
      <w:pPr>
        <w:tabs>
          <w:tab w:val="left" w:pos="2730"/>
        </w:tabs>
        <w:jc w:val="both"/>
        <w:rPr>
          <w:rFonts w:ascii="Times New Roman" w:hAnsi="Times New Roman" w:cs="Times New Roman"/>
          <w:sz w:val="24"/>
          <w:szCs w:val="24"/>
        </w:rPr>
        <w:sectPr w:rsidR="00037BCB" w:rsidSect="00D716B6">
          <w:pgSz w:w="16838" w:h="11906" w:orient="landscape"/>
          <w:pgMar w:top="1417" w:right="1417" w:bottom="1417" w:left="1417" w:header="708" w:footer="708" w:gutter="0"/>
          <w:cols w:space="708"/>
          <w:docGrid w:linePitch="360"/>
        </w:sectPr>
      </w:pPr>
    </w:p>
    <w:p w14:paraId="47D1A3AD" w14:textId="77777777" w:rsidR="00044A35" w:rsidRPr="008B4F58" w:rsidRDefault="00044A35" w:rsidP="008B4F58">
      <w:pPr>
        <w:tabs>
          <w:tab w:val="left" w:pos="708"/>
          <w:tab w:val="left" w:pos="1416"/>
          <w:tab w:val="left" w:pos="2124"/>
          <w:tab w:val="left" w:pos="2832"/>
          <w:tab w:val="left" w:pos="3540"/>
          <w:tab w:val="left" w:pos="4248"/>
          <w:tab w:val="left" w:pos="4956"/>
          <w:tab w:val="left" w:pos="6570"/>
        </w:tabs>
        <w:jc w:val="both"/>
        <w:rPr>
          <w:rFonts w:ascii="Times New Roman" w:hAnsi="Times New Roman" w:cs="Times New Roman"/>
          <w:b/>
          <w:sz w:val="24"/>
          <w:szCs w:val="24"/>
        </w:rPr>
      </w:pPr>
      <w:r w:rsidRPr="008B4F58">
        <w:rPr>
          <w:rFonts w:ascii="Times New Roman" w:hAnsi="Times New Roman" w:cs="Times New Roman"/>
          <w:b/>
          <w:sz w:val="24"/>
          <w:szCs w:val="24"/>
        </w:rPr>
        <w:lastRenderedPageBreak/>
        <w:t>5.</w:t>
      </w:r>
      <w:r w:rsidRPr="008B4F58">
        <w:rPr>
          <w:rFonts w:ascii="Times New Roman" w:hAnsi="Times New Roman" w:cs="Times New Roman"/>
          <w:b/>
          <w:sz w:val="24"/>
          <w:szCs w:val="24"/>
        </w:rPr>
        <w:tab/>
        <w:t>Conclusion and Policy Recommendations</w:t>
      </w:r>
      <w:r w:rsidR="008B4F58">
        <w:rPr>
          <w:rFonts w:ascii="Times New Roman" w:hAnsi="Times New Roman" w:cs="Times New Roman"/>
          <w:b/>
          <w:sz w:val="24"/>
          <w:szCs w:val="24"/>
        </w:rPr>
        <w:tab/>
      </w:r>
      <w:r w:rsidR="008B4F58">
        <w:rPr>
          <w:rFonts w:ascii="Times New Roman" w:hAnsi="Times New Roman" w:cs="Times New Roman"/>
          <w:b/>
          <w:sz w:val="24"/>
          <w:szCs w:val="24"/>
        </w:rPr>
        <w:tab/>
      </w:r>
    </w:p>
    <w:p w14:paraId="5080F884" w14:textId="77777777" w:rsidR="00497088" w:rsidRPr="00497088" w:rsidRDefault="00497088" w:rsidP="00497088">
      <w:pPr>
        <w:spacing w:line="360" w:lineRule="auto"/>
        <w:jc w:val="both"/>
        <w:rPr>
          <w:rFonts w:ascii="Times New Roman" w:hAnsi="Times New Roman" w:cs="Times New Roman"/>
          <w:sz w:val="24"/>
          <w:szCs w:val="24"/>
        </w:rPr>
      </w:pPr>
      <w:r w:rsidRPr="00497088">
        <w:rPr>
          <w:rFonts w:ascii="Times New Roman" w:hAnsi="Times New Roman" w:cs="Times New Roman"/>
          <w:sz w:val="24"/>
          <w:szCs w:val="24"/>
        </w:rPr>
        <w:t>The empirical evidence drawn from the three estimated models reveals, with remarkable consistency, the decisive role of access to electricity in improving household well-being in the Democratic Republic of Congo. Whether considering multidimensional well-being, combined well-being, or its individual components, electrification emerges as one of the most powerful and persistent determinants identified both in the existing literature and in the Congolese context. The coefficients associated with non-electrified househol</w:t>
      </w:r>
      <w:r>
        <w:rPr>
          <w:rFonts w:ascii="Times New Roman" w:hAnsi="Times New Roman" w:cs="Times New Roman"/>
          <w:sz w:val="24"/>
          <w:szCs w:val="24"/>
        </w:rPr>
        <w:t xml:space="preserve">ds </w:t>
      </w:r>
      <w:r w:rsidRPr="00497088">
        <w:rPr>
          <w:rFonts w:ascii="Times New Roman" w:hAnsi="Times New Roman" w:cs="Times New Roman"/>
          <w:sz w:val="24"/>
          <w:szCs w:val="24"/>
        </w:rPr>
        <w:t>always negative, large in magnitude, and statistica</w:t>
      </w:r>
      <w:r>
        <w:rPr>
          <w:rFonts w:ascii="Times New Roman" w:hAnsi="Times New Roman" w:cs="Times New Roman"/>
          <w:sz w:val="24"/>
          <w:szCs w:val="24"/>
        </w:rPr>
        <w:t xml:space="preserve">lly significant at the 1% level </w:t>
      </w:r>
      <w:r w:rsidRPr="00497088">
        <w:rPr>
          <w:rFonts w:ascii="Times New Roman" w:hAnsi="Times New Roman" w:cs="Times New Roman"/>
          <w:sz w:val="24"/>
          <w:szCs w:val="24"/>
        </w:rPr>
        <w:t>demonstrate that lacking electricity substantially reduces household well-being in both rural and urban areas, though through differentiated mechanisms.</w:t>
      </w:r>
      <w:r>
        <w:rPr>
          <w:rFonts w:ascii="Times New Roman" w:hAnsi="Times New Roman" w:cs="Times New Roman"/>
          <w:sz w:val="24"/>
          <w:szCs w:val="24"/>
        </w:rPr>
        <w:t xml:space="preserve"> </w:t>
      </w:r>
      <w:r w:rsidRPr="00497088">
        <w:rPr>
          <w:rFonts w:ascii="Times New Roman" w:hAnsi="Times New Roman" w:cs="Times New Roman"/>
          <w:sz w:val="24"/>
          <w:szCs w:val="24"/>
        </w:rPr>
        <w:t xml:space="preserve">From a statistical standpoint, the findings stand out for their robustness: consistent signs, low standard errors, high explanatory power of the models, and strong internal coherence. These results show that electrification is not merely one determinant among many, but a structural </w:t>
      </w:r>
      <w:proofErr w:type="gramStart"/>
      <w:r w:rsidRPr="00497088">
        <w:rPr>
          <w:rFonts w:ascii="Times New Roman" w:hAnsi="Times New Roman" w:cs="Times New Roman"/>
          <w:sz w:val="24"/>
          <w:szCs w:val="24"/>
        </w:rPr>
        <w:t>condition essential</w:t>
      </w:r>
      <w:proofErr w:type="gramEnd"/>
      <w:r w:rsidRPr="00497088">
        <w:rPr>
          <w:rFonts w:ascii="Times New Roman" w:hAnsi="Times New Roman" w:cs="Times New Roman"/>
          <w:sz w:val="24"/>
          <w:szCs w:val="24"/>
        </w:rPr>
        <w:t xml:space="preserve"> for improving living standar</w:t>
      </w:r>
      <w:r>
        <w:rPr>
          <w:rFonts w:ascii="Times New Roman" w:hAnsi="Times New Roman" w:cs="Times New Roman"/>
          <w:sz w:val="24"/>
          <w:szCs w:val="24"/>
        </w:rPr>
        <w:t xml:space="preserve">ds. Socio-demographic variables </w:t>
      </w:r>
      <w:r w:rsidRPr="00497088">
        <w:rPr>
          <w:rFonts w:ascii="Times New Roman" w:hAnsi="Times New Roman" w:cs="Times New Roman"/>
          <w:sz w:val="24"/>
          <w:szCs w:val="24"/>
        </w:rPr>
        <w:t>such as the gender of the hou</w:t>
      </w:r>
      <w:r>
        <w:rPr>
          <w:rFonts w:ascii="Times New Roman" w:hAnsi="Times New Roman" w:cs="Times New Roman"/>
          <w:sz w:val="24"/>
          <w:szCs w:val="24"/>
        </w:rPr>
        <w:t xml:space="preserve">sehold head, age, and education </w:t>
      </w:r>
      <w:r w:rsidRPr="00497088">
        <w:rPr>
          <w:rFonts w:ascii="Times New Roman" w:hAnsi="Times New Roman" w:cs="Times New Roman"/>
          <w:sz w:val="24"/>
          <w:szCs w:val="24"/>
        </w:rPr>
        <w:t>also align with international evidence: higher vulnerability among female-headed households, a concave age effect consistent with life-cycle theory, and the central role of education in line with human capital theory.</w:t>
      </w:r>
    </w:p>
    <w:p w14:paraId="7ECAD1EA" w14:textId="77777777" w:rsidR="00497088" w:rsidRPr="00497088" w:rsidRDefault="00497088" w:rsidP="00497088">
      <w:pPr>
        <w:spacing w:line="360" w:lineRule="auto"/>
        <w:jc w:val="both"/>
        <w:rPr>
          <w:rFonts w:ascii="Times New Roman" w:hAnsi="Times New Roman" w:cs="Times New Roman"/>
          <w:sz w:val="24"/>
          <w:szCs w:val="24"/>
        </w:rPr>
      </w:pPr>
      <w:r w:rsidRPr="00497088">
        <w:rPr>
          <w:rFonts w:ascii="Times New Roman" w:hAnsi="Times New Roman" w:cs="Times New Roman"/>
          <w:sz w:val="24"/>
          <w:szCs w:val="24"/>
        </w:rPr>
        <w:t>The economic interpretation deepens this understanding by highlighting the crucial importance of place of residence. The results reveal that, in the absence of electricity, urban households exhibit lower well-being levels, reflecting a form of "urban penalty" associated with precarious living conditions, high costs of living, and the strong dependence on energy infrastructures required to participate fully in the formal economy. Conversely, the interaction between electrification and rural residence shows that in rural settings, access to electricity acts as a powerful t</w:t>
      </w:r>
      <w:r>
        <w:rPr>
          <w:rFonts w:ascii="Times New Roman" w:hAnsi="Times New Roman" w:cs="Times New Roman"/>
          <w:sz w:val="24"/>
          <w:szCs w:val="24"/>
        </w:rPr>
        <w:t xml:space="preserve">ransformative force: it offsets indeed reverses </w:t>
      </w:r>
      <w:r w:rsidRPr="00497088">
        <w:rPr>
          <w:rFonts w:ascii="Times New Roman" w:hAnsi="Times New Roman" w:cs="Times New Roman"/>
          <w:sz w:val="24"/>
          <w:szCs w:val="24"/>
        </w:rPr>
        <w:t>the structural disadvantages of rurality by improving access to information, communication, domestic productivity, and children’s education. In other words, once electricity reaches rural areas, it significantly reduces territorial inequalities and creates a convergence effect in well-being.</w:t>
      </w:r>
    </w:p>
    <w:p w14:paraId="45E408C6" w14:textId="093EF624" w:rsidR="00497088" w:rsidRPr="00497088" w:rsidRDefault="00497088" w:rsidP="00497088">
      <w:pPr>
        <w:spacing w:line="360" w:lineRule="auto"/>
        <w:jc w:val="both"/>
        <w:rPr>
          <w:rFonts w:ascii="Times New Roman" w:hAnsi="Times New Roman" w:cs="Times New Roman"/>
          <w:sz w:val="24"/>
          <w:szCs w:val="24"/>
        </w:rPr>
      </w:pPr>
      <w:r w:rsidRPr="00497088">
        <w:rPr>
          <w:rFonts w:ascii="Times New Roman" w:hAnsi="Times New Roman" w:cs="Times New Roman"/>
          <w:sz w:val="24"/>
          <w:szCs w:val="24"/>
        </w:rPr>
        <w:t xml:space="preserve">This conclusion is fully consistent </w:t>
      </w:r>
      <w:r>
        <w:rPr>
          <w:rFonts w:ascii="Times New Roman" w:hAnsi="Times New Roman" w:cs="Times New Roman"/>
          <w:sz w:val="24"/>
          <w:szCs w:val="24"/>
        </w:rPr>
        <w:t xml:space="preserve">with previous empirical studies </w:t>
      </w:r>
      <w:r w:rsidRPr="00497088">
        <w:rPr>
          <w:rFonts w:ascii="Times New Roman" w:hAnsi="Times New Roman" w:cs="Times New Roman"/>
          <w:sz w:val="24"/>
          <w:szCs w:val="24"/>
        </w:rPr>
        <w:t>such as those of Dinkelm</w:t>
      </w:r>
      <w:r w:rsidR="005642AE">
        <w:rPr>
          <w:rFonts w:ascii="Times New Roman" w:hAnsi="Times New Roman" w:cs="Times New Roman"/>
          <w:sz w:val="24"/>
          <w:szCs w:val="24"/>
        </w:rPr>
        <w:t>an (2011), Khandker et al. (2013</w:t>
      </w:r>
      <w:r w:rsidRPr="00497088">
        <w:rPr>
          <w:rFonts w:ascii="Times New Roman" w:hAnsi="Times New Roman" w:cs="Times New Roman"/>
          <w:sz w:val="24"/>
          <w:szCs w:val="24"/>
        </w:rPr>
        <w:t>), Peters &amp; Wolfra</w:t>
      </w:r>
      <w:r w:rsidR="00E16A77">
        <w:rPr>
          <w:rFonts w:ascii="Times New Roman" w:hAnsi="Times New Roman" w:cs="Times New Roman"/>
          <w:sz w:val="24"/>
          <w:szCs w:val="24"/>
        </w:rPr>
        <w:t>m (2021</w:t>
      </w:r>
      <w:r w:rsidR="00D84D5E">
        <w:rPr>
          <w:rFonts w:ascii="Times New Roman" w:hAnsi="Times New Roman" w:cs="Times New Roman"/>
          <w:sz w:val="24"/>
          <w:szCs w:val="24"/>
        </w:rPr>
        <w:t>), and Lee et al. (2016</w:t>
      </w:r>
      <w:r>
        <w:rPr>
          <w:rFonts w:ascii="Times New Roman" w:hAnsi="Times New Roman" w:cs="Times New Roman"/>
          <w:sz w:val="24"/>
          <w:szCs w:val="24"/>
        </w:rPr>
        <w:t xml:space="preserve">) </w:t>
      </w:r>
      <w:r w:rsidRPr="00497088">
        <w:rPr>
          <w:rFonts w:ascii="Times New Roman" w:hAnsi="Times New Roman" w:cs="Times New Roman"/>
          <w:sz w:val="24"/>
          <w:szCs w:val="24"/>
        </w:rPr>
        <w:t xml:space="preserve">all of which highlight the importance of electrification as </w:t>
      </w:r>
      <w:proofErr w:type="gramStart"/>
      <w:r w:rsidRPr="00497088">
        <w:rPr>
          <w:rFonts w:ascii="Times New Roman" w:hAnsi="Times New Roman" w:cs="Times New Roman"/>
          <w:sz w:val="24"/>
          <w:szCs w:val="24"/>
        </w:rPr>
        <w:t>a</w:t>
      </w:r>
      <w:proofErr w:type="gramEnd"/>
      <w:r w:rsidRPr="00497088">
        <w:rPr>
          <w:rFonts w:ascii="Times New Roman" w:hAnsi="Times New Roman" w:cs="Times New Roman"/>
          <w:sz w:val="24"/>
          <w:szCs w:val="24"/>
        </w:rPr>
        <w:t xml:space="preserve"> driver of human development, particularly in rural areas. It also echoes Sen’s capability approach (1999), which emphasizes that access to energy expands individuals’ real freedoms and enhances their ability to convert resources into effective opportunities.</w:t>
      </w:r>
      <w:r>
        <w:rPr>
          <w:rFonts w:ascii="Times New Roman" w:hAnsi="Times New Roman" w:cs="Times New Roman"/>
          <w:sz w:val="24"/>
          <w:szCs w:val="24"/>
        </w:rPr>
        <w:t xml:space="preserve"> </w:t>
      </w:r>
      <w:r w:rsidRPr="00497088">
        <w:rPr>
          <w:rFonts w:ascii="Times New Roman" w:hAnsi="Times New Roman" w:cs="Times New Roman"/>
          <w:sz w:val="24"/>
          <w:szCs w:val="24"/>
        </w:rPr>
        <w:t xml:space="preserve">Overall, the results indicate that geographic location in the DRC is not </w:t>
      </w:r>
      <w:r w:rsidRPr="00497088">
        <w:rPr>
          <w:rFonts w:ascii="Times New Roman" w:hAnsi="Times New Roman" w:cs="Times New Roman"/>
          <w:sz w:val="24"/>
          <w:szCs w:val="24"/>
        </w:rPr>
        <w:lastRenderedPageBreak/>
        <w:t xml:space="preserve">a fixed destiny </w:t>
      </w:r>
      <w:r>
        <w:rPr>
          <w:rFonts w:ascii="Times New Roman" w:hAnsi="Times New Roman" w:cs="Times New Roman"/>
          <w:sz w:val="24"/>
          <w:szCs w:val="24"/>
        </w:rPr>
        <w:t xml:space="preserve">but a conditional vulnerability </w:t>
      </w:r>
      <w:r w:rsidRPr="00497088">
        <w:rPr>
          <w:rFonts w:ascii="Times New Roman" w:hAnsi="Times New Roman" w:cs="Times New Roman"/>
          <w:sz w:val="24"/>
          <w:szCs w:val="24"/>
        </w:rPr>
        <w:t>one that access to electricity can alter or even reverse. Rural households, long disadvantaged, can catch up significantly when electricity becomes available, while urban areas can only leverage their potential advantages if electricity is reliable and affordable. Ultimately, electrification is not merely an infrastructure policy; it is a policy of well-being, inequality reduction, and human development.</w:t>
      </w:r>
    </w:p>
    <w:p w14:paraId="58317D0E" w14:textId="77777777" w:rsidR="00497088" w:rsidRDefault="00497088" w:rsidP="00827B1C">
      <w:pPr>
        <w:spacing w:line="360" w:lineRule="auto"/>
        <w:jc w:val="both"/>
        <w:rPr>
          <w:rFonts w:ascii="Times New Roman" w:hAnsi="Times New Roman" w:cs="Times New Roman"/>
          <w:sz w:val="24"/>
          <w:szCs w:val="24"/>
        </w:rPr>
      </w:pPr>
      <w:r w:rsidRPr="00497088">
        <w:rPr>
          <w:rFonts w:ascii="Times New Roman" w:hAnsi="Times New Roman" w:cs="Times New Roman"/>
          <w:sz w:val="24"/>
          <w:szCs w:val="24"/>
        </w:rPr>
        <w:t>To maximize these impacts, public policies should adopt an integrated strategy combining electrification with human capital reinforcement, complementary infrastructure development, and the promotion of productive uses of energy. Such an approach would promote inclusive growth, strengthen territorial cohesion, and make access to electricity a central pillar for sustainably improving household well-being in th</w:t>
      </w:r>
      <w:r w:rsidR="00827B1C">
        <w:rPr>
          <w:rFonts w:ascii="Times New Roman" w:hAnsi="Times New Roman" w:cs="Times New Roman"/>
          <w:sz w:val="24"/>
          <w:szCs w:val="24"/>
        </w:rPr>
        <w:t>e Democratic Republic of Congo.</w:t>
      </w:r>
    </w:p>
    <w:p w14:paraId="7A45A4F8" w14:textId="77777777" w:rsidR="000946E9" w:rsidRPr="00740879" w:rsidRDefault="000946E9" w:rsidP="000946E9">
      <w:pPr>
        <w:rPr>
          <w:highlight w:val="yellow"/>
        </w:rPr>
      </w:pPr>
      <w:r w:rsidRPr="00740879">
        <w:rPr>
          <w:highlight w:val="yellow"/>
        </w:rPr>
        <w:t>Disclaimer (Artificial intelligence)</w:t>
      </w:r>
    </w:p>
    <w:p w14:paraId="5CD6CA48" w14:textId="3295ADF3" w:rsidR="000946E9" w:rsidRPr="00740879" w:rsidRDefault="000946E9" w:rsidP="000946E9">
      <w:pPr>
        <w:rPr>
          <w:highlight w:val="yellow"/>
        </w:rPr>
      </w:pPr>
      <w:r w:rsidRPr="00740879">
        <w:rPr>
          <w:highlight w:val="yellow"/>
        </w:rPr>
        <w:t xml:space="preserve">Option </w:t>
      </w:r>
      <w:proofErr w:type="gramStart"/>
      <w:r w:rsidRPr="00740879">
        <w:rPr>
          <w:highlight w:val="yellow"/>
        </w:rPr>
        <w:t>1:</w:t>
      </w:r>
      <w:proofErr w:type="gramEnd"/>
      <w:r w:rsidRPr="00740879">
        <w:rPr>
          <w:highlight w:val="yellow"/>
        </w:rPr>
        <w:t xml:space="preserve"> </w:t>
      </w:r>
    </w:p>
    <w:p w14:paraId="371B26AA" w14:textId="77777777" w:rsidR="000946E9" w:rsidRPr="00740879" w:rsidRDefault="000946E9" w:rsidP="000946E9">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D9755DA" w14:textId="77777777" w:rsidR="00827B1C" w:rsidRDefault="00827B1C" w:rsidP="00827B1C">
      <w:pPr>
        <w:spacing w:line="360" w:lineRule="auto"/>
        <w:jc w:val="both"/>
        <w:rPr>
          <w:rFonts w:ascii="Times New Roman" w:hAnsi="Times New Roman" w:cs="Times New Roman"/>
          <w:sz w:val="24"/>
          <w:szCs w:val="24"/>
        </w:rPr>
      </w:pPr>
    </w:p>
    <w:p w14:paraId="31C58F3F" w14:textId="77777777" w:rsidR="00044A35" w:rsidRPr="00AA17A9" w:rsidRDefault="00044A35" w:rsidP="00FE331B">
      <w:pPr>
        <w:jc w:val="both"/>
        <w:rPr>
          <w:rFonts w:ascii="Times New Roman" w:hAnsi="Times New Roman" w:cs="Times New Roman"/>
          <w:b/>
          <w:sz w:val="24"/>
          <w:szCs w:val="24"/>
        </w:rPr>
      </w:pPr>
      <w:r w:rsidRPr="00AA17A9">
        <w:rPr>
          <w:rFonts w:ascii="Times New Roman" w:hAnsi="Times New Roman" w:cs="Times New Roman"/>
          <w:b/>
          <w:sz w:val="24"/>
          <w:szCs w:val="24"/>
        </w:rPr>
        <w:t>References</w:t>
      </w:r>
    </w:p>
    <w:p w14:paraId="3CDBBC1D" w14:textId="77777777" w:rsidR="00750A2B" w:rsidRPr="00013C77" w:rsidRDefault="00750A2B" w:rsidP="00A60461">
      <w:pPr>
        <w:pStyle w:val="NormalWeb"/>
        <w:numPr>
          <w:ilvl w:val="0"/>
          <w:numId w:val="3"/>
        </w:numPr>
        <w:jc w:val="both"/>
      </w:pPr>
      <w:r w:rsidRPr="00013C77">
        <w:t xml:space="preserve">Alderman, H., Behrman, J. R., Lavy, V., &amp; Menon, R. (2001). </w:t>
      </w:r>
      <w:r w:rsidRPr="00013C77">
        <w:rPr>
          <w:iCs/>
        </w:rPr>
        <w:t xml:space="preserve">Child health and school </w:t>
      </w:r>
      <w:proofErr w:type="gramStart"/>
      <w:r w:rsidRPr="00013C77">
        <w:rPr>
          <w:iCs/>
        </w:rPr>
        <w:t>enrollment:</w:t>
      </w:r>
      <w:proofErr w:type="gramEnd"/>
      <w:r w:rsidRPr="00013C77">
        <w:rPr>
          <w:iCs/>
        </w:rPr>
        <w:t xml:space="preserve"> A longitudinal analysis.</w:t>
      </w:r>
      <w:r w:rsidRPr="00013C77">
        <w:t xml:space="preserve"> The Journal of Human Resources, 36(1), 185–205</w:t>
      </w:r>
    </w:p>
    <w:p w14:paraId="54CC8A23" w14:textId="77777777" w:rsidR="00750A2B" w:rsidRPr="00013C77" w:rsidRDefault="00750A2B" w:rsidP="00A60461">
      <w:pPr>
        <w:pStyle w:val="NormalWeb"/>
        <w:numPr>
          <w:ilvl w:val="0"/>
          <w:numId w:val="3"/>
        </w:numPr>
        <w:jc w:val="both"/>
      </w:pPr>
      <w:r w:rsidRPr="00013C77">
        <w:t>Alkire, S., &amp; Foster, J. (2011) Counting and multidimensional poverty measurement Journal of Public Economics, 95(7–8), 476–487</w:t>
      </w:r>
    </w:p>
    <w:p w14:paraId="45DC463E" w14:textId="77777777" w:rsidR="00750A2B" w:rsidRPr="00013C77" w:rsidRDefault="00750A2B" w:rsidP="00A60461">
      <w:pPr>
        <w:pStyle w:val="NormalWeb"/>
        <w:numPr>
          <w:ilvl w:val="0"/>
          <w:numId w:val="3"/>
        </w:numPr>
        <w:jc w:val="both"/>
      </w:pPr>
      <w:r w:rsidRPr="00013C77">
        <w:t xml:space="preserve">Bakehe, N.-P. (2022). </w:t>
      </w:r>
      <w:r w:rsidRPr="00013C77">
        <w:rPr>
          <w:iCs/>
        </w:rPr>
        <w:t>Les déterminants microéconomiques de l’adoption de l’électricité par les ménages en Afrique australe.</w:t>
      </w:r>
      <w:r w:rsidRPr="00013C77">
        <w:t xml:space="preserve"> Économie rurale, 379, 111–130, </w:t>
      </w:r>
    </w:p>
    <w:p w14:paraId="2E7F9716" w14:textId="77777777" w:rsidR="00750A2B" w:rsidRPr="00013C77" w:rsidRDefault="00750A2B" w:rsidP="00A60461">
      <w:pPr>
        <w:pStyle w:val="NormalWeb"/>
        <w:numPr>
          <w:ilvl w:val="0"/>
          <w:numId w:val="3"/>
        </w:numPr>
        <w:jc w:val="both"/>
      </w:pPr>
      <w:r w:rsidRPr="00013C77">
        <w:t>Bakiri, H. A., &amp; Mbembati, H. (2023) The effect of electricity consumption determinants in household load forecasting models Journal of Electrical Systems and Information Technology, 10, 52</w:t>
      </w:r>
    </w:p>
    <w:p w14:paraId="6FD3E34F" w14:textId="77777777" w:rsidR="00750A2B" w:rsidRPr="00013C77" w:rsidRDefault="00750A2B" w:rsidP="00A60461">
      <w:pPr>
        <w:pStyle w:val="NormalWeb"/>
        <w:numPr>
          <w:ilvl w:val="0"/>
          <w:numId w:val="3"/>
        </w:numPr>
        <w:jc w:val="both"/>
      </w:pPr>
      <w:r w:rsidRPr="00013C77">
        <w:t xml:space="preserve">Bazilian, M., Nussbaumer, P., Eibs-Singer, M., et al. (2012). </w:t>
      </w:r>
      <w:r w:rsidRPr="00013C77">
        <w:rPr>
          <w:iCs/>
        </w:rPr>
        <w:t xml:space="preserve">Improving access to modern energy </w:t>
      </w:r>
      <w:proofErr w:type="gramStart"/>
      <w:r w:rsidRPr="00013C77">
        <w:rPr>
          <w:iCs/>
        </w:rPr>
        <w:t>services:</w:t>
      </w:r>
      <w:proofErr w:type="gramEnd"/>
      <w:r w:rsidRPr="00013C77">
        <w:rPr>
          <w:iCs/>
        </w:rPr>
        <w:t xml:space="preserve"> Insights from SE4ALL country actions.</w:t>
      </w:r>
      <w:r w:rsidRPr="00013C77">
        <w:t xml:space="preserve"> Energy Policy, 49, 91–102</w:t>
      </w:r>
    </w:p>
    <w:p w14:paraId="2EC43002" w14:textId="77777777" w:rsidR="00750A2B" w:rsidRPr="00013C77" w:rsidRDefault="00750A2B" w:rsidP="00A60461">
      <w:pPr>
        <w:pStyle w:val="NormalWeb"/>
        <w:numPr>
          <w:ilvl w:val="0"/>
          <w:numId w:val="3"/>
        </w:numPr>
        <w:jc w:val="both"/>
      </w:pPr>
      <w:r w:rsidRPr="00013C77">
        <w:t xml:space="preserve">Becker, G. S. (1964) Human </w:t>
      </w:r>
      <w:proofErr w:type="gramStart"/>
      <w:r w:rsidRPr="00013C77">
        <w:t>capital:</w:t>
      </w:r>
      <w:proofErr w:type="gramEnd"/>
      <w:r w:rsidRPr="00013C77">
        <w:t xml:space="preserve"> A theoretical and empirical analysis, with special reference to education University of Chicago Press</w:t>
      </w:r>
    </w:p>
    <w:p w14:paraId="37727C31" w14:textId="77777777" w:rsidR="00750A2B" w:rsidRPr="00013C77" w:rsidRDefault="00750A2B" w:rsidP="00A60461">
      <w:pPr>
        <w:pStyle w:val="NormalWeb"/>
        <w:numPr>
          <w:ilvl w:val="0"/>
          <w:numId w:val="3"/>
        </w:numPr>
        <w:jc w:val="both"/>
      </w:pPr>
      <w:r w:rsidRPr="00013C77">
        <w:t xml:space="preserve">Becker, G. S., &amp; Murphy, K. M. (2013). </w:t>
      </w:r>
      <w:r w:rsidRPr="00013C77">
        <w:rPr>
          <w:iCs/>
        </w:rPr>
        <w:t xml:space="preserve">The downside of energy </w:t>
      </w:r>
      <w:proofErr w:type="gramStart"/>
      <w:r w:rsidRPr="00013C77">
        <w:rPr>
          <w:iCs/>
        </w:rPr>
        <w:t>shortages:</w:t>
      </w:r>
      <w:proofErr w:type="gramEnd"/>
      <w:r w:rsidRPr="00013C77">
        <w:rPr>
          <w:iCs/>
        </w:rPr>
        <w:t xml:space="preserve"> Evidence from rural Senegal.</w:t>
      </w:r>
      <w:r w:rsidRPr="00013C77">
        <w:t xml:space="preserve"> Energy Economics, 40, 617–626 </w:t>
      </w:r>
    </w:p>
    <w:p w14:paraId="3E1337DF" w14:textId="77777777" w:rsidR="00750A2B" w:rsidRPr="00013C77" w:rsidRDefault="00750A2B" w:rsidP="00A60461">
      <w:pPr>
        <w:pStyle w:val="NormalWeb"/>
        <w:numPr>
          <w:ilvl w:val="0"/>
          <w:numId w:val="3"/>
        </w:numPr>
        <w:jc w:val="both"/>
      </w:pPr>
      <w:r w:rsidRPr="00013C77">
        <w:t xml:space="preserve">Bensch, G., Kluve, J., &amp; Peters, J. (2011). </w:t>
      </w:r>
      <w:r w:rsidRPr="00013C77">
        <w:rPr>
          <w:iCs/>
        </w:rPr>
        <w:t>Impacts of rural electrification in Rwanda.</w:t>
      </w:r>
      <w:r w:rsidRPr="00013C77">
        <w:t xml:space="preserve"> Journal of Development Effectiveness, 3(4), 567–588</w:t>
      </w:r>
    </w:p>
    <w:p w14:paraId="02533836" w14:textId="77777777" w:rsidR="00750A2B" w:rsidRPr="00013C77" w:rsidRDefault="00750A2B" w:rsidP="00A60461">
      <w:pPr>
        <w:pStyle w:val="NormalWeb"/>
        <w:numPr>
          <w:ilvl w:val="0"/>
          <w:numId w:val="3"/>
        </w:numPr>
        <w:jc w:val="both"/>
      </w:pPr>
      <w:r w:rsidRPr="00013C77">
        <w:t xml:space="preserve">Bernard, T. (2012). </w:t>
      </w:r>
      <w:r w:rsidRPr="00013C77">
        <w:rPr>
          <w:iCs/>
        </w:rPr>
        <w:t>Impact analysis of rural electrification projects in Sub-Saharan Africa.</w:t>
      </w:r>
      <w:r w:rsidRPr="00013C77">
        <w:t xml:space="preserve"> World Bank Research Observer, 27(1), 33–51</w:t>
      </w:r>
    </w:p>
    <w:p w14:paraId="4DA02D0F" w14:textId="77777777" w:rsidR="00750A2B" w:rsidRPr="00013C77" w:rsidRDefault="00750A2B" w:rsidP="00A60461">
      <w:pPr>
        <w:pStyle w:val="NormalWeb"/>
        <w:numPr>
          <w:ilvl w:val="0"/>
          <w:numId w:val="3"/>
        </w:numPr>
        <w:jc w:val="both"/>
      </w:pPr>
      <w:r w:rsidRPr="00013C77">
        <w:t xml:space="preserve">Bernard, T., &amp; Torero, M. (2015). </w:t>
      </w:r>
      <w:r w:rsidRPr="00013C77">
        <w:rPr>
          <w:iCs/>
        </w:rPr>
        <w:t xml:space="preserve">Social interaction effects and connection to </w:t>
      </w:r>
      <w:proofErr w:type="gramStart"/>
      <w:r w:rsidRPr="00013C77">
        <w:rPr>
          <w:iCs/>
        </w:rPr>
        <w:t>electricity:</w:t>
      </w:r>
      <w:proofErr w:type="gramEnd"/>
      <w:r w:rsidRPr="00013C77">
        <w:rPr>
          <w:iCs/>
        </w:rPr>
        <w:t xml:space="preserve"> Experimental evidence from rural Ethiopia.</w:t>
      </w:r>
      <w:r w:rsidRPr="00013C77">
        <w:t xml:space="preserve"> Economic Development and Cultural Change, 63(3), 459–484</w:t>
      </w:r>
    </w:p>
    <w:p w14:paraId="14ED7032" w14:textId="77777777" w:rsidR="00750A2B" w:rsidRPr="00013C77" w:rsidRDefault="00750A2B" w:rsidP="00A60461">
      <w:pPr>
        <w:pStyle w:val="NormalWeb"/>
        <w:numPr>
          <w:ilvl w:val="0"/>
          <w:numId w:val="3"/>
        </w:numPr>
        <w:jc w:val="both"/>
      </w:pPr>
      <w:r w:rsidRPr="00013C77">
        <w:lastRenderedPageBreak/>
        <w:t xml:space="preserve">Burlando, A. (2014). </w:t>
      </w:r>
      <w:r w:rsidRPr="00013C77">
        <w:rPr>
          <w:iCs/>
        </w:rPr>
        <w:t>Power outages, power externalities, and baby booms.</w:t>
      </w:r>
      <w:r w:rsidRPr="00013C77">
        <w:t xml:space="preserve"> Demography, 51(4), 1477–1500.  </w:t>
      </w:r>
    </w:p>
    <w:p w14:paraId="73F5ED2D" w14:textId="77777777" w:rsidR="00750A2B" w:rsidRPr="00013C77" w:rsidRDefault="00750A2B" w:rsidP="00A60461">
      <w:pPr>
        <w:pStyle w:val="NormalWeb"/>
        <w:numPr>
          <w:ilvl w:val="0"/>
          <w:numId w:val="3"/>
        </w:numPr>
        <w:jc w:val="both"/>
      </w:pPr>
      <w:r w:rsidRPr="00013C77">
        <w:t xml:space="preserve">Dinkelman, T. (2011) The effects of rural electrification on </w:t>
      </w:r>
      <w:proofErr w:type="gramStart"/>
      <w:r w:rsidRPr="00013C77">
        <w:t>employment:</w:t>
      </w:r>
      <w:proofErr w:type="gramEnd"/>
      <w:r w:rsidRPr="00013C77">
        <w:t xml:space="preserve"> New evidence from South Africa American Economic Review, 101(7), 3078–3108</w:t>
      </w:r>
    </w:p>
    <w:p w14:paraId="3C98CE56" w14:textId="77777777" w:rsidR="00750A2B" w:rsidRPr="00013C77" w:rsidRDefault="00750A2B" w:rsidP="00A60461">
      <w:pPr>
        <w:pStyle w:val="NormalWeb"/>
        <w:numPr>
          <w:ilvl w:val="0"/>
          <w:numId w:val="3"/>
        </w:numPr>
        <w:jc w:val="both"/>
      </w:pPr>
      <w:r w:rsidRPr="00013C77">
        <w:t xml:space="preserve">Dinkelman, T. (2011). </w:t>
      </w:r>
      <w:r w:rsidRPr="00013C77">
        <w:rPr>
          <w:iCs/>
        </w:rPr>
        <w:t xml:space="preserve">The effects of rural electrification on </w:t>
      </w:r>
      <w:proofErr w:type="gramStart"/>
      <w:r w:rsidRPr="00013C77">
        <w:rPr>
          <w:iCs/>
        </w:rPr>
        <w:t>employment:</w:t>
      </w:r>
      <w:proofErr w:type="gramEnd"/>
      <w:r w:rsidRPr="00013C77">
        <w:rPr>
          <w:iCs/>
        </w:rPr>
        <w:t xml:space="preserve"> New evidence from South Africa.</w:t>
      </w:r>
      <w:r w:rsidRPr="00013C77">
        <w:t xml:space="preserve"> American Economic Review, 101(7), 3078–3108</w:t>
      </w:r>
    </w:p>
    <w:p w14:paraId="4D307DCD" w14:textId="77777777" w:rsidR="00750A2B" w:rsidRPr="00013C77" w:rsidRDefault="00750A2B" w:rsidP="00A60461">
      <w:pPr>
        <w:pStyle w:val="NormalWeb"/>
        <w:numPr>
          <w:ilvl w:val="0"/>
          <w:numId w:val="3"/>
        </w:numPr>
        <w:jc w:val="both"/>
      </w:pPr>
      <w:r w:rsidRPr="00013C77">
        <w:t xml:space="preserve">Grimm, M., Hartwig, R., &amp; Lay, J. (2013). </w:t>
      </w:r>
      <w:r w:rsidRPr="00013C77">
        <w:rPr>
          <w:iCs/>
        </w:rPr>
        <w:t xml:space="preserve">Electricity access and the performance of micro and small </w:t>
      </w:r>
      <w:proofErr w:type="gramStart"/>
      <w:r w:rsidRPr="00013C77">
        <w:rPr>
          <w:iCs/>
        </w:rPr>
        <w:t>enterprises:</w:t>
      </w:r>
      <w:proofErr w:type="gramEnd"/>
      <w:r w:rsidRPr="00013C77">
        <w:rPr>
          <w:iCs/>
        </w:rPr>
        <w:t xml:space="preserve"> Evidence from West Africa.</w:t>
      </w:r>
      <w:r w:rsidRPr="00013C77">
        <w:t xml:space="preserve"> World Bank Economic Review, 27(3), 456–476. </w:t>
      </w:r>
    </w:p>
    <w:p w14:paraId="58570307" w14:textId="77777777" w:rsidR="00750A2B" w:rsidRPr="00013C77" w:rsidRDefault="00750A2B" w:rsidP="00A60461">
      <w:pPr>
        <w:pStyle w:val="NormalWeb"/>
        <w:numPr>
          <w:ilvl w:val="0"/>
          <w:numId w:val="3"/>
        </w:numPr>
        <w:jc w:val="both"/>
      </w:pPr>
      <w:r w:rsidRPr="00013C77">
        <w:t xml:space="preserve">Grogan, L., &amp; Sadanand, A. (2013) Electrification and rural employment in poor </w:t>
      </w:r>
      <w:proofErr w:type="gramStart"/>
      <w:r w:rsidRPr="00013C77">
        <w:t>countries:</w:t>
      </w:r>
      <w:proofErr w:type="gramEnd"/>
      <w:r w:rsidRPr="00013C77">
        <w:t xml:space="preserve"> Evidence from Nicaragua World Development, 43, 252–265</w:t>
      </w:r>
    </w:p>
    <w:p w14:paraId="1D1C106B" w14:textId="77777777" w:rsidR="00750A2B" w:rsidRPr="00013C77" w:rsidRDefault="00750A2B" w:rsidP="00A60461">
      <w:pPr>
        <w:pStyle w:val="NormalWeb"/>
        <w:numPr>
          <w:ilvl w:val="0"/>
          <w:numId w:val="3"/>
        </w:numPr>
        <w:jc w:val="both"/>
      </w:pPr>
      <w:r w:rsidRPr="00013C77">
        <w:t xml:space="preserve">Khandker, S. R., Barnes, D. F., Samad, H. A., &amp; Minh, N. H. (2013). </w:t>
      </w:r>
      <w:r w:rsidRPr="00013C77">
        <w:rPr>
          <w:iCs/>
        </w:rPr>
        <w:t>Welfare impacts of rural electrification in Vietnam.</w:t>
      </w:r>
      <w:r w:rsidRPr="00013C77">
        <w:t xml:space="preserve"> Energy Journal, 34(2), 149–176</w:t>
      </w:r>
    </w:p>
    <w:p w14:paraId="58AE896C" w14:textId="77777777" w:rsidR="00750A2B" w:rsidRPr="00013C77" w:rsidRDefault="00750A2B" w:rsidP="00A60461">
      <w:pPr>
        <w:pStyle w:val="NormalWeb"/>
        <w:numPr>
          <w:ilvl w:val="0"/>
          <w:numId w:val="3"/>
        </w:numPr>
        <w:jc w:val="both"/>
      </w:pPr>
      <w:r w:rsidRPr="00013C77">
        <w:t>Kyriakarakos, G., Balafoutis, A. T., &amp; Bochtis, D. (2020) Proposing a paradigm shift in rural electrification investments in Sub‑Saharan Africa through agriculture Sustainability, 12(8), Article 3096</w:t>
      </w:r>
    </w:p>
    <w:p w14:paraId="3ADAE90C" w14:textId="77777777" w:rsidR="00750A2B" w:rsidRPr="00013C77" w:rsidRDefault="00750A2B" w:rsidP="00A60461">
      <w:pPr>
        <w:pStyle w:val="NormalWeb"/>
        <w:numPr>
          <w:ilvl w:val="0"/>
          <w:numId w:val="3"/>
        </w:numPr>
        <w:jc w:val="both"/>
      </w:pPr>
      <w:r w:rsidRPr="00013C77">
        <w:t>Leach, G. (1992) The energy transition Energy Policy, 20(2), 116–123</w:t>
      </w:r>
    </w:p>
    <w:p w14:paraId="7B2B5203" w14:textId="77777777" w:rsidR="00750A2B" w:rsidRPr="00013C77" w:rsidRDefault="00750A2B" w:rsidP="00A60461">
      <w:pPr>
        <w:pStyle w:val="NormalWeb"/>
        <w:numPr>
          <w:ilvl w:val="0"/>
          <w:numId w:val="3"/>
        </w:numPr>
        <w:jc w:val="both"/>
      </w:pPr>
      <w:r w:rsidRPr="00013C77">
        <w:t xml:space="preserve">Lee, K., Brewer, E., Christiano, C., Meyo, F., Miguel, E., Podolsky, M., Rosa, J., &amp; Wolfram, C. (2016). </w:t>
      </w:r>
      <w:r w:rsidRPr="00013C77">
        <w:rPr>
          <w:iCs/>
        </w:rPr>
        <w:t>Electrification for “Under Grid” households in rural Kenya.</w:t>
      </w:r>
      <w:r w:rsidRPr="00013C77">
        <w:t xml:space="preserve"> Development Engineering, 1, 26–35</w:t>
      </w:r>
    </w:p>
    <w:p w14:paraId="47F6496E" w14:textId="77777777" w:rsidR="00750A2B" w:rsidRPr="00013C77" w:rsidRDefault="00750A2B" w:rsidP="00A60461">
      <w:pPr>
        <w:pStyle w:val="NormalWeb"/>
        <w:numPr>
          <w:ilvl w:val="0"/>
          <w:numId w:val="3"/>
        </w:numPr>
        <w:jc w:val="both"/>
      </w:pPr>
      <w:r w:rsidRPr="00013C77">
        <w:t>Li, Z., Niu, S., Halleck Vega, S. M., Wang, J., Wang, D., &amp; Yang, X. (2024). Electrification and residential well‑being in China. Energy, 294</w:t>
      </w:r>
    </w:p>
    <w:p w14:paraId="4E6BE30B" w14:textId="77777777" w:rsidR="00750A2B" w:rsidRPr="00013C77" w:rsidRDefault="00750A2B" w:rsidP="00A60461">
      <w:pPr>
        <w:pStyle w:val="NormalWeb"/>
        <w:numPr>
          <w:ilvl w:val="0"/>
          <w:numId w:val="3"/>
        </w:numPr>
        <w:jc w:val="both"/>
      </w:pPr>
      <w:r w:rsidRPr="00013C77">
        <w:t xml:space="preserve">Lipscomb, M., Mobarak, A. M., &amp; Barham, T. (2013). </w:t>
      </w:r>
      <w:r w:rsidRPr="00013C77">
        <w:rPr>
          <w:iCs/>
        </w:rPr>
        <w:t xml:space="preserve">Development effects of </w:t>
      </w:r>
      <w:proofErr w:type="gramStart"/>
      <w:r w:rsidRPr="00013C77">
        <w:rPr>
          <w:iCs/>
        </w:rPr>
        <w:t>electrification:</w:t>
      </w:r>
      <w:proofErr w:type="gramEnd"/>
      <w:r w:rsidRPr="00013C77">
        <w:rPr>
          <w:iCs/>
        </w:rPr>
        <w:t xml:space="preserve"> Evidence from the Brazilian Amazon.</w:t>
      </w:r>
      <w:r w:rsidRPr="00013C77">
        <w:t xml:space="preserve"> American Economic </w:t>
      </w:r>
      <w:proofErr w:type="gramStart"/>
      <w:r w:rsidRPr="00013C77">
        <w:t>Journal:</w:t>
      </w:r>
      <w:proofErr w:type="gramEnd"/>
      <w:r w:rsidRPr="00013C77">
        <w:t xml:space="preserve"> Applied Economics, 5(2), 200–231. </w:t>
      </w:r>
    </w:p>
    <w:p w14:paraId="1BF1EDEC" w14:textId="77777777" w:rsidR="00750A2B" w:rsidRPr="00013C77" w:rsidRDefault="00750A2B" w:rsidP="00A60461">
      <w:pPr>
        <w:pStyle w:val="NormalWeb"/>
        <w:numPr>
          <w:ilvl w:val="0"/>
          <w:numId w:val="3"/>
        </w:numPr>
        <w:jc w:val="both"/>
      </w:pPr>
      <w:r w:rsidRPr="00013C77">
        <w:t xml:space="preserve">Mensah, J. T., Marbuah, G., &amp; Amoah, A. (2016). </w:t>
      </w:r>
      <w:r w:rsidRPr="00013C77">
        <w:rPr>
          <w:iCs/>
        </w:rPr>
        <w:t xml:space="preserve">Energy demand in </w:t>
      </w:r>
      <w:proofErr w:type="gramStart"/>
      <w:r w:rsidRPr="00013C77">
        <w:rPr>
          <w:iCs/>
        </w:rPr>
        <w:t>Ghana:</w:t>
      </w:r>
      <w:proofErr w:type="gramEnd"/>
      <w:r w:rsidRPr="00013C77">
        <w:rPr>
          <w:iCs/>
        </w:rPr>
        <w:t xml:space="preserve"> A disaggregated analysis.</w:t>
      </w:r>
      <w:r w:rsidRPr="00013C77">
        <w:t xml:space="preserve"> Renewable and Sustainable Energy Reviews, 53, 924–935</w:t>
      </w:r>
    </w:p>
    <w:p w14:paraId="2B4130CE" w14:textId="77777777" w:rsidR="00750A2B" w:rsidRPr="00013C77" w:rsidRDefault="00750A2B" w:rsidP="00A60461">
      <w:pPr>
        <w:pStyle w:val="NormalWeb"/>
        <w:numPr>
          <w:ilvl w:val="0"/>
          <w:numId w:val="3"/>
        </w:numPr>
        <w:jc w:val="both"/>
      </w:pPr>
      <w:r w:rsidRPr="00013C77">
        <w:t xml:space="preserve">Modigliani, F., &amp; Brumberg, R. (1954) Utility analysis and the consumption </w:t>
      </w:r>
      <w:proofErr w:type="gramStart"/>
      <w:r w:rsidRPr="00013C77">
        <w:t>function:</w:t>
      </w:r>
      <w:proofErr w:type="gramEnd"/>
      <w:r w:rsidRPr="00013C77">
        <w:t xml:space="preserve"> An interpretation of cross‑section data Rutgers University Press</w:t>
      </w:r>
    </w:p>
    <w:p w14:paraId="7EFA1FE8" w14:textId="77777777" w:rsidR="00750A2B" w:rsidRPr="00013C77" w:rsidRDefault="00750A2B" w:rsidP="00A60461">
      <w:pPr>
        <w:pStyle w:val="NormalWeb"/>
        <w:numPr>
          <w:ilvl w:val="0"/>
          <w:numId w:val="3"/>
        </w:numPr>
        <w:jc w:val="both"/>
      </w:pPr>
      <w:r w:rsidRPr="00013C77">
        <w:t xml:space="preserve">Peters, J., &amp; Wolfram, C. (2021). </w:t>
      </w:r>
      <w:r w:rsidRPr="00013C77">
        <w:rPr>
          <w:iCs/>
        </w:rPr>
        <w:t xml:space="preserve">Energy and economic </w:t>
      </w:r>
      <w:proofErr w:type="gramStart"/>
      <w:r w:rsidRPr="00013C77">
        <w:rPr>
          <w:iCs/>
        </w:rPr>
        <w:t>development:</w:t>
      </w:r>
      <w:proofErr w:type="gramEnd"/>
      <w:r w:rsidRPr="00013C77">
        <w:rPr>
          <w:iCs/>
        </w:rPr>
        <w:t xml:space="preserve"> A review.</w:t>
      </w:r>
      <w:r w:rsidRPr="00013C77">
        <w:t xml:space="preserve"> Annual Review of Economics, 13, 503–530</w:t>
      </w:r>
    </w:p>
    <w:p w14:paraId="5CA6F5A6" w14:textId="77777777" w:rsidR="00750A2B" w:rsidRPr="00013C77" w:rsidRDefault="00750A2B" w:rsidP="00A60461">
      <w:pPr>
        <w:pStyle w:val="NormalWeb"/>
        <w:numPr>
          <w:ilvl w:val="0"/>
          <w:numId w:val="3"/>
        </w:numPr>
        <w:jc w:val="both"/>
      </w:pPr>
      <w:r w:rsidRPr="00013C77">
        <w:t>Sen, A. (1985) Commodities and Capabilities North‑Holland</w:t>
      </w:r>
    </w:p>
    <w:p w14:paraId="0C2AD094" w14:textId="77777777" w:rsidR="00750A2B" w:rsidRPr="00013C77" w:rsidRDefault="00750A2B" w:rsidP="00A60461">
      <w:pPr>
        <w:pStyle w:val="NormalWeb"/>
        <w:numPr>
          <w:ilvl w:val="0"/>
          <w:numId w:val="3"/>
        </w:numPr>
        <w:jc w:val="both"/>
      </w:pPr>
      <w:r w:rsidRPr="00013C77">
        <w:t>Sen, A. (1999) Development as freedom Oxford University Press</w:t>
      </w:r>
    </w:p>
    <w:p w14:paraId="61906720" w14:textId="77777777" w:rsidR="00750A2B" w:rsidRPr="00013C77" w:rsidRDefault="00750A2B" w:rsidP="00A60461">
      <w:pPr>
        <w:pStyle w:val="NormalWeb"/>
        <w:numPr>
          <w:ilvl w:val="0"/>
          <w:numId w:val="3"/>
        </w:numPr>
        <w:jc w:val="both"/>
      </w:pPr>
      <w:r w:rsidRPr="00013C77">
        <w:t xml:space="preserve">Sovacool, B. K., &amp; Mukherjee, I. (2011). </w:t>
      </w:r>
      <w:r w:rsidRPr="00013C77">
        <w:rPr>
          <w:iCs/>
        </w:rPr>
        <w:t xml:space="preserve">Conceptualizing and measuring energy </w:t>
      </w:r>
      <w:proofErr w:type="gramStart"/>
      <w:r w:rsidRPr="00013C77">
        <w:rPr>
          <w:iCs/>
        </w:rPr>
        <w:t>security:</w:t>
      </w:r>
      <w:proofErr w:type="gramEnd"/>
      <w:r w:rsidRPr="00013C77">
        <w:rPr>
          <w:iCs/>
        </w:rPr>
        <w:t xml:space="preserve"> A synthesized approach.</w:t>
      </w:r>
      <w:r w:rsidRPr="00013C77">
        <w:t xml:space="preserve"> Energy, 36(8), 5343–5355</w:t>
      </w:r>
    </w:p>
    <w:p w14:paraId="7BD11AA7" w14:textId="77777777" w:rsidR="00750A2B" w:rsidRPr="00013C77" w:rsidRDefault="00750A2B" w:rsidP="00A60461">
      <w:pPr>
        <w:pStyle w:val="NormalWeb"/>
        <w:numPr>
          <w:ilvl w:val="0"/>
          <w:numId w:val="3"/>
        </w:numPr>
        <w:jc w:val="both"/>
      </w:pPr>
      <w:r w:rsidRPr="00013C77">
        <w:t xml:space="preserve">Tumwebaze, I. K., &amp; Oort, F. J. (2022). </w:t>
      </w:r>
      <w:r w:rsidRPr="00013C77">
        <w:rPr>
          <w:iCs/>
        </w:rPr>
        <w:t xml:space="preserve">Socioeconomic inequalities in children's nutritional status in the Democratic Republic of </w:t>
      </w:r>
      <w:proofErr w:type="gramStart"/>
      <w:r w:rsidRPr="00013C77">
        <w:rPr>
          <w:iCs/>
        </w:rPr>
        <w:t>Congo:</w:t>
      </w:r>
      <w:proofErr w:type="gramEnd"/>
      <w:r w:rsidRPr="00013C77">
        <w:rPr>
          <w:iCs/>
        </w:rPr>
        <w:t xml:space="preserve"> Analysis of nationally representative survey data.</w:t>
      </w:r>
      <w:r w:rsidRPr="00013C77">
        <w:t xml:space="preserve"> BMC Public Health, 22, 1234</w:t>
      </w:r>
    </w:p>
    <w:p w14:paraId="1FF86551" w14:textId="77777777" w:rsidR="00750A2B" w:rsidRPr="00013C77" w:rsidRDefault="00750A2B" w:rsidP="00A60461">
      <w:pPr>
        <w:pStyle w:val="NormalWeb"/>
        <w:numPr>
          <w:ilvl w:val="0"/>
          <w:numId w:val="3"/>
        </w:numPr>
        <w:jc w:val="both"/>
      </w:pPr>
      <w:r w:rsidRPr="00013C77">
        <w:t xml:space="preserve">UNICEF. (2019). </w:t>
      </w:r>
      <w:r w:rsidRPr="00013C77">
        <w:rPr>
          <w:iCs/>
        </w:rPr>
        <w:t>Multiple Indicator Cluster Survey (MICS6) 2017–</w:t>
      </w:r>
      <w:proofErr w:type="gramStart"/>
      <w:r w:rsidRPr="00013C77">
        <w:rPr>
          <w:iCs/>
        </w:rPr>
        <w:t>2018:</w:t>
      </w:r>
      <w:proofErr w:type="gramEnd"/>
      <w:r w:rsidRPr="00013C77">
        <w:rPr>
          <w:iCs/>
        </w:rPr>
        <w:t xml:space="preserve"> Survey Findings Report.</w:t>
      </w:r>
      <w:r w:rsidRPr="00013C77">
        <w:t xml:space="preserve"> UNICEF </w:t>
      </w:r>
    </w:p>
    <w:p w14:paraId="17539697" w14:textId="77777777" w:rsidR="00750A2B" w:rsidRPr="00013C77" w:rsidRDefault="00750A2B" w:rsidP="00A60461">
      <w:pPr>
        <w:pStyle w:val="NormalWeb"/>
        <w:numPr>
          <w:ilvl w:val="0"/>
          <w:numId w:val="3"/>
        </w:numPr>
        <w:jc w:val="both"/>
      </w:pPr>
      <w:r w:rsidRPr="00013C77">
        <w:t>World Bank (2017) State of electricity access report (SEAR) World Bank Group</w:t>
      </w:r>
    </w:p>
    <w:p w14:paraId="7CC4E13D" w14:textId="77777777" w:rsidR="00750A2B" w:rsidRPr="00013C77" w:rsidRDefault="00750A2B" w:rsidP="00A60461">
      <w:pPr>
        <w:pStyle w:val="NormalWeb"/>
        <w:numPr>
          <w:ilvl w:val="0"/>
          <w:numId w:val="3"/>
        </w:numPr>
        <w:jc w:val="both"/>
      </w:pPr>
      <w:r w:rsidRPr="00013C77">
        <w:t xml:space="preserve">World Bank. (2018). </w:t>
      </w:r>
      <w:r w:rsidRPr="00013C77">
        <w:rPr>
          <w:iCs/>
        </w:rPr>
        <w:t>Tracking SDG</w:t>
      </w:r>
      <w:proofErr w:type="gramStart"/>
      <w:r w:rsidRPr="00013C77">
        <w:rPr>
          <w:iCs/>
        </w:rPr>
        <w:t>7:</w:t>
      </w:r>
      <w:proofErr w:type="gramEnd"/>
      <w:r w:rsidRPr="00013C77">
        <w:rPr>
          <w:iCs/>
        </w:rPr>
        <w:t xml:space="preserve"> The Energy Progress Report 2018.</w:t>
      </w:r>
      <w:r w:rsidRPr="00013C77">
        <w:t xml:space="preserve"> World Bank Group </w:t>
      </w:r>
    </w:p>
    <w:p w14:paraId="2801DED1" w14:textId="77777777" w:rsidR="00750A2B" w:rsidRPr="00013C77" w:rsidRDefault="00750A2B" w:rsidP="00A60461">
      <w:pPr>
        <w:pStyle w:val="NormalWeb"/>
        <w:numPr>
          <w:ilvl w:val="0"/>
          <w:numId w:val="3"/>
        </w:numPr>
        <w:jc w:val="both"/>
      </w:pPr>
      <w:r w:rsidRPr="00013C77">
        <w:t xml:space="preserve">World Bank. (2019). </w:t>
      </w:r>
      <w:r w:rsidRPr="00013C77">
        <w:rPr>
          <w:iCs/>
        </w:rPr>
        <w:t xml:space="preserve">Electricity access in Sub-Saharan </w:t>
      </w:r>
      <w:proofErr w:type="gramStart"/>
      <w:r w:rsidRPr="00013C77">
        <w:rPr>
          <w:iCs/>
        </w:rPr>
        <w:t>Africa:</w:t>
      </w:r>
      <w:proofErr w:type="gramEnd"/>
      <w:r w:rsidRPr="00013C77">
        <w:rPr>
          <w:iCs/>
        </w:rPr>
        <w:t xml:space="preserve"> Challenges and drivers.</w:t>
      </w:r>
      <w:r w:rsidRPr="00013C77">
        <w:t xml:space="preserve"> World Bank Group </w:t>
      </w:r>
    </w:p>
    <w:p w14:paraId="6ACDC2ED" w14:textId="77777777" w:rsidR="00750A2B" w:rsidRPr="00013C77" w:rsidRDefault="00750A2B" w:rsidP="00A60461">
      <w:pPr>
        <w:pStyle w:val="NormalWeb"/>
        <w:numPr>
          <w:ilvl w:val="0"/>
          <w:numId w:val="3"/>
        </w:numPr>
        <w:jc w:val="both"/>
      </w:pPr>
      <w:r w:rsidRPr="00013C77">
        <w:t xml:space="preserve">World Bank. (2021). </w:t>
      </w:r>
      <w:r w:rsidRPr="00013C77">
        <w:rPr>
          <w:iCs/>
        </w:rPr>
        <w:t>Tracking SDG</w:t>
      </w:r>
      <w:proofErr w:type="gramStart"/>
      <w:r w:rsidRPr="00013C77">
        <w:rPr>
          <w:iCs/>
        </w:rPr>
        <w:t>7:</w:t>
      </w:r>
      <w:proofErr w:type="gramEnd"/>
      <w:r w:rsidRPr="00013C77">
        <w:rPr>
          <w:iCs/>
        </w:rPr>
        <w:t xml:space="preserve"> The Energy Progress Report 2021.</w:t>
      </w:r>
      <w:r w:rsidRPr="00013C77">
        <w:t xml:space="preserve"> World Bank Group  </w:t>
      </w:r>
    </w:p>
    <w:p w14:paraId="72BBF77B" w14:textId="77777777" w:rsidR="00750A2B" w:rsidRPr="00013C77" w:rsidRDefault="00750A2B" w:rsidP="00A60461">
      <w:pPr>
        <w:pStyle w:val="NormalWeb"/>
        <w:numPr>
          <w:ilvl w:val="0"/>
          <w:numId w:val="3"/>
        </w:numPr>
        <w:jc w:val="both"/>
      </w:pPr>
      <w:r w:rsidRPr="00013C77">
        <w:t xml:space="preserve">World Bank. (2023). </w:t>
      </w:r>
      <w:r w:rsidRPr="00013C77">
        <w:rPr>
          <w:iCs/>
        </w:rPr>
        <w:t xml:space="preserve">Democratic Republic of Congo Economic </w:t>
      </w:r>
      <w:proofErr w:type="gramStart"/>
      <w:r w:rsidRPr="00013C77">
        <w:rPr>
          <w:iCs/>
        </w:rPr>
        <w:t>Update:</w:t>
      </w:r>
      <w:proofErr w:type="gramEnd"/>
      <w:r w:rsidRPr="00013C77">
        <w:rPr>
          <w:iCs/>
        </w:rPr>
        <w:t xml:space="preserve"> Strengthening Resilience.</w:t>
      </w:r>
      <w:r w:rsidRPr="00013C77">
        <w:t xml:space="preserve"> World Bank Group</w:t>
      </w:r>
    </w:p>
    <w:p w14:paraId="6E3E4726" w14:textId="6734B8DE" w:rsidR="00000920" w:rsidRPr="002306A4" w:rsidRDefault="00000920" w:rsidP="008B4F58">
      <w:pPr>
        <w:pStyle w:val="NormalWeb"/>
        <w:ind w:left="567" w:hanging="567"/>
        <w:jc w:val="both"/>
      </w:pPr>
    </w:p>
    <w:sectPr w:rsidR="00000920" w:rsidRPr="002306A4" w:rsidSect="00F711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2F867" w14:textId="77777777" w:rsidR="00E33F1D" w:rsidRDefault="00E33F1D" w:rsidP="0057653B">
      <w:pPr>
        <w:spacing w:after="0" w:line="240" w:lineRule="auto"/>
      </w:pPr>
      <w:r>
        <w:separator/>
      </w:r>
    </w:p>
  </w:endnote>
  <w:endnote w:type="continuationSeparator" w:id="0">
    <w:p w14:paraId="6BBB2D90" w14:textId="77777777" w:rsidR="00E33F1D" w:rsidRDefault="00E33F1D" w:rsidP="00576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71418" w14:textId="77777777" w:rsidR="00B01733" w:rsidRDefault="00B01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D524C" w14:textId="77777777" w:rsidR="00B01733" w:rsidRDefault="00B01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B890C" w14:textId="77777777" w:rsidR="00B01733" w:rsidRDefault="00B01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6144F" w14:textId="77777777" w:rsidR="00E33F1D" w:rsidRDefault="00E33F1D" w:rsidP="0057653B">
      <w:pPr>
        <w:spacing w:after="0" w:line="240" w:lineRule="auto"/>
      </w:pPr>
      <w:r>
        <w:separator/>
      </w:r>
    </w:p>
  </w:footnote>
  <w:footnote w:type="continuationSeparator" w:id="0">
    <w:p w14:paraId="23AC75B6" w14:textId="77777777" w:rsidR="00E33F1D" w:rsidRDefault="00E33F1D" w:rsidP="00576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79E9C" w14:textId="2C010A05" w:rsidR="00B01733" w:rsidRDefault="00E33F1D">
    <w:pPr>
      <w:pStyle w:val="Header"/>
    </w:pPr>
    <w:r>
      <w:rPr>
        <w:noProof/>
      </w:rPr>
      <w:pict w14:anchorId="31C34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52438"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3A8FE" w14:textId="2D855544" w:rsidR="00B01733" w:rsidRDefault="00E33F1D">
    <w:pPr>
      <w:pStyle w:val="Header"/>
    </w:pPr>
    <w:r>
      <w:rPr>
        <w:noProof/>
      </w:rPr>
      <w:pict w14:anchorId="4419D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52439"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7852" w14:textId="19CC5DF6" w:rsidR="00B01733" w:rsidRDefault="00E33F1D">
    <w:pPr>
      <w:pStyle w:val="Header"/>
    </w:pPr>
    <w:r>
      <w:rPr>
        <w:noProof/>
      </w:rPr>
      <w:pict w14:anchorId="1AFA9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52437"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25EEE"/>
    <w:multiLevelType w:val="hybridMultilevel"/>
    <w:tmpl w:val="1416D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A40956"/>
    <w:multiLevelType w:val="multilevel"/>
    <w:tmpl w:val="C568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152918"/>
    <w:multiLevelType w:val="multilevel"/>
    <w:tmpl w:val="11E010F0"/>
    <w:lvl w:ilvl="0">
      <w:start w:val="1"/>
      <w:numFmt w:val="decimal"/>
      <w:lvlText w:val="%1."/>
      <w:lvlJc w:val="left"/>
      <w:pPr>
        <w:ind w:left="1065" w:hanging="705"/>
      </w:pPr>
      <w:rPr>
        <w:rFonts w:hint="default"/>
      </w:rPr>
    </w:lvl>
    <w:lvl w:ilvl="1">
      <w:start w:val="1"/>
      <w:numFmt w:val="decimal"/>
      <w:isLgl/>
      <w:lvlText w:val="%1.%2."/>
      <w:lvlJc w:val="left"/>
      <w:pPr>
        <w:ind w:left="1125" w:hanging="765"/>
      </w:pPr>
      <w:rPr>
        <w:rFonts w:hint="default"/>
      </w:rPr>
    </w:lvl>
    <w:lvl w:ilvl="2">
      <w:start w:val="1"/>
      <w:numFmt w:val="decimal"/>
      <w:isLgl/>
      <w:lvlText w:val="%1.%2.%3."/>
      <w:lvlJc w:val="left"/>
      <w:pPr>
        <w:ind w:left="1125" w:hanging="765"/>
      </w:pPr>
      <w:rPr>
        <w:rFonts w:hint="default"/>
      </w:rPr>
    </w:lvl>
    <w:lvl w:ilvl="3">
      <w:start w:val="1"/>
      <w:numFmt w:val="decimal"/>
      <w:isLgl/>
      <w:lvlText w:val="%1.%2.%3.%4."/>
      <w:lvlJc w:val="left"/>
      <w:pPr>
        <w:ind w:left="1125" w:hanging="76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31B"/>
    <w:rsid w:val="000008C1"/>
    <w:rsid w:val="00000920"/>
    <w:rsid w:val="00007C2E"/>
    <w:rsid w:val="00013C77"/>
    <w:rsid w:val="00037BCB"/>
    <w:rsid w:val="00043056"/>
    <w:rsid w:val="00044A35"/>
    <w:rsid w:val="00075FE7"/>
    <w:rsid w:val="000946E9"/>
    <w:rsid w:val="000A17F1"/>
    <w:rsid w:val="000B3968"/>
    <w:rsid w:val="000D6FDF"/>
    <w:rsid w:val="00124C07"/>
    <w:rsid w:val="002306A4"/>
    <w:rsid w:val="00231318"/>
    <w:rsid w:val="0023430A"/>
    <w:rsid w:val="00241D0F"/>
    <w:rsid w:val="00244F75"/>
    <w:rsid w:val="00275E15"/>
    <w:rsid w:val="00294CEA"/>
    <w:rsid w:val="002A6EC5"/>
    <w:rsid w:val="002D7883"/>
    <w:rsid w:val="002E1B4C"/>
    <w:rsid w:val="002F03E1"/>
    <w:rsid w:val="002F5D59"/>
    <w:rsid w:val="00305C86"/>
    <w:rsid w:val="00330C06"/>
    <w:rsid w:val="0036017A"/>
    <w:rsid w:val="003D3D22"/>
    <w:rsid w:val="003E3B67"/>
    <w:rsid w:val="003E65B5"/>
    <w:rsid w:val="00406816"/>
    <w:rsid w:val="0042135F"/>
    <w:rsid w:val="00447D0E"/>
    <w:rsid w:val="004610BA"/>
    <w:rsid w:val="00497088"/>
    <w:rsid w:val="004D0336"/>
    <w:rsid w:val="00500463"/>
    <w:rsid w:val="00541499"/>
    <w:rsid w:val="00556B39"/>
    <w:rsid w:val="005615BE"/>
    <w:rsid w:val="005642AE"/>
    <w:rsid w:val="00571297"/>
    <w:rsid w:val="00572186"/>
    <w:rsid w:val="0057653B"/>
    <w:rsid w:val="00593336"/>
    <w:rsid w:val="005A19F9"/>
    <w:rsid w:val="005B17D6"/>
    <w:rsid w:val="005B4CDD"/>
    <w:rsid w:val="005D7100"/>
    <w:rsid w:val="0060342C"/>
    <w:rsid w:val="00613E79"/>
    <w:rsid w:val="006223BB"/>
    <w:rsid w:val="00626436"/>
    <w:rsid w:val="00634BAE"/>
    <w:rsid w:val="00647788"/>
    <w:rsid w:val="00652A31"/>
    <w:rsid w:val="0066655E"/>
    <w:rsid w:val="00672806"/>
    <w:rsid w:val="006951E4"/>
    <w:rsid w:val="00695D9D"/>
    <w:rsid w:val="006C30B4"/>
    <w:rsid w:val="006D0515"/>
    <w:rsid w:val="006D7AD5"/>
    <w:rsid w:val="006E5F11"/>
    <w:rsid w:val="006F2933"/>
    <w:rsid w:val="00716F81"/>
    <w:rsid w:val="00733B72"/>
    <w:rsid w:val="00747A69"/>
    <w:rsid w:val="00750A2B"/>
    <w:rsid w:val="00794C56"/>
    <w:rsid w:val="007A3BFD"/>
    <w:rsid w:val="007A4D91"/>
    <w:rsid w:val="007B3453"/>
    <w:rsid w:val="007B7FFE"/>
    <w:rsid w:val="0082420A"/>
    <w:rsid w:val="00827B1C"/>
    <w:rsid w:val="00845661"/>
    <w:rsid w:val="00855294"/>
    <w:rsid w:val="008564AD"/>
    <w:rsid w:val="008A71EF"/>
    <w:rsid w:val="008B0EDD"/>
    <w:rsid w:val="008B4F58"/>
    <w:rsid w:val="008C4DB9"/>
    <w:rsid w:val="008F06F0"/>
    <w:rsid w:val="00910F92"/>
    <w:rsid w:val="009265DF"/>
    <w:rsid w:val="00936C2C"/>
    <w:rsid w:val="00944823"/>
    <w:rsid w:val="009875C9"/>
    <w:rsid w:val="009D6CE0"/>
    <w:rsid w:val="009E27EA"/>
    <w:rsid w:val="009E7DF3"/>
    <w:rsid w:val="009F0904"/>
    <w:rsid w:val="009F2FCC"/>
    <w:rsid w:val="00A02272"/>
    <w:rsid w:val="00A03344"/>
    <w:rsid w:val="00A3167F"/>
    <w:rsid w:val="00A33434"/>
    <w:rsid w:val="00A50F3B"/>
    <w:rsid w:val="00A60461"/>
    <w:rsid w:val="00AA17A9"/>
    <w:rsid w:val="00AA3F1F"/>
    <w:rsid w:val="00AB22D9"/>
    <w:rsid w:val="00AB505A"/>
    <w:rsid w:val="00AE18F6"/>
    <w:rsid w:val="00B01733"/>
    <w:rsid w:val="00B25DA6"/>
    <w:rsid w:val="00B4728F"/>
    <w:rsid w:val="00B6695F"/>
    <w:rsid w:val="00B82515"/>
    <w:rsid w:val="00B95B03"/>
    <w:rsid w:val="00BB2E5D"/>
    <w:rsid w:val="00BC1C47"/>
    <w:rsid w:val="00BD32EC"/>
    <w:rsid w:val="00BE15BA"/>
    <w:rsid w:val="00BE302E"/>
    <w:rsid w:val="00BF6468"/>
    <w:rsid w:val="00C267E5"/>
    <w:rsid w:val="00C36D94"/>
    <w:rsid w:val="00C74734"/>
    <w:rsid w:val="00C90848"/>
    <w:rsid w:val="00CA324A"/>
    <w:rsid w:val="00CB1421"/>
    <w:rsid w:val="00CB6A3F"/>
    <w:rsid w:val="00CE4733"/>
    <w:rsid w:val="00CF053B"/>
    <w:rsid w:val="00D04494"/>
    <w:rsid w:val="00D326E4"/>
    <w:rsid w:val="00D67366"/>
    <w:rsid w:val="00D716B6"/>
    <w:rsid w:val="00D81767"/>
    <w:rsid w:val="00D84D5E"/>
    <w:rsid w:val="00DE40C9"/>
    <w:rsid w:val="00E05FDD"/>
    <w:rsid w:val="00E16A77"/>
    <w:rsid w:val="00E20535"/>
    <w:rsid w:val="00E33F1D"/>
    <w:rsid w:val="00E342FF"/>
    <w:rsid w:val="00E368C1"/>
    <w:rsid w:val="00E519A1"/>
    <w:rsid w:val="00E603CF"/>
    <w:rsid w:val="00EE524D"/>
    <w:rsid w:val="00EF4A63"/>
    <w:rsid w:val="00F03F67"/>
    <w:rsid w:val="00F20BDF"/>
    <w:rsid w:val="00F35BA3"/>
    <w:rsid w:val="00F41CC5"/>
    <w:rsid w:val="00F62F1D"/>
    <w:rsid w:val="00F711C9"/>
    <w:rsid w:val="00FC1380"/>
    <w:rsid w:val="00FD436F"/>
    <w:rsid w:val="00FE1EB4"/>
    <w:rsid w:val="00FE331B"/>
    <w:rsid w:val="00FE3A33"/>
    <w:rsid w:val="00FE73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72C4AE"/>
  <w15:chartTrackingRefBased/>
  <w15:docId w15:val="{F962EA07-36B8-4810-BA93-6E7451D9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3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817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31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765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7653B"/>
  </w:style>
  <w:style w:type="paragraph" w:styleId="Footer">
    <w:name w:val="footer"/>
    <w:basedOn w:val="Normal"/>
    <w:link w:val="FooterChar"/>
    <w:uiPriority w:val="99"/>
    <w:unhideWhenUsed/>
    <w:rsid w:val="005765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653B"/>
  </w:style>
  <w:style w:type="paragraph" w:styleId="NormalWeb">
    <w:name w:val="Normal (Web)"/>
    <w:basedOn w:val="Normal"/>
    <w:uiPriority w:val="99"/>
    <w:semiHidden/>
    <w:unhideWhenUsed/>
    <w:rsid w:val="00124C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124C07"/>
    <w:rPr>
      <w:i/>
      <w:iCs/>
    </w:rPr>
  </w:style>
  <w:style w:type="character" w:customStyle="1" w:styleId="Heading3Char">
    <w:name w:val="Heading 3 Char"/>
    <w:basedOn w:val="DefaultParagraphFont"/>
    <w:link w:val="Heading3"/>
    <w:uiPriority w:val="9"/>
    <w:semiHidden/>
    <w:rsid w:val="00D81767"/>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D81767"/>
    <w:rPr>
      <w:b/>
      <w:bCs/>
    </w:rPr>
  </w:style>
  <w:style w:type="paragraph" w:styleId="ListParagraph">
    <w:name w:val="List Paragraph"/>
    <w:basedOn w:val="Normal"/>
    <w:uiPriority w:val="34"/>
    <w:qFormat/>
    <w:rsid w:val="00613E79"/>
    <w:pPr>
      <w:ind w:left="720"/>
      <w:contextualSpacing/>
    </w:pPr>
  </w:style>
  <w:style w:type="character" w:styleId="Hyperlink">
    <w:name w:val="Hyperlink"/>
    <w:basedOn w:val="DefaultParagraphFont"/>
    <w:uiPriority w:val="99"/>
    <w:unhideWhenUsed/>
    <w:rsid w:val="00F62F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6079">
      <w:bodyDiv w:val="1"/>
      <w:marLeft w:val="0"/>
      <w:marRight w:val="0"/>
      <w:marTop w:val="0"/>
      <w:marBottom w:val="0"/>
      <w:divBdr>
        <w:top w:val="none" w:sz="0" w:space="0" w:color="auto"/>
        <w:left w:val="none" w:sz="0" w:space="0" w:color="auto"/>
        <w:bottom w:val="none" w:sz="0" w:space="0" w:color="auto"/>
        <w:right w:val="none" w:sz="0" w:space="0" w:color="auto"/>
      </w:divBdr>
    </w:div>
    <w:div w:id="40136566">
      <w:bodyDiv w:val="1"/>
      <w:marLeft w:val="0"/>
      <w:marRight w:val="0"/>
      <w:marTop w:val="0"/>
      <w:marBottom w:val="0"/>
      <w:divBdr>
        <w:top w:val="none" w:sz="0" w:space="0" w:color="auto"/>
        <w:left w:val="none" w:sz="0" w:space="0" w:color="auto"/>
        <w:bottom w:val="none" w:sz="0" w:space="0" w:color="auto"/>
        <w:right w:val="none" w:sz="0" w:space="0" w:color="auto"/>
      </w:divBdr>
    </w:div>
    <w:div w:id="168176517">
      <w:bodyDiv w:val="1"/>
      <w:marLeft w:val="0"/>
      <w:marRight w:val="0"/>
      <w:marTop w:val="0"/>
      <w:marBottom w:val="0"/>
      <w:divBdr>
        <w:top w:val="none" w:sz="0" w:space="0" w:color="auto"/>
        <w:left w:val="none" w:sz="0" w:space="0" w:color="auto"/>
        <w:bottom w:val="none" w:sz="0" w:space="0" w:color="auto"/>
        <w:right w:val="none" w:sz="0" w:space="0" w:color="auto"/>
      </w:divBdr>
    </w:div>
    <w:div w:id="256719008">
      <w:bodyDiv w:val="1"/>
      <w:marLeft w:val="0"/>
      <w:marRight w:val="0"/>
      <w:marTop w:val="0"/>
      <w:marBottom w:val="0"/>
      <w:divBdr>
        <w:top w:val="none" w:sz="0" w:space="0" w:color="auto"/>
        <w:left w:val="none" w:sz="0" w:space="0" w:color="auto"/>
        <w:bottom w:val="none" w:sz="0" w:space="0" w:color="auto"/>
        <w:right w:val="none" w:sz="0" w:space="0" w:color="auto"/>
      </w:divBdr>
    </w:div>
    <w:div w:id="433136264">
      <w:bodyDiv w:val="1"/>
      <w:marLeft w:val="0"/>
      <w:marRight w:val="0"/>
      <w:marTop w:val="0"/>
      <w:marBottom w:val="0"/>
      <w:divBdr>
        <w:top w:val="none" w:sz="0" w:space="0" w:color="auto"/>
        <w:left w:val="none" w:sz="0" w:space="0" w:color="auto"/>
        <w:bottom w:val="none" w:sz="0" w:space="0" w:color="auto"/>
        <w:right w:val="none" w:sz="0" w:space="0" w:color="auto"/>
      </w:divBdr>
    </w:div>
    <w:div w:id="438330732">
      <w:bodyDiv w:val="1"/>
      <w:marLeft w:val="0"/>
      <w:marRight w:val="0"/>
      <w:marTop w:val="0"/>
      <w:marBottom w:val="0"/>
      <w:divBdr>
        <w:top w:val="none" w:sz="0" w:space="0" w:color="auto"/>
        <w:left w:val="none" w:sz="0" w:space="0" w:color="auto"/>
        <w:bottom w:val="none" w:sz="0" w:space="0" w:color="auto"/>
        <w:right w:val="none" w:sz="0" w:space="0" w:color="auto"/>
      </w:divBdr>
    </w:div>
    <w:div w:id="529690313">
      <w:bodyDiv w:val="1"/>
      <w:marLeft w:val="0"/>
      <w:marRight w:val="0"/>
      <w:marTop w:val="0"/>
      <w:marBottom w:val="0"/>
      <w:divBdr>
        <w:top w:val="none" w:sz="0" w:space="0" w:color="auto"/>
        <w:left w:val="none" w:sz="0" w:space="0" w:color="auto"/>
        <w:bottom w:val="none" w:sz="0" w:space="0" w:color="auto"/>
        <w:right w:val="none" w:sz="0" w:space="0" w:color="auto"/>
      </w:divBdr>
    </w:div>
    <w:div w:id="685641419">
      <w:bodyDiv w:val="1"/>
      <w:marLeft w:val="0"/>
      <w:marRight w:val="0"/>
      <w:marTop w:val="0"/>
      <w:marBottom w:val="0"/>
      <w:divBdr>
        <w:top w:val="none" w:sz="0" w:space="0" w:color="auto"/>
        <w:left w:val="none" w:sz="0" w:space="0" w:color="auto"/>
        <w:bottom w:val="none" w:sz="0" w:space="0" w:color="auto"/>
        <w:right w:val="none" w:sz="0" w:space="0" w:color="auto"/>
      </w:divBdr>
    </w:div>
    <w:div w:id="759985718">
      <w:bodyDiv w:val="1"/>
      <w:marLeft w:val="0"/>
      <w:marRight w:val="0"/>
      <w:marTop w:val="0"/>
      <w:marBottom w:val="0"/>
      <w:divBdr>
        <w:top w:val="none" w:sz="0" w:space="0" w:color="auto"/>
        <w:left w:val="none" w:sz="0" w:space="0" w:color="auto"/>
        <w:bottom w:val="none" w:sz="0" w:space="0" w:color="auto"/>
        <w:right w:val="none" w:sz="0" w:space="0" w:color="auto"/>
      </w:divBdr>
    </w:div>
    <w:div w:id="874852526">
      <w:bodyDiv w:val="1"/>
      <w:marLeft w:val="0"/>
      <w:marRight w:val="0"/>
      <w:marTop w:val="0"/>
      <w:marBottom w:val="0"/>
      <w:divBdr>
        <w:top w:val="none" w:sz="0" w:space="0" w:color="auto"/>
        <w:left w:val="none" w:sz="0" w:space="0" w:color="auto"/>
        <w:bottom w:val="none" w:sz="0" w:space="0" w:color="auto"/>
        <w:right w:val="none" w:sz="0" w:space="0" w:color="auto"/>
      </w:divBdr>
    </w:div>
    <w:div w:id="901410396">
      <w:bodyDiv w:val="1"/>
      <w:marLeft w:val="0"/>
      <w:marRight w:val="0"/>
      <w:marTop w:val="0"/>
      <w:marBottom w:val="0"/>
      <w:divBdr>
        <w:top w:val="none" w:sz="0" w:space="0" w:color="auto"/>
        <w:left w:val="none" w:sz="0" w:space="0" w:color="auto"/>
        <w:bottom w:val="none" w:sz="0" w:space="0" w:color="auto"/>
        <w:right w:val="none" w:sz="0" w:space="0" w:color="auto"/>
      </w:divBdr>
    </w:div>
    <w:div w:id="983124940">
      <w:bodyDiv w:val="1"/>
      <w:marLeft w:val="0"/>
      <w:marRight w:val="0"/>
      <w:marTop w:val="0"/>
      <w:marBottom w:val="0"/>
      <w:divBdr>
        <w:top w:val="none" w:sz="0" w:space="0" w:color="auto"/>
        <w:left w:val="none" w:sz="0" w:space="0" w:color="auto"/>
        <w:bottom w:val="none" w:sz="0" w:space="0" w:color="auto"/>
        <w:right w:val="none" w:sz="0" w:space="0" w:color="auto"/>
      </w:divBdr>
    </w:div>
    <w:div w:id="988022333">
      <w:bodyDiv w:val="1"/>
      <w:marLeft w:val="0"/>
      <w:marRight w:val="0"/>
      <w:marTop w:val="0"/>
      <w:marBottom w:val="0"/>
      <w:divBdr>
        <w:top w:val="none" w:sz="0" w:space="0" w:color="auto"/>
        <w:left w:val="none" w:sz="0" w:space="0" w:color="auto"/>
        <w:bottom w:val="none" w:sz="0" w:space="0" w:color="auto"/>
        <w:right w:val="none" w:sz="0" w:space="0" w:color="auto"/>
      </w:divBdr>
    </w:div>
    <w:div w:id="1082993766">
      <w:bodyDiv w:val="1"/>
      <w:marLeft w:val="0"/>
      <w:marRight w:val="0"/>
      <w:marTop w:val="0"/>
      <w:marBottom w:val="0"/>
      <w:divBdr>
        <w:top w:val="none" w:sz="0" w:space="0" w:color="auto"/>
        <w:left w:val="none" w:sz="0" w:space="0" w:color="auto"/>
        <w:bottom w:val="none" w:sz="0" w:space="0" w:color="auto"/>
        <w:right w:val="none" w:sz="0" w:space="0" w:color="auto"/>
      </w:divBdr>
    </w:div>
    <w:div w:id="1083141154">
      <w:bodyDiv w:val="1"/>
      <w:marLeft w:val="0"/>
      <w:marRight w:val="0"/>
      <w:marTop w:val="0"/>
      <w:marBottom w:val="0"/>
      <w:divBdr>
        <w:top w:val="none" w:sz="0" w:space="0" w:color="auto"/>
        <w:left w:val="none" w:sz="0" w:space="0" w:color="auto"/>
        <w:bottom w:val="none" w:sz="0" w:space="0" w:color="auto"/>
        <w:right w:val="none" w:sz="0" w:space="0" w:color="auto"/>
      </w:divBdr>
    </w:div>
    <w:div w:id="1253392392">
      <w:bodyDiv w:val="1"/>
      <w:marLeft w:val="0"/>
      <w:marRight w:val="0"/>
      <w:marTop w:val="0"/>
      <w:marBottom w:val="0"/>
      <w:divBdr>
        <w:top w:val="none" w:sz="0" w:space="0" w:color="auto"/>
        <w:left w:val="none" w:sz="0" w:space="0" w:color="auto"/>
        <w:bottom w:val="none" w:sz="0" w:space="0" w:color="auto"/>
        <w:right w:val="none" w:sz="0" w:space="0" w:color="auto"/>
      </w:divBdr>
    </w:div>
    <w:div w:id="1261256990">
      <w:bodyDiv w:val="1"/>
      <w:marLeft w:val="0"/>
      <w:marRight w:val="0"/>
      <w:marTop w:val="0"/>
      <w:marBottom w:val="0"/>
      <w:divBdr>
        <w:top w:val="none" w:sz="0" w:space="0" w:color="auto"/>
        <w:left w:val="none" w:sz="0" w:space="0" w:color="auto"/>
        <w:bottom w:val="none" w:sz="0" w:space="0" w:color="auto"/>
        <w:right w:val="none" w:sz="0" w:space="0" w:color="auto"/>
      </w:divBdr>
    </w:div>
    <w:div w:id="1313948839">
      <w:bodyDiv w:val="1"/>
      <w:marLeft w:val="0"/>
      <w:marRight w:val="0"/>
      <w:marTop w:val="0"/>
      <w:marBottom w:val="0"/>
      <w:divBdr>
        <w:top w:val="none" w:sz="0" w:space="0" w:color="auto"/>
        <w:left w:val="none" w:sz="0" w:space="0" w:color="auto"/>
        <w:bottom w:val="none" w:sz="0" w:space="0" w:color="auto"/>
        <w:right w:val="none" w:sz="0" w:space="0" w:color="auto"/>
      </w:divBdr>
    </w:div>
    <w:div w:id="1414543305">
      <w:bodyDiv w:val="1"/>
      <w:marLeft w:val="0"/>
      <w:marRight w:val="0"/>
      <w:marTop w:val="0"/>
      <w:marBottom w:val="0"/>
      <w:divBdr>
        <w:top w:val="none" w:sz="0" w:space="0" w:color="auto"/>
        <w:left w:val="none" w:sz="0" w:space="0" w:color="auto"/>
        <w:bottom w:val="none" w:sz="0" w:space="0" w:color="auto"/>
        <w:right w:val="none" w:sz="0" w:space="0" w:color="auto"/>
      </w:divBdr>
    </w:div>
    <w:div w:id="1499954552">
      <w:bodyDiv w:val="1"/>
      <w:marLeft w:val="0"/>
      <w:marRight w:val="0"/>
      <w:marTop w:val="0"/>
      <w:marBottom w:val="0"/>
      <w:divBdr>
        <w:top w:val="none" w:sz="0" w:space="0" w:color="auto"/>
        <w:left w:val="none" w:sz="0" w:space="0" w:color="auto"/>
        <w:bottom w:val="none" w:sz="0" w:space="0" w:color="auto"/>
        <w:right w:val="none" w:sz="0" w:space="0" w:color="auto"/>
      </w:divBdr>
    </w:div>
    <w:div w:id="1548102687">
      <w:bodyDiv w:val="1"/>
      <w:marLeft w:val="0"/>
      <w:marRight w:val="0"/>
      <w:marTop w:val="0"/>
      <w:marBottom w:val="0"/>
      <w:divBdr>
        <w:top w:val="none" w:sz="0" w:space="0" w:color="auto"/>
        <w:left w:val="none" w:sz="0" w:space="0" w:color="auto"/>
        <w:bottom w:val="none" w:sz="0" w:space="0" w:color="auto"/>
        <w:right w:val="none" w:sz="0" w:space="0" w:color="auto"/>
      </w:divBdr>
    </w:div>
    <w:div w:id="1669139205">
      <w:bodyDiv w:val="1"/>
      <w:marLeft w:val="0"/>
      <w:marRight w:val="0"/>
      <w:marTop w:val="0"/>
      <w:marBottom w:val="0"/>
      <w:divBdr>
        <w:top w:val="none" w:sz="0" w:space="0" w:color="auto"/>
        <w:left w:val="none" w:sz="0" w:space="0" w:color="auto"/>
        <w:bottom w:val="none" w:sz="0" w:space="0" w:color="auto"/>
        <w:right w:val="none" w:sz="0" w:space="0" w:color="auto"/>
      </w:divBdr>
    </w:div>
    <w:div w:id="1675496080">
      <w:bodyDiv w:val="1"/>
      <w:marLeft w:val="0"/>
      <w:marRight w:val="0"/>
      <w:marTop w:val="0"/>
      <w:marBottom w:val="0"/>
      <w:divBdr>
        <w:top w:val="none" w:sz="0" w:space="0" w:color="auto"/>
        <w:left w:val="none" w:sz="0" w:space="0" w:color="auto"/>
        <w:bottom w:val="none" w:sz="0" w:space="0" w:color="auto"/>
        <w:right w:val="none" w:sz="0" w:space="0" w:color="auto"/>
      </w:divBdr>
    </w:div>
    <w:div w:id="1857572440">
      <w:bodyDiv w:val="1"/>
      <w:marLeft w:val="0"/>
      <w:marRight w:val="0"/>
      <w:marTop w:val="0"/>
      <w:marBottom w:val="0"/>
      <w:divBdr>
        <w:top w:val="none" w:sz="0" w:space="0" w:color="auto"/>
        <w:left w:val="none" w:sz="0" w:space="0" w:color="auto"/>
        <w:bottom w:val="none" w:sz="0" w:space="0" w:color="auto"/>
        <w:right w:val="none" w:sz="0" w:space="0" w:color="auto"/>
      </w:divBdr>
    </w:div>
    <w:div w:id="1893686995">
      <w:bodyDiv w:val="1"/>
      <w:marLeft w:val="0"/>
      <w:marRight w:val="0"/>
      <w:marTop w:val="0"/>
      <w:marBottom w:val="0"/>
      <w:divBdr>
        <w:top w:val="none" w:sz="0" w:space="0" w:color="auto"/>
        <w:left w:val="none" w:sz="0" w:space="0" w:color="auto"/>
        <w:bottom w:val="none" w:sz="0" w:space="0" w:color="auto"/>
        <w:right w:val="none" w:sz="0" w:space="0" w:color="auto"/>
      </w:divBdr>
    </w:div>
    <w:div w:id="1936984988">
      <w:bodyDiv w:val="1"/>
      <w:marLeft w:val="0"/>
      <w:marRight w:val="0"/>
      <w:marTop w:val="0"/>
      <w:marBottom w:val="0"/>
      <w:divBdr>
        <w:top w:val="none" w:sz="0" w:space="0" w:color="auto"/>
        <w:left w:val="none" w:sz="0" w:space="0" w:color="auto"/>
        <w:bottom w:val="none" w:sz="0" w:space="0" w:color="auto"/>
        <w:right w:val="none" w:sz="0" w:space="0" w:color="auto"/>
      </w:divBdr>
    </w:div>
    <w:div w:id="197212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7213</Words>
  <Characters>41120</Characters>
  <Application>Microsoft Office Word</Application>
  <DocSecurity>0</DocSecurity>
  <Lines>342</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dc:creator>
  <cp:keywords/>
  <dc:description/>
  <cp:lastModifiedBy>SDI 1089</cp:lastModifiedBy>
  <cp:revision>5</cp:revision>
  <dcterms:created xsi:type="dcterms:W3CDTF">2025-12-05T13:22:00Z</dcterms:created>
  <dcterms:modified xsi:type="dcterms:W3CDTF">2025-12-08T12:35:00Z</dcterms:modified>
</cp:coreProperties>
</file>