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207EE11" w14:textId="6F75D103" w:rsidR="00647437" w:rsidRPr="00647437" w:rsidRDefault="004B3F72" w:rsidP="001E3541">
      <w:pPr>
        <w:jc w:val="center"/>
        <w:rPr>
          <w:rFonts w:ascii="Arial" w:hAnsi="Arial" w:cs="Arial"/>
          <w:b/>
          <w:bCs/>
        </w:rPr>
      </w:pPr>
      <w:r w:rsidRPr="004B3F72">
        <w:rPr>
          <w:rFonts w:ascii="Arial" w:hAnsi="Arial" w:cs="Arial"/>
          <w:b/>
          <w:bCs/>
          <w:highlight w:val="yellow"/>
        </w:rPr>
        <w:t xml:space="preserve">Green Open Space Development through Community Participation in a Dense Urban </w:t>
      </w:r>
      <w:proofErr w:type="gramStart"/>
      <w:r w:rsidRPr="004B3F72">
        <w:rPr>
          <w:rFonts w:ascii="Arial" w:hAnsi="Arial" w:cs="Arial"/>
          <w:b/>
          <w:bCs/>
          <w:highlight w:val="yellow"/>
        </w:rPr>
        <w:t>Neighborhood  of</w:t>
      </w:r>
      <w:proofErr w:type="gramEnd"/>
      <w:r w:rsidRPr="004B3F72">
        <w:rPr>
          <w:rFonts w:ascii="Arial" w:hAnsi="Arial" w:cs="Arial"/>
          <w:b/>
          <w:bCs/>
          <w:highlight w:val="yellow"/>
        </w:rPr>
        <w:t xml:space="preserve"> Balai Desa Field, Medan Helvetia, Indonesia</w:t>
      </w:r>
    </w:p>
    <w:p w14:paraId="5D8A8FCF" w14:textId="77777777" w:rsidR="004B64D4" w:rsidRPr="00647437" w:rsidRDefault="004B64D4" w:rsidP="001E3541">
      <w:pPr>
        <w:jc w:val="center"/>
        <w:rPr>
          <w:rFonts w:ascii="Arial" w:hAnsi="Arial" w:cs="Arial"/>
          <w:b/>
          <w:bCs/>
        </w:rPr>
      </w:pPr>
    </w:p>
    <w:p w14:paraId="1FBBE43E" w14:textId="0E66068C" w:rsidR="001E3541" w:rsidRPr="00647437" w:rsidRDefault="001E3541" w:rsidP="001E3541">
      <w:pPr>
        <w:jc w:val="center"/>
        <w:rPr>
          <w:rFonts w:ascii="Arial" w:hAnsi="Arial" w:cs="Arial"/>
          <w:b/>
          <w:bCs/>
        </w:rPr>
      </w:pPr>
      <w:r w:rsidRPr="00647437">
        <w:rPr>
          <w:rFonts w:ascii="Arial" w:hAnsi="Arial" w:cs="Arial"/>
          <w:b/>
          <w:bCs/>
        </w:rPr>
        <w:t>Abstract</w:t>
      </w:r>
    </w:p>
    <w:p w14:paraId="548D43BB" w14:textId="379D82BF" w:rsidR="001E3541" w:rsidRPr="001E3541" w:rsidRDefault="001E3541" w:rsidP="001E3541">
      <w:pPr>
        <w:jc w:val="both"/>
        <w:rPr>
          <w:rFonts w:ascii="Arial" w:hAnsi="Arial" w:cs="Arial"/>
        </w:rPr>
      </w:pPr>
      <w:r w:rsidRPr="001E3541">
        <w:rPr>
          <w:rFonts w:ascii="Arial" w:hAnsi="Arial" w:cs="Arial"/>
        </w:rPr>
        <w:t xml:space="preserve">Balai Desa Field is a key neighborhood green open space in a dense district of Medan, Indonesia, yet faces declining physical quality and limited community involvement. This study examines how the physical condition and governance of the field shape community participation, and how participatory strategies can support its development. A descriptive–analytical case study design was employed, combining a questionnaire survey of 100 residents, field observations, semi-structured interviews, a focus group discussion, chi-square tests, and SWOT–IFE–EFE analysis. </w:t>
      </w:r>
      <w:r w:rsidR="004B3F72" w:rsidRPr="004B3F72">
        <w:rPr>
          <w:rFonts w:ascii="Arial" w:hAnsi="Arial" w:cs="Arial"/>
          <w:highlight w:val="yellow"/>
        </w:rPr>
        <w:t xml:space="preserve">Results indicate that vegetation and accessibility are perceived as “good” or “adequate” by the vast majority of respondents, whereas public facilities (toilets, lighting, children’s play equipment, </w:t>
      </w:r>
      <w:proofErr w:type="gramStart"/>
      <w:r w:rsidR="004B3F72" w:rsidRPr="004B3F72">
        <w:rPr>
          <w:rFonts w:ascii="Arial" w:hAnsi="Arial" w:cs="Arial"/>
          <w:highlight w:val="yellow"/>
        </w:rPr>
        <w:t>pedestrian</w:t>
      </w:r>
      <w:proofErr w:type="gramEnd"/>
      <w:r w:rsidR="004B3F72" w:rsidRPr="004B3F72">
        <w:rPr>
          <w:rFonts w:ascii="Arial" w:hAnsi="Arial" w:cs="Arial"/>
          <w:highlight w:val="yellow"/>
        </w:rPr>
        <w:t xml:space="preserve"> paths) are widely rated as inadequate or poor. Participation is modest and episodic, concentrated in idea- and labor-based contributions through government-initiated </w:t>
      </w:r>
      <w:r w:rsidR="004B3F72" w:rsidRPr="004B3F72">
        <w:rPr>
          <w:rFonts w:ascii="Arial" w:hAnsi="Arial" w:cs="Arial"/>
          <w:i/>
          <w:iCs/>
          <w:highlight w:val="yellow"/>
        </w:rPr>
        <w:t>gotong royong</w:t>
      </w:r>
      <w:r w:rsidR="004B3F72" w:rsidRPr="004B3F72">
        <w:rPr>
          <w:rFonts w:ascii="Arial" w:hAnsi="Arial" w:cs="Arial"/>
          <w:highlight w:val="yellow"/>
        </w:rPr>
        <w:t xml:space="preserve"> (collective mutual-help work), and corresponds to tokenistic levels of informing and consultation on Arnstein’s ladder of citizen participation. Chi-square analysis shows significant associations between vegetation conditions and idea- and goods-based participation, and between facility availability/condition and labor- and skill-based participation, but no significant relationships with financial contributions. The IFE (2.90) and EFE (2.84) scores place Balai Desa Field in a “growth-oriented” quadrant, indicating that internal strengths and external opportunities outweigh weaknesses and threats</w:t>
      </w:r>
      <w:r w:rsidRPr="001E3541">
        <w:rPr>
          <w:rFonts w:ascii="Arial" w:hAnsi="Arial" w:cs="Arial"/>
        </w:rPr>
        <w:t>. The study proposes three priority strategies—adopt-a-plant/plot, regular “Green Gotong Royong,” and a community-led “Green Expression Space”—to move governance from top-down management toward more collaborative, community-based green open space stewardship.</w:t>
      </w:r>
    </w:p>
    <w:p w14:paraId="731C813B" w14:textId="2A5E0430" w:rsidR="001E3541" w:rsidRPr="00647437" w:rsidRDefault="004F758B" w:rsidP="004F758B">
      <w:pPr>
        <w:rPr>
          <w:rFonts w:ascii="Arial" w:hAnsi="Arial" w:cs="Arial"/>
        </w:rPr>
      </w:pPr>
      <w:r w:rsidRPr="00647437">
        <w:rPr>
          <w:rFonts w:ascii="Arial" w:hAnsi="Arial" w:cs="Arial"/>
        </w:rPr>
        <w:t>Keywords: urban green open space; neighborhood park; community participation; participatory planning; SWOT analysis; Balai Desa Field; Medan Helvetia</w:t>
      </w:r>
      <w:r w:rsidR="00DE5766" w:rsidRPr="00647437">
        <w:rPr>
          <w:rFonts w:ascii="Arial" w:hAnsi="Arial" w:cs="Arial"/>
        </w:rPr>
        <w:t>.</w:t>
      </w:r>
    </w:p>
    <w:p w14:paraId="1173933D" w14:textId="77777777" w:rsidR="00DE5766" w:rsidRPr="00647437" w:rsidRDefault="00DE5766" w:rsidP="004F758B">
      <w:pPr>
        <w:rPr>
          <w:rFonts w:ascii="Arial" w:hAnsi="Arial" w:cs="Arial"/>
        </w:rPr>
      </w:pPr>
    </w:p>
    <w:p w14:paraId="0ED05F60" w14:textId="62AFDF70" w:rsidR="001E3541" w:rsidRPr="00647437" w:rsidRDefault="001E3541" w:rsidP="001E3541">
      <w:pPr>
        <w:jc w:val="both"/>
        <w:rPr>
          <w:rFonts w:ascii="Arial" w:hAnsi="Arial" w:cs="Arial"/>
          <w:b/>
          <w:bCs/>
        </w:rPr>
      </w:pPr>
      <w:r w:rsidRPr="00647437">
        <w:rPr>
          <w:rFonts w:ascii="Arial" w:hAnsi="Arial" w:cs="Arial"/>
        </w:rPr>
        <w:t xml:space="preserve"> </w:t>
      </w:r>
      <w:r w:rsidR="00923856" w:rsidRPr="00647437">
        <w:rPr>
          <w:rFonts w:ascii="Arial" w:hAnsi="Arial" w:cs="Arial"/>
          <w:b/>
          <w:bCs/>
        </w:rPr>
        <w:t>I</w:t>
      </w:r>
      <w:r w:rsidRPr="00647437">
        <w:rPr>
          <w:rFonts w:ascii="Arial" w:hAnsi="Arial" w:cs="Arial"/>
          <w:b/>
          <w:bCs/>
        </w:rPr>
        <w:t>. Introduction</w:t>
      </w:r>
    </w:p>
    <w:p w14:paraId="21564144" w14:textId="263799EA" w:rsidR="003115FF" w:rsidRPr="003115FF" w:rsidRDefault="003115FF" w:rsidP="003115FF">
      <w:pPr>
        <w:jc w:val="both"/>
        <w:rPr>
          <w:rFonts w:ascii="Arial" w:hAnsi="Arial" w:cs="Arial"/>
          <w:highlight w:val="yellow"/>
          <w:lang w:val="en-ID"/>
        </w:rPr>
      </w:pPr>
      <w:r w:rsidRPr="003115FF">
        <w:rPr>
          <w:rFonts w:ascii="Arial" w:hAnsi="Arial" w:cs="Arial"/>
          <w:highlight w:val="yellow"/>
          <w:lang w:val="en-ID"/>
        </w:rPr>
        <w:t>Urban open green spaces are widely recognized as critical components of sustainable cities because they provide multiple ecosystem services, including air purification, micro-climate regulation, stormwater infiltration, and habitat provision (</w:t>
      </w:r>
      <w:r w:rsidR="00861A00">
        <w:rPr>
          <w:rFonts w:ascii="Arial" w:hAnsi="Arial" w:cs="Arial"/>
          <w:highlight w:val="yellow"/>
          <w:lang w:val="en-ID"/>
        </w:rPr>
        <w:t>David</w:t>
      </w:r>
      <w:r w:rsidRPr="003115FF">
        <w:rPr>
          <w:rFonts w:ascii="Arial" w:hAnsi="Arial" w:cs="Arial"/>
          <w:highlight w:val="yellow"/>
          <w:lang w:val="en-ID"/>
        </w:rPr>
        <w:t>, 2017). At the same time, they function as everyday public realms that support recreation, informal encounters, and visual relief in dense built environments (</w:t>
      </w:r>
      <w:proofErr w:type="spellStart"/>
      <w:r w:rsidRPr="003115FF">
        <w:rPr>
          <w:rFonts w:ascii="Arial" w:hAnsi="Arial" w:cs="Arial"/>
          <w:highlight w:val="yellow"/>
          <w:lang w:val="en-ID"/>
        </w:rPr>
        <w:t>Chiesura</w:t>
      </w:r>
      <w:proofErr w:type="spellEnd"/>
      <w:r w:rsidRPr="003115FF">
        <w:rPr>
          <w:rFonts w:ascii="Arial" w:hAnsi="Arial" w:cs="Arial"/>
          <w:highlight w:val="yellow"/>
          <w:lang w:val="en-ID"/>
        </w:rPr>
        <w:t xml:space="preserve">, 2004). Planning literature commonly distinguishes between different types of open green space—such as </w:t>
      </w:r>
      <w:proofErr w:type="spellStart"/>
      <w:r w:rsidRPr="003115FF">
        <w:rPr>
          <w:rFonts w:ascii="Arial" w:hAnsi="Arial" w:cs="Arial"/>
          <w:highlight w:val="yellow"/>
          <w:lang w:val="en-ID"/>
        </w:rPr>
        <w:t>neighborhood</w:t>
      </w:r>
      <w:proofErr w:type="spellEnd"/>
      <w:r w:rsidRPr="003115FF">
        <w:rPr>
          <w:rFonts w:ascii="Arial" w:hAnsi="Arial" w:cs="Arial"/>
          <w:highlight w:val="yellow"/>
          <w:lang w:val="en-ID"/>
        </w:rPr>
        <w:t xml:space="preserve"> parks, community gardens, linear greenways, and sport fields—each </w:t>
      </w:r>
      <w:r w:rsidRPr="003115FF">
        <w:rPr>
          <w:rFonts w:ascii="Arial" w:hAnsi="Arial" w:cs="Arial"/>
          <w:highlight w:val="yellow"/>
          <w:lang w:val="en-ID"/>
        </w:rPr>
        <w:lastRenderedPageBreak/>
        <w:t>offering specific combinations of ecological and social benefits</w:t>
      </w:r>
      <w:r w:rsidR="00861A00">
        <w:rPr>
          <w:rFonts w:ascii="Arial" w:hAnsi="Arial" w:cs="Arial"/>
          <w:highlight w:val="yellow"/>
          <w:lang w:val="en-ID"/>
        </w:rPr>
        <w:t xml:space="preserve">. </w:t>
      </w:r>
      <w:r w:rsidRPr="003115FF">
        <w:rPr>
          <w:rFonts w:ascii="Arial" w:hAnsi="Arial" w:cs="Arial"/>
          <w:highlight w:val="yellow"/>
          <w:lang w:val="en-ID"/>
        </w:rPr>
        <w:t>In many rapidly urbanizing contexts, however, these spaces are under pressure from competing land uses, infrastructure expansion, and speculative development</w:t>
      </w:r>
      <w:r w:rsidR="004021D2">
        <w:rPr>
          <w:rFonts w:ascii="Arial" w:hAnsi="Arial" w:cs="Arial"/>
          <w:highlight w:val="yellow"/>
          <w:lang w:val="en-ID"/>
        </w:rPr>
        <w:t xml:space="preserve">. </w:t>
      </w:r>
      <w:r w:rsidRPr="003115FF">
        <w:rPr>
          <w:rFonts w:ascii="Arial" w:hAnsi="Arial" w:cs="Arial"/>
          <w:highlight w:val="yellow"/>
          <w:lang w:val="en-ID"/>
        </w:rPr>
        <w:t xml:space="preserve">This tension between ecological functions and urban growth frames the need to examine how </w:t>
      </w:r>
      <w:proofErr w:type="spellStart"/>
      <w:r w:rsidRPr="003115FF">
        <w:rPr>
          <w:rFonts w:ascii="Arial" w:hAnsi="Arial" w:cs="Arial"/>
          <w:highlight w:val="yellow"/>
          <w:lang w:val="en-ID"/>
        </w:rPr>
        <w:t>neighborhood</w:t>
      </w:r>
      <w:proofErr w:type="spellEnd"/>
      <w:r w:rsidRPr="003115FF">
        <w:rPr>
          <w:rFonts w:ascii="Arial" w:hAnsi="Arial" w:cs="Arial"/>
          <w:highlight w:val="yellow"/>
          <w:lang w:val="en-ID"/>
        </w:rPr>
        <w:t>-scale open green spaces are located, used, and governed.</w:t>
      </w:r>
    </w:p>
    <w:p w14:paraId="0512872D" w14:textId="052106AA" w:rsidR="003115FF" w:rsidRPr="003115FF" w:rsidRDefault="003115FF" w:rsidP="003115FF">
      <w:pPr>
        <w:jc w:val="both"/>
        <w:rPr>
          <w:rFonts w:ascii="Arial" w:hAnsi="Arial" w:cs="Arial"/>
          <w:highlight w:val="yellow"/>
          <w:lang w:val="en-ID"/>
        </w:rPr>
      </w:pPr>
      <w:r w:rsidRPr="003115FF">
        <w:rPr>
          <w:rFonts w:ascii="Arial" w:hAnsi="Arial" w:cs="Arial"/>
          <w:highlight w:val="yellow"/>
          <w:lang w:val="en-ID"/>
        </w:rPr>
        <w:t xml:space="preserve">Beyond biophysical functions, </w:t>
      </w:r>
      <w:proofErr w:type="spellStart"/>
      <w:r w:rsidRPr="003115FF">
        <w:rPr>
          <w:rFonts w:ascii="Arial" w:hAnsi="Arial" w:cs="Arial"/>
          <w:highlight w:val="yellow"/>
          <w:lang w:val="en-ID"/>
        </w:rPr>
        <w:t>neighborhood</w:t>
      </w:r>
      <w:proofErr w:type="spellEnd"/>
      <w:r w:rsidRPr="003115FF">
        <w:rPr>
          <w:rFonts w:ascii="Arial" w:hAnsi="Arial" w:cs="Arial"/>
          <w:highlight w:val="yellow"/>
          <w:lang w:val="en-ID"/>
        </w:rPr>
        <w:t xml:space="preserve"> open green spaces are strongly associated with health and social outcomes, including increased physical activity, reduced stress, and social cohesion (</w:t>
      </w:r>
      <w:proofErr w:type="spellStart"/>
      <w:r w:rsidR="004021D2">
        <w:rPr>
          <w:rFonts w:ascii="Arial" w:hAnsi="Arial" w:cs="Arial"/>
          <w:highlight w:val="yellow"/>
          <w:lang w:val="en-ID"/>
        </w:rPr>
        <w:t>Purnomohadi</w:t>
      </w:r>
      <w:proofErr w:type="spellEnd"/>
      <w:r w:rsidRPr="003115FF">
        <w:rPr>
          <w:rFonts w:ascii="Arial" w:hAnsi="Arial" w:cs="Arial"/>
          <w:highlight w:val="yellow"/>
          <w:lang w:val="en-ID"/>
        </w:rPr>
        <w:t xml:space="preserve"> 2006; Lee &amp; Maheswaran, 2011). Residents often value these places for cultural ecosystem services such as leisure opportunities, sense of place, and community identity</w:t>
      </w:r>
      <w:r w:rsidR="004021D2">
        <w:rPr>
          <w:rFonts w:ascii="Arial" w:hAnsi="Arial" w:cs="Arial"/>
          <w:highlight w:val="yellow"/>
          <w:lang w:val="en-ID"/>
        </w:rPr>
        <w:t xml:space="preserve">. </w:t>
      </w:r>
      <w:r w:rsidRPr="003115FF">
        <w:rPr>
          <w:rFonts w:ascii="Arial" w:hAnsi="Arial" w:cs="Arial"/>
          <w:highlight w:val="yellow"/>
          <w:lang w:val="en-ID"/>
        </w:rPr>
        <w:t>Yet these benefits are unevenly distributed: low-income or marginalized communities frequently face deficits in both the quantity and quality of accessible open green space</w:t>
      </w:r>
      <w:r w:rsidR="004021D2">
        <w:rPr>
          <w:rFonts w:ascii="Arial" w:hAnsi="Arial" w:cs="Arial"/>
          <w:highlight w:val="yellow"/>
          <w:lang w:val="en-ID"/>
        </w:rPr>
        <w:t xml:space="preserve">. </w:t>
      </w:r>
      <w:r w:rsidRPr="003115FF">
        <w:rPr>
          <w:rFonts w:ascii="Arial" w:hAnsi="Arial" w:cs="Arial"/>
          <w:highlight w:val="yellow"/>
          <w:lang w:val="en-ID"/>
        </w:rPr>
        <w:t xml:space="preserve">This pattern underscores the need to </w:t>
      </w:r>
      <w:proofErr w:type="spellStart"/>
      <w:r w:rsidRPr="003115FF">
        <w:rPr>
          <w:rFonts w:ascii="Arial" w:hAnsi="Arial" w:cs="Arial"/>
          <w:highlight w:val="yellow"/>
          <w:lang w:val="en-ID"/>
        </w:rPr>
        <w:t>analyze</w:t>
      </w:r>
      <w:proofErr w:type="spellEnd"/>
      <w:r w:rsidRPr="003115FF">
        <w:rPr>
          <w:rFonts w:ascii="Arial" w:hAnsi="Arial" w:cs="Arial"/>
          <w:highlight w:val="yellow"/>
          <w:lang w:val="en-ID"/>
        </w:rPr>
        <w:t xml:space="preserve"> not only how much open green space exists, but also where it is located, how it is maintained, and how it fits into everyday life.</w:t>
      </w:r>
    </w:p>
    <w:p w14:paraId="32D8890A" w14:textId="39231D64" w:rsidR="003115FF" w:rsidRPr="003115FF" w:rsidRDefault="003115FF" w:rsidP="003115FF">
      <w:pPr>
        <w:jc w:val="both"/>
        <w:rPr>
          <w:rFonts w:ascii="Arial" w:hAnsi="Arial" w:cs="Arial"/>
          <w:highlight w:val="yellow"/>
          <w:lang w:val="en-ID"/>
        </w:rPr>
      </w:pPr>
      <w:r w:rsidRPr="003115FF">
        <w:rPr>
          <w:rFonts w:ascii="Arial" w:hAnsi="Arial" w:cs="Arial"/>
          <w:highlight w:val="yellow"/>
          <w:lang w:val="en-ID"/>
        </w:rPr>
        <w:t>In Indonesia, the strategic role of urban open green space (</w:t>
      </w:r>
      <w:r w:rsidRPr="003115FF">
        <w:rPr>
          <w:rFonts w:ascii="Arial" w:hAnsi="Arial" w:cs="Arial"/>
          <w:i/>
          <w:iCs/>
          <w:highlight w:val="yellow"/>
          <w:lang w:val="en-ID"/>
        </w:rPr>
        <w:t>Ruang Terbuka Hijau</w:t>
      </w:r>
      <w:r w:rsidRPr="003115FF">
        <w:rPr>
          <w:rFonts w:ascii="Arial" w:hAnsi="Arial" w:cs="Arial"/>
          <w:highlight w:val="yellow"/>
          <w:lang w:val="en-ID"/>
        </w:rPr>
        <w:t>, RTH) is codified in Law No. 26/2007 on Spatial Planning, which mandates that at least 30% of urban area should be allocated to green space, with 20% as public RTH (</w:t>
      </w:r>
      <w:proofErr w:type="spellStart"/>
      <w:r w:rsidRPr="003115FF">
        <w:rPr>
          <w:rFonts w:ascii="Arial" w:hAnsi="Arial" w:cs="Arial"/>
          <w:highlight w:val="yellow"/>
          <w:lang w:val="en-ID"/>
        </w:rPr>
        <w:t>Undang-Undang</w:t>
      </w:r>
      <w:proofErr w:type="spellEnd"/>
      <w:r w:rsidRPr="003115FF">
        <w:rPr>
          <w:rFonts w:ascii="Arial" w:hAnsi="Arial" w:cs="Arial"/>
          <w:highlight w:val="yellow"/>
          <w:lang w:val="en-ID"/>
        </w:rPr>
        <w:t xml:space="preserve"> </w:t>
      </w:r>
      <w:proofErr w:type="spellStart"/>
      <w:r w:rsidRPr="003115FF">
        <w:rPr>
          <w:rFonts w:ascii="Arial" w:hAnsi="Arial" w:cs="Arial"/>
          <w:highlight w:val="yellow"/>
          <w:lang w:val="en-ID"/>
        </w:rPr>
        <w:t>Republik</w:t>
      </w:r>
      <w:proofErr w:type="spellEnd"/>
      <w:r w:rsidRPr="003115FF">
        <w:rPr>
          <w:rFonts w:ascii="Arial" w:hAnsi="Arial" w:cs="Arial"/>
          <w:highlight w:val="yellow"/>
          <w:lang w:val="en-ID"/>
        </w:rPr>
        <w:t xml:space="preserve"> Indonesia </w:t>
      </w:r>
      <w:proofErr w:type="spellStart"/>
      <w:r w:rsidRPr="003115FF">
        <w:rPr>
          <w:rFonts w:ascii="Arial" w:hAnsi="Arial" w:cs="Arial"/>
          <w:highlight w:val="yellow"/>
          <w:lang w:val="en-ID"/>
        </w:rPr>
        <w:t>Nomor</w:t>
      </w:r>
      <w:proofErr w:type="spellEnd"/>
      <w:r w:rsidRPr="003115FF">
        <w:rPr>
          <w:rFonts w:ascii="Arial" w:hAnsi="Arial" w:cs="Arial"/>
          <w:highlight w:val="yellow"/>
          <w:lang w:val="en-ID"/>
        </w:rPr>
        <w:t xml:space="preserve"> 26 </w:t>
      </w:r>
      <w:proofErr w:type="spellStart"/>
      <w:r w:rsidRPr="003115FF">
        <w:rPr>
          <w:rFonts w:ascii="Arial" w:hAnsi="Arial" w:cs="Arial"/>
          <w:highlight w:val="yellow"/>
          <w:lang w:val="en-ID"/>
        </w:rPr>
        <w:t>Tahun</w:t>
      </w:r>
      <w:proofErr w:type="spellEnd"/>
      <w:r w:rsidRPr="003115FF">
        <w:rPr>
          <w:rFonts w:ascii="Arial" w:hAnsi="Arial" w:cs="Arial"/>
          <w:highlight w:val="yellow"/>
          <w:lang w:val="en-ID"/>
        </w:rPr>
        <w:t xml:space="preserve"> 2007, 2007). Many cities struggle to meet this benchmark due to rapid urbanization and limited land </w:t>
      </w:r>
      <w:proofErr w:type="gramStart"/>
      <w:r w:rsidRPr="003115FF">
        <w:rPr>
          <w:rFonts w:ascii="Arial" w:hAnsi="Arial" w:cs="Arial"/>
          <w:highlight w:val="yellow"/>
          <w:lang w:val="en-ID"/>
        </w:rPr>
        <w:t xml:space="preserve">availability  </w:t>
      </w:r>
      <w:r w:rsidR="004021D2">
        <w:rPr>
          <w:rFonts w:ascii="Arial" w:hAnsi="Arial" w:cs="Arial"/>
          <w:highlight w:val="yellow"/>
          <w:lang w:val="en-ID"/>
        </w:rPr>
        <w:t>(</w:t>
      </w:r>
      <w:proofErr w:type="gramEnd"/>
      <w:r w:rsidRPr="003115FF">
        <w:rPr>
          <w:rFonts w:ascii="Arial" w:hAnsi="Arial" w:cs="Arial"/>
          <w:highlight w:val="yellow"/>
          <w:lang w:val="en-ID"/>
        </w:rPr>
        <w:t>Siregar et al., 2024). Medan, one of Indonesia’s largest cities, illustrates this gap: public RTH increased only from 1,885.28 ha (6.68%) in 2010 to 1,897.79 ha (6.72%) in 2023, indicating that expansion has not kept pace with urban growth (Fatah, 2024). The challenge is therefore not simply to meet a quantitative target, but to ensure that existing open green spaces are well distributed, functionally effective, and socially inclusive.</w:t>
      </w:r>
    </w:p>
    <w:p w14:paraId="380E073F" w14:textId="55E8019F" w:rsidR="003115FF" w:rsidRPr="003115FF" w:rsidRDefault="003115FF" w:rsidP="003115FF">
      <w:pPr>
        <w:jc w:val="both"/>
        <w:rPr>
          <w:rFonts w:ascii="Arial" w:hAnsi="Arial" w:cs="Arial"/>
          <w:highlight w:val="yellow"/>
          <w:lang w:val="en-ID"/>
        </w:rPr>
      </w:pPr>
      <w:r w:rsidRPr="003115FF">
        <w:rPr>
          <w:rFonts w:ascii="Arial" w:hAnsi="Arial" w:cs="Arial"/>
          <w:highlight w:val="yellow"/>
          <w:lang w:val="en-ID"/>
        </w:rPr>
        <w:t xml:space="preserve">Within Medan, the proportion and quality of public open green space are uneven across districts. Some </w:t>
      </w:r>
      <w:proofErr w:type="spellStart"/>
      <w:r w:rsidRPr="003115FF">
        <w:rPr>
          <w:rFonts w:ascii="Arial" w:hAnsi="Arial" w:cs="Arial"/>
          <w:highlight w:val="yellow"/>
          <w:lang w:val="en-ID"/>
        </w:rPr>
        <w:t>neighborhoods</w:t>
      </w:r>
      <w:proofErr w:type="spellEnd"/>
      <w:r w:rsidRPr="003115FF">
        <w:rPr>
          <w:rFonts w:ascii="Arial" w:hAnsi="Arial" w:cs="Arial"/>
          <w:highlight w:val="yellow"/>
          <w:lang w:val="en-ID"/>
        </w:rPr>
        <w:t xml:space="preserve"> benefit from multiple parks and relatively good facilities, while others are served by a limited number of poorly maintained spaces </w:t>
      </w:r>
      <w:r w:rsidR="004021D2">
        <w:rPr>
          <w:rFonts w:ascii="Arial" w:hAnsi="Arial" w:cs="Arial"/>
          <w:highlight w:val="yellow"/>
          <w:lang w:val="en-ID"/>
        </w:rPr>
        <w:t>(</w:t>
      </w:r>
      <w:r w:rsidRPr="003115FF">
        <w:rPr>
          <w:rFonts w:ascii="Arial" w:hAnsi="Arial" w:cs="Arial"/>
          <w:highlight w:val="yellow"/>
          <w:lang w:val="en-ID"/>
        </w:rPr>
        <w:t>Siregar et al., 2024). In several locations, public RTH suffers from deteriorating infrastructure, inadequate vegetation management, and insufficient basic amenities, which constrain its role as an inclusive public space</w:t>
      </w:r>
      <w:r w:rsidR="004021D2">
        <w:rPr>
          <w:rFonts w:ascii="Arial" w:hAnsi="Arial" w:cs="Arial"/>
          <w:highlight w:val="yellow"/>
          <w:lang w:val="en-ID"/>
        </w:rPr>
        <w:t xml:space="preserve">. </w:t>
      </w:r>
      <w:r w:rsidRPr="003115FF">
        <w:rPr>
          <w:rFonts w:ascii="Arial" w:hAnsi="Arial" w:cs="Arial"/>
          <w:highlight w:val="yellow"/>
          <w:lang w:val="en-ID"/>
        </w:rPr>
        <w:t>Understanding how these site-specific conditions interact with community engagement is crucial for designing realistic development and management strategies for open green spaces.</w:t>
      </w:r>
    </w:p>
    <w:p w14:paraId="0D38C1B9" w14:textId="62BB9A19" w:rsidR="003115FF" w:rsidRPr="003115FF" w:rsidRDefault="003115FF" w:rsidP="003115FF">
      <w:pPr>
        <w:jc w:val="both"/>
        <w:rPr>
          <w:rFonts w:ascii="Arial" w:hAnsi="Arial" w:cs="Arial"/>
          <w:highlight w:val="yellow"/>
          <w:lang w:val="en-ID"/>
        </w:rPr>
      </w:pPr>
      <w:r w:rsidRPr="003115FF">
        <w:rPr>
          <w:rFonts w:ascii="Arial" w:hAnsi="Arial" w:cs="Arial"/>
          <w:highlight w:val="yellow"/>
          <w:lang w:val="en-ID"/>
        </w:rPr>
        <w:t xml:space="preserve">Participatory approaches to urban planning have been widely promoted to address such shortcomings by integrating local knowledge, user needs, and community priorities into decision-making (Healey, 1997; Pretty, 1995; </w:t>
      </w:r>
      <w:proofErr w:type="spellStart"/>
      <w:r w:rsidRPr="003115FF">
        <w:rPr>
          <w:rFonts w:ascii="Arial" w:hAnsi="Arial" w:cs="Arial"/>
          <w:highlight w:val="yellow"/>
          <w:lang w:val="en-ID"/>
        </w:rPr>
        <w:t>Adiyanta</w:t>
      </w:r>
      <w:proofErr w:type="spellEnd"/>
      <w:r w:rsidRPr="003115FF">
        <w:rPr>
          <w:rFonts w:ascii="Arial" w:hAnsi="Arial" w:cs="Arial"/>
          <w:highlight w:val="yellow"/>
          <w:lang w:val="en-ID"/>
        </w:rPr>
        <w:t xml:space="preserve">, 2018). In the context of open green space, participatory planning can foster shared ownership, mobilize local stewardship, and improve alignment between design, management, and residents’ </w:t>
      </w:r>
      <w:r w:rsidRPr="003115FF">
        <w:rPr>
          <w:rFonts w:ascii="Arial" w:hAnsi="Arial" w:cs="Arial"/>
          <w:highlight w:val="yellow"/>
          <w:lang w:val="en-ID"/>
        </w:rPr>
        <w:lastRenderedPageBreak/>
        <w:t xml:space="preserve">everyday practices. Evidence from different cities suggests that when communities are meaningfully involved in planning and management, </w:t>
      </w:r>
      <w:proofErr w:type="spellStart"/>
      <w:r w:rsidRPr="003115FF">
        <w:rPr>
          <w:rFonts w:ascii="Arial" w:hAnsi="Arial" w:cs="Arial"/>
          <w:highlight w:val="yellow"/>
          <w:lang w:val="en-ID"/>
        </w:rPr>
        <w:t>neighborhood</w:t>
      </w:r>
      <w:proofErr w:type="spellEnd"/>
      <w:r w:rsidRPr="003115FF">
        <w:rPr>
          <w:rFonts w:ascii="Arial" w:hAnsi="Arial" w:cs="Arial"/>
          <w:highlight w:val="yellow"/>
          <w:lang w:val="en-ID"/>
        </w:rPr>
        <w:t xml:space="preserve"> green spaces tend to be more intensively used, better maintained, and more equitably beneficial </w:t>
      </w:r>
      <w:r w:rsidR="004021D2">
        <w:rPr>
          <w:rFonts w:ascii="Arial" w:hAnsi="Arial" w:cs="Arial"/>
          <w:highlight w:val="yellow"/>
          <w:lang w:val="en-ID"/>
        </w:rPr>
        <w:t>(</w:t>
      </w:r>
      <w:proofErr w:type="spellStart"/>
      <w:r w:rsidRPr="003115FF">
        <w:rPr>
          <w:rFonts w:ascii="Arial" w:hAnsi="Arial" w:cs="Arial"/>
          <w:highlight w:val="yellow"/>
          <w:lang w:val="en-ID"/>
        </w:rPr>
        <w:t>Nasyavina</w:t>
      </w:r>
      <w:proofErr w:type="spellEnd"/>
      <w:r w:rsidRPr="003115FF">
        <w:rPr>
          <w:rFonts w:ascii="Arial" w:hAnsi="Arial" w:cs="Arial"/>
          <w:highlight w:val="yellow"/>
          <w:lang w:val="en-ID"/>
        </w:rPr>
        <w:t xml:space="preserve"> &amp; </w:t>
      </w:r>
      <w:proofErr w:type="spellStart"/>
      <w:r w:rsidRPr="003115FF">
        <w:rPr>
          <w:rFonts w:ascii="Arial" w:hAnsi="Arial" w:cs="Arial"/>
          <w:highlight w:val="yellow"/>
          <w:lang w:val="en-ID"/>
        </w:rPr>
        <w:t>Ahdiyana</w:t>
      </w:r>
      <w:proofErr w:type="spellEnd"/>
      <w:r w:rsidRPr="003115FF">
        <w:rPr>
          <w:rFonts w:ascii="Arial" w:hAnsi="Arial" w:cs="Arial"/>
          <w:highlight w:val="yellow"/>
          <w:lang w:val="en-ID"/>
        </w:rPr>
        <w:t>, 2018). However, these outcomes depend on the depth and quality of participation, not merely on the existence of consultative meetings or occasional community events.</w:t>
      </w:r>
    </w:p>
    <w:p w14:paraId="556C94C5" w14:textId="3E185A62" w:rsidR="003115FF" w:rsidRPr="003115FF" w:rsidRDefault="003115FF" w:rsidP="003115FF">
      <w:pPr>
        <w:jc w:val="both"/>
        <w:rPr>
          <w:rFonts w:ascii="Arial" w:hAnsi="Arial" w:cs="Arial"/>
          <w:highlight w:val="yellow"/>
          <w:lang w:val="en-ID"/>
        </w:rPr>
      </w:pPr>
      <w:r w:rsidRPr="003115FF">
        <w:rPr>
          <w:rFonts w:ascii="Arial" w:hAnsi="Arial" w:cs="Arial"/>
          <w:highlight w:val="yellow"/>
          <w:lang w:val="en-ID"/>
        </w:rPr>
        <w:t>Arnstein’s (1969) ladder of citizen participation remains a useful framework for assessing such depth. It distinguishes non-participation, tokenism, and degrees of citizen power. At higher rungs—partnership, delegated power, and citizen control—communities share or hold decision-making authority. Contemporary scholarship argues that many processes, including green space planning, remain at the lower rungs of information and consultation (</w:t>
      </w:r>
      <w:proofErr w:type="spellStart"/>
      <w:r w:rsidRPr="003115FF">
        <w:rPr>
          <w:rFonts w:ascii="Arial" w:hAnsi="Arial" w:cs="Arial"/>
          <w:highlight w:val="yellow"/>
          <w:lang w:val="en-ID"/>
        </w:rPr>
        <w:t>Setiawan</w:t>
      </w:r>
      <w:proofErr w:type="spellEnd"/>
      <w:r w:rsidRPr="003115FF">
        <w:rPr>
          <w:rFonts w:ascii="Arial" w:hAnsi="Arial" w:cs="Arial"/>
          <w:highlight w:val="yellow"/>
          <w:lang w:val="en-ID"/>
        </w:rPr>
        <w:t xml:space="preserve"> &amp; </w:t>
      </w:r>
      <w:proofErr w:type="spellStart"/>
      <w:r w:rsidRPr="003115FF">
        <w:rPr>
          <w:rFonts w:ascii="Arial" w:hAnsi="Arial" w:cs="Arial"/>
          <w:highlight w:val="yellow"/>
          <w:lang w:val="en-ID"/>
        </w:rPr>
        <w:t>Widiyastuti</w:t>
      </w:r>
      <w:proofErr w:type="spellEnd"/>
      <w:r w:rsidRPr="003115FF">
        <w:rPr>
          <w:rFonts w:ascii="Arial" w:hAnsi="Arial" w:cs="Arial"/>
          <w:highlight w:val="yellow"/>
          <w:lang w:val="en-ID"/>
        </w:rPr>
        <w:t xml:space="preserve">, 2018). Applying this lens to concrete </w:t>
      </w:r>
      <w:proofErr w:type="spellStart"/>
      <w:r w:rsidRPr="003115FF">
        <w:rPr>
          <w:rFonts w:ascii="Arial" w:hAnsi="Arial" w:cs="Arial"/>
          <w:highlight w:val="yellow"/>
          <w:lang w:val="en-ID"/>
        </w:rPr>
        <w:t>neighborhood</w:t>
      </w:r>
      <w:proofErr w:type="spellEnd"/>
      <w:r w:rsidRPr="003115FF">
        <w:rPr>
          <w:rFonts w:ascii="Arial" w:hAnsi="Arial" w:cs="Arial"/>
          <w:highlight w:val="yellow"/>
          <w:lang w:val="en-ID"/>
        </w:rPr>
        <w:t xml:space="preserve"> open green spaces allows us to assess where current practices stand and what institutional shifts are needed to achieve more empowered participation.</w:t>
      </w:r>
    </w:p>
    <w:p w14:paraId="41943D1B" w14:textId="77777777" w:rsidR="003115FF" w:rsidRPr="003115FF" w:rsidRDefault="003115FF" w:rsidP="003115FF">
      <w:pPr>
        <w:jc w:val="both"/>
        <w:rPr>
          <w:rFonts w:ascii="Arial" w:hAnsi="Arial" w:cs="Arial"/>
          <w:highlight w:val="yellow"/>
          <w:lang w:val="en-ID"/>
        </w:rPr>
      </w:pPr>
      <w:r w:rsidRPr="003115FF">
        <w:rPr>
          <w:rFonts w:ascii="Arial" w:hAnsi="Arial" w:cs="Arial"/>
          <w:highlight w:val="yellow"/>
          <w:lang w:val="en-ID"/>
        </w:rPr>
        <w:t>In Indonesia, research on community participation in open green space planning and management is growing but still limited. Existing studies often focus on city-wide programs, highlight fragmented institutional responsibilities, and emphasize constraints on deeper engagement (</w:t>
      </w:r>
      <w:proofErr w:type="spellStart"/>
      <w:r w:rsidRPr="003115FF">
        <w:rPr>
          <w:rFonts w:ascii="Arial" w:hAnsi="Arial" w:cs="Arial"/>
          <w:highlight w:val="yellow"/>
          <w:lang w:val="en-ID"/>
        </w:rPr>
        <w:t>Mutiah</w:t>
      </w:r>
      <w:proofErr w:type="spellEnd"/>
      <w:r w:rsidRPr="003115FF">
        <w:rPr>
          <w:rFonts w:ascii="Arial" w:hAnsi="Arial" w:cs="Arial"/>
          <w:highlight w:val="yellow"/>
          <w:lang w:val="en-ID"/>
        </w:rPr>
        <w:t xml:space="preserve">, 2023; </w:t>
      </w:r>
      <w:proofErr w:type="spellStart"/>
      <w:r w:rsidRPr="003115FF">
        <w:rPr>
          <w:rFonts w:ascii="Arial" w:hAnsi="Arial" w:cs="Arial"/>
          <w:highlight w:val="yellow"/>
          <w:lang w:val="en-ID"/>
        </w:rPr>
        <w:t>Ugar</w:t>
      </w:r>
      <w:proofErr w:type="spellEnd"/>
      <w:r w:rsidRPr="003115FF">
        <w:rPr>
          <w:rFonts w:ascii="Arial" w:hAnsi="Arial" w:cs="Arial"/>
          <w:highlight w:val="yellow"/>
          <w:lang w:val="en-ID"/>
        </w:rPr>
        <w:t xml:space="preserve">, 2022; </w:t>
      </w:r>
      <w:proofErr w:type="spellStart"/>
      <w:r w:rsidRPr="003115FF">
        <w:rPr>
          <w:rFonts w:ascii="Arial" w:hAnsi="Arial" w:cs="Arial"/>
          <w:highlight w:val="yellow"/>
          <w:lang w:val="en-ID"/>
        </w:rPr>
        <w:t>Setiyadi</w:t>
      </w:r>
      <w:proofErr w:type="spellEnd"/>
      <w:r w:rsidRPr="003115FF">
        <w:rPr>
          <w:rFonts w:ascii="Arial" w:hAnsi="Arial" w:cs="Arial"/>
          <w:highlight w:val="yellow"/>
          <w:lang w:val="en-ID"/>
        </w:rPr>
        <w:t xml:space="preserve">, 2022). Residents’ involvement is frequently restricted to socialization events or one-off campaigns, with little scope for co-design or co-management of specific sites (Putra &amp; </w:t>
      </w:r>
      <w:proofErr w:type="spellStart"/>
      <w:r w:rsidRPr="003115FF">
        <w:rPr>
          <w:rFonts w:ascii="Arial" w:hAnsi="Arial" w:cs="Arial"/>
          <w:highlight w:val="yellow"/>
          <w:lang w:val="en-ID"/>
        </w:rPr>
        <w:t>Ikhsan</w:t>
      </w:r>
      <w:proofErr w:type="spellEnd"/>
      <w:r w:rsidRPr="003115FF">
        <w:rPr>
          <w:rFonts w:ascii="Arial" w:hAnsi="Arial" w:cs="Arial"/>
          <w:highlight w:val="yellow"/>
          <w:lang w:val="en-ID"/>
        </w:rPr>
        <w:t xml:space="preserve">, 2020; </w:t>
      </w:r>
      <w:proofErr w:type="spellStart"/>
      <w:r w:rsidRPr="003115FF">
        <w:rPr>
          <w:rFonts w:ascii="Arial" w:hAnsi="Arial" w:cs="Arial"/>
          <w:highlight w:val="yellow"/>
          <w:lang w:val="en-ID"/>
        </w:rPr>
        <w:t>Nasyavina</w:t>
      </w:r>
      <w:proofErr w:type="spellEnd"/>
      <w:r w:rsidRPr="003115FF">
        <w:rPr>
          <w:rFonts w:ascii="Arial" w:hAnsi="Arial" w:cs="Arial"/>
          <w:highlight w:val="yellow"/>
          <w:lang w:val="en-ID"/>
        </w:rPr>
        <w:t xml:space="preserve"> &amp; </w:t>
      </w:r>
      <w:proofErr w:type="spellStart"/>
      <w:r w:rsidRPr="003115FF">
        <w:rPr>
          <w:rFonts w:ascii="Arial" w:hAnsi="Arial" w:cs="Arial"/>
          <w:highlight w:val="yellow"/>
          <w:lang w:val="en-ID"/>
        </w:rPr>
        <w:t>Ahdiyana</w:t>
      </w:r>
      <w:proofErr w:type="spellEnd"/>
      <w:r w:rsidRPr="003115FF">
        <w:rPr>
          <w:rFonts w:ascii="Arial" w:hAnsi="Arial" w:cs="Arial"/>
          <w:highlight w:val="yellow"/>
          <w:lang w:val="en-ID"/>
        </w:rPr>
        <w:t xml:space="preserve">, 2018). These patterns signal a research gap: few studies examine the relationship between the physical and ecological condition of particular </w:t>
      </w:r>
      <w:proofErr w:type="spellStart"/>
      <w:r w:rsidRPr="003115FF">
        <w:rPr>
          <w:rFonts w:ascii="Arial" w:hAnsi="Arial" w:cs="Arial"/>
          <w:highlight w:val="yellow"/>
          <w:lang w:val="en-ID"/>
        </w:rPr>
        <w:t>neighborhood</w:t>
      </w:r>
      <w:proofErr w:type="spellEnd"/>
      <w:r w:rsidRPr="003115FF">
        <w:rPr>
          <w:rFonts w:ascii="Arial" w:hAnsi="Arial" w:cs="Arial"/>
          <w:highlight w:val="yellow"/>
          <w:lang w:val="en-ID"/>
        </w:rPr>
        <w:t xml:space="preserve"> open green spaces, empirically measured forms of community participation, and strategic planning tools that can support participatory governance.</w:t>
      </w:r>
    </w:p>
    <w:p w14:paraId="6EF91217" w14:textId="0F7CC7BD" w:rsidR="003115FF" w:rsidRPr="003115FF" w:rsidRDefault="003115FF" w:rsidP="003115FF">
      <w:pPr>
        <w:jc w:val="both"/>
        <w:rPr>
          <w:rFonts w:ascii="Arial" w:hAnsi="Arial" w:cs="Arial"/>
          <w:highlight w:val="yellow"/>
          <w:lang w:val="en-ID"/>
        </w:rPr>
      </w:pPr>
      <w:r w:rsidRPr="003115FF">
        <w:rPr>
          <w:rFonts w:ascii="Arial" w:hAnsi="Arial" w:cs="Arial"/>
          <w:highlight w:val="yellow"/>
          <w:lang w:val="en-ID"/>
        </w:rPr>
        <w:t xml:space="preserve">Balai Desa Field in Medan Helvetia District is an appropriate </w:t>
      </w:r>
      <w:proofErr w:type="spellStart"/>
      <w:r w:rsidRPr="003115FF">
        <w:rPr>
          <w:rFonts w:ascii="Arial" w:hAnsi="Arial" w:cs="Arial"/>
          <w:highlight w:val="yellow"/>
          <w:lang w:val="en-ID"/>
        </w:rPr>
        <w:t>neighborhood</w:t>
      </w:r>
      <w:proofErr w:type="spellEnd"/>
      <w:r w:rsidRPr="003115FF">
        <w:rPr>
          <w:rFonts w:ascii="Arial" w:hAnsi="Arial" w:cs="Arial"/>
          <w:highlight w:val="yellow"/>
          <w:lang w:val="en-ID"/>
        </w:rPr>
        <w:t xml:space="preserve">-scale case for addressing this gap. Located in Helvetia Tengah and covering approximately 10,416 m², it serves as the main public open green space for a densely populated residential area in a district where formal </w:t>
      </w:r>
      <w:proofErr w:type="spellStart"/>
      <w:r w:rsidRPr="003115FF">
        <w:rPr>
          <w:rFonts w:ascii="Arial" w:hAnsi="Arial" w:cs="Arial"/>
          <w:highlight w:val="yellow"/>
          <w:lang w:val="en-ID"/>
        </w:rPr>
        <w:t>neighborhood</w:t>
      </w:r>
      <w:proofErr w:type="spellEnd"/>
      <w:r w:rsidRPr="003115FF">
        <w:rPr>
          <w:rFonts w:ascii="Arial" w:hAnsi="Arial" w:cs="Arial"/>
          <w:highlight w:val="yellow"/>
          <w:lang w:val="en-ID"/>
        </w:rPr>
        <w:t xml:space="preserve"> parks are scarce (Fatah, 2024). Surrounded by housing, schools, public facilities, and local government offices, the field is a focal point of daily community activities. However, recent observations and community feedback indicate deteriorating facilities, insufficient maintenance of vegetation, and damaged playground and sports structures, suggesting that its ecological and social functions are not fully realized</w:t>
      </w:r>
      <w:r w:rsidR="004021D2">
        <w:rPr>
          <w:rFonts w:ascii="Arial" w:hAnsi="Arial" w:cs="Arial"/>
          <w:highlight w:val="yellow"/>
          <w:lang w:val="en-ID"/>
        </w:rPr>
        <w:t>.</w:t>
      </w:r>
    </w:p>
    <w:p w14:paraId="64380207" w14:textId="6FC85764" w:rsidR="003115FF" w:rsidRPr="003115FF" w:rsidRDefault="003115FF" w:rsidP="003115FF">
      <w:pPr>
        <w:jc w:val="both"/>
        <w:rPr>
          <w:rFonts w:ascii="Arial" w:hAnsi="Arial" w:cs="Arial"/>
          <w:highlight w:val="yellow"/>
          <w:lang w:val="en-ID"/>
        </w:rPr>
      </w:pPr>
      <w:r w:rsidRPr="003115FF">
        <w:rPr>
          <w:rFonts w:ascii="Arial" w:hAnsi="Arial" w:cs="Arial"/>
          <w:highlight w:val="yellow"/>
          <w:lang w:val="en-ID"/>
        </w:rPr>
        <w:t>At the same time, residents have engaged in informal practices such as voluntary clean-ups, collective use-based stewardship, and ad hoc repairs (</w:t>
      </w:r>
      <w:r w:rsidRPr="003115FF">
        <w:rPr>
          <w:rFonts w:ascii="Arial" w:hAnsi="Arial" w:cs="Arial"/>
          <w:i/>
          <w:iCs/>
          <w:highlight w:val="yellow"/>
          <w:lang w:val="en-ID"/>
        </w:rPr>
        <w:t>gotong royong</w:t>
      </w:r>
      <w:r w:rsidRPr="003115FF">
        <w:rPr>
          <w:rFonts w:ascii="Arial" w:hAnsi="Arial" w:cs="Arial"/>
          <w:highlight w:val="yellow"/>
          <w:lang w:val="en-ID"/>
        </w:rPr>
        <w:t>, or collective mutual-help work)</w:t>
      </w:r>
      <w:r w:rsidR="004021D2">
        <w:rPr>
          <w:rFonts w:ascii="Arial" w:hAnsi="Arial" w:cs="Arial"/>
          <w:highlight w:val="yellow"/>
          <w:lang w:val="en-ID"/>
        </w:rPr>
        <w:t xml:space="preserve">. </w:t>
      </w:r>
      <w:r w:rsidRPr="003115FF">
        <w:rPr>
          <w:rFonts w:ascii="Arial" w:hAnsi="Arial" w:cs="Arial"/>
          <w:highlight w:val="yellow"/>
          <w:lang w:val="en-ID"/>
        </w:rPr>
        <w:t xml:space="preserve">These activities indicate latent capacity and willingness to contribute ideas, </w:t>
      </w:r>
      <w:proofErr w:type="spellStart"/>
      <w:r w:rsidRPr="003115FF">
        <w:rPr>
          <w:rFonts w:ascii="Arial" w:hAnsi="Arial" w:cs="Arial"/>
          <w:highlight w:val="yellow"/>
          <w:lang w:val="en-ID"/>
        </w:rPr>
        <w:t>labor</w:t>
      </w:r>
      <w:proofErr w:type="spellEnd"/>
      <w:r w:rsidRPr="003115FF">
        <w:rPr>
          <w:rFonts w:ascii="Arial" w:hAnsi="Arial" w:cs="Arial"/>
          <w:highlight w:val="yellow"/>
          <w:lang w:val="en-ID"/>
        </w:rPr>
        <w:t>, skills, materials, and funds, echoing classic categorizations of community participation</w:t>
      </w:r>
      <w:r w:rsidR="004021D2">
        <w:rPr>
          <w:rFonts w:ascii="Arial" w:hAnsi="Arial" w:cs="Arial"/>
          <w:highlight w:val="yellow"/>
          <w:lang w:val="en-ID"/>
        </w:rPr>
        <w:t xml:space="preserve">. </w:t>
      </w:r>
      <w:r w:rsidRPr="003115FF">
        <w:rPr>
          <w:rFonts w:ascii="Arial" w:hAnsi="Arial" w:cs="Arial"/>
          <w:highlight w:val="yellow"/>
          <w:lang w:val="en-ID"/>
        </w:rPr>
        <w:t xml:space="preserve">Yet the absence of a structured participatory framework and clear </w:t>
      </w:r>
      <w:r w:rsidRPr="003115FF">
        <w:rPr>
          <w:rFonts w:ascii="Arial" w:hAnsi="Arial" w:cs="Arial"/>
          <w:highlight w:val="yellow"/>
          <w:lang w:val="en-ID"/>
        </w:rPr>
        <w:lastRenderedPageBreak/>
        <w:t>institutional arrangements limits the extent to which such contributions lead to sustained improvements in condition and governance.</w:t>
      </w:r>
    </w:p>
    <w:p w14:paraId="53B2A22E" w14:textId="77777777" w:rsidR="003115FF" w:rsidRPr="003115FF" w:rsidRDefault="003115FF" w:rsidP="003115FF">
      <w:pPr>
        <w:jc w:val="both"/>
        <w:rPr>
          <w:rFonts w:ascii="Arial" w:hAnsi="Arial" w:cs="Arial"/>
          <w:highlight w:val="yellow"/>
          <w:lang w:val="en-ID"/>
        </w:rPr>
      </w:pPr>
      <w:r w:rsidRPr="003115FF">
        <w:rPr>
          <w:rFonts w:ascii="Arial" w:hAnsi="Arial" w:cs="Arial"/>
          <w:highlight w:val="yellow"/>
          <w:lang w:val="en-ID"/>
        </w:rPr>
        <w:t xml:space="preserve">Against this background, the </w:t>
      </w:r>
      <w:r w:rsidRPr="003115FF">
        <w:rPr>
          <w:rFonts w:ascii="Arial" w:hAnsi="Arial" w:cs="Arial"/>
          <w:b/>
          <w:bCs/>
          <w:highlight w:val="yellow"/>
          <w:lang w:val="en-ID"/>
        </w:rPr>
        <w:t>objectives</w:t>
      </w:r>
      <w:r w:rsidRPr="003115FF">
        <w:rPr>
          <w:rFonts w:ascii="Arial" w:hAnsi="Arial" w:cs="Arial"/>
          <w:highlight w:val="yellow"/>
          <w:lang w:val="en-ID"/>
        </w:rPr>
        <w:t xml:space="preserve"> of this study are to:</w:t>
      </w:r>
    </w:p>
    <w:p w14:paraId="07049E2C" w14:textId="77777777" w:rsidR="003115FF" w:rsidRPr="003115FF" w:rsidRDefault="003115FF" w:rsidP="003115FF">
      <w:pPr>
        <w:numPr>
          <w:ilvl w:val="0"/>
          <w:numId w:val="24"/>
        </w:numPr>
        <w:jc w:val="both"/>
        <w:rPr>
          <w:rFonts w:ascii="Arial" w:hAnsi="Arial" w:cs="Arial"/>
          <w:highlight w:val="yellow"/>
          <w:lang w:val="en-ID"/>
        </w:rPr>
      </w:pPr>
      <w:proofErr w:type="spellStart"/>
      <w:r w:rsidRPr="003115FF">
        <w:rPr>
          <w:rFonts w:ascii="Arial" w:hAnsi="Arial" w:cs="Arial"/>
          <w:b/>
          <w:bCs/>
          <w:highlight w:val="yellow"/>
          <w:lang w:val="en-ID"/>
        </w:rPr>
        <w:t>Analyze</w:t>
      </w:r>
      <w:proofErr w:type="spellEnd"/>
      <w:r w:rsidRPr="003115FF">
        <w:rPr>
          <w:rFonts w:ascii="Arial" w:hAnsi="Arial" w:cs="Arial"/>
          <w:b/>
          <w:bCs/>
          <w:highlight w:val="yellow"/>
          <w:lang w:val="en-ID"/>
        </w:rPr>
        <w:t xml:space="preserve"> the relationship</w:t>
      </w:r>
      <w:r w:rsidRPr="003115FF">
        <w:rPr>
          <w:rFonts w:ascii="Arial" w:hAnsi="Arial" w:cs="Arial"/>
          <w:highlight w:val="yellow"/>
          <w:lang w:val="en-ID"/>
        </w:rPr>
        <w:t xml:space="preserve"> between the physical and ecological conditions of Balai Desa Field and different forms of community participation in its development and management; and</w:t>
      </w:r>
    </w:p>
    <w:p w14:paraId="5734C132" w14:textId="77777777" w:rsidR="003115FF" w:rsidRPr="003115FF" w:rsidRDefault="003115FF" w:rsidP="003115FF">
      <w:pPr>
        <w:numPr>
          <w:ilvl w:val="0"/>
          <w:numId w:val="24"/>
        </w:numPr>
        <w:jc w:val="both"/>
        <w:rPr>
          <w:rFonts w:ascii="Arial" w:hAnsi="Arial" w:cs="Arial"/>
          <w:highlight w:val="yellow"/>
          <w:lang w:val="en-ID"/>
        </w:rPr>
      </w:pPr>
      <w:r w:rsidRPr="003115FF">
        <w:rPr>
          <w:rFonts w:ascii="Arial" w:hAnsi="Arial" w:cs="Arial"/>
          <w:b/>
          <w:bCs/>
          <w:highlight w:val="yellow"/>
          <w:lang w:val="en-ID"/>
        </w:rPr>
        <w:t>Formulate participatory strategies</w:t>
      </w:r>
      <w:r w:rsidRPr="003115FF">
        <w:rPr>
          <w:rFonts w:ascii="Arial" w:hAnsi="Arial" w:cs="Arial"/>
          <w:highlight w:val="yellow"/>
          <w:lang w:val="en-ID"/>
        </w:rPr>
        <w:t xml:space="preserve"> for </w:t>
      </w:r>
      <w:proofErr w:type="spellStart"/>
      <w:r w:rsidRPr="003115FF">
        <w:rPr>
          <w:rFonts w:ascii="Arial" w:hAnsi="Arial" w:cs="Arial"/>
          <w:highlight w:val="yellow"/>
          <w:lang w:val="en-ID"/>
        </w:rPr>
        <w:t>neighborhood</w:t>
      </w:r>
      <w:proofErr w:type="spellEnd"/>
      <w:r w:rsidRPr="003115FF">
        <w:rPr>
          <w:rFonts w:ascii="Arial" w:hAnsi="Arial" w:cs="Arial"/>
          <w:highlight w:val="yellow"/>
          <w:lang w:val="en-ID"/>
        </w:rPr>
        <w:t>-scale open green space development that build on existing strengths and address institutional and physical weaknesses.</w:t>
      </w:r>
    </w:p>
    <w:p w14:paraId="3F2D7E46" w14:textId="0C24ABDD" w:rsidR="001E3541" w:rsidRPr="003115FF" w:rsidRDefault="003115FF" w:rsidP="001E3541">
      <w:pPr>
        <w:jc w:val="both"/>
        <w:rPr>
          <w:rFonts w:ascii="Arial" w:hAnsi="Arial" w:cs="Arial"/>
          <w:lang w:val="en-ID"/>
        </w:rPr>
      </w:pPr>
      <w:r w:rsidRPr="003115FF">
        <w:rPr>
          <w:rFonts w:ascii="Arial" w:hAnsi="Arial" w:cs="Arial"/>
          <w:highlight w:val="yellow"/>
          <w:lang w:val="en-ID"/>
        </w:rPr>
        <w:t xml:space="preserve">The significance of this study is threefold. First, it provides a fine-grained, site-based analysis of participatory open green space governance in a dense urban </w:t>
      </w:r>
      <w:proofErr w:type="spellStart"/>
      <w:r w:rsidRPr="003115FF">
        <w:rPr>
          <w:rFonts w:ascii="Arial" w:hAnsi="Arial" w:cs="Arial"/>
          <w:highlight w:val="yellow"/>
          <w:lang w:val="en-ID"/>
        </w:rPr>
        <w:t>neighborhood</w:t>
      </w:r>
      <w:proofErr w:type="spellEnd"/>
      <w:r w:rsidRPr="003115FF">
        <w:rPr>
          <w:rFonts w:ascii="Arial" w:hAnsi="Arial" w:cs="Arial"/>
          <w:highlight w:val="yellow"/>
          <w:lang w:val="en-ID"/>
        </w:rPr>
        <w:t xml:space="preserve"> in Indonesia, extending international debates on green space equity and community participation to a Global South context. Second, it operationalizes participation categories—ideas, </w:t>
      </w:r>
      <w:proofErr w:type="spellStart"/>
      <w:r w:rsidRPr="003115FF">
        <w:rPr>
          <w:rFonts w:ascii="Arial" w:hAnsi="Arial" w:cs="Arial"/>
          <w:highlight w:val="yellow"/>
          <w:lang w:val="en-ID"/>
        </w:rPr>
        <w:t>labor</w:t>
      </w:r>
      <w:proofErr w:type="spellEnd"/>
      <w:r w:rsidRPr="003115FF">
        <w:rPr>
          <w:rFonts w:ascii="Arial" w:hAnsi="Arial" w:cs="Arial"/>
          <w:highlight w:val="yellow"/>
          <w:lang w:val="en-ID"/>
        </w:rPr>
        <w:t>, skills, materials, and funds—and positions them along Arnstein’s ladder within a concrete case, contributing to comparative discussions on participatory governance (Arnstein, 1969</w:t>
      </w:r>
      <w:r w:rsidR="004021D2">
        <w:rPr>
          <w:rFonts w:ascii="Arial" w:hAnsi="Arial" w:cs="Arial"/>
          <w:highlight w:val="yellow"/>
          <w:lang w:val="en-ID"/>
        </w:rPr>
        <w:t xml:space="preserve">) </w:t>
      </w:r>
      <w:r w:rsidRPr="003115FF">
        <w:rPr>
          <w:rFonts w:ascii="Arial" w:hAnsi="Arial" w:cs="Arial"/>
          <w:highlight w:val="yellow"/>
          <w:lang w:val="en-ID"/>
        </w:rPr>
        <w:t>Third, it demonstrates how relatively simple analytical tools (cross-tabulation, chi-square, SWOT, IFE–EFE) can be combined to translate residents’ perceptions and participation patterns into actionable strategies</w:t>
      </w:r>
      <w:r w:rsidR="001E3541" w:rsidRPr="003115FF">
        <w:rPr>
          <w:rFonts w:ascii="Arial" w:hAnsi="Arial" w:cs="Arial"/>
          <w:highlight w:val="yellow"/>
        </w:rPr>
        <w:t>.</w:t>
      </w:r>
    </w:p>
    <w:p w14:paraId="4F52072A" w14:textId="101BBAA9" w:rsidR="001E3541" w:rsidRPr="001E3541" w:rsidRDefault="001E3541" w:rsidP="001E3541">
      <w:pPr>
        <w:jc w:val="both"/>
        <w:rPr>
          <w:rFonts w:ascii="Arial" w:hAnsi="Arial" w:cs="Arial"/>
        </w:rPr>
      </w:pPr>
    </w:p>
    <w:p w14:paraId="18E9B7E4" w14:textId="77777777" w:rsidR="001E3541" w:rsidRPr="001E3541" w:rsidRDefault="001E3541" w:rsidP="001E3541">
      <w:pPr>
        <w:jc w:val="both"/>
        <w:rPr>
          <w:rFonts w:ascii="Arial" w:hAnsi="Arial" w:cs="Arial"/>
          <w:b/>
          <w:bCs/>
        </w:rPr>
      </w:pPr>
      <w:r w:rsidRPr="001E3541">
        <w:rPr>
          <w:rFonts w:ascii="Arial" w:hAnsi="Arial" w:cs="Arial"/>
          <w:b/>
          <w:bCs/>
        </w:rPr>
        <w:t>2. Methods</w:t>
      </w:r>
    </w:p>
    <w:p w14:paraId="5940734E" w14:textId="77777777" w:rsidR="001E3541" w:rsidRPr="001E3541" w:rsidRDefault="001E3541" w:rsidP="001E3541">
      <w:pPr>
        <w:jc w:val="both"/>
        <w:rPr>
          <w:rFonts w:ascii="Arial" w:hAnsi="Arial" w:cs="Arial"/>
          <w:b/>
          <w:bCs/>
        </w:rPr>
      </w:pPr>
      <w:r w:rsidRPr="001E3541">
        <w:rPr>
          <w:rFonts w:ascii="Arial" w:hAnsi="Arial" w:cs="Arial"/>
          <w:b/>
          <w:bCs/>
        </w:rPr>
        <w:t>2.1 Research Design</w:t>
      </w:r>
    </w:p>
    <w:p w14:paraId="18944A22" w14:textId="12D4993F" w:rsidR="001E3541" w:rsidRPr="001E3541" w:rsidRDefault="001E3541" w:rsidP="001E3541">
      <w:pPr>
        <w:jc w:val="both"/>
        <w:rPr>
          <w:rFonts w:ascii="Arial" w:hAnsi="Arial" w:cs="Arial"/>
        </w:rPr>
      </w:pPr>
      <w:r w:rsidRPr="001E3541">
        <w:rPr>
          <w:rFonts w:ascii="Arial" w:hAnsi="Arial" w:cs="Arial"/>
        </w:rPr>
        <w:t xml:space="preserve">The study adopted a descriptive–analytical case study design to examine how participatory approaches can support the development and management of Balai Desa Field in Medan Helvetia District. Quantitative survey data were combined with qualitative insights from interviews and focus group discussions to capture both measurable patterns of community participation and contextual narratives about governance and everyday use </w:t>
      </w:r>
    </w:p>
    <w:p w14:paraId="0BECC92E" w14:textId="0107D40B" w:rsidR="001E3541" w:rsidRPr="001E3541" w:rsidRDefault="001E3541" w:rsidP="001E3541">
      <w:pPr>
        <w:jc w:val="both"/>
        <w:rPr>
          <w:rFonts w:ascii="Arial" w:hAnsi="Arial" w:cs="Arial"/>
        </w:rPr>
      </w:pPr>
      <w:r w:rsidRPr="001E3541">
        <w:rPr>
          <w:rFonts w:ascii="Arial" w:hAnsi="Arial" w:cs="Arial"/>
        </w:rPr>
        <w:t>The design aligns with community-based and collaborative planning perspectives that emphasize integrating local knowledge and citizen voice into urban environmental management (Friedmann, 1992; Healey, 1997). Quantitative components (structured questionnaires, cross-tabulations, and chi-square tests) explored patterns of participation and perceived conditions of the green open space, while qualitative components (semi-structured interviews and FGDs) examined motivations, barriers, and institutional dynamics underlying these patterns</w:t>
      </w:r>
    </w:p>
    <w:p w14:paraId="15EEA07D" w14:textId="77777777" w:rsidR="001E3541" w:rsidRPr="001E3541" w:rsidRDefault="001E3541" w:rsidP="001E3541">
      <w:pPr>
        <w:jc w:val="both"/>
        <w:rPr>
          <w:rFonts w:ascii="Arial" w:hAnsi="Arial" w:cs="Arial"/>
          <w:b/>
          <w:bCs/>
        </w:rPr>
      </w:pPr>
      <w:r w:rsidRPr="001E3541">
        <w:rPr>
          <w:rFonts w:ascii="Arial" w:hAnsi="Arial" w:cs="Arial"/>
          <w:b/>
          <w:bCs/>
        </w:rPr>
        <w:t>2.2 Study Area</w:t>
      </w:r>
    </w:p>
    <w:p w14:paraId="7E8F866A" w14:textId="77777777" w:rsidR="001E3541" w:rsidRPr="001E3541" w:rsidRDefault="001E3541" w:rsidP="001E3541">
      <w:pPr>
        <w:jc w:val="both"/>
        <w:rPr>
          <w:rFonts w:ascii="Arial" w:hAnsi="Arial" w:cs="Arial"/>
        </w:rPr>
      </w:pPr>
      <w:r w:rsidRPr="001E3541">
        <w:rPr>
          <w:rFonts w:ascii="Arial" w:hAnsi="Arial" w:cs="Arial"/>
        </w:rPr>
        <w:lastRenderedPageBreak/>
        <w:t>Balai Desa Field is a public green open space in Medan Helvetia District, one of 21 districts in Medan City, North Sumatra. The field functions as an urban park and multi-purpose open space, providing ecological benefits, recreational opportunities, and a venue for social interaction. It is administratively under the Medan City Youth and Sports Agency (</w:t>
      </w:r>
      <w:proofErr w:type="spellStart"/>
      <w:r w:rsidRPr="001E3541">
        <w:rPr>
          <w:rFonts w:ascii="Arial" w:hAnsi="Arial" w:cs="Arial"/>
        </w:rPr>
        <w:t>Dispora</w:t>
      </w:r>
      <w:proofErr w:type="spellEnd"/>
      <w:r w:rsidRPr="001E3541">
        <w:rPr>
          <w:rFonts w:ascii="Arial" w:hAnsi="Arial" w:cs="Arial"/>
        </w:rPr>
        <w:t xml:space="preserve">) and is used by residents from seven urban villages: Helvetia, Helvetia Tengah, Helvetia </w:t>
      </w:r>
      <w:proofErr w:type="spellStart"/>
      <w:r w:rsidRPr="001E3541">
        <w:rPr>
          <w:rFonts w:ascii="Arial" w:hAnsi="Arial" w:cs="Arial"/>
        </w:rPr>
        <w:t>Timur</w:t>
      </w:r>
      <w:proofErr w:type="spellEnd"/>
      <w:r w:rsidRPr="001E3541">
        <w:rPr>
          <w:rFonts w:ascii="Arial" w:hAnsi="Arial" w:cs="Arial"/>
        </w:rPr>
        <w:t xml:space="preserve">, </w:t>
      </w:r>
      <w:proofErr w:type="spellStart"/>
      <w:r w:rsidRPr="001E3541">
        <w:rPr>
          <w:rFonts w:ascii="Arial" w:hAnsi="Arial" w:cs="Arial"/>
        </w:rPr>
        <w:t>Dwikora</w:t>
      </w:r>
      <w:proofErr w:type="spellEnd"/>
      <w:r w:rsidRPr="001E3541">
        <w:rPr>
          <w:rFonts w:ascii="Arial" w:hAnsi="Arial" w:cs="Arial"/>
        </w:rPr>
        <w:t xml:space="preserve">, </w:t>
      </w:r>
      <w:proofErr w:type="spellStart"/>
      <w:r w:rsidRPr="001E3541">
        <w:rPr>
          <w:rFonts w:ascii="Arial" w:hAnsi="Arial" w:cs="Arial"/>
        </w:rPr>
        <w:t>Cinta</w:t>
      </w:r>
      <w:proofErr w:type="spellEnd"/>
      <w:r w:rsidRPr="001E3541">
        <w:rPr>
          <w:rFonts w:ascii="Arial" w:hAnsi="Arial" w:cs="Arial"/>
        </w:rPr>
        <w:t xml:space="preserve"> </w:t>
      </w:r>
      <w:proofErr w:type="spellStart"/>
      <w:r w:rsidRPr="001E3541">
        <w:rPr>
          <w:rFonts w:ascii="Arial" w:hAnsi="Arial" w:cs="Arial"/>
        </w:rPr>
        <w:t>Damai</w:t>
      </w:r>
      <w:proofErr w:type="spellEnd"/>
      <w:r w:rsidRPr="001E3541">
        <w:rPr>
          <w:rFonts w:ascii="Arial" w:hAnsi="Arial" w:cs="Arial"/>
        </w:rPr>
        <w:t xml:space="preserve">, </w:t>
      </w:r>
      <w:proofErr w:type="spellStart"/>
      <w:r w:rsidRPr="001E3541">
        <w:rPr>
          <w:rFonts w:ascii="Arial" w:hAnsi="Arial" w:cs="Arial"/>
        </w:rPr>
        <w:t>Sei</w:t>
      </w:r>
      <w:proofErr w:type="spellEnd"/>
      <w:r w:rsidRPr="001E3541">
        <w:rPr>
          <w:rFonts w:ascii="Arial" w:hAnsi="Arial" w:cs="Arial"/>
        </w:rPr>
        <w:t xml:space="preserve"> </w:t>
      </w:r>
      <w:proofErr w:type="spellStart"/>
      <w:r w:rsidRPr="001E3541">
        <w:rPr>
          <w:rFonts w:ascii="Arial" w:hAnsi="Arial" w:cs="Arial"/>
        </w:rPr>
        <w:t>Sikambing</w:t>
      </w:r>
      <w:proofErr w:type="spellEnd"/>
      <w:r w:rsidRPr="001E3541">
        <w:rPr>
          <w:rFonts w:ascii="Arial" w:hAnsi="Arial" w:cs="Arial"/>
        </w:rPr>
        <w:t xml:space="preserve"> C-II, and </w:t>
      </w:r>
      <w:proofErr w:type="spellStart"/>
      <w:r w:rsidRPr="001E3541">
        <w:rPr>
          <w:rFonts w:ascii="Arial" w:hAnsi="Arial" w:cs="Arial"/>
        </w:rPr>
        <w:t>Tanjung</w:t>
      </w:r>
      <w:proofErr w:type="spellEnd"/>
      <w:r w:rsidRPr="001E3541">
        <w:rPr>
          <w:rFonts w:ascii="Arial" w:hAnsi="Arial" w:cs="Arial"/>
        </w:rPr>
        <w:t xml:space="preserve"> Gusta.</w:t>
      </w:r>
    </w:p>
    <w:p w14:paraId="7E41AAAA" w14:textId="77777777" w:rsidR="002A78FE" w:rsidRPr="00647437" w:rsidRDefault="002A78FE" w:rsidP="002A78FE">
      <w:pPr>
        <w:jc w:val="both"/>
        <w:rPr>
          <w:rFonts w:ascii="Arial" w:hAnsi="Arial" w:cs="Arial"/>
        </w:rPr>
      </w:pPr>
      <w:r w:rsidRPr="00647437">
        <w:rPr>
          <w:rFonts w:ascii="Arial" w:hAnsi="Arial" w:cs="Arial"/>
          <w:noProof/>
          <w:lang w:val="en-IN" w:eastAsia="en-IN"/>
        </w:rPr>
        <w:drawing>
          <wp:inline distT="0" distB="0" distL="0" distR="0" wp14:anchorId="21D00B7E" wp14:editId="4555AF26">
            <wp:extent cx="5943600" cy="2371725"/>
            <wp:effectExtent l="0" t="0" r="0" b="9525"/>
            <wp:docPr id="6580774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077493" name=""/>
                    <pic:cNvPicPr/>
                  </pic:nvPicPr>
                  <pic:blipFill>
                    <a:blip r:embed="rId8"/>
                    <a:stretch>
                      <a:fillRect/>
                    </a:stretch>
                  </pic:blipFill>
                  <pic:spPr>
                    <a:xfrm>
                      <a:off x="0" y="0"/>
                      <a:ext cx="5943600" cy="2371725"/>
                    </a:xfrm>
                    <a:prstGeom prst="rect">
                      <a:avLst/>
                    </a:prstGeom>
                  </pic:spPr>
                </pic:pic>
              </a:graphicData>
            </a:graphic>
          </wp:inline>
        </w:drawing>
      </w:r>
    </w:p>
    <w:p w14:paraId="383D46C0" w14:textId="77777777" w:rsidR="002A78FE" w:rsidRPr="001E3541" w:rsidRDefault="002A78FE" w:rsidP="002A78FE">
      <w:pPr>
        <w:jc w:val="center"/>
        <w:rPr>
          <w:rFonts w:ascii="Arial" w:hAnsi="Arial" w:cs="Arial"/>
        </w:rPr>
      </w:pPr>
      <w:r w:rsidRPr="00647437">
        <w:rPr>
          <w:rFonts w:ascii="Arial" w:hAnsi="Arial" w:cs="Arial"/>
        </w:rPr>
        <w:t>Figure 1. Research Area of Medan Helvetia</w:t>
      </w:r>
    </w:p>
    <w:p w14:paraId="63249AC0" w14:textId="77777777" w:rsidR="001E3541" w:rsidRPr="001E3541" w:rsidRDefault="001E3541" w:rsidP="001E3541">
      <w:pPr>
        <w:jc w:val="both"/>
        <w:rPr>
          <w:rFonts w:ascii="Arial" w:hAnsi="Arial" w:cs="Arial"/>
        </w:rPr>
      </w:pPr>
      <w:r w:rsidRPr="001E3541">
        <w:rPr>
          <w:rFonts w:ascii="Arial" w:hAnsi="Arial" w:cs="Arial"/>
        </w:rPr>
        <w:t>The site’s physical condition combines sport facilities, a children’s playground, vegetated areas, and circulation paths. In recent years, basic infrastructure has deteriorated, making Balai Desa Field a relevant context for examining how participatory strategies might improve both ecological and social functions.</w:t>
      </w:r>
    </w:p>
    <w:p w14:paraId="0E51968A" w14:textId="77777777" w:rsidR="001E3541" w:rsidRPr="001E3541" w:rsidRDefault="001E3541" w:rsidP="001E3541">
      <w:pPr>
        <w:jc w:val="both"/>
        <w:rPr>
          <w:rFonts w:ascii="Arial" w:hAnsi="Arial" w:cs="Arial"/>
          <w:b/>
          <w:bCs/>
        </w:rPr>
      </w:pPr>
      <w:r w:rsidRPr="001E3541">
        <w:rPr>
          <w:rFonts w:ascii="Arial" w:hAnsi="Arial" w:cs="Arial"/>
          <w:b/>
          <w:bCs/>
        </w:rPr>
        <w:t>2.3 Data Types and Sources</w:t>
      </w:r>
    </w:p>
    <w:p w14:paraId="6B08D6FD" w14:textId="77777777" w:rsidR="001E3541" w:rsidRPr="001E3541" w:rsidRDefault="001E3541" w:rsidP="001E3541">
      <w:pPr>
        <w:jc w:val="both"/>
        <w:rPr>
          <w:rFonts w:ascii="Arial" w:hAnsi="Arial" w:cs="Arial"/>
        </w:rPr>
      </w:pPr>
      <w:r w:rsidRPr="001E3541">
        <w:rPr>
          <w:rFonts w:ascii="Arial" w:hAnsi="Arial" w:cs="Arial"/>
        </w:rPr>
        <w:t>The study used both primary and secondary data. Primary data comprised:</w:t>
      </w:r>
    </w:p>
    <w:p w14:paraId="4D2CA437" w14:textId="77777777" w:rsidR="001E3541" w:rsidRPr="001E3541" w:rsidRDefault="001E3541" w:rsidP="001E3541">
      <w:pPr>
        <w:numPr>
          <w:ilvl w:val="0"/>
          <w:numId w:val="9"/>
        </w:numPr>
        <w:jc w:val="both"/>
        <w:rPr>
          <w:rFonts w:ascii="Arial" w:hAnsi="Arial" w:cs="Arial"/>
        </w:rPr>
      </w:pPr>
      <w:r w:rsidRPr="001E3541">
        <w:rPr>
          <w:rFonts w:ascii="Arial" w:hAnsi="Arial" w:cs="Arial"/>
        </w:rPr>
        <w:t>Residents’ perceptions of the physical condition of Balai Desa Field (availability and condition of facilities, vegetation, and accessibility);</w:t>
      </w:r>
    </w:p>
    <w:p w14:paraId="44A4B902" w14:textId="77777777" w:rsidR="001E3541" w:rsidRPr="001E3541" w:rsidRDefault="001E3541" w:rsidP="001E3541">
      <w:pPr>
        <w:numPr>
          <w:ilvl w:val="0"/>
          <w:numId w:val="9"/>
        </w:numPr>
        <w:jc w:val="both"/>
        <w:rPr>
          <w:rFonts w:ascii="Arial" w:hAnsi="Arial" w:cs="Arial"/>
        </w:rPr>
      </w:pPr>
      <w:r w:rsidRPr="001E3541">
        <w:rPr>
          <w:rFonts w:ascii="Arial" w:hAnsi="Arial" w:cs="Arial"/>
        </w:rPr>
        <w:t>Forms and levels of community participation; and</w:t>
      </w:r>
    </w:p>
    <w:p w14:paraId="7E5A5232" w14:textId="77777777" w:rsidR="001E3541" w:rsidRPr="001E3541" w:rsidRDefault="001E3541" w:rsidP="001E3541">
      <w:pPr>
        <w:numPr>
          <w:ilvl w:val="0"/>
          <w:numId w:val="9"/>
        </w:numPr>
        <w:jc w:val="both"/>
        <w:rPr>
          <w:rFonts w:ascii="Arial" w:hAnsi="Arial" w:cs="Arial"/>
        </w:rPr>
      </w:pPr>
      <w:r w:rsidRPr="001E3541">
        <w:rPr>
          <w:rFonts w:ascii="Arial" w:hAnsi="Arial" w:cs="Arial"/>
        </w:rPr>
        <w:t>Stakeholder views on governance, roles, and future development priorities.</w:t>
      </w:r>
    </w:p>
    <w:p w14:paraId="0067DAA3" w14:textId="3FF680C5" w:rsidR="002A78FE" w:rsidRPr="002A78FE" w:rsidRDefault="002A78FE" w:rsidP="002A78FE">
      <w:pPr>
        <w:jc w:val="both"/>
        <w:rPr>
          <w:rFonts w:ascii="Arial" w:hAnsi="Arial" w:cs="Arial"/>
          <w:highlight w:val="yellow"/>
          <w:lang w:val="en-ID"/>
        </w:rPr>
      </w:pPr>
      <w:r w:rsidRPr="002A78FE">
        <w:rPr>
          <w:rFonts w:ascii="Arial" w:hAnsi="Arial" w:cs="Arial"/>
          <w:highlight w:val="yellow"/>
          <w:lang w:val="en-ID"/>
        </w:rPr>
        <w:t>Primary data were collected through household questionnaires, direct field observations, semi-structured interviews, and a focus group discussion (FGD). The questionnaire instrument (see Appendix A) was pre-tested with a small group of residents to ensure clarity and relevance; feedback from the pre-test informed minor revisions to wording and response categories.</w:t>
      </w:r>
    </w:p>
    <w:p w14:paraId="2B3B5ADC" w14:textId="3CF9386D" w:rsidR="002A78FE" w:rsidRPr="002A78FE" w:rsidRDefault="002A78FE" w:rsidP="002A78FE">
      <w:pPr>
        <w:jc w:val="both"/>
        <w:rPr>
          <w:rFonts w:ascii="Arial" w:hAnsi="Arial" w:cs="Arial"/>
          <w:lang w:val="en-ID"/>
        </w:rPr>
      </w:pPr>
      <w:r w:rsidRPr="002A78FE">
        <w:rPr>
          <w:rFonts w:ascii="Arial" w:hAnsi="Arial" w:cs="Arial"/>
          <w:highlight w:val="yellow"/>
          <w:lang w:val="en-ID"/>
        </w:rPr>
        <w:lastRenderedPageBreak/>
        <w:t xml:space="preserve">Secondary data were obtained from official documents and previous studies, including population statistics from </w:t>
      </w:r>
      <w:proofErr w:type="spellStart"/>
      <w:r w:rsidRPr="002A78FE">
        <w:rPr>
          <w:rFonts w:ascii="Arial" w:hAnsi="Arial" w:cs="Arial"/>
          <w:i/>
          <w:iCs/>
          <w:highlight w:val="yellow"/>
          <w:lang w:val="en-ID"/>
        </w:rPr>
        <w:t>Kecamatan</w:t>
      </w:r>
      <w:proofErr w:type="spellEnd"/>
      <w:r w:rsidRPr="002A78FE">
        <w:rPr>
          <w:rFonts w:ascii="Arial" w:hAnsi="Arial" w:cs="Arial"/>
          <w:i/>
          <w:iCs/>
          <w:highlight w:val="yellow"/>
          <w:lang w:val="en-ID"/>
        </w:rPr>
        <w:t xml:space="preserve"> Medan Helvetia </w:t>
      </w:r>
      <w:proofErr w:type="spellStart"/>
      <w:r w:rsidRPr="002A78FE">
        <w:rPr>
          <w:rFonts w:ascii="Arial" w:hAnsi="Arial" w:cs="Arial"/>
          <w:i/>
          <w:iCs/>
          <w:highlight w:val="yellow"/>
          <w:lang w:val="en-ID"/>
        </w:rPr>
        <w:t>dalam</w:t>
      </w:r>
      <w:proofErr w:type="spellEnd"/>
      <w:r w:rsidRPr="002A78FE">
        <w:rPr>
          <w:rFonts w:ascii="Arial" w:hAnsi="Arial" w:cs="Arial"/>
          <w:i/>
          <w:iCs/>
          <w:highlight w:val="yellow"/>
          <w:lang w:val="en-ID"/>
        </w:rPr>
        <w:t xml:space="preserve"> Angka 2024</w:t>
      </w:r>
      <w:r w:rsidRPr="002A78FE">
        <w:rPr>
          <w:rFonts w:ascii="Arial" w:hAnsi="Arial" w:cs="Arial"/>
          <w:highlight w:val="yellow"/>
          <w:lang w:val="en-ID"/>
        </w:rPr>
        <w:t xml:space="preserve"> (BPS), local regulations and technical guidelines on urban open green space provision and management (</w:t>
      </w:r>
      <w:proofErr w:type="spellStart"/>
      <w:r w:rsidRPr="002A78FE">
        <w:rPr>
          <w:rFonts w:ascii="Arial" w:hAnsi="Arial" w:cs="Arial"/>
          <w:highlight w:val="yellow"/>
          <w:lang w:val="en-ID"/>
        </w:rPr>
        <w:t>Kementerian</w:t>
      </w:r>
      <w:proofErr w:type="spellEnd"/>
      <w:r w:rsidRPr="002A78FE">
        <w:rPr>
          <w:rFonts w:ascii="Arial" w:hAnsi="Arial" w:cs="Arial"/>
          <w:highlight w:val="yellow"/>
          <w:lang w:val="en-ID"/>
        </w:rPr>
        <w:t xml:space="preserve"> </w:t>
      </w:r>
      <w:proofErr w:type="spellStart"/>
      <w:r w:rsidRPr="002A78FE">
        <w:rPr>
          <w:rFonts w:ascii="Arial" w:hAnsi="Arial" w:cs="Arial"/>
          <w:highlight w:val="yellow"/>
          <w:lang w:val="en-ID"/>
        </w:rPr>
        <w:t>Pekerjaan</w:t>
      </w:r>
      <w:proofErr w:type="spellEnd"/>
      <w:r w:rsidRPr="002A78FE">
        <w:rPr>
          <w:rFonts w:ascii="Arial" w:hAnsi="Arial" w:cs="Arial"/>
          <w:highlight w:val="yellow"/>
          <w:lang w:val="en-ID"/>
        </w:rPr>
        <w:t xml:space="preserve"> </w:t>
      </w:r>
      <w:proofErr w:type="spellStart"/>
      <w:r w:rsidRPr="002A78FE">
        <w:rPr>
          <w:rFonts w:ascii="Arial" w:hAnsi="Arial" w:cs="Arial"/>
          <w:highlight w:val="yellow"/>
          <w:lang w:val="en-ID"/>
        </w:rPr>
        <w:t>Umum</w:t>
      </w:r>
      <w:proofErr w:type="spellEnd"/>
      <w:r w:rsidRPr="002A78FE">
        <w:rPr>
          <w:rFonts w:ascii="Arial" w:hAnsi="Arial" w:cs="Arial"/>
          <w:highlight w:val="yellow"/>
          <w:lang w:val="en-ID"/>
        </w:rPr>
        <w:t xml:space="preserve">, 2010; </w:t>
      </w:r>
      <w:proofErr w:type="spellStart"/>
      <w:r w:rsidRPr="002A78FE">
        <w:rPr>
          <w:rFonts w:ascii="Arial" w:hAnsi="Arial" w:cs="Arial"/>
          <w:highlight w:val="yellow"/>
          <w:lang w:val="en-ID"/>
        </w:rPr>
        <w:t>Peraturan</w:t>
      </w:r>
      <w:proofErr w:type="spellEnd"/>
      <w:r w:rsidRPr="002A78FE">
        <w:rPr>
          <w:rFonts w:ascii="Arial" w:hAnsi="Arial" w:cs="Arial"/>
          <w:highlight w:val="yellow"/>
          <w:lang w:val="en-ID"/>
        </w:rPr>
        <w:t xml:space="preserve"> </w:t>
      </w:r>
      <w:proofErr w:type="spellStart"/>
      <w:r w:rsidRPr="002A78FE">
        <w:rPr>
          <w:rFonts w:ascii="Arial" w:hAnsi="Arial" w:cs="Arial"/>
          <w:highlight w:val="yellow"/>
          <w:lang w:val="en-ID"/>
        </w:rPr>
        <w:t>Menteri</w:t>
      </w:r>
      <w:proofErr w:type="spellEnd"/>
      <w:r w:rsidRPr="002A78FE">
        <w:rPr>
          <w:rFonts w:ascii="Arial" w:hAnsi="Arial" w:cs="Arial"/>
          <w:highlight w:val="yellow"/>
          <w:lang w:val="en-ID"/>
        </w:rPr>
        <w:t xml:space="preserve"> </w:t>
      </w:r>
      <w:proofErr w:type="spellStart"/>
      <w:r w:rsidRPr="002A78FE">
        <w:rPr>
          <w:rFonts w:ascii="Arial" w:hAnsi="Arial" w:cs="Arial"/>
          <w:highlight w:val="yellow"/>
          <w:lang w:val="en-ID"/>
        </w:rPr>
        <w:t>Pekerjaan</w:t>
      </w:r>
      <w:proofErr w:type="spellEnd"/>
      <w:r w:rsidRPr="002A78FE">
        <w:rPr>
          <w:rFonts w:ascii="Arial" w:hAnsi="Arial" w:cs="Arial"/>
          <w:highlight w:val="yellow"/>
          <w:lang w:val="en-ID"/>
        </w:rPr>
        <w:t xml:space="preserve"> </w:t>
      </w:r>
      <w:proofErr w:type="spellStart"/>
      <w:r w:rsidRPr="002A78FE">
        <w:rPr>
          <w:rFonts w:ascii="Arial" w:hAnsi="Arial" w:cs="Arial"/>
          <w:highlight w:val="yellow"/>
          <w:lang w:val="en-ID"/>
        </w:rPr>
        <w:t>Umum</w:t>
      </w:r>
      <w:proofErr w:type="spellEnd"/>
      <w:r w:rsidRPr="002A78FE">
        <w:rPr>
          <w:rFonts w:ascii="Arial" w:hAnsi="Arial" w:cs="Arial"/>
          <w:highlight w:val="yellow"/>
          <w:lang w:val="en-ID"/>
        </w:rPr>
        <w:t xml:space="preserve"> </w:t>
      </w:r>
      <w:proofErr w:type="spellStart"/>
      <w:r w:rsidRPr="002A78FE">
        <w:rPr>
          <w:rFonts w:ascii="Arial" w:hAnsi="Arial" w:cs="Arial"/>
          <w:highlight w:val="yellow"/>
          <w:lang w:val="en-ID"/>
        </w:rPr>
        <w:t>Republik</w:t>
      </w:r>
      <w:proofErr w:type="spellEnd"/>
      <w:r w:rsidRPr="002A78FE">
        <w:rPr>
          <w:rFonts w:ascii="Arial" w:hAnsi="Arial" w:cs="Arial"/>
          <w:highlight w:val="yellow"/>
          <w:lang w:val="en-ID"/>
        </w:rPr>
        <w:t xml:space="preserve"> Indonesia </w:t>
      </w:r>
      <w:proofErr w:type="spellStart"/>
      <w:r w:rsidRPr="002A78FE">
        <w:rPr>
          <w:rFonts w:ascii="Arial" w:hAnsi="Arial" w:cs="Arial"/>
          <w:highlight w:val="yellow"/>
          <w:lang w:val="en-ID"/>
        </w:rPr>
        <w:t>Nomor</w:t>
      </w:r>
      <w:proofErr w:type="spellEnd"/>
      <w:r w:rsidRPr="002A78FE">
        <w:rPr>
          <w:rFonts w:ascii="Arial" w:hAnsi="Arial" w:cs="Arial"/>
          <w:highlight w:val="yellow"/>
          <w:lang w:val="en-ID"/>
        </w:rPr>
        <w:t xml:space="preserve"> 5 </w:t>
      </w:r>
      <w:proofErr w:type="spellStart"/>
      <w:r w:rsidRPr="002A78FE">
        <w:rPr>
          <w:rFonts w:ascii="Arial" w:hAnsi="Arial" w:cs="Arial"/>
          <w:highlight w:val="yellow"/>
          <w:lang w:val="en-ID"/>
        </w:rPr>
        <w:t>Tahun</w:t>
      </w:r>
      <w:proofErr w:type="spellEnd"/>
      <w:r w:rsidRPr="002A78FE">
        <w:rPr>
          <w:rFonts w:ascii="Arial" w:hAnsi="Arial" w:cs="Arial"/>
          <w:highlight w:val="yellow"/>
          <w:lang w:val="en-ID"/>
        </w:rPr>
        <w:t xml:space="preserve"> 2008, 2008), and academic literature on open green space functions, participatory planning, and community-based environmental management.</w:t>
      </w:r>
    </w:p>
    <w:p w14:paraId="0E2DCA78" w14:textId="77777777" w:rsidR="001E3541" w:rsidRPr="001E3541" w:rsidRDefault="001E3541" w:rsidP="001E3541">
      <w:pPr>
        <w:jc w:val="both"/>
        <w:rPr>
          <w:rFonts w:ascii="Arial" w:hAnsi="Arial" w:cs="Arial"/>
          <w:b/>
          <w:bCs/>
        </w:rPr>
      </w:pPr>
      <w:r w:rsidRPr="001E3541">
        <w:rPr>
          <w:rFonts w:ascii="Arial" w:hAnsi="Arial" w:cs="Arial"/>
          <w:b/>
          <w:bCs/>
        </w:rPr>
        <w:t>2.4 Population, Sampling, and Respondents</w:t>
      </w:r>
    </w:p>
    <w:p w14:paraId="0DBD03F6" w14:textId="77777777" w:rsidR="001E3541" w:rsidRPr="001E3541" w:rsidRDefault="001E3541" w:rsidP="001E3541">
      <w:pPr>
        <w:jc w:val="both"/>
        <w:rPr>
          <w:rFonts w:ascii="Arial" w:hAnsi="Arial" w:cs="Arial"/>
        </w:rPr>
      </w:pPr>
      <w:r w:rsidRPr="001E3541">
        <w:rPr>
          <w:rFonts w:ascii="Arial" w:hAnsi="Arial" w:cs="Arial"/>
        </w:rPr>
        <w:t xml:space="preserve">The study population comprises residents living around Balai Desa Field across the seven </w:t>
      </w:r>
      <w:proofErr w:type="spellStart"/>
      <w:r w:rsidRPr="001E3541">
        <w:rPr>
          <w:rFonts w:ascii="Arial" w:hAnsi="Arial" w:cs="Arial"/>
        </w:rPr>
        <w:t>kelurahan</w:t>
      </w:r>
      <w:proofErr w:type="spellEnd"/>
      <w:r w:rsidRPr="001E3541">
        <w:rPr>
          <w:rFonts w:ascii="Arial" w:hAnsi="Arial" w:cs="Arial"/>
        </w:rPr>
        <w:t xml:space="preserve"> in Medan Helvetia, as well as key stakeholders involved in its management and use (local government officials, community leaders, youth organizations). Population figures were drawn from BPS 2024 statistics, with a total of 170,551 inhabitants.</w:t>
      </w:r>
    </w:p>
    <w:p w14:paraId="274DA7D8" w14:textId="77777777" w:rsidR="001E3541" w:rsidRPr="001E3541" w:rsidRDefault="001E3541" w:rsidP="001E3541">
      <w:pPr>
        <w:jc w:val="both"/>
        <w:rPr>
          <w:rFonts w:ascii="Arial" w:hAnsi="Arial" w:cs="Arial"/>
        </w:rPr>
      </w:pPr>
      <w:r w:rsidRPr="001E3541">
        <w:rPr>
          <w:rFonts w:ascii="Arial" w:hAnsi="Arial" w:cs="Arial"/>
        </w:rPr>
        <w:t>A purposive sampling strategy selected respondents with sufficient knowledge and experience related to the field (</w:t>
      </w:r>
      <w:proofErr w:type="spellStart"/>
      <w:r w:rsidRPr="001E3541">
        <w:rPr>
          <w:rFonts w:ascii="Arial" w:hAnsi="Arial" w:cs="Arial"/>
        </w:rPr>
        <w:t>Sugiyono</w:t>
      </w:r>
      <w:proofErr w:type="spellEnd"/>
      <w:r w:rsidRPr="001E3541">
        <w:rPr>
          <w:rFonts w:ascii="Arial" w:hAnsi="Arial" w:cs="Arial"/>
        </w:rPr>
        <w:t xml:space="preserve">, 2017). A structured questionnaire survey was administered to 100 residents, proportionally distributed according to each </w:t>
      </w:r>
      <w:proofErr w:type="spellStart"/>
      <w:r w:rsidRPr="001E3541">
        <w:rPr>
          <w:rFonts w:ascii="Arial" w:hAnsi="Arial" w:cs="Arial"/>
        </w:rPr>
        <w:t>kelurahan’s</w:t>
      </w:r>
      <w:proofErr w:type="spellEnd"/>
      <w:r w:rsidRPr="001E3541">
        <w:rPr>
          <w:rFonts w:ascii="Arial" w:hAnsi="Arial" w:cs="Arial"/>
        </w:rPr>
        <w:t xml:space="preserve"> population share: </w:t>
      </w:r>
      <w:proofErr w:type="spellStart"/>
      <w:r w:rsidRPr="001E3541">
        <w:rPr>
          <w:rFonts w:ascii="Arial" w:hAnsi="Arial" w:cs="Arial"/>
        </w:rPr>
        <w:t>Cinta</w:t>
      </w:r>
      <w:proofErr w:type="spellEnd"/>
      <w:r w:rsidRPr="001E3541">
        <w:rPr>
          <w:rFonts w:ascii="Arial" w:hAnsi="Arial" w:cs="Arial"/>
        </w:rPr>
        <w:t xml:space="preserve"> Damai (12 respondents), </w:t>
      </w:r>
      <w:proofErr w:type="spellStart"/>
      <w:r w:rsidRPr="001E3541">
        <w:rPr>
          <w:rFonts w:ascii="Arial" w:hAnsi="Arial" w:cs="Arial"/>
        </w:rPr>
        <w:t>Sei</w:t>
      </w:r>
      <w:proofErr w:type="spellEnd"/>
      <w:r w:rsidRPr="001E3541">
        <w:rPr>
          <w:rFonts w:ascii="Arial" w:hAnsi="Arial" w:cs="Arial"/>
        </w:rPr>
        <w:t xml:space="preserve"> </w:t>
      </w:r>
      <w:proofErr w:type="spellStart"/>
      <w:r w:rsidRPr="001E3541">
        <w:rPr>
          <w:rFonts w:ascii="Arial" w:hAnsi="Arial" w:cs="Arial"/>
        </w:rPr>
        <w:t>Sikambing</w:t>
      </w:r>
      <w:proofErr w:type="spellEnd"/>
      <w:r w:rsidRPr="001E3541">
        <w:rPr>
          <w:rFonts w:ascii="Arial" w:hAnsi="Arial" w:cs="Arial"/>
        </w:rPr>
        <w:t xml:space="preserve"> C-II (9), </w:t>
      </w:r>
      <w:proofErr w:type="spellStart"/>
      <w:r w:rsidRPr="001E3541">
        <w:rPr>
          <w:rFonts w:ascii="Arial" w:hAnsi="Arial" w:cs="Arial"/>
        </w:rPr>
        <w:t>Dwikora</w:t>
      </w:r>
      <w:proofErr w:type="spellEnd"/>
      <w:r w:rsidRPr="001E3541">
        <w:rPr>
          <w:rFonts w:ascii="Arial" w:hAnsi="Arial" w:cs="Arial"/>
        </w:rPr>
        <w:t xml:space="preserve"> (15), Helvetia Timur (16), Helvetia Tengah (20), Helvetia (9), and Tanjung Gusta (19).</w:t>
      </w:r>
    </w:p>
    <w:p w14:paraId="692CDB23" w14:textId="77777777" w:rsidR="001E3541" w:rsidRPr="001E3541" w:rsidRDefault="001E3541" w:rsidP="001E3541">
      <w:pPr>
        <w:jc w:val="both"/>
        <w:rPr>
          <w:rFonts w:ascii="Arial" w:hAnsi="Arial" w:cs="Arial"/>
        </w:rPr>
      </w:pPr>
      <w:r w:rsidRPr="001E3541">
        <w:rPr>
          <w:rFonts w:ascii="Arial" w:hAnsi="Arial" w:cs="Arial"/>
        </w:rPr>
        <w:t>Qualitative respondents included officials from the Youth and Sports Agency, sub-district and village administrations, community leaders, and representatives of local youth organizations, selected as key informants based on their roles in green open space activities.</w:t>
      </w:r>
    </w:p>
    <w:p w14:paraId="78DFCD77" w14:textId="77777777" w:rsidR="001E3541" w:rsidRPr="001E3541" w:rsidRDefault="001E3541" w:rsidP="001E3541">
      <w:pPr>
        <w:jc w:val="both"/>
        <w:rPr>
          <w:rFonts w:ascii="Arial" w:hAnsi="Arial" w:cs="Arial"/>
          <w:b/>
          <w:bCs/>
        </w:rPr>
      </w:pPr>
      <w:r w:rsidRPr="001E3541">
        <w:rPr>
          <w:rFonts w:ascii="Arial" w:hAnsi="Arial" w:cs="Arial"/>
          <w:b/>
          <w:bCs/>
        </w:rPr>
        <w:t>2.5 Data Collection Procedures</w:t>
      </w:r>
    </w:p>
    <w:p w14:paraId="3CDA42D2" w14:textId="77777777" w:rsidR="001E3541" w:rsidRPr="001E3541" w:rsidRDefault="001E3541" w:rsidP="001E3541">
      <w:pPr>
        <w:jc w:val="both"/>
        <w:rPr>
          <w:rFonts w:ascii="Arial" w:hAnsi="Arial" w:cs="Arial"/>
        </w:rPr>
      </w:pPr>
      <w:r w:rsidRPr="001E3541">
        <w:rPr>
          <w:rFonts w:ascii="Arial" w:hAnsi="Arial" w:cs="Arial"/>
        </w:rPr>
        <w:t>Four complementary techniques were used:</w:t>
      </w:r>
    </w:p>
    <w:p w14:paraId="1C423E0B" w14:textId="77777777" w:rsidR="001E3541" w:rsidRPr="001E3541" w:rsidRDefault="001E3541" w:rsidP="001E3541">
      <w:pPr>
        <w:numPr>
          <w:ilvl w:val="0"/>
          <w:numId w:val="10"/>
        </w:numPr>
        <w:jc w:val="both"/>
        <w:rPr>
          <w:rFonts w:ascii="Arial" w:hAnsi="Arial" w:cs="Arial"/>
        </w:rPr>
      </w:pPr>
      <w:r w:rsidRPr="001E3541">
        <w:rPr>
          <w:rFonts w:ascii="Arial" w:hAnsi="Arial" w:cs="Arial"/>
          <w:b/>
          <w:bCs/>
        </w:rPr>
        <w:t>Non-participant observation</w:t>
      </w:r>
      <w:r w:rsidRPr="001E3541">
        <w:rPr>
          <w:rFonts w:ascii="Arial" w:hAnsi="Arial" w:cs="Arial"/>
        </w:rPr>
        <w:t xml:space="preserve"> documented the physical condition of Balai Desa Field, including facilities, vegetation, accessibility, and patterns of use at different times of day. Observational notes and photographs were used to triangulate survey and interview findings.</w:t>
      </w:r>
    </w:p>
    <w:p w14:paraId="3452F7F9" w14:textId="77777777" w:rsidR="001E3541" w:rsidRPr="001E3541" w:rsidRDefault="001E3541" w:rsidP="001E3541">
      <w:pPr>
        <w:numPr>
          <w:ilvl w:val="0"/>
          <w:numId w:val="10"/>
        </w:numPr>
        <w:jc w:val="both"/>
        <w:rPr>
          <w:rFonts w:ascii="Arial" w:hAnsi="Arial" w:cs="Arial"/>
        </w:rPr>
      </w:pPr>
      <w:r w:rsidRPr="001E3541">
        <w:rPr>
          <w:rFonts w:ascii="Arial" w:hAnsi="Arial" w:cs="Arial"/>
          <w:b/>
          <w:bCs/>
        </w:rPr>
        <w:t>Structured questionnaire survey</w:t>
      </w:r>
      <w:r w:rsidRPr="001E3541">
        <w:rPr>
          <w:rFonts w:ascii="Arial" w:hAnsi="Arial" w:cs="Arial"/>
        </w:rPr>
        <w:t xml:space="preserve"> (Likert scale) measured residents’ satisfaction with the physical condition of the space and captured forms of participation (ideas, labor, skills, materials, and financial resources) in its management and development.</w:t>
      </w:r>
    </w:p>
    <w:p w14:paraId="6DFFEC56" w14:textId="77777777" w:rsidR="001E3541" w:rsidRPr="001E3541" w:rsidRDefault="001E3541" w:rsidP="001E3541">
      <w:pPr>
        <w:numPr>
          <w:ilvl w:val="0"/>
          <w:numId w:val="10"/>
        </w:numPr>
        <w:jc w:val="both"/>
        <w:rPr>
          <w:rFonts w:ascii="Arial" w:hAnsi="Arial" w:cs="Arial"/>
        </w:rPr>
      </w:pPr>
      <w:r w:rsidRPr="001E3541">
        <w:rPr>
          <w:rFonts w:ascii="Arial" w:hAnsi="Arial" w:cs="Arial"/>
          <w:b/>
          <w:bCs/>
        </w:rPr>
        <w:t>Semi-structured interviews</w:t>
      </w:r>
      <w:r w:rsidRPr="001E3541">
        <w:rPr>
          <w:rFonts w:ascii="Arial" w:hAnsi="Arial" w:cs="Arial"/>
        </w:rPr>
        <w:t xml:space="preserve"> with key stakeholders explored governance arrangements, perceived roles and responsibilities, and barriers to deeper citizen involvement.</w:t>
      </w:r>
    </w:p>
    <w:p w14:paraId="0E1A9A21" w14:textId="77777777" w:rsidR="001E3541" w:rsidRPr="001E3541" w:rsidRDefault="001E3541" w:rsidP="001E3541">
      <w:pPr>
        <w:numPr>
          <w:ilvl w:val="0"/>
          <w:numId w:val="10"/>
        </w:numPr>
        <w:jc w:val="both"/>
        <w:rPr>
          <w:rFonts w:ascii="Arial" w:hAnsi="Arial" w:cs="Arial"/>
        </w:rPr>
      </w:pPr>
      <w:r w:rsidRPr="001E3541">
        <w:rPr>
          <w:rFonts w:ascii="Arial" w:hAnsi="Arial" w:cs="Arial"/>
          <w:b/>
          <w:bCs/>
        </w:rPr>
        <w:lastRenderedPageBreak/>
        <w:t>Focus group discussion (FGD)</w:t>
      </w:r>
      <w:r w:rsidRPr="001E3541">
        <w:rPr>
          <w:rFonts w:ascii="Arial" w:hAnsi="Arial" w:cs="Arial"/>
        </w:rPr>
        <w:t xml:space="preserve"> with representatives from community groups, local government, and </w:t>
      </w:r>
      <w:proofErr w:type="spellStart"/>
      <w:r w:rsidRPr="001E3541">
        <w:rPr>
          <w:rFonts w:ascii="Arial" w:hAnsi="Arial" w:cs="Arial"/>
        </w:rPr>
        <w:t>Dispora</w:t>
      </w:r>
      <w:proofErr w:type="spellEnd"/>
      <w:r w:rsidRPr="001E3541">
        <w:rPr>
          <w:rFonts w:ascii="Arial" w:hAnsi="Arial" w:cs="Arial"/>
        </w:rPr>
        <w:t xml:space="preserve"> validated survey and interview findings and jointly formulated strategic ideas for participatory development. FGD outputs were summarized into a matrix of key issues, stakeholder perceptions, and proposed collaborative actions, which informed the SWOT analysis.</w:t>
      </w:r>
    </w:p>
    <w:p w14:paraId="2D979345" w14:textId="77777777" w:rsidR="001E3541" w:rsidRPr="001E3541" w:rsidRDefault="001E3541" w:rsidP="001E3541">
      <w:pPr>
        <w:jc w:val="both"/>
        <w:rPr>
          <w:rFonts w:ascii="Arial" w:hAnsi="Arial" w:cs="Arial"/>
          <w:b/>
          <w:bCs/>
        </w:rPr>
      </w:pPr>
      <w:r w:rsidRPr="001E3541">
        <w:rPr>
          <w:rFonts w:ascii="Arial" w:hAnsi="Arial" w:cs="Arial"/>
          <w:b/>
          <w:bCs/>
        </w:rPr>
        <w:t>2.6 Variables and Measurement</w:t>
      </w:r>
    </w:p>
    <w:p w14:paraId="2AF98925" w14:textId="77777777" w:rsidR="001E3541" w:rsidRPr="001E3541" w:rsidRDefault="001E3541" w:rsidP="001E3541">
      <w:pPr>
        <w:jc w:val="both"/>
        <w:rPr>
          <w:rFonts w:ascii="Arial" w:hAnsi="Arial" w:cs="Arial"/>
        </w:rPr>
      </w:pPr>
      <w:r w:rsidRPr="001E3541">
        <w:rPr>
          <w:rFonts w:ascii="Arial" w:hAnsi="Arial" w:cs="Arial"/>
        </w:rPr>
        <w:t>Two main quantitative constructs were examined:</w:t>
      </w:r>
    </w:p>
    <w:p w14:paraId="420F2A6E" w14:textId="5EBBCA18" w:rsidR="001E3541" w:rsidRPr="001E3541" w:rsidRDefault="001E3541" w:rsidP="001E3541">
      <w:pPr>
        <w:numPr>
          <w:ilvl w:val="0"/>
          <w:numId w:val="11"/>
        </w:numPr>
        <w:jc w:val="both"/>
        <w:rPr>
          <w:rFonts w:ascii="Arial" w:hAnsi="Arial" w:cs="Arial"/>
        </w:rPr>
      </w:pPr>
      <w:r w:rsidRPr="001E3541">
        <w:rPr>
          <w:rFonts w:ascii="Arial" w:hAnsi="Arial" w:cs="Arial"/>
          <w:b/>
          <w:bCs/>
        </w:rPr>
        <w:t>Perceived condition of the green open space</w:t>
      </w:r>
      <w:r w:rsidRPr="001E3541">
        <w:rPr>
          <w:rFonts w:ascii="Arial" w:hAnsi="Arial" w:cs="Arial"/>
        </w:rPr>
        <w:t>, measured through four indicators adapted from planning guidelines: availability of facilities, condition of facilities, availability/quality of vegetation, and accessibility. Indicators were measured with 3- or 5-point Likert scales from low/poor to high/good.</w:t>
      </w:r>
    </w:p>
    <w:p w14:paraId="5ADB9D91" w14:textId="1DEB161B" w:rsidR="001E3541" w:rsidRPr="001E3541" w:rsidRDefault="001E3541" w:rsidP="001E3541">
      <w:pPr>
        <w:numPr>
          <w:ilvl w:val="0"/>
          <w:numId w:val="11"/>
        </w:numPr>
        <w:jc w:val="both"/>
        <w:rPr>
          <w:rFonts w:ascii="Arial" w:hAnsi="Arial" w:cs="Arial"/>
        </w:rPr>
      </w:pPr>
      <w:r w:rsidRPr="001E3541">
        <w:rPr>
          <w:rFonts w:ascii="Arial" w:hAnsi="Arial" w:cs="Arial"/>
          <w:b/>
          <w:bCs/>
        </w:rPr>
        <w:t>Forms of community participation</w:t>
      </w:r>
      <w:r w:rsidRPr="001E3541">
        <w:rPr>
          <w:rFonts w:ascii="Arial" w:hAnsi="Arial" w:cs="Arial"/>
        </w:rPr>
        <w:t xml:space="preserve">, measured across five types of contribution: ideas, labor, skills, goods/materials, and financial resources, reflecting tangible and intangible involvement in planning, implementation, and maintenance </w:t>
      </w:r>
    </w:p>
    <w:p w14:paraId="3638BB30" w14:textId="3A771BEF" w:rsidR="001E3541" w:rsidRPr="001E3541" w:rsidRDefault="002A78FE" w:rsidP="001E3541">
      <w:pPr>
        <w:jc w:val="both"/>
        <w:rPr>
          <w:rFonts w:ascii="Arial" w:hAnsi="Arial" w:cs="Arial"/>
        </w:rPr>
      </w:pPr>
      <w:r w:rsidRPr="002A78FE">
        <w:rPr>
          <w:rFonts w:ascii="Arial" w:hAnsi="Arial" w:cs="Arial"/>
          <w:highlight w:val="yellow"/>
        </w:rPr>
        <w:t>These variables reflect tangible and intangible involvement in planning, implementation, and maintenance</w:t>
      </w:r>
      <w:r w:rsidR="004021D2">
        <w:rPr>
          <w:rFonts w:ascii="Arial" w:hAnsi="Arial" w:cs="Arial"/>
          <w:highlight w:val="yellow"/>
        </w:rPr>
        <w:t xml:space="preserve">. </w:t>
      </w:r>
      <w:r w:rsidRPr="002A78FE">
        <w:rPr>
          <w:rFonts w:ascii="Arial" w:hAnsi="Arial" w:cs="Arial"/>
          <w:highlight w:val="yellow"/>
        </w:rPr>
        <w:t>Socio-demographic attributes (age, gender, education, occupation, length of residence) were included to explore differences in perceptions and participation patterns</w:t>
      </w:r>
      <w:r w:rsidR="001E3541" w:rsidRPr="002A78FE">
        <w:rPr>
          <w:rFonts w:ascii="Arial" w:hAnsi="Arial" w:cs="Arial"/>
          <w:highlight w:val="yellow"/>
        </w:rPr>
        <w:t>.</w:t>
      </w:r>
    </w:p>
    <w:p w14:paraId="3971EF6A" w14:textId="77777777" w:rsidR="001E3541" w:rsidRPr="001E3541" w:rsidRDefault="001E3541" w:rsidP="001E3541">
      <w:pPr>
        <w:jc w:val="both"/>
        <w:rPr>
          <w:rFonts w:ascii="Arial" w:hAnsi="Arial" w:cs="Arial"/>
          <w:b/>
          <w:bCs/>
        </w:rPr>
      </w:pPr>
      <w:r w:rsidRPr="001E3541">
        <w:rPr>
          <w:rFonts w:ascii="Arial" w:hAnsi="Arial" w:cs="Arial"/>
          <w:b/>
          <w:bCs/>
        </w:rPr>
        <w:t>2.7 Data Analysis</w:t>
      </w:r>
    </w:p>
    <w:p w14:paraId="62FA7A37" w14:textId="77777777" w:rsidR="001E3541" w:rsidRPr="001E3541" w:rsidRDefault="001E3541" w:rsidP="001E3541">
      <w:pPr>
        <w:jc w:val="both"/>
        <w:rPr>
          <w:rFonts w:ascii="Arial" w:hAnsi="Arial" w:cs="Arial"/>
        </w:rPr>
      </w:pPr>
      <w:r w:rsidRPr="001E3541">
        <w:rPr>
          <w:rFonts w:ascii="Arial" w:hAnsi="Arial" w:cs="Arial"/>
        </w:rPr>
        <w:t>Data analysis proceeded in three stages:</w:t>
      </w:r>
    </w:p>
    <w:p w14:paraId="3E2F7F79" w14:textId="77777777" w:rsidR="001E3541" w:rsidRPr="001E3541" w:rsidRDefault="001E3541" w:rsidP="001E3541">
      <w:pPr>
        <w:numPr>
          <w:ilvl w:val="0"/>
          <w:numId w:val="12"/>
        </w:numPr>
        <w:jc w:val="both"/>
        <w:rPr>
          <w:rFonts w:ascii="Arial" w:hAnsi="Arial" w:cs="Arial"/>
        </w:rPr>
      </w:pPr>
      <w:r w:rsidRPr="001E3541">
        <w:rPr>
          <w:rFonts w:ascii="Arial" w:hAnsi="Arial" w:cs="Arial"/>
          <w:b/>
          <w:bCs/>
        </w:rPr>
        <w:t>Descriptive statistics</w:t>
      </w:r>
      <w:r w:rsidRPr="001E3541">
        <w:rPr>
          <w:rFonts w:ascii="Arial" w:hAnsi="Arial" w:cs="Arial"/>
        </w:rPr>
        <w:t xml:space="preserve"> (frequencies, percentages) summarized socio-demographic profiles, perceptions of physical condition, and reported forms of participation, and were interpreted alongside field observations.</w:t>
      </w:r>
    </w:p>
    <w:p w14:paraId="3F3A2996" w14:textId="77777777" w:rsidR="001E3541" w:rsidRPr="001E3541" w:rsidRDefault="001E3541" w:rsidP="001E3541">
      <w:pPr>
        <w:numPr>
          <w:ilvl w:val="0"/>
          <w:numId w:val="12"/>
        </w:numPr>
        <w:jc w:val="both"/>
        <w:rPr>
          <w:rFonts w:ascii="Arial" w:hAnsi="Arial" w:cs="Arial"/>
        </w:rPr>
      </w:pPr>
      <w:r w:rsidRPr="001E3541">
        <w:rPr>
          <w:rFonts w:ascii="Arial" w:hAnsi="Arial" w:cs="Arial"/>
          <w:b/>
          <w:bCs/>
        </w:rPr>
        <w:t>Crosstabulation and Pearson’s chi-square tests</w:t>
      </w:r>
      <w:r w:rsidRPr="001E3541">
        <w:rPr>
          <w:rFonts w:ascii="Arial" w:hAnsi="Arial" w:cs="Arial"/>
        </w:rPr>
        <w:t xml:space="preserve"> (α = 0.05) examined associations between forms of participation and perceived condition of facilities, vegetation, and accessibility. Significant relationships were interpreted in conjunction with qualitative insights from interviews and FGD.</w:t>
      </w:r>
    </w:p>
    <w:p w14:paraId="355A3729" w14:textId="77777777" w:rsidR="001E3541" w:rsidRPr="001E3541" w:rsidRDefault="001E3541" w:rsidP="001E3541">
      <w:pPr>
        <w:numPr>
          <w:ilvl w:val="0"/>
          <w:numId w:val="12"/>
        </w:numPr>
        <w:jc w:val="both"/>
        <w:rPr>
          <w:rFonts w:ascii="Arial" w:hAnsi="Arial" w:cs="Arial"/>
        </w:rPr>
      </w:pPr>
      <w:r w:rsidRPr="001E3541">
        <w:rPr>
          <w:rFonts w:ascii="Arial" w:hAnsi="Arial" w:cs="Arial"/>
          <w:b/>
          <w:bCs/>
        </w:rPr>
        <w:t>SWOT analysis</w:t>
      </w:r>
      <w:r w:rsidRPr="001E3541">
        <w:rPr>
          <w:rFonts w:ascii="Arial" w:hAnsi="Arial" w:cs="Arial"/>
        </w:rPr>
        <w:t xml:space="preserve"> was conducted to formulate strategic directions for participatory development. Internal factors (strengths, weaknesses) and external factors (opportunities, threats) were structured into Internal Factor Evaluation (IFE) and External Factor Evaluation (EFE) matrices. The resulting SWOT and IE (Internal–External) matrices guided the formulation and prioritization of strategic alternatives based on feasibility, stakeholder support, and potential contribution to ecological, social, and governance functions.</w:t>
      </w:r>
    </w:p>
    <w:p w14:paraId="6102E74D" w14:textId="055A21C0" w:rsidR="001E3541" w:rsidRPr="001E3541" w:rsidRDefault="001E3541" w:rsidP="001E3541">
      <w:pPr>
        <w:jc w:val="both"/>
        <w:rPr>
          <w:rFonts w:ascii="Arial" w:hAnsi="Arial" w:cs="Arial"/>
        </w:rPr>
      </w:pPr>
    </w:p>
    <w:p w14:paraId="477052C8" w14:textId="77777777" w:rsidR="001E3541" w:rsidRPr="001E3541" w:rsidRDefault="001E3541" w:rsidP="001E3541">
      <w:pPr>
        <w:jc w:val="both"/>
        <w:rPr>
          <w:rFonts w:ascii="Arial" w:hAnsi="Arial" w:cs="Arial"/>
          <w:b/>
          <w:bCs/>
        </w:rPr>
      </w:pPr>
      <w:r w:rsidRPr="001E3541">
        <w:rPr>
          <w:rFonts w:ascii="Arial" w:hAnsi="Arial" w:cs="Arial"/>
          <w:b/>
          <w:bCs/>
        </w:rPr>
        <w:lastRenderedPageBreak/>
        <w:t>3. Results and Discussion</w:t>
      </w:r>
    </w:p>
    <w:p w14:paraId="3B24AC61" w14:textId="77777777" w:rsidR="001E3541" w:rsidRPr="001E3541" w:rsidRDefault="001E3541" w:rsidP="001E3541">
      <w:pPr>
        <w:jc w:val="both"/>
        <w:rPr>
          <w:rFonts w:ascii="Arial" w:hAnsi="Arial" w:cs="Arial"/>
          <w:b/>
          <w:bCs/>
        </w:rPr>
      </w:pPr>
      <w:r w:rsidRPr="001E3541">
        <w:rPr>
          <w:rFonts w:ascii="Arial" w:hAnsi="Arial" w:cs="Arial"/>
          <w:b/>
          <w:bCs/>
        </w:rPr>
        <w:t>3.1 Urban Context and Role of Balai Desa Field</w:t>
      </w:r>
    </w:p>
    <w:p w14:paraId="1AAD02C0" w14:textId="7A1B726E" w:rsidR="00A60C53" w:rsidRPr="00647437" w:rsidRDefault="001E3541" w:rsidP="001E3541">
      <w:pPr>
        <w:jc w:val="both"/>
        <w:rPr>
          <w:rFonts w:ascii="Arial" w:hAnsi="Arial" w:cs="Arial"/>
        </w:rPr>
      </w:pPr>
      <w:r w:rsidRPr="001E3541">
        <w:rPr>
          <w:rFonts w:ascii="Arial" w:hAnsi="Arial" w:cs="Arial"/>
        </w:rPr>
        <w:t>Medan Helvetia District covers approximately 12.21 km² with a population exceeding 200,000 and density above 15,000 inhabitants per km². Within this dense urban fabric, Balai Desa Field functions as the main public open space for Helvetia Tengah and surrounding neighborhoods. The field is bordered by residential areas, schools, public facilities, and government offices, forming a central node of everyday activity and a significant “green patch” in an otherwise highly built-up environment.</w:t>
      </w:r>
    </w:p>
    <w:p w14:paraId="5D2DE068" w14:textId="77777777" w:rsidR="001E3541" w:rsidRPr="001E3541" w:rsidRDefault="001E3541" w:rsidP="001E3541">
      <w:pPr>
        <w:jc w:val="both"/>
        <w:rPr>
          <w:rFonts w:ascii="Arial" w:hAnsi="Arial" w:cs="Arial"/>
        </w:rPr>
      </w:pPr>
      <w:r w:rsidRPr="001E3541">
        <w:rPr>
          <w:rFonts w:ascii="Arial" w:hAnsi="Arial" w:cs="Arial"/>
        </w:rPr>
        <w:t>In such a context, Balai Desa Field plays a dual role. Ecologically, it contributes to stormwater infiltration, micro-climate regulation, and air quality; socially, it supports recreation, sports, and community interaction. Its performance thus directly affects local quality of life and contributes to Medan’s efforts to meet RTH targets.</w:t>
      </w:r>
    </w:p>
    <w:p w14:paraId="4406ED11" w14:textId="77777777" w:rsidR="001E3541" w:rsidRPr="001E3541" w:rsidRDefault="001E3541" w:rsidP="001E3541">
      <w:pPr>
        <w:jc w:val="both"/>
        <w:rPr>
          <w:rFonts w:ascii="Arial" w:hAnsi="Arial" w:cs="Arial"/>
          <w:b/>
          <w:bCs/>
        </w:rPr>
      </w:pPr>
      <w:r w:rsidRPr="001E3541">
        <w:rPr>
          <w:rFonts w:ascii="Arial" w:hAnsi="Arial" w:cs="Arial"/>
          <w:b/>
          <w:bCs/>
        </w:rPr>
        <w:t>3.2 Physical Condition and Management</w:t>
      </w:r>
    </w:p>
    <w:p w14:paraId="318EF1B3" w14:textId="77777777" w:rsidR="00E4623A" w:rsidRPr="00E4623A" w:rsidRDefault="00E4623A" w:rsidP="00E4623A">
      <w:pPr>
        <w:jc w:val="both"/>
        <w:rPr>
          <w:rFonts w:ascii="Arial" w:hAnsi="Arial" w:cs="Arial"/>
          <w:b/>
          <w:bCs/>
          <w:lang w:val="en-ID"/>
        </w:rPr>
      </w:pPr>
      <w:r w:rsidRPr="00E4623A">
        <w:rPr>
          <w:rFonts w:ascii="Arial" w:hAnsi="Arial" w:cs="Arial"/>
          <w:b/>
          <w:bCs/>
          <w:lang w:val="en-ID"/>
        </w:rPr>
        <w:t>3.2 Physical Condition and Management</w:t>
      </w:r>
    </w:p>
    <w:p w14:paraId="53DB3478" w14:textId="77777777" w:rsidR="00E4623A" w:rsidRPr="00E4623A" w:rsidRDefault="00E4623A" w:rsidP="00E4623A">
      <w:pPr>
        <w:jc w:val="both"/>
        <w:rPr>
          <w:rFonts w:ascii="Arial" w:hAnsi="Arial" w:cs="Arial"/>
          <w:lang w:val="en-ID"/>
        </w:rPr>
      </w:pPr>
      <w:r w:rsidRPr="00E4623A">
        <w:rPr>
          <w:rFonts w:ascii="Arial" w:hAnsi="Arial" w:cs="Arial"/>
          <w:lang w:val="en-ID"/>
        </w:rPr>
        <w:t>Survey results show a mixed picture of physical and ecological conditions (Table 1). For facility availability, 74% of respondents rated conditions as “adequate,” 24% as “poor,” and only 2% as “good” (n = 100). For facility condition, 51% considered facilities “poor,” 47% “adequate,” and 2% “good.” In contrast, vegetation and accessibility received more positive assessments: vegetation was rated “good” by 46%, “adequate” by 50%, and “poor” by 4%; accessibility was rated “good” by 47%, “adequate” by 51%, and “poor” by 2%. These results highlight that shortcomings lie primarily in the quantity and quality of built facilities rather than vegetation or access.</w:t>
      </w:r>
    </w:p>
    <w:p w14:paraId="1B78D4A2" w14:textId="77777777" w:rsidR="00E4623A" w:rsidRPr="00E4623A" w:rsidRDefault="00E4623A" w:rsidP="00E4623A">
      <w:pPr>
        <w:jc w:val="both"/>
        <w:rPr>
          <w:rFonts w:ascii="Arial" w:hAnsi="Arial" w:cs="Arial"/>
          <w:lang w:val="en-ID"/>
        </w:rPr>
      </w:pPr>
      <w:r w:rsidRPr="00E4623A">
        <w:rPr>
          <w:rFonts w:ascii="Arial" w:hAnsi="Arial" w:cs="Arial"/>
          <w:b/>
          <w:bCs/>
          <w:lang w:val="en-ID"/>
        </w:rPr>
        <w:t>Table 1. Perceived physical and ecological condition of Balai Desa Field (n = 100)</w:t>
      </w:r>
    </w:p>
    <w:tbl>
      <w:tblPr>
        <w:tblStyle w:val="TableGrid"/>
        <w:tblW w:w="0" w:type="auto"/>
        <w:tblLook w:val="04A0" w:firstRow="1" w:lastRow="0" w:firstColumn="1" w:lastColumn="0" w:noHBand="0" w:noVBand="1"/>
      </w:tblPr>
      <w:tblGrid>
        <w:gridCol w:w="4633"/>
        <w:gridCol w:w="1203"/>
        <w:gridCol w:w="1750"/>
        <w:gridCol w:w="1283"/>
      </w:tblGrid>
      <w:tr w:rsidR="00E4623A" w:rsidRPr="00E4623A" w14:paraId="55C2E3AD" w14:textId="77777777" w:rsidTr="00E4623A">
        <w:tc>
          <w:tcPr>
            <w:tcW w:w="0" w:type="auto"/>
            <w:hideMark/>
          </w:tcPr>
          <w:p w14:paraId="05821A0E" w14:textId="77777777" w:rsidR="00E4623A" w:rsidRPr="00E4623A" w:rsidRDefault="00E4623A" w:rsidP="00E4623A">
            <w:pPr>
              <w:spacing w:after="160" w:line="278" w:lineRule="auto"/>
              <w:jc w:val="both"/>
              <w:rPr>
                <w:rFonts w:ascii="Arial" w:hAnsi="Arial" w:cs="Arial"/>
                <w:b/>
                <w:bCs/>
                <w:lang w:val="en-ID"/>
              </w:rPr>
            </w:pPr>
            <w:r w:rsidRPr="00E4623A">
              <w:rPr>
                <w:rFonts w:ascii="Arial" w:hAnsi="Arial" w:cs="Arial"/>
                <w:b/>
                <w:bCs/>
                <w:lang w:val="en-ID"/>
              </w:rPr>
              <w:t>Indicator</w:t>
            </w:r>
          </w:p>
        </w:tc>
        <w:tc>
          <w:tcPr>
            <w:tcW w:w="0" w:type="auto"/>
            <w:hideMark/>
          </w:tcPr>
          <w:p w14:paraId="6B2E3E56" w14:textId="77777777" w:rsidR="00E4623A" w:rsidRPr="00E4623A" w:rsidRDefault="00E4623A" w:rsidP="00E4623A">
            <w:pPr>
              <w:spacing w:after="160" w:line="278" w:lineRule="auto"/>
              <w:jc w:val="both"/>
              <w:rPr>
                <w:rFonts w:ascii="Arial" w:hAnsi="Arial" w:cs="Arial"/>
                <w:b/>
                <w:bCs/>
                <w:lang w:val="en-ID"/>
              </w:rPr>
            </w:pPr>
            <w:r w:rsidRPr="00E4623A">
              <w:rPr>
                <w:rFonts w:ascii="Arial" w:hAnsi="Arial" w:cs="Arial"/>
                <w:b/>
                <w:bCs/>
                <w:lang w:val="en-ID"/>
              </w:rPr>
              <w:t>Poor (%)</w:t>
            </w:r>
          </w:p>
        </w:tc>
        <w:tc>
          <w:tcPr>
            <w:tcW w:w="0" w:type="auto"/>
            <w:hideMark/>
          </w:tcPr>
          <w:p w14:paraId="681A4C5F" w14:textId="77777777" w:rsidR="00E4623A" w:rsidRPr="00E4623A" w:rsidRDefault="00E4623A" w:rsidP="00E4623A">
            <w:pPr>
              <w:spacing w:after="160" w:line="278" w:lineRule="auto"/>
              <w:jc w:val="both"/>
              <w:rPr>
                <w:rFonts w:ascii="Arial" w:hAnsi="Arial" w:cs="Arial"/>
                <w:b/>
                <w:bCs/>
                <w:lang w:val="en-ID"/>
              </w:rPr>
            </w:pPr>
            <w:r w:rsidRPr="00E4623A">
              <w:rPr>
                <w:rFonts w:ascii="Arial" w:hAnsi="Arial" w:cs="Arial"/>
                <w:b/>
                <w:bCs/>
                <w:lang w:val="en-ID"/>
              </w:rPr>
              <w:t>Adequate (%)</w:t>
            </w:r>
          </w:p>
        </w:tc>
        <w:tc>
          <w:tcPr>
            <w:tcW w:w="0" w:type="auto"/>
            <w:hideMark/>
          </w:tcPr>
          <w:p w14:paraId="53F0BE57" w14:textId="77777777" w:rsidR="00E4623A" w:rsidRPr="00E4623A" w:rsidRDefault="00E4623A" w:rsidP="00E4623A">
            <w:pPr>
              <w:spacing w:after="160" w:line="278" w:lineRule="auto"/>
              <w:jc w:val="both"/>
              <w:rPr>
                <w:rFonts w:ascii="Arial" w:hAnsi="Arial" w:cs="Arial"/>
                <w:b/>
                <w:bCs/>
                <w:lang w:val="en-ID"/>
              </w:rPr>
            </w:pPr>
            <w:r w:rsidRPr="00E4623A">
              <w:rPr>
                <w:rFonts w:ascii="Arial" w:hAnsi="Arial" w:cs="Arial"/>
                <w:b/>
                <w:bCs/>
                <w:lang w:val="en-ID"/>
              </w:rPr>
              <w:t>Good (%)</w:t>
            </w:r>
          </w:p>
        </w:tc>
      </w:tr>
      <w:tr w:rsidR="00E4623A" w:rsidRPr="00E4623A" w14:paraId="3CF7ABC0" w14:textId="77777777" w:rsidTr="00E4623A">
        <w:tc>
          <w:tcPr>
            <w:tcW w:w="0" w:type="auto"/>
            <w:hideMark/>
          </w:tcPr>
          <w:p w14:paraId="30A5360C" w14:textId="77777777" w:rsidR="00E4623A" w:rsidRPr="00E4623A" w:rsidRDefault="00E4623A" w:rsidP="00E4623A">
            <w:pPr>
              <w:spacing w:after="160" w:line="278" w:lineRule="auto"/>
              <w:jc w:val="both"/>
              <w:rPr>
                <w:rFonts w:ascii="Arial" w:hAnsi="Arial" w:cs="Arial"/>
                <w:lang w:val="en-ID"/>
              </w:rPr>
            </w:pPr>
            <w:r w:rsidRPr="00E4623A">
              <w:rPr>
                <w:rFonts w:ascii="Arial" w:hAnsi="Arial" w:cs="Arial"/>
                <w:lang w:val="en-ID"/>
              </w:rPr>
              <w:t>Availability of facilities</w:t>
            </w:r>
          </w:p>
        </w:tc>
        <w:tc>
          <w:tcPr>
            <w:tcW w:w="0" w:type="auto"/>
            <w:hideMark/>
          </w:tcPr>
          <w:p w14:paraId="4D1727CD" w14:textId="77777777" w:rsidR="00E4623A" w:rsidRPr="00E4623A" w:rsidRDefault="00E4623A" w:rsidP="00E4623A">
            <w:pPr>
              <w:spacing w:after="160" w:line="278" w:lineRule="auto"/>
              <w:jc w:val="both"/>
              <w:rPr>
                <w:rFonts w:ascii="Arial" w:hAnsi="Arial" w:cs="Arial"/>
                <w:lang w:val="en-ID"/>
              </w:rPr>
            </w:pPr>
            <w:r w:rsidRPr="00E4623A">
              <w:rPr>
                <w:rFonts w:ascii="Arial" w:hAnsi="Arial" w:cs="Arial"/>
                <w:lang w:val="en-ID"/>
              </w:rPr>
              <w:t>24</w:t>
            </w:r>
          </w:p>
        </w:tc>
        <w:tc>
          <w:tcPr>
            <w:tcW w:w="0" w:type="auto"/>
            <w:hideMark/>
          </w:tcPr>
          <w:p w14:paraId="0C5EBB38" w14:textId="77777777" w:rsidR="00E4623A" w:rsidRPr="00E4623A" w:rsidRDefault="00E4623A" w:rsidP="00E4623A">
            <w:pPr>
              <w:spacing w:after="160" w:line="278" w:lineRule="auto"/>
              <w:jc w:val="both"/>
              <w:rPr>
                <w:rFonts w:ascii="Arial" w:hAnsi="Arial" w:cs="Arial"/>
                <w:lang w:val="en-ID"/>
              </w:rPr>
            </w:pPr>
            <w:r w:rsidRPr="00E4623A">
              <w:rPr>
                <w:rFonts w:ascii="Arial" w:hAnsi="Arial" w:cs="Arial"/>
                <w:lang w:val="en-ID"/>
              </w:rPr>
              <w:t>74</w:t>
            </w:r>
          </w:p>
        </w:tc>
        <w:tc>
          <w:tcPr>
            <w:tcW w:w="0" w:type="auto"/>
            <w:hideMark/>
          </w:tcPr>
          <w:p w14:paraId="2940FB5B" w14:textId="77777777" w:rsidR="00E4623A" w:rsidRPr="00E4623A" w:rsidRDefault="00E4623A" w:rsidP="00E4623A">
            <w:pPr>
              <w:spacing w:after="160" w:line="278" w:lineRule="auto"/>
              <w:jc w:val="both"/>
              <w:rPr>
                <w:rFonts w:ascii="Arial" w:hAnsi="Arial" w:cs="Arial"/>
                <w:lang w:val="en-ID"/>
              </w:rPr>
            </w:pPr>
            <w:r w:rsidRPr="00E4623A">
              <w:rPr>
                <w:rFonts w:ascii="Arial" w:hAnsi="Arial" w:cs="Arial"/>
                <w:lang w:val="en-ID"/>
              </w:rPr>
              <w:t>2</w:t>
            </w:r>
          </w:p>
        </w:tc>
      </w:tr>
      <w:tr w:rsidR="00E4623A" w:rsidRPr="00E4623A" w14:paraId="5C703AF0" w14:textId="77777777" w:rsidTr="00E4623A">
        <w:tc>
          <w:tcPr>
            <w:tcW w:w="0" w:type="auto"/>
            <w:hideMark/>
          </w:tcPr>
          <w:p w14:paraId="0484A87D" w14:textId="77777777" w:rsidR="00E4623A" w:rsidRPr="00E4623A" w:rsidRDefault="00E4623A" w:rsidP="00E4623A">
            <w:pPr>
              <w:spacing w:after="160" w:line="278" w:lineRule="auto"/>
              <w:jc w:val="both"/>
              <w:rPr>
                <w:rFonts w:ascii="Arial" w:hAnsi="Arial" w:cs="Arial"/>
                <w:lang w:val="en-ID"/>
              </w:rPr>
            </w:pPr>
            <w:r w:rsidRPr="00E4623A">
              <w:rPr>
                <w:rFonts w:ascii="Arial" w:hAnsi="Arial" w:cs="Arial"/>
                <w:lang w:val="en-ID"/>
              </w:rPr>
              <w:t>Condition of facilities</w:t>
            </w:r>
          </w:p>
        </w:tc>
        <w:tc>
          <w:tcPr>
            <w:tcW w:w="0" w:type="auto"/>
            <w:hideMark/>
          </w:tcPr>
          <w:p w14:paraId="70407EAD" w14:textId="77777777" w:rsidR="00E4623A" w:rsidRPr="00E4623A" w:rsidRDefault="00E4623A" w:rsidP="00E4623A">
            <w:pPr>
              <w:spacing w:after="160" w:line="278" w:lineRule="auto"/>
              <w:jc w:val="both"/>
              <w:rPr>
                <w:rFonts w:ascii="Arial" w:hAnsi="Arial" w:cs="Arial"/>
                <w:lang w:val="en-ID"/>
              </w:rPr>
            </w:pPr>
            <w:r w:rsidRPr="00E4623A">
              <w:rPr>
                <w:rFonts w:ascii="Arial" w:hAnsi="Arial" w:cs="Arial"/>
                <w:lang w:val="en-ID"/>
              </w:rPr>
              <w:t>51</w:t>
            </w:r>
          </w:p>
        </w:tc>
        <w:tc>
          <w:tcPr>
            <w:tcW w:w="0" w:type="auto"/>
            <w:hideMark/>
          </w:tcPr>
          <w:p w14:paraId="7548A6AF" w14:textId="77777777" w:rsidR="00E4623A" w:rsidRPr="00E4623A" w:rsidRDefault="00E4623A" w:rsidP="00E4623A">
            <w:pPr>
              <w:spacing w:after="160" w:line="278" w:lineRule="auto"/>
              <w:jc w:val="both"/>
              <w:rPr>
                <w:rFonts w:ascii="Arial" w:hAnsi="Arial" w:cs="Arial"/>
                <w:lang w:val="en-ID"/>
              </w:rPr>
            </w:pPr>
            <w:r w:rsidRPr="00E4623A">
              <w:rPr>
                <w:rFonts w:ascii="Arial" w:hAnsi="Arial" w:cs="Arial"/>
                <w:lang w:val="en-ID"/>
              </w:rPr>
              <w:t>47</w:t>
            </w:r>
          </w:p>
        </w:tc>
        <w:tc>
          <w:tcPr>
            <w:tcW w:w="0" w:type="auto"/>
            <w:hideMark/>
          </w:tcPr>
          <w:p w14:paraId="7F2F80E1" w14:textId="77777777" w:rsidR="00E4623A" w:rsidRPr="00E4623A" w:rsidRDefault="00E4623A" w:rsidP="00E4623A">
            <w:pPr>
              <w:spacing w:after="160" w:line="278" w:lineRule="auto"/>
              <w:jc w:val="both"/>
              <w:rPr>
                <w:rFonts w:ascii="Arial" w:hAnsi="Arial" w:cs="Arial"/>
                <w:lang w:val="en-ID"/>
              </w:rPr>
            </w:pPr>
            <w:r w:rsidRPr="00E4623A">
              <w:rPr>
                <w:rFonts w:ascii="Arial" w:hAnsi="Arial" w:cs="Arial"/>
                <w:lang w:val="en-ID"/>
              </w:rPr>
              <w:t>2</w:t>
            </w:r>
          </w:p>
        </w:tc>
      </w:tr>
      <w:tr w:rsidR="00E4623A" w:rsidRPr="00E4623A" w14:paraId="67C0E69D" w14:textId="77777777" w:rsidTr="00E4623A">
        <w:tc>
          <w:tcPr>
            <w:tcW w:w="0" w:type="auto"/>
            <w:hideMark/>
          </w:tcPr>
          <w:p w14:paraId="5891E520" w14:textId="77777777" w:rsidR="00E4623A" w:rsidRPr="00E4623A" w:rsidRDefault="00E4623A" w:rsidP="00E4623A">
            <w:pPr>
              <w:spacing w:after="160" w:line="278" w:lineRule="auto"/>
              <w:jc w:val="both"/>
              <w:rPr>
                <w:rFonts w:ascii="Arial" w:hAnsi="Arial" w:cs="Arial"/>
                <w:lang w:val="en-ID"/>
              </w:rPr>
            </w:pPr>
            <w:r w:rsidRPr="00E4623A">
              <w:rPr>
                <w:rFonts w:ascii="Arial" w:hAnsi="Arial" w:cs="Arial"/>
                <w:lang w:val="en-ID"/>
              </w:rPr>
              <w:t>Vegetation (availability &amp; quality)</w:t>
            </w:r>
          </w:p>
        </w:tc>
        <w:tc>
          <w:tcPr>
            <w:tcW w:w="0" w:type="auto"/>
            <w:hideMark/>
          </w:tcPr>
          <w:p w14:paraId="700FD197" w14:textId="77777777" w:rsidR="00E4623A" w:rsidRPr="00E4623A" w:rsidRDefault="00E4623A" w:rsidP="00E4623A">
            <w:pPr>
              <w:spacing w:after="160" w:line="278" w:lineRule="auto"/>
              <w:jc w:val="both"/>
              <w:rPr>
                <w:rFonts w:ascii="Arial" w:hAnsi="Arial" w:cs="Arial"/>
                <w:lang w:val="en-ID"/>
              </w:rPr>
            </w:pPr>
            <w:r w:rsidRPr="00E4623A">
              <w:rPr>
                <w:rFonts w:ascii="Arial" w:hAnsi="Arial" w:cs="Arial"/>
                <w:lang w:val="en-ID"/>
              </w:rPr>
              <w:t>4</w:t>
            </w:r>
          </w:p>
        </w:tc>
        <w:tc>
          <w:tcPr>
            <w:tcW w:w="0" w:type="auto"/>
            <w:hideMark/>
          </w:tcPr>
          <w:p w14:paraId="29E88D4F" w14:textId="77777777" w:rsidR="00E4623A" w:rsidRPr="00E4623A" w:rsidRDefault="00E4623A" w:rsidP="00E4623A">
            <w:pPr>
              <w:spacing w:after="160" w:line="278" w:lineRule="auto"/>
              <w:jc w:val="both"/>
              <w:rPr>
                <w:rFonts w:ascii="Arial" w:hAnsi="Arial" w:cs="Arial"/>
                <w:lang w:val="en-ID"/>
              </w:rPr>
            </w:pPr>
            <w:r w:rsidRPr="00E4623A">
              <w:rPr>
                <w:rFonts w:ascii="Arial" w:hAnsi="Arial" w:cs="Arial"/>
                <w:lang w:val="en-ID"/>
              </w:rPr>
              <w:t>50</w:t>
            </w:r>
          </w:p>
        </w:tc>
        <w:tc>
          <w:tcPr>
            <w:tcW w:w="0" w:type="auto"/>
            <w:hideMark/>
          </w:tcPr>
          <w:p w14:paraId="5981E87D" w14:textId="77777777" w:rsidR="00E4623A" w:rsidRPr="00E4623A" w:rsidRDefault="00E4623A" w:rsidP="00E4623A">
            <w:pPr>
              <w:spacing w:after="160" w:line="278" w:lineRule="auto"/>
              <w:jc w:val="both"/>
              <w:rPr>
                <w:rFonts w:ascii="Arial" w:hAnsi="Arial" w:cs="Arial"/>
                <w:lang w:val="en-ID"/>
              </w:rPr>
            </w:pPr>
            <w:r w:rsidRPr="00E4623A">
              <w:rPr>
                <w:rFonts w:ascii="Arial" w:hAnsi="Arial" w:cs="Arial"/>
                <w:lang w:val="en-ID"/>
              </w:rPr>
              <w:t>46</w:t>
            </w:r>
          </w:p>
        </w:tc>
      </w:tr>
      <w:tr w:rsidR="00E4623A" w:rsidRPr="00E4623A" w14:paraId="655F4857" w14:textId="77777777" w:rsidTr="00E4623A">
        <w:tc>
          <w:tcPr>
            <w:tcW w:w="0" w:type="auto"/>
            <w:hideMark/>
          </w:tcPr>
          <w:p w14:paraId="6E5C01C1" w14:textId="77777777" w:rsidR="00E4623A" w:rsidRPr="00E4623A" w:rsidRDefault="00E4623A" w:rsidP="00E4623A">
            <w:pPr>
              <w:spacing w:after="160" w:line="278" w:lineRule="auto"/>
              <w:jc w:val="both"/>
              <w:rPr>
                <w:rFonts w:ascii="Arial" w:hAnsi="Arial" w:cs="Arial"/>
                <w:lang w:val="en-ID"/>
              </w:rPr>
            </w:pPr>
            <w:r w:rsidRPr="00E4623A">
              <w:rPr>
                <w:rFonts w:ascii="Arial" w:hAnsi="Arial" w:cs="Arial"/>
                <w:lang w:val="en-ID"/>
              </w:rPr>
              <w:t>Accessibility</w:t>
            </w:r>
          </w:p>
        </w:tc>
        <w:tc>
          <w:tcPr>
            <w:tcW w:w="0" w:type="auto"/>
            <w:hideMark/>
          </w:tcPr>
          <w:p w14:paraId="5ABC3875" w14:textId="77777777" w:rsidR="00E4623A" w:rsidRPr="00E4623A" w:rsidRDefault="00E4623A" w:rsidP="00E4623A">
            <w:pPr>
              <w:spacing w:after="160" w:line="278" w:lineRule="auto"/>
              <w:jc w:val="both"/>
              <w:rPr>
                <w:rFonts w:ascii="Arial" w:hAnsi="Arial" w:cs="Arial"/>
                <w:lang w:val="en-ID"/>
              </w:rPr>
            </w:pPr>
            <w:r w:rsidRPr="00E4623A">
              <w:rPr>
                <w:rFonts w:ascii="Arial" w:hAnsi="Arial" w:cs="Arial"/>
                <w:lang w:val="en-ID"/>
              </w:rPr>
              <w:t>2</w:t>
            </w:r>
          </w:p>
        </w:tc>
        <w:tc>
          <w:tcPr>
            <w:tcW w:w="0" w:type="auto"/>
            <w:hideMark/>
          </w:tcPr>
          <w:p w14:paraId="01CEB75A" w14:textId="77777777" w:rsidR="00E4623A" w:rsidRPr="00E4623A" w:rsidRDefault="00E4623A" w:rsidP="00E4623A">
            <w:pPr>
              <w:spacing w:after="160" w:line="278" w:lineRule="auto"/>
              <w:jc w:val="both"/>
              <w:rPr>
                <w:rFonts w:ascii="Arial" w:hAnsi="Arial" w:cs="Arial"/>
                <w:lang w:val="en-ID"/>
              </w:rPr>
            </w:pPr>
            <w:r w:rsidRPr="00E4623A">
              <w:rPr>
                <w:rFonts w:ascii="Arial" w:hAnsi="Arial" w:cs="Arial"/>
                <w:lang w:val="en-ID"/>
              </w:rPr>
              <w:t>51</w:t>
            </w:r>
          </w:p>
        </w:tc>
        <w:tc>
          <w:tcPr>
            <w:tcW w:w="0" w:type="auto"/>
            <w:hideMark/>
          </w:tcPr>
          <w:p w14:paraId="725C98D0" w14:textId="77777777" w:rsidR="00E4623A" w:rsidRPr="00E4623A" w:rsidRDefault="00E4623A" w:rsidP="00E4623A">
            <w:pPr>
              <w:spacing w:after="160" w:line="278" w:lineRule="auto"/>
              <w:jc w:val="both"/>
              <w:rPr>
                <w:rFonts w:ascii="Arial" w:hAnsi="Arial" w:cs="Arial"/>
                <w:lang w:val="en-ID"/>
              </w:rPr>
            </w:pPr>
            <w:r w:rsidRPr="00E4623A">
              <w:rPr>
                <w:rFonts w:ascii="Arial" w:hAnsi="Arial" w:cs="Arial"/>
                <w:lang w:val="en-ID"/>
              </w:rPr>
              <w:t>47</w:t>
            </w:r>
          </w:p>
        </w:tc>
      </w:tr>
      <w:tr w:rsidR="00E4623A" w:rsidRPr="00E4623A" w14:paraId="47D8BFDA" w14:textId="77777777" w:rsidTr="00E4623A">
        <w:tc>
          <w:tcPr>
            <w:tcW w:w="0" w:type="auto"/>
            <w:hideMark/>
          </w:tcPr>
          <w:p w14:paraId="13672E37" w14:textId="77777777" w:rsidR="00E4623A" w:rsidRPr="00E4623A" w:rsidRDefault="00E4623A" w:rsidP="00E4623A">
            <w:pPr>
              <w:spacing w:after="160" w:line="278" w:lineRule="auto"/>
              <w:jc w:val="both"/>
              <w:rPr>
                <w:rFonts w:ascii="Arial" w:hAnsi="Arial" w:cs="Arial"/>
                <w:lang w:val="en-ID"/>
              </w:rPr>
            </w:pPr>
            <w:r w:rsidRPr="00E4623A">
              <w:rPr>
                <w:rFonts w:ascii="Arial" w:hAnsi="Arial" w:cs="Arial"/>
                <w:i/>
                <w:iCs/>
                <w:lang w:val="en-ID"/>
              </w:rPr>
              <w:t>Source: Authors’ household survey, 2024.</w:t>
            </w:r>
          </w:p>
        </w:tc>
        <w:tc>
          <w:tcPr>
            <w:tcW w:w="0" w:type="auto"/>
            <w:hideMark/>
          </w:tcPr>
          <w:p w14:paraId="7864AA13" w14:textId="77777777" w:rsidR="00E4623A" w:rsidRPr="00E4623A" w:rsidRDefault="00E4623A" w:rsidP="00E4623A">
            <w:pPr>
              <w:spacing w:after="160" w:line="278" w:lineRule="auto"/>
              <w:jc w:val="both"/>
              <w:rPr>
                <w:rFonts w:ascii="Arial" w:hAnsi="Arial" w:cs="Arial"/>
                <w:lang w:val="en-ID"/>
              </w:rPr>
            </w:pPr>
          </w:p>
        </w:tc>
        <w:tc>
          <w:tcPr>
            <w:tcW w:w="0" w:type="auto"/>
            <w:hideMark/>
          </w:tcPr>
          <w:p w14:paraId="48DDA0A6" w14:textId="77777777" w:rsidR="00E4623A" w:rsidRPr="00E4623A" w:rsidRDefault="00E4623A" w:rsidP="00E4623A">
            <w:pPr>
              <w:spacing w:after="160" w:line="278" w:lineRule="auto"/>
              <w:jc w:val="both"/>
              <w:rPr>
                <w:rFonts w:ascii="Arial" w:hAnsi="Arial" w:cs="Arial"/>
                <w:lang w:val="en-ID"/>
              </w:rPr>
            </w:pPr>
          </w:p>
        </w:tc>
        <w:tc>
          <w:tcPr>
            <w:tcW w:w="0" w:type="auto"/>
            <w:hideMark/>
          </w:tcPr>
          <w:p w14:paraId="7968E2FB" w14:textId="77777777" w:rsidR="00E4623A" w:rsidRPr="00E4623A" w:rsidRDefault="00E4623A" w:rsidP="00E4623A">
            <w:pPr>
              <w:spacing w:after="160" w:line="278" w:lineRule="auto"/>
              <w:jc w:val="both"/>
              <w:rPr>
                <w:rFonts w:ascii="Arial" w:hAnsi="Arial" w:cs="Arial"/>
                <w:lang w:val="en-ID"/>
              </w:rPr>
            </w:pPr>
          </w:p>
        </w:tc>
      </w:tr>
    </w:tbl>
    <w:p w14:paraId="6144F405" w14:textId="4C43A56D" w:rsidR="00E4623A" w:rsidRPr="00E4623A" w:rsidRDefault="00E4623A" w:rsidP="00E4623A">
      <w:pPr>
        <w:jc w:val="both"/>
        <w:rPr>
          <w:rFonts w:ascii="Arial" w:hAnsi="Arial" w:cs="Arial"/>
          <w:lang w:val="en-ID"/>
        </w:rPr>
      </w:pPr>
      <w:r w:rsidRPr="00E4623A">
        <w:rPr>
          <w:rFonts w:ascii="Arial" w:hAnsi="Arial" w:cs="Arial"/>
          <w:lang w:val="en-ID"/>
        </w:rPr>
        <w:t xml:space="preserve">Field observations confirm these findings. The site includes a basic soccer pitch, a small number of benches, a simple play area, and limited lighting. Public toilets are absent, pedestrian paths are damaged, and many play structures are unsafe. This combination of limited and poorly maintained facilities constrains inclusive use, especially for </w:t>
      </w:r>
      <w:r w:rsidRPr="00E4623A">
        <w:rPr>
          <w:rFonts w:ascii="Arial" w:hAnsi="Arial" w:cs="Arial"/>
          <w:lang w:val="en-ID"/>
        </w:rPr>
        <w:lastRenderedPageBreak/>
        <w:t xml:space="preserve">children, older adults, and women, reflecting broader findings that supporting infrastructure strongly shapes the quality and perceived safety of urban open green spaces </w:t>
      </w:r>
      <w:r w:rsidR="004021D2">
        <w:rPr>
          <w:rFonts w:ascii="Arial" w:hAnsi="Arial" w:cs="Arial"/>
          <w:lang w:val="en-ID"/>
        </w:rPr>
        <w:t>(</w:t>
      </w:r>
      <w:proofErr w:type="spellStart"/>
      <w:r w:rsidRPr="00E4623A">
        <w:rPr>
          <w:rFonts w:ascii="Arial" w:hAnsi="Arial" w:cs="Arial"/>
          <w:lang w:val="en-ID"/>
        </w:rPr>
        <w:t>Kurniati</w:t>
      </w:r>
      <w:proofErr w:type="spellEnd"/>
      <w:r w:rsidRPr="00E4623A">
        <w:rPr>
          <w:rFonts w:ascii="Arial" w:hAnsi="Arial" w:cs="Arial"/>
          <w:lang w:val="en-ID"/>
        </w:rPr>
        <w:t xml:space="preserve"> &amp; </w:t>
      </w:r>
      <w:proofErr w:type="spellStart"/>
      <w:r w:rsidRPr="00E4623A">
        <w:rPr>
          <w:rFonts w:ascii="Arial" w:hAnsi="Arial" w:cs="Arial"/>
          <w:lang w:val="en-ID"/>
        </w:rPr>
        <w:t>Zamroni</w:t>
      </w:r>
      <w:proofErr w:type="spellEnd"/>
      <w:r w:rsidRPr="00E4623A">
        <w:rPr>
          <w:rFonts w:ascii="Arial" w:hAnsi="Arial" w:cs="Arial"/>
          <w:lang w:val="en-ID"/>
        </w:rPr>
        <w:t>, 2021). By contrast, the relatively positive assessments of vegetation and accessibility are consistent with international evidence that tree cover and good connectivity are key determinants of park use and perceived quality (</w:t>
      </w:r>
      <w:proofErr w:type="spellStart"/>
      <w:r w:rsidRPr="00E4623A">
        <w:rPr>
          <w:rFonts w:ascii="Arial" w:hAnsi="Arial" w:cs="Arial"/>
          <w:lang w:val="en-ID"/>
        </w:rPr>
        <w:t>Hillsdon</w:t>
      </w:r>
      <w:proofErr w:type="spellEnd"/>
      <w:r w:rsidRPr="00E4623A">
        <w:rPr>
          <w:rFonts w:ascii="Arial" w:hAnsi="Arial" w:cs="Arial"/>
          <w:lang w:val="en-ID"/>
        </w:rPr>
        <w:t xml:space="preserve"> et al., 2006; </w:t>
      </w:r>
      <w:proofErr w:type="spellStart"/>
      <w:r w:rsidRPr="00E4623A">
        <w:rPr>
          <w:rFonts w:ascii="Arial" w:hAnsi="Arial" w:cs="Arial"/>
          <w:lang w:val="en-ID"/>
        </w:rPr>
        <w:t>Chiesura</w:t>
      </w:r>
      <w:proofErr w:type="spellEnd"/>
      <w:r w:rsidRPr="00E4623A">
        <w:rPr>
          <w:rFonts w:ascii="Arial" w:hAnsi="Arial" w:cs="Arial"/>
          <w:lang w:val="en-ID"/>
        </w:rPr>
        <w:t>, 2004).</w:t>
      </w:r>
    </w:p>
    <w:p w14:paraId="2D525E40" w14:textId="77777777" w:rsidR="00E4623A" w:rsidRPr="00E4623A" w:rsidRDefault="00E4623A" w:rsidP="00E4623A">
      <w:pPr>
        <w:jc w:val="both"/>
        <w:rPr>
          <w:rFonts w:ascii="Arial" w:hAnsi="Arial" w:cs="Arial"/>
          <w:lang w:val="en-ID"/>
        </w:rPr>
      </w:pPr>
      <w:r w:rsidRPr="00E4623A">
        <w:rPr>
          <w:rFonts w:ascii="Arial" w:hAnsi="Arial" w:cs="Arial"/>
          <w:lang w:val="en-ID"/>
        </w:rPr>
        <w:t xml:space="preserve">Vegetation is comparatively better than built facilities. Shade-providing trees are concentrated along the edges of the field, while the central area remains open for sports and multipurpose activities. Although tree cover is not extensive, existing plantings contribute to thermal comfort and visual greenery. Respondents’ positive evaluations (96% “good” or “adequate”) suggest that the field already plays an important ecological role at the </w:t>
      </w:r>
      <w:proofErr w:type="spellStart"/>
      <w:r w:rsidRPr="00E4623A">
        <w:rPr>
          <w:rFonts w:ascii="Arial" w:hAnsi="Arial" w:cs="Arial"/>
          <w:lang w:val="en-ID"/>
        </w:rPr>
        <w:t>neighborhood</w:t>
      </w:r>
      <w:proofErr w:type="spellEnd"/>
      <w:r w:rsidRPr="00E4623A">
        <w:rPr>
          <w:rFonts w:ascii="Arial" w:hAnsi="Arial" w:cs="Arial"/>
          <w:lang w:val="en-ID"/>
        </w:rPr>
        <w:t xml:space="preserve"> scale.</w:t>
      </w:r>
    </w:p>
    <w:p w14:paraId="4BF68F72" w14:textId="77777777" w:rsidR="00E4623A" w:rsidRPr="00E4623A" w:rsidRDefault="00E4623A" w:rsidP="00E4623A">
      <w:pPr>
        <w:jc w:val="both"/>
        <w:rPr>
          <w:rFonts w:ascii="Arial" w:hAnsi="Arial" w:cs="Arial"/>
          <w:lang w:val="en-ID"/>
        </w:rPr>
      </w:pPr>
      <w:r w:rsidRPr="00E4623A">
        <w:rPr>
          <w:rFonts w:ascii="Arial" w:hAnsi="Arial" w:cs="Arial"/>
          <w:lang w:val="en-ID"/>
        </w:rPr>
        <w:t xml:space="preserve">Accessibility is another strength. The field’s central location and proximity to key roads (e.g. </w:t>
      </w:r>
      <w:proofErr w:type="spellStart"/>
      <w:r w:rsidRPr="00E4623A">
        <w:rPr>
          <w:rFonts w:ascii="Arial" w:hAnsi="Arial" w:cs="Arial"/>
          <w:lang w:val="en-ID"/>
        </w:rPr>
        <w:t>Gaperta</w:t>
      </w:r>
      <w:proofErr w:type="spellEnd"/>
      <w:r w:rsidRPr="00E4623A">
        <w:rPr>
          <w:rFonts w:ascii="Arial" w:hAnsi="Arial" w:cs="Arial"/>
          <w:lang w:val="en-ID"/>
        </w:rPr>
        <w:t xml:space="preserve">, </w:t>
      </w:r>
      <w:proofErr w:type="spellStart"/>
      <w:r w:rsidRPr="00E4623A">
        <w:rPr>
          <w:rFonts w:ascii="Arial" w:hAnsi="Arial" w:cs="Arial"/>
          <w:lang w:val="en-ID"/>
        </w:rPr>
        <w:t>Balai</w:t>
      </w:r>
      <w:proofErr w:type="spellEnd"/>
      <w:r w:rsidRPr="00E4623A">
        <w:rPr>
          <w:rFonts w:ascii="Arial" w:hAnsi="Arial" w:cs="Arial"/>
          <w:lang w:val="en-ID"/>
        </w:rPr>
        <w:t xml:space="preserve"> </w:t>
      </w:r>
      <w:proofErr w:type="spellStart"/>
      <w:r w:rsidRPr="00E4623A">
        <w:rPr>
          <w:rFonts w:ascii="Arial" w:hAnsi="Arial" w:cs="Arial"/>
          <w:lang w:val="en-ID"/>
        </w:rPr>
        <w:t>Desa</w:t>
      </w:r>
      <w:proofErr w:type="spellEnd"/>
      <w:r w:rsidRPr="00E4623A">
        <w:rPr>
          <w:rFonts w:ascii="Arial" w:hAnsi="Arial" w:cs="Arial"/>
          <w:lang w:val="en-ID"/>
        </w:rPr>
        <w:t xml:space="preserve">, </w:t>
      </w:r>
      <w:proofErr w:type="spellStart"/>
      <w:r w:rsidRPr="00E4623A">
        <w:rPr>
          <w:rFonts w:ascii="Arial" w:hAnsi="Arial" w:cs="Arial"/>
          <w:lang w:val="en-ID"/>
        </w:rPr>
        <w:t>Beringin</w:t>
      </w:r>
      <w:proofErr w:type="spellEnd"/>
      <w:r w:rsidRPr="00E4623A">
        <w:rPr>
          <w:rFonts w:ascii="Arial" w:hAnsi="Arial" w:cs="Arial"/>
          <w:lang w:val="en-ID"/>
        </w:rPr>
        <w:t>) make it easily reachable by foot, motorcycle, and public transport. Some deficiencies remain—such as lack of formal parking and uneven pedestrian routes—but overall access is considered good or adequate by almost all respondents. These conditions align with the argument that accessible, legible, and visible open spaces are more likely to support everyday use and social interaction (Lynch, 1960; Haughton &amp; Hunter, 1994).</w:t>
      </w:r>
    </w:p>
    <w:p w14:paraId="7A31A56F" w14:textId="75E1EBD0" w:rsidR="001E3541" w:rsidRPr="00E4623A" w:rsidRDefault="00E4623A" w:rsidP="001E3541">
      <w:pPr>
        <w:jc w:val="both"/>
        <w:rPr>
          <w:rFonts w:ascii="Arial" w:hAnsi="Arial" w:cs="Arial"/>
          <w:lang w:val="en-ID"/>
        </w:rPr>
      </w:pPr>
      <w:r w:rsidRPr="00E4623A">
        <w:rPr>
          <w:rFonts w:ascii="Arial" w:hAnsi="Arial" w:cs="Arial"/>
          <w:lang w:val="en-ID"/>
        </w:rPr>
        <w:t xml:space="preserve">Institutionally, Balai Desa Field is managed by </w:t>
      </w:r>
      <w:proofErr w:type="spellStart"/>
      <w:r w:rsidRPr="00E4623A">
        <w:rPr>
          <w:rFonts w:ascii="Arial" w:hAnsi="Arial" w:cs="Arial"/>
          <w:lang w:val="en-ID"/>
        </w:rPr>
        <w:t>Dispora</w:t>
      </w:r>
      <w:proofErr w:type="spellEnd"/>
      <w:r w:rsidRPr="00E4623A">
        <w:rPr>
          <w:rFonts w:ascii="Arial" w:hAnsi="Arial" w:cs="Arial"/>
          <w:lang w:val="en-ID"/>
        </w:rPr>
        <w:t xml:space="preserve"> as part of the city’s sports and public facilities network. It regularly hosts city-scale events, enhancing its visibility and symbolic importance. Routine maintenance is carried out by a small team of daily workers funded from the agency’s budget. Nonetheless, limited resources and recurring vandalism pose challenges. Damage to benches, play equipment, and graffiti are common, and current responses (banners, security, occasional CCTV) primarily treat residents as users to be controlled rather than partners in management. Interviews indicate that residents are rarely involved in planning, monitoring, or decision-making, confirming a government-</w:t>
      </w:r>
      <w:proofErr w:type="spellStart"/>
      <w:r w:rsidRPr="00E4623A">
        <w:rPr>
          <w:rFonts w:ascii="Arial" w:hAnsi="Arial" w:cs="Arial"/>
          <w:lang w:val="en-ID"/>
        </w:rPr>
        <w:t>centered</w:t>
      </w:r>
      <w:proofErr w:type="spellEnd"/>
      <w:r w:rsidRPr="00E4623A">
        <w:rPr>
          <w:rFonts w:ascii="Arial" w:hAnsi="Arial" w:cs="Arial"/>
          <w:lang w:val="en-ID"/>
        </w:rPr>
        <w:t xml:space="preserve"> governance mode that contrasts with more collaborative models reported in other cities (Ugar, 2022)</w:t>
      </w:r>
      <w:r w:rsidR="00096E9F" w:rsidRPr="00647437">
        <w:rPr>
          <w:rFonts w:ascii="Arial" w:hAnsi="Arial" w:cs="Arial"/>
        </w:rPr>
        <w:t>.</w:t>
      </w:r>
    </w:p>
    <w:p w14:paraId="5DA47B79" w14:textId="77777777" w:rsidR="001E3541" w:rsidRPr="001E3541" w:rsidRDefault="001E3541" w:rsidP="001E3541">
      <w:pPr>
        <w:jc w:val="both"/>
        <w:rPr>
          <w:rFonts w:ascii="Arial" w:hAnsi="Arial" w:cs="Arial"/>
          <w:b/>
          <w:bCs/>
        </w:rPr>
      </w:pPr>
      <w:r w:rsidRPr="001E3541">
        <w:rPr>
          <w:rFonts w:ascii="Arial" w:hAnsi="Arial" w:cs="Arial"/>
          <w:b/>
          <w:bCs/>
        </w:rPr>
        <w:t>3.3 Forms and Levels of Community Participation</w:t>
      </w:r>
    </w:p>
    <w:p w14:paraId="42D540C9" w14:textId="77777777" w:rsidR="00E4623A" w:rsidRPr="00E4623A" w:rsidRDefault="00E4623A" w:rsidP="00E4623A">
      <w:pPr>
        <w:jc w:val="both"/>
        <w:rPr>
          <w:rFonts w:ascii="Arial" w:hAnsi="Arial" w:cs="Arial"/>
          <w:highlight w:val="yellow"/>
          <w:lang w:val="en-ID"/>
        </w:rPr>
      </w:pPr>
      <w:r w:rsidRPr="00E4623A">
        <w:rPr>
          <w:rFonts w:ascii="Arial" w:hAnsi="Arial" w:cs="Arial"/>
          <w:highlight w:val="yellow"/>
          <w:lang w:val="en-ID"/>
        </w:rPr>
        <w:t xml:space="preserve">Participation in managing and developing the field is relatively low. Only 6% of respondents reported contributing </w:t>
      </w:r>
      <w:proofErr w:type="spellStart"/>
      <w:r w:rsidRPr="00E4623A">
        <w:rPr>
          <w:rFonts w:ascii="Arial" w:hAnsi="Arial" w:cs="Arial"/>
          <w:highlight w:val="yellow"/>
          <w:lang w:val="en-ID"/>
        </w:rPr>
        <w:t>labor</w:t>
      </w:r>
      <w:proofErr w:type="spellEnd"/>
      <w:r w:rsidRPr="00E4623A">
        <w:rPr>
          <w:rFonts w:ascii="Arial" w:hAnsi="Arial" w:cs="Arial"/>
          <w:highlight w:val="yellow"/>
          <w:lang w:val="en-ID"/>
        </w:rPr>
        <w:t>, 5% ideas, 4% skills, 3% materials, and 2% financial resources. Because multiple forms could be reported by each respondent, these percentages represent overlapping rather than mutually exclusive categories. Overall, a small but active core of residents contributes to field maintenance and improvement.</w:t>
      </w:r>
    </w:p>
    <w:p w14:paraId="0A23436D" w14:textId="77777777" w:rsidR="00E4623A" w:rsidRPr="00E4623A" w:rsidRDefault="00E4623A" w:rsidP="00E4623A">
      <w:pPr>
        <w:jc w:val="both"/>
        <w:rPr>
          <w:rFonts w:ascii="Arial" w:hAnsi="Arial" w:cs="Arial"/>
          <w:highlight w:val="yellow"/>
          <w:lang w:val="en-ID"/>
        </w:rPr>
      </w:pPr>
      <w:r w:rsidRPr="00E4623A">
        <w:rPr>
          <w:rFonts w:ascii="Arial" w:hAnsi="Arial" w:cs="Arial"/>
          <w:highlight w:val="yellow"/>
          <w:lang w:val="en-ID"/>
        </w:rPr>
        <w:lastRenderedPageBreak/>
        <w:t xml:space="preserve">Labor and ideas are the most common participation forms, mainly through routine or ad hoc </w:t>
      </w:r>
      <w:r w:rsidRPr="00E4623A">
        <w:rPr>
          <w:rFonts w:ascii="Arial" w:hAnsi="Arial" w:cs="Arial"/>
          <w:i/>
          <w:iCs/>
          <w:highlight w:val="yellow"/>
          <w:lang w:val="en-ID"/>
        </w:rPr>
        <w:t>gotong royong</w:t>
      </w:r>
      <w:r w:rsidRPr="00E4623A">
        <w:rPr>
          <w:rFonts w:ascii="Arial" w:hAnsi="Arial" w:cs="Arial"/>
          <w:highlight w:val="yellow"/>
          <w:lang w:val="en-ID"/>
        </w:rPr>
        <w:t xml:space="preserve"> activities for cleaning and minor repairs initiated by village or sub-district government. Suggestions are usually conveyed informally to local officials or field workers. Skills, materials, and money are contributed more sporadically in specific events, such as murals, community service programs, plant donations, or spontaneous fundraising. This pattern suggests that social capital and solidarity exist but are not yet embedded in formal, continuous management arrangements (Putnam, 1993; </w:t>
      </w:r>
      <w:proofErr w:type="spellStart"/>
      <w:r w:rsidRPr="00E4623A">
        <w:rPr>
          <w:rFonts w:ascii="Arial" w:hAnsi="Arial" w:cs="Arial"/>
          <w:highlight w:val="yellow"/>
          <w:lang w:val="en-ID"/>
        </w:rPr>
        <w:t>Setiawan</w:t>
      </w:r>
      <w:proofErr w:type="spellEnd"/>
      <w:r w:rsidRPr="00E4623A">
        <w:rPr>
          <w:rFonts w:ascii="Arial" w:hAnsi="Arial" w:cs="Arial"/>
          <w:highlight w:val="yellow"/>
          <w:lang w:val="en-ID"/>
        </w:rPr>
        <w:t xml:space="preserve"> &amp; </w:t>
      </w:r>
      <w:proofErr w:type="spellStart"/>
      <w:r w:rsidRPr="00E4623A">
        <w:rPr>
          <w:rFonts w:ascii="Arial" w:hAnsi="Arial" w:cs="Arial"/>
          <w:highlight w:val="yellow"/>
          <w:lang w:val="en-ID"/>
        </w:rPr>
        <w:t>Widiyastuti</w:t>
      </w:r>
      <w:proofErr w:type="spellEnd"/>
      <w:r w:rsidRPr="00E4623A">
        <w:rPr>
          <w:rFonts w:ascii="Arial" w:hAnsi="Arial" w:cs="Arial"/>
          <w:highlight w:val="yellow"/>
          <w:lang w:val="en-ID"/>
        </w:rPr>
        <w:t>, 2018).</w:t>
      </w:r>
    </w:p>
    <w:p w14:paraId="05DE6F5D" w14:textId="77777777" w:rsidR="00E4623A" w:rsidRPr="00E4623A" w:rsidRDefault="00E4623A" w:rsidP="00E4623A">
      <w:pPr>
        <w:jc w:val="both"/>
        <w:rPr>
          <w:rFonts w:ascii="Arial" w:hAnsi="Arial" w:cs="Arial"/>
          <w:highlight w:val="yellow"/>
          <w:lang w:val="en-ID"/>
        </w:rPr>
      </w:pPr>
      <w:r w:rsidRPr="00E4623A">
        <w:rPr>
          <w:rFonts w:ascii="Arial" w:hAnsi="Arial" w:cs="Arial"/>
          <w:highlight w:val="yellow"/>
          <w:lang w:val="en-ID"/>
        </w:rPr>
        <w:t>Four main barriers constrain deeper participation: (</w:t>
      </w:r>
      <w:proofErr w:type="spellStart"/>
      <w:r w:rsidRPr="00E4623A">
        <w:rPr>
          <w:rFonts w:ascii="Arial" w:hAnsi="Arial" w:cs="Arial"/>
          <w:highlight w:val="yellow"/>
          <w:lang w:val="en-ID"/>
        </w:rPr>
        <w:t>i</w:t>
      </w:r>
      <w:proofErr w:type="spellEnd"/>
      <w:r w:rsidRPr="00E4623A">
        <w:rPr>
          <w:rFonts w:ascii="Arial" w:hAnsi="Arial" w:cs="Arial"/>
          <w:highlight w:val="yellow"/>
          <w:lang w:val="en-ID"/>
        </w:rPr>
        <w:t xml:space="preserve">) communication is largely one-way, with residents informed about activities but rarely involved in prior dialogue or co-design; (ii) many residents are unclear about which level of government is responsible for the field (village, district, or </w:t>
      </w:r>
      <w:proofErr w:type="spellStart"/>
      <w:r w:rsidRPr="00E4623A">
        <w:rPr>
          <w:rFonts w:ascii="Arial" w:hAnsi="Arial" w:cs="Arial"/>
          <w:highlight w:val="yellow"/>
          <w:lang w:val="en-ID"/>
        </w:rPr>
        <w:t>Dispora</w:t>
      </w:r>
      <w:proofErr w:type="spellEnd"/>
      <w:r w:rsidRPr="00E4623A">
        <w:rPr>
          <w:rFonts w:ascii="Arial" w:hAnsi="Arial" w:cs="Arial"/>
          <w:highlight w:val="yellow"/>
          <w:lang w:val="en-ID"/>
        </w:rPr>
        <w:t>) and therefore perceive maintenance as primarily a government task; (iii) there is no resident-based management forum to channel aspirations and coordinate voluntary efforts; and (iv) there are no institutionalized mechanisms (e.g. participatory budgeting, joint monitoring) that give residents influence over planning or resource allocation.</w:t>
      </w:r>
    </w:p>
    <w:p w14:paraId="5B97A925" w14:textId="7E601AE3" w:rsidR="001E3541" w:rsidRPr="00E4623A" w:rsidRDefault="00E4623A" w:rsidP="001E3541">
      <w:pPr>
        <w:jc w:val="both"/>
        <w:rPr>
          <w:rFonts w:ascii="Arial" w:hAnsi="Arial" w:cs="Arial"/>
          <w:lang w:val="en-ID"/>
        </w:rPr>
      </w:pPr>
      <w:r w:rsidRPr="00E4623A">
        <w:rPr>
          <w:rFonts w:ascii="Arial" w:hAnsi="Arial" w:cs="Arial"/>
          <w:highlight w:val="yellow"/>
          <w:lang w:val="en-ID"/>
        </w:rPr>
        <w:t>Using Arnstein’s (1969) ladder, current participation sits mainly at the levels of informing and consultation—forms of tokenism rather than partnership or citizen power. Similar patterns have been reported in other Indonesian contexts, where weak participatory institutions and limited communication hinder community involvement in open green space management (</w:t>
      </w:r>
      <w:proofErr w:type="spellStart"/>
      <w:r w:rsidRPr="00E4623A">
        <w:rPr>
          <w:rFonts w:ascii="Arial" w:hAnsi="Arial" w:cs="Arial"/>
          <w:highlight w:val="yellow"/>
          <w:lang w:val="en-ID"/>
        </w:rPr>
        <w:t>Nasyavina</w:t>
      </w:r>
      <w:proofErr w:type="spellEnd"/>
      <w:r w:rsidRPr="00E4623A">
        <w:rPr>
          <w:rFonts w:ascii="Arial" w:hAnsi="Arial" w:cs="Arial"/>
          <w:highlight w:val="yellow"/>
          <w:lang w:val="en-ID"/>
        </w:rPr>
        <w:t xml:space="preserve"> &amp; </w:t>
      </w:r>
      <w:proofErr w:type="spellStart"/>
      <w:r w:rsidRPr="00E4623A">
        <w:rPr>
          <w:rFonts w:ascii="Arial" w:hAnsi="Arial" w:cs="Arial"/>
          <w:highlight w:val="yellow"/>
          <w:lang w:val="en-ID"/>
        </w:rPr>
        <w:t>Ahdiyana</w:t>
      </w:r>
      <w:proofErr w:type="spellEnd"/>
      <w:r w:rsidRPr="00E4623A">
        <w:rPr>
          <w:rFonts w:ascii="Arial" w:hAnsi="Arial" w:cs="Arial"/>
          <w:highlight w:val="yellow"/>
          <w:lang w:val="en-ID"/>
        </w:rPr>
        <w:t xml:space="preserve">, 2018; Ugar, 2022). By contrast, experiences from cities such as Yogyakarta show that environmental communication forums and multi-stakeholder partnerships can significantly enhance participation in </w:t>
      </w:r>
      <w:proofErr w:type="spellStart"/>
      <w:r w:rsidRPr="00E4623A">
        <w:rPr>
          <w:rFonts w:ascii="Arial" w:hAnsi="Arial" w:cs="Arial"/>
          <w:highlight w:val="yellow"/>
          <w:lang w:val="en-ID"/>
        </w:rPr>
        <w:t>neighborhood</w:t>
      </w:r>
      <w:proofErr w:type="spellEnd"/>
      <w:r w:rsidRPr="00E4623A">
        <w:rPr>
          <w:rFonts w:ascii="Arial" w:hAnsi="Arial" w:cs="Arial"/>
          <w:highlight w:val="yellow"/>
          <w:lang w:val="en-ID"/>
        </w:rPr>
        <w:t xml:space="preserve"> parks (</w:t>
      </w:r>
      <w:proofErr w:type="spellStart"/>
      <w:r w:rsidRPr="00E4623A">
        <w:rPr>
          <w:rFonts w:ascii="Arial" w:hAnsi="Arial" w:cs="Arial"/>
          <w:highlight w:val="yellow"/>
          <w:lang w:val="en-ID"/>
        </w:rPr>
        <w:t>Kurniati</w:t>
      </w:r>
      <w:proofErr w:type="spellEnd"/>
      <w:r w:rsidRPr="00E4623A">
        <w:rPr>
          <w:rFonts w:ascii="Arial" w:hAnsi="Arial" w:cs="Arial"/>
          <w:highlight w:val="yellow"/>
          <w:lang w:val="en-ID"/>
        </w:rPr>
        <w:t xml:space="preserve"> &amp; </w:t>
      </w:r>
      <w:proofErr w:type="spellStart"/>
      <w:r w:rsidRPr="00E4623A">
        <w:rPr>
          <w:rFonts w:ascii="Arial" w:hAnsi="Arial" w:cs="Arial"/>
          <w:highlight w:val="yellow"/>
          <w:lang w:val="en-ID"/>
        </w:rPr>
        <w:t>Zamroni</w:t>
      </w:r>
      <w:proofErr w:type="spellEnd"/>
      <w:r w:rsidRPr="00E4623A">
        <w:rPr>
          <w:rFonts w:ascii="Arial" w:hAnsi="Arial" w:cs="Arial"/>
          <w:highlight w:val="yellow"/>
          <w:lang w:val="en-ID"/>
        </w:rPr>
        <w:t xml:space="preserve">, 2021; </w:t>
      </w:r>
      <w:proofErr w:type="spellStart"/>
      <w:r w:rsidRPr="00E4623A">
        <w:rPr>
          <w:rFonts w:ascii="Arial" w:hAnsi="Arial" w:cs="Arial"/>
          <w:highlight w:val="yellow"/>
          <w:lang w:val="en-ID"/>
        </w:rPr>
        <w:t>Nasyavina</w:t>
      </w:r>
      <w:proofErr w:type="spellEnd"/>
      <w:r w:rsidRPr="00E4623A">
        <w:rPr>
          <w:rFonts w:ascii="Arial" w:hAnsi="Arial" w:cs="Arial"/>
          <w:highlight w:val="yellow"/>
          <w:lang w:val="en-ID"/>
        </w:rPr>
        <w:t xml:space="preserve"> &amp; </w:t>
      </w:r>
      <w:proofErr w:type="spellStart"/>
      <w:r w:rsidRPr="00E4623A">
        <w:rPr>
          <w:rFonts w:ascii="Arial" w:hAnsi="Arial" w:cs="Arial"/>
          <w:highlight w:val="yellow"/>
          <w:lang w:val="en-ID"/>
        </w:rPr>
        <w:t>Ahdiyana</w:t>
      </w:r>
      <w:proofErr w:type="spellEnd"/>
      <w:r w:rsidRPr="00E4623A">
        <w:rPr>
          <w:rFonts w:ascii="Arial" w:hAnsi="Arial" w:cs="Arial"/>
          <w:highlight w:val="yellow"/>
          <w:lang w:val="en-ID"/>
        </w:rPr>
        <w:t>, 2018)</w:t>
      </w:r>
      <w:r w:rsidR="00096E9F" w:rsidRPr="00E4623A">
        <w:rPr>
          <w:rFonts w:ascii="Arial" w:hAnsi="Arial" w:cs="Arial"/>
          <w:highlight w:val="yellow"/>
        </w:rPr>
        <w:t>.</w:t>
      </w:r>
    </w:p>
    <w:p w14:paraId="6440CC74" w14:textId="77777777" w:rsidR="001E3541" w:rsidRPr="001E3541" w:rsidRDefault="001E3541" w:rsidP="001E3541">
      <w:pPr>
        <w:jc w:val="both"/>
        <w:rPr>
          <w:rFonts w:ascii="Arial" w:hAnsi="Arial" w:cs="Arial"/>
          <w:b/>
          <w:bCs/>
        </w:rPr>
      </w:pPr>
      <w:r w:rsidRPr="001E3541">
        <w:rPr>
          <w:rFonts w:ascii="Arial" w:hAnsi="Arial" w:cs="Arial"/>
          <w:b/>
          <w:bCs/>
        </w:rPr>
        <w:t>3.4 Linking Physical Conditions and Participation: Chi-Square Results</w:t>
      </w:r>
    </w:p>
    <w:p w14:paraId="24F05A14" w14:textId="77777777" w:rsidR="001E3541" w:rsidRPr="001E3541" w:rsidRDefault="001E3541" w:rsidP="001E3541">
      <w:pPr>
        <w:jc w:val="both"/>
        <w:rPr>
          <w:rFonts w:ascii="Arial" w:hAnsi="Arial" w:cs="Arial"/>
        </w:rPr>
      </w:pPr>
      <w:r w:rsidRPr="001E3541">
        <w:rPr>
          <w:rFonts w:ascii="Arial" w:hAnsi="Arial" w:cs="Arial"/>
        </w:rPr>
        <w:t>Pearson’s chi-square tests examined associations between perceived physical conditions and the five forms of participation.</w:t>
      </w:r>
    </w:p>
    <w:p w14:paraId="33BC863C" w14:textId="25B27C9A" w:rsidR="001E3541" w:rsidRPr="001E3541" w:rsidRDefault="001E3541" w:rsidP="00096E9F">
      <w:pPr>
        <w:jc w:val="center"/>
        <w:rPr>
          <w:rFonts w:ascii="Arial" w:hAnsi="Arial" w:cs="Arial"/>
        </w:rPr>
      </w:pPr>
      <w:r w:rsidRPr="001E3541">
        <w:rPr>
          <w:rFonts w:ascii="Arial" w:hAnsi="Arial" w:cs="Arial"/>
          <w:b/>
          <w:bCs/>
        </w:rPr>
        <w:t xml:space="preserve">Table </w:t>
      </w:r>
      <w:r w:rsidR="00E4623A">
        <w:rPr>
          <w:rFonts w:ascii="Arial" w:hAnsi="Arial" w:cs="Arial"/>
          <w:b/>
          <w:bCs/>
        </w:rPr>
        <w:t>2</w:t>
      </w:r>
      <w:r w:rsidRPr="001E3541">
        <w:rPr>
          <w:rFonts w:ascii="Arial" w:hAnsi="Arial" w:cs="Arial"/>
          <w:b/>
          <w:bCs/>
        </w:rPr>
        <w:t>. Chi-square p-values between physical condition and forms of participation</w:t>
      </w:r>
    </w:p>
    <w:tbl>
      <w:tblPr>
        <w:tblStyle w:val="TableGrid"/>
        <w:tblW w:w="0" w:type="auto"/>
        <w:tblLook w:val="04A0" w:firstRow="1" w:lastRow="0" w:firstColumn="1" w:lastColumn="0" w:noHBand="0" w:noVBand="1"/>
      </w:tblPr>
      <w:tblGrid>
        <w:gridCol w:w="2019"/>
        <w:gridCol w:w="1974"/>
        <w:gridCol w:w="1835"/>
        <w:gridCol w:w="2064"/>
        <w:gridCol w:w="1684"/>
      </w:tblGrid>
      <w:tr w:rsidR="001E3541" w:rsidRPr="001E3541" w14:paraId="614B2DBC" w14:textId="77777777" w:rsidTr="00096E9F">
        <w:tc>
          <w:tcPr>
            <w:tcW w:w="0" w:type="auto"/>
            <w:hideMark/>
          </w:tcPr>
          <w:p w14:paraId="627684E3" w14:textId="77777777" w:rsidR="001E3541" w:rsidRPr="001E3541" w:rsidRDefault="001E3541" w:rsidP="001E3541">
            <w:pPr>
              <w:spacing w:after="160" w:line="278" w:lineRule="auto"/>
              <w:jc w:val="both"/>
              <w:rPr>
                <w:rFonts w:ascii="Arial" w:hAnsi="Arial" w:cs="Arial"/>
                <w:b/>
                <w:bCs/>
              </w:rPr>
            </w:pPr>
            <w:r w:rsidRPr="001E3541">
              <w:rPr>
                <w:rFonts w:ascii="Arial" w:hAnsi="Arial" w:cs="Arial"/>
                <w:b/>
                <w:bCs/>
              </w:rPr>
              <w:t>Form of participation</w:t>
            </w:r>
          </w:p>
        </w:tc>
        <w:tc>
          <w:tcPr>
            <w:tcW w:w="0" w:type="auto"/>
            <w:hideMark/>
          </w:tcPr>
          <w:p w14:paraId="77D4D12D" w14:textId="77777777" w:rsidR="001E3541" w:rsidRPr="001E3541" w:rsidRDefault="001E3541" w:rsidP="001E3541">
            <w:pPr>
              <w:spacing w:after="160" w:line="278" w:lineRule="auto"/>
              <w:jc w:val="both"/>
              <w:rPr>
                <w:rFonts w:ascii="Arial" w:hAnsi="Arial" w:cs="Arial"/>
                <w:b/>
                <w:bCs/>
              </w:rPr>
            </w:pPr>
            <w:r w:rsidRPr="001E3541">
              <w:rPr>
                <w:rFonts w:ascii="Arial" w:hAnsi="Arial" w:cs="Arial"/>
                <w:b/>
                <w:bCs/>
              </w:rPr>
              <w:t>Availability of facilities</w:t>
            </w:r>
          </w:p>
        </w:tc>
        <w:tc>
          <w:tcPr>
            <w:tcW w:w="0" w:type="auto"/>
            <w:hideMark/>
          </w:tcPr>
          <w:p w14:paraId="3A69ADF3" w14:textId="77777777" w:rsidR="001E3541" w:rsidRPr="001E3541" w:rsidRDefault="001E3541" w:rsidP="001E3541">
            <w:pPr>
              <w:spacing w:after="160" w:line="278" w:lineRule="auto"/>
              <w:jc w:val="both"/>
              <w:rPr>
                <w:rFonts w:ascii="Arial" w:hAnsi="Arial" w:cs="Arial"/>
                <w:b/>
                <w:bCs/>
              </w:rPr>
            </w:pPr>
            <w:r w:rsidRPr="001E3541">
              <w:rPr>
                <w:rFonts w:ascii="Arial" w:hAnsi="Arial" w:cs="Arial"/>
                <w:b/>
                <w:bCs/>
              </w:rPr>
              <w:t>Condition of facilities</w:t>
            </w:r>
          </w:p>
        </w:tc>
        <w:tc>
          <w:tcPr>
            <w:tcW w:w="0" w:type="auto"/>
            <w:hideMark/>
          </w:tcPr>
          <w:p w14:paraId="03430DD6" w14:textId="77777777" w:rsidR="001E3541" w:rsidRPr="001E3541" w:rsidRDefault="001E3541" w:rsidP="001E3541">
            <w:pPr>
              <w:spacing w:after="160" w:line="278" w:lineRule="auto"/>
              <w:jc w:val="both"/>
              <w:rPr>
                <w:rFonts w:ascii="Arial" w:hAnsi="Arial" w:cs="Arial"/>
                <w:b/>
                <w:bCs/>
              </w:rPr>
            </w:pPr>
            <w:r w:rsidRPr="001E3541">
              <w:rPr>
                <w:rFonts w:ascii="Arial" w:hAnsi="Arial" w:cs="Arial"/>
                <w:b/>
                <w:bCs/>
              </w:rPr>
              <w:t>Availability of vegetation</w:t>
            </w:r>
          </w:p>
        </w:tc>
        <w:tc>
          <w:tcPr>
            <w:tcW w:w="0" w:type="auto"/>
            <w:hideMark/>
          </w:tcPr>
          <w:p w14:paraId="3E7673F4" w14:textId="77777777" w:rsidR="001E3541" w:rsidRPr="001E3541" w:rsidRDefault="001E3541" w:rsidP="001E3541">
            <w:pPr>
              <w:spacing w:after="160" w:line="278" w:lineRule="auto"/>
              <w:jc w:val="both"/>
              <w:rPr>
                <w:rFonts w:ascii="Arial" w:hAnsi="Arial" w:cs="Arial"/>
                <w:b/>
                <w:bCs/>
              </w:rPr>
            </w:pPr>
            <w:r w:rsidRPr="001E3541">
              <w:rPr>
                <w:rFonts w:ascii="Arial" w:hAnsi="Arial" w:cs="Arial"/>
                <w:b/>
                <w:bCs/>
              </w:rPr>
              <w:t>Accessibility</w:t>
            </w:r>
          </w:p>
        </w:tc>
      </w:tr>
      <w:tr w:rsidR="001E3541" w:rsidRPr="001E3541" w14:paraId="45DA81E3" w14:textId="77777777" w:rsidTr="00096E9F">
        <w:tc>
          <w:tcPr>
            <w:tcW w:w="0" w:type="auto"/>
            <w:hideMark/>
          </w:tcPr>
          <w:p w14:paraId="1C266AD4" w14:textId="77777777" w:rsidR="001E3541" w:rsidRPr="001E3541" w:rsidRDefault="001E3541" w:rsidP="001E3541">
            <w:pPr>
              <w:spacing w:after="160" w:line="278" w:lineRule="auto"/>
              <w:jc w:val="both"/>
              <w:rPr>
                <w:rFonts w:ascii="Arial" w:hAnsi="Arial" w:cs="Arial"/>
              </w:rPr>
            </w:pPr>
            <w:r w:rsidRPr="001E3541">
              <w:rPr>
                <w:rFonts w:ascii="Arial" w:hAnsi="Arial" w:cs="Arial"/>
              </w:rPr>
              <w:t>Ideas</w:t>
            </w:r>
          </w:p>
        </w:tc>
        <w:tc>
          <w:tcPr>
            <w:tcW w:w="0" w:type="auto"/>
            <w:hideMark/>
          </w:tcPr>
          <w:p w14:paraId="08DCFF37" w14:textId="77777777" w:rsidR="001E3541" w:rsidRPr="001E3541" w:rsidRDefault="001E3541" w:rsidP="001E3541">
            <w:pPr>
              <w:spacing w:after="160" w:line="278" w:lineRule="auto"/>
              <w:jc w:val="both"/>
              <w:rPr>
                <w:rFonts w:ascii="Arial" w:hAnsi="Arial" w:cs="Arial"/>
              </w:rPr>
            </w:pPr>
            <w:r w:rsidRPr="001E3541">
              <w:rPr>
                <w:rFonts w:ascii="Arial" w:hAnsi="Arial" w:cs="Arial"/>
              </w:rPr>
              <w:t>0.668 (ns)</w:t>
            </w:r>
          </w:p>
        </w:tc>
        <w:tc>
          <w:tcPr>
            <w:tcW w:w="0" w:type="auto"/>
            <w:hideMark/>
          </w:tcPr>
          <w:p w14:paraId="21379D4D" w14:textId="77777777" w:rsidR="001E3541" w:rsidRPr="001E3541" w:rsidRDefault="001E3541" w:rsidP="001E3541">
            <w:pPr>
              <w:spacing w:after="160" w:line="278" w:lineRule="auto"/>
              <w:jc w:val="both"/>
              <w:rPr>
                <w:rFonts w:ascii="Arial" w:hAnsi="Arial" w:cs="Arial"/>
              </w:rPr>
            </w:pPr>
            <w:r w:rsidRPr="001E3541">
              <w:rPr>
                <w:rFonts w:ascii="Arial" w:hAnsi="Arial" w:cs="Arial"/>
              </w:rPr>
              <w:t>0.885 (ns)</w:t>
            </w:r>
          </w:p>
        </w:tc>
        <w:tc>
          <w:tcPr>
            <w:tcW w:w="0" w:type="auto"/>
            <w:hideMark/>
          </w:tcPr>
          <w:p w14:paraId="6D9A4EEA" w14:textId="77777777" w:rsidR="001E3541" w:rsidRPr="001E3541" w:rsidRDefault="001E3541" w:rsidP="001E3541">
            <w:pPr>
              <w:spacing w:after="160" w:line="278" w:lineRule="auto"/>
              <w:jc w:val="both"/>
              <w:rPr>
                <w:rFonts w:ascii="Arial" w:hAnsi="Arial" w:cs="Arial"/>
              </w:rPr>
            </w:pPr>
            <w:r w:rsidRPr="001E3541">
              <w:rPr>
                <w:rFonts w:ascii="Arial" w:hAnsi="Arial" w:cs="Arial"/>
              </w:rPr>
              <w:t>0.034 (sig)</w:t>
            </w:r>
          </w:p>
        </w:tc>
        <w:tc>
          <w:tcPr>
            <w:tcW w:w="0" w:type="auto"/>
            <w:hideMark/>
          </w:tcPr>
          <w:p w14:paraId="53D24CD6" w14:textId="77777777" w:rsidR="001E3541" w:rsidRPr="001E3541" w:rsidRDefault="001E3541" w:rsidP="001E3541">
            <w:pPr>
              <w:spacing w:after="160" w:line="278" w:lineRule="auto"/>
              <w:jc w:val="both"/>
              <w:rPr>
                <w:rFonts w:ascii="Arial" w:hAnsi="Arial" w:cs="Arial"/>
              </w:rPr>
            </w:pPr>
            <w:r w:rsidRPr="001E3541">
              <w:rPr>
                <w:rFonts w:ascii="Arial" w:hAnsi="Arial" w:cs="Arial"/>
              </w:rPr>
              <w:t>0.885 (ns)</w:t>
            </w:r>
          </w:p>
        </w:tc>
      </w:tr>
      <w:tr w:rsidR="001E3541" w:rsidRPr="001E3541" w14:paraId="2E934A0F" w14:textId="77777777" w:rsidTr="00096E9F">
        <w:tc>
          <w:tcPr>
            <w:tcW w:w="0" w:type="auto"/>
            <w:hideMark/>
          </w:tcPr>
          <w:p w14:paraId="6AB5BAA1" w14:textId="77777777" w:rsidR="001E3541" w:rsidRPr="001E3541" w:rsidRDefault="001E3541" w:rsidP="001E3541">
            <w:pPr>
              <w:spacing w:after="160" w:line="278" w:lineRule="auto"/>
              <w:jc w:val="both"/>
              <w:rPr>
                <w:rFonts w:ascii="Arial" w:hAnsi="Arial" w:cs="Arial"/>
              </w:rPr>
            </w:pPr>
            <w:r w:rsidRPr="001E3541">
              <w:rPr>
                <w:rFonts w:ascii="Arial" w:hAnsi="Arial" w:cs="Arial"/>
              </w:rPr>
              <w:t>Labor</w:t>
            </w:r>
          </w:p>
        </w:tc>
        <w:tc>
          <w:tcPr>
            <w:tcW w:w="0" w:type="auto"/>
            <w:hideMark/>
          </w:tcPr>
          <w:p w14:paraId="58C5922C" w14:textId="77777777" w:rsidR="001E3541" w:rsidRPr="001E3541" w:rsidRDefault="001E3541" w:rsidP="001E3541">
            <w:pPr>
              <w:spacing w:after="160" w:line="278" w:lineRule="auto"/>
              <w:jc w:val="both"/>
              <w:rPr>
                <w:rFonts w:ascii="Arial" w:hAnsi="Arial" w:cs="Arial"/>
              </w:rPr>
            </w:pPr>
            <w:r w:rsidRPr="001E3541">
              <w:rPr>
                <w:rFonts w:ascii="Arial" w:hAnsi="Arial" w:cs="Arial"/>
              </w:rPr>
              <w:t>0.029 (sig)</w:t>
            </w:r>
          </w:p>
        </w:tc>
        <w:tc>
          <w:tcPr>
            <w:tcW w:w="0" w:type="auto"/>
            <w:hideMark/>
          </w:tcPr>
          <w:p w14:paraId="2E857A1A" w14:textId="77777777" w:rsidR="001E3541" w:rsidRPr="001E3541" w:rsidRDefault="001E3541" w:rsidP="001E3541">
            <w:pPr>
              <w:spacing w:after="160" w:line="278" w:lineRule="auto"/>
              <w:jc w:val="both"/>
              <w:rPr>
                <w:rFonts w:ascii="Arial" w:hAnsi="Arial" w:cs="Arial"/>
              </w:rPr>
            </w:pPr>
            <w:r w:rsidRPr="001E3541">
              <w:rPr>
                <w:rFonts w:ascii="Arial" w:hAnsi="Arial" w:cs="Arial"/>
              </w:rPr>
              <w:t>0.028 (sig)</w:t>
            </w:r>
          </w:p>
        </w:tc>
        <w:tc>
          <w:tcPr>
            <w:tcW w:w="0" w:type="auto"/>
            <w:hideMark/>
          </w:tcPr>
          <w:p w14:paraId="51AA024C" w14:textId="77777777" w:rsidR="001E3541" w:rsidRPr="001E3541" w:rsidRDefault="001E3541" w:rsidP="001E3541">
            <w:pPr>
              <w:spacing w:after="160" w:line="278" w:lineRule="auto"/>
              <w:jc w:val="both"/>
              <w:rPr>
                <w:rFonts w:ascii="Arial" w:hAnsi="Arial" w:cs="Arial"/>
              </w:rPr>
            </w:pPr>
            <w:r w:rsidRPr="001E3541">
              <w:rPr>
                <w:rFonts w:ascii="Arial" w:hAnsi="Arial" w:cs="Arial"/>
              </w:rPr>
              <w:t>0.128 (ns)</w:t>
            </w:r>
          </w:p>
        </w:tc>
        <w:tc>
          <w:tcPr>
            <w:tcW w:w="0" w:type="auto"/>
            <w:hideMark/>
          </w:tcPr>
          <w:p w14:paraId="02270910" w14:textId="77777777" w:rsidR="001E3541" w:rsidRPr="001E3541" w:rsidRDefault="001E3541" w:rsidP="001E3541">
            <w:pPr>
              <w:spacing w:after="160" w:line="278" w:lineRule="auto"/>
              <w:jc w:val="both"/>
              <w:rPr>
                <w:rFonts w:ascii="Arial" w:hAnsi="Arial" w:cs="Arial"/>
              </w:rPr>
            </w:pPr>
            <w:r w:rsidRPr="001E3541">
              <w:rPr>
                <w:rFonts w:ascii="Arial" w:hAnsi="Arial" w:cs="Arial"/>
              </w:rPr>
              <w:t>0.593 (ns)</w:t>
            </w:r>
          </w:p>
        </w:tc>
      </w:tr>
      <w:tr w:rsidR="001E3541" w:rsidRPr="001E3541" w14:paraId="0C44FA0E" w14:textId="77777777" w:rsidTr="00096E9F">
        <w:tc>
          <w:tcPr>
            <w:tcW w:w="0" w:type="auto"/>
            <w:hideMark/>
          </w:tcPr>
          <w:p w14:paraId="638CF179" w14:textId="77777777" w:rsidR="001E3541" w:rsidRPr="001E3541" w:rsidRDefault="001E3541" w:rsidP="001E3541">
            <w:pPr>
              <w:spacing w:after="160" w:line="278" w:lineRule="auto"/>
              <w:jc w:val="both"/>
              <w:rPr>
                <w:rFonts w:ascii="Arial" w:hAnsi="Arial" w:cs="Arial"/>
              </w:rPr>
            </w:pPr>
            <w:r w:rsidRPr="001E3541">
              <w:rPr>
                <w:rFonts w:ascii="Arial" w:hAnsi="Arial" w:cs="Arial"/>
              </w:rPr>
              <w:t>Skills</w:t>
            </w:r>
          </w:p>
        </w:tc>
        <w:tc>
          <w:tcPr>
            <w:tcW w:w="0" w:type="auto"/>
            <w:hideMark/>
          </w:tcPr>
          <w:p w14:paraId="31189F80" w14:textId="77777777" w:rsidR="001E3541" w:rsidRPr="001E3541" w:rsidRDefault="001E3541" w:rsidP="001E3541">
            <w:pPr>
              <w:spacing w:after="160" w:line="278" w:lineRule="auto"/>
              <w:jc w:val="both"/>
              <w:rPr>
                <w:rFonts w:ascii="Arial" w:hAnsi="Arial" w:cs="Arial"/>
              </w:rPr>
            </w:pPr>
            <w:r w:rsidRPr="001E3541">
              <w:rPr>
                <w:rFonts w:ascii="Arial" w:hAnsi="Arial" w:cs="Arial"/>
              </w:rPr>
              <w:t>0.003 (sig)</w:t>
            </w:r>
          </w:p>
        </w:tc>
        <w:tc>
          <w:tcPr>
            <w:tcW w:w="0" w:type="auto"/>
            <w:hideMark/>
          </w:tcPr>
          <w:p w14:paraId="18ABC499" w14:textId="77777777" w:rsidR="001E3541" w:rsidRPr="001E3541" w:rsidRDefault="001E3541" w:rsidP="001E3541">
            <w:pPr>
              <w:spacing w:after="160" w:line="278" w:lineRule="auto"/>
              <w:jc w:val="both"/>
              <w:rPr>
                <w:rFonts w:ascii="Arial" w:hAnsi="Arial" w:cs="Arial"/>
              </w:rPr>
            </w:pPr>
            <w:r w:rsidRPr="001E3541">
              <w:rPr>
                <w:rFonts w:ascii="Arial" w:hAnsi="Arial" w:cs="Arial"/>
              </w:rPr>
              <w:t>0.003 (sig)</w:t>
            </w:r>
          </w:p>
        </w:tc>
        <w:tc>
          <w:tcPr>
            <w:tcW w:w="0" w:type="auto"/>
            <w:hideMark/>
          </w:tcPr>
          <w:p w14:paraId="10A1E5EB" w14:textId="77777777" w:rsidR="001E3541" w:rsidRPr="001E3541" w:rsidRDefault="001E3541" w:rsidP="001E3541">
            <w:pPr>
              <w:spacing w:after="160" w:line="278" w:lineRule="auto"/>
              <w:jc w:val="both"/>
              <w:rPr>
                <w:rFonts w:ascii="Arial" w:hAnsi="Arial" w:cs="Arial"/>
              </w:rPr>
            </w:pPr>
            <w:r w:rsidRPr="001E3541">
              <w:rPr>
                <w:rFonts w:ascii="Arial" w:hAnsi="Arial" w:cs="Arial"/>
              </w:rPr>
              <w:t>0.082 (ns)</w:t>
            </w:r>
          </w:p>
        </w:tc>
        <w:tc>
          <w:tcPr>
            <w:tcW w:w="0" w:type="auto"/>
            <w:hideMark/>
          </w:tcPr>
          <w:p w14:paraId="2DFE3506" w14:textId="77777777" w:rsidR="001E3541" w:rsidRPr="001E3541" w:rsidRDefault="001E3541" w:rsidP="001E3541">
            <w:pPr>
              <w:spacing w:after="160" w:line="278" w:lineRule="auto"/>
              <w:jc w:val="both"/>
              <w:rPr>
                <w:rFonts w:ascii="Arial" w:hAnsi="Arial" w:cs="Arial"/>
              </w:rPr>
            </w:pPr>
            <w:r w:rsidRPr="001E3541">
              <w:rPr>
                <w:rFonts w:ascii="Arial" w:hAnsi="Arial" w:cs="Arial"/>
              </w:rPr>
              <w:t>0.955 (ns)</w:t>
            </w:r>
          </w:p>
        </w:tc>
      </w:tr>
      <w:tr w:rsidR="001E3541" w:rsidRPr="001E3541" w14:paraId="3C73635F" w14:textId="77777777" w:rsidTr="00096E9F">
        <w:tc>
          <w:tcPr>
            <w:tcW w:w="0" w:type="auto"/>
            <w:hideMark/>
          </w:tcPr>
          <w:p w14:paraId="4D399A84" w14:textId="77777777" w:rsidR="001E3541" w:rsidRPr="001E3541" w:rsidRDefault="001E3541" w:rsidP="001E3541">
            <w:pPr>
              <w:spacing w:after="160" w:line="278" w:lineRule="auto"/>
              <w:jc w:val="both"/>
              <w:rPr>
                <w:rFonts w:ascii="Arial" w:hAnsi="Arial" w:cs="Arial"/>
              </w:rPr>
            </w:pPr>
            <w:r w:rsidRPr="001E3541">
              <w:rPr>
                <w:rFonts w:ascii="Arial" w:hAnsi="Arial" w:cs="Arial"/>
              </w:rPr>
              <w:lastRenderedPageBreak/>
              <w:t>Goods</w:t>
            </w:r>
          </w:p>
        </w:tc>
        <w:tc>
          <w:tcPr>
            <w:tcW w:w="0" w:type="auto"/>
            <w:hideMark/>
          </w:tcPr>
          <w:p w14:paraId="35E992F8" w14:textId="77777777" w:rsidR="001E3541" w:rsidRPr="001E3541" w:rsidRDefault="001E3541" w:rsidP="001E3541">
            <w:pPr>
              <w:spacing w:after="160" w:line="278" w:lineRule="auto"/>
              <w:jc w:val="both"/>
              <w:rPr>
                <w:rFonts w:ascii="Arial" w:hAnsi="Arial" w:cs="Arial"/>
              </w:rPr>
            </w:pPr>
            <w:r w:rsidRPr="001E3541">
              <w:rPr>
                <w:rFonts w:ascii="Arial" w:hAnsi="Arial" w:cs="Arial"/>
              </w:rPr>
              <w:t>0.906 (ns)</w:t>
            </w:r>
          </w:p>
        </w:tc>
        <w:tc>
          <w:tcPr>
            <w:tcW w:w="0" w:type="auto"/>
            <w:hideMark/>
          </w:tcPr>
          <w:p w14:paraId="5CB805D7" w14:textId="77777777" w:rsidR="001E3541" w:rsidRPr="001E3541" w:rsidRDefault="001E3541" w:rsidP="001E3541">
            <w:pPr>
              <w:spacing w:after="160" w:line="278" w:lineRule="auto"/>
              <w:jc w:val="both"/>
              <w:rPr>
                <w:rFonts w:ascii="Arial" w:hAnsi="Arial" w:cs="Arial"/>
              </w:rPr>
            </w:pPr>
            <w:r w:rsidRPr="001E3541">
              <w:rPr>
                <w:rFonts w:ascii="Arial" w:hAnsi="Arial" w:cs="Arial"/>
              </w:rPr>
              <w:t>0.777 (ns)</w:t>
            </w:r>
          </w:p>
        </w:tc>
        <w:tc>
          <w:tcPr>
            <w:tcW w:w="0" w:type="auto"/>
            <w:hideMark/>
          </w:tcPr>
          <w:p w14:paraId="1AC4E977" w14:textId="77777777" w:rsidR="001E3541" w:rsidRPr="001E3541" w:rsidRDefault="001E3541" w:rsidP="001E3541">
            <w:pPr>
              <w:spacing w:after="160" w:line="278" w:lineRule="auto"/>
              <w:jc w:val="both"/>
              <w:rPr>
                <w:rFonts w:ascii="Arial" w:hAnsi="Arial" w:cs="Arial"/>
              </w:rPr>
            </w:pPr>
            <w:r w:rsidRPr="001E3541">
              <w:rPr>
                <w:rFonts w:ascii="Arial" w:hAnsi="Arial" w:cs="Arial"/>
              </w:rPr>
              <w:t>0.016 (sig)</w:t>
            </w:r>
          </w:p>
        </w:tc>
        <w:tc>
          <w:tcPr>
            <w:tcW w:w="0" w:type="auto"/>
            <w:hideMark/>
          </w:tcPr>
          <w:p w14:paraId="0F3D4456" w14:textId="77777777" w:rsidR="001E3541" w:rsidRPr="001E3541" w:rsidRDefault="001E3541" w:rsidP="001E3541">
            <w:pPr>
              <w:spacing w:after="160" w:line="278" w:lineRule="auto"/>
              <w:jc w:val="both"/>
              <w:rPr>
                <w:rFonts w:ascii="Arial" w:hAnsi="Arial" w:cs="Arial"/>
              </w:rPr>
            </w:pPr>
            <w:r w:rsidRPr="001E3541">
              <w:rPr>
                <w:rFonts w:ascii="Arial" w:hAnsi="Arial" w:cs="Arial"/>
              </w:rPr>
              <w:t>0.864 (ns)</w:t>
            </w:r>
          </w:p>
        </w:tc>
      </w:tr>
      <w:tr w:rsidR="001E3541" w:rsidRPr="001E3541" w14:paraId="4D5430EC" w14:textId="77777777" w:rsidTr="00096E9F">
        <w:tc>
          <w:tcPr>
            <w:tcW w:w="0" w:type="auto"/>
            <w:hideMark/>
          </w:tcPr>
          <w:p w14:paraId="31B7FBF8" w14:textId="77777777" w:rsidR="001E3541" w:rsidRPr="001E3541" w:rsidRDefault="001E3541" w:rsidP="001E3541">
            <w:pPr>
              <w:spacing w:after="160" w:line="278" w:lineRule="auto"/>
              <w:jc w:val="both"/>
              <w:rPr>
                <w:rFonts w:ascii="Arial" w:hAnsi="Arial" w:cs="Arial"/>
              </w:rPr>
            </w:pPr>
            <w:r w:rsidRPr="001E3541">
              <w:rPr>
                <w:rFonts w:ascii="Arial" w:hAnsi="Arial" w:cs="Arial"/>
              </w:rPr>
              <w:t>Money</w:t>
            </w:r>
          </w:p>
        </w:tc>
        <w:tc>
          <w:tcPr>
            <w:tcW w:w="0" w:type="auto"/>
            <w:hideMark/>
          </w:tcPr>
          <w:p w14:paraId="7A4A255E" w14:textId="77777777" w:rsidR="001E3541" w:rsidRPr="001E3541" w:rsidRDefault="001E3541" w:rsidP="001E3541">
            <w:pPr>
              <w:spacing w:after="160" w:line="278" w:lineRule="auto"/>
              <w:jc w:val="both"/>
              <w:rPr>
                <w:rFonts w:ascii="Arial" w:hAnsi="Arial" w:cs="Arial"/>
              </w:rPr>
            </w:pPr>
            <w:r w:rsidRPr="001E3541">
              <w:rPr>
                <w:rFonts w:ascii="Arial" w:hAnsi="Arial" w:cs="Arial"/>
              </w:rPr>
              <w:t>0.699 (ns)</w:t>
            </w:r>
          </w:p>
        </w:tc>
        <w:tc>
          <w:tcPr>
            <w:tcW w:w="0" w:type="auto"/>
            <w:hideMark/>
          </w:tcPr>
          <w:p w14:paraId="098883E8" w14:textId="77777777" w:rsidR="001E3541" w:rsidRPr="001E3541" w:rsidRDefault="001E3541" w:rsidP="001E3541">
            <w:pPr>
              <w:spacing w:after="160" w:line="278" w:lineRule="auto"/>
              <w:jc w:val="both"/>
              <w:rPr>
                <w:rFonts w:ascii="Arial" w:hAnsi="Arial" w:cs="Arial"/>
              </w:rPr>
            </w:pPr>
            <w:r w:rsidRPr="001E3541">
              <w:rPr>
                <w:rFonts w:ascii="Arial" w:hAnsi="Arial" w:cs="Arial"/>
              </w:rPr>
              <w:t>0.316 (ns)</w:t>
            </w:r>
          </w:p>
        </w:tc>
        <w:tc>
          <w:tcPr>
            <w:tcW w:w="0" w:type="auto"/>
            <w:hideMark/>
          </w:tcPr>
          <w:p w14:paraId="55391F64" w14:textId="77777777" w:rsidR="001E3541" w:rsidRPr="001E3541" w:rsidRDefault="001E3541" w:rsidP="001E3541">
            <w:pPr>
              <w:spacing w:after="160" w:line="278" w:lineRule="auto"/>
              <w:jc w:val="both"/>
              <w:rPr>
                <w:rFonts w:ascii="Arial" w:hAnsi="Arial" w:cs="Arial"/>
              </w:rPr>
            </w:pPr>
            <w:r w:rsidRPr="001E3541">
              <w:rPr>
                <w:rFonts w:ascii="Arial" w:hAnsi="Arial" w:cs="Arial"/>
              </w:rPr>
              <w:t>0.360 (ns)</w:t>
            </w:r>
          </w:p>
        </w:tc>
        <w:tc>
          <w:tcPr>
            <w:tcW w:w="0" w:type="auto"/>
            <w:hideMark/>
          </w:tcPr>
          <w:p w14:paraId="0B761D71" w14:textId="77777777" w:rsidR="001E3541" w:rsidRPr="001E3541" w:rsidRDefault="001E3541" w:rsidP="001E3541">
            <w:pPr>
              <w:spacing w:after="160" w:line="278" w:lineRule="auto"/>
              <w:jc w:val="both"/>
              <w:rPr>
                <w:rFonts w:ascii="Arial" w:hAnsi="Arial" w:cs="Arial"/>
              </w:rPr>
            </w:pPr>
            <w:r w:rsidRPr="001E3541">
              <w:rPr>
                <w:rFonts w:ascii="Arial" w:hAnsi="Arial" w:cs="Arial"/>
              </w:rPr>
              <w:t>0.978 (ns)</w:t>
            </w:r>
          </w:p>
        </w:tc>
      </w:tr>
    </w:tbl>
    <w:p w14:paraId="31E5A268" w14:textId="77777777" w:rsidR="001E3541" w:rsidRPr="001E3541" w:rsidRDefault="001E3541" w:rsidP="001E3541">
      <w:pPr>
        <w:jc w:val="both"/>
        <w:rPr>
          <w:rFonts w:ascii="Arial" w:hAnsi="Arial" w:cs="Arial"/>
        </w:rPr>
      </w:pPr>
      <w:r w:rsidRPr="001E3541">
        <w:rPr>
          <w:rFonts w:ascii="Arial" w:hAnsi="Arial" w:cs="Arial"/>
        </w:rPr>
        <w:t>Note: “sig” = significant at p &lt; 0.05; “ns” = not significant.</w:t>
      </w:r>
    </w:p>
    <w:p w14:paraId="51942CFF" w14:textId="77777777" w:rsidR="001E3541" w:rsidRPr="001E3541" w:rsidRDefault="001E3541" w:rsidP="001E3541">
      <w:pPr>
        <w:jc w:val="both"/>
        <w:rPr>
          <w:rFonts w:ascii="Arial" w:hAnsi="Arial" w:cs="Arial"/>
        </w:rPr>
      </w:pPr>
      <w:r w:rsidRPr="001E3541">
        <w:rPr>
          <w:rFonts w:ascii="Arial" w:hAnsi="Arial" w:cs="Arial"/>
        </w:rPr>
        <w:t>Key patterns include:</w:t>
      </w:r>
    </w:p>
    <w:p w14:paraId="68A52DF2" w14:textId="77777777" w:rsidR="00096E9F" w:rsidRPr="00647437" w:rsidRDefault="001E3541" w:rsidP="001E3541">
      <w:pPr>
        <w:numPr>
          <w:ilvl w:val="0"/>
          <w:numId w:val="14"/>
        </w:numPr>
        <w:jc w:val="both"/>
        <w:rPr>
          <w:rFonts w:ascii="Arial" w:hAnsi="Arial" w:cs="Arial"/>
        </w:rPr>
      </w:pPr>
      <w:r w:rsidRPr="001E3541">
        <w:rPr>
          <w:rFonts w:ascii="Arial" w:hAnsi="Arial" w:cs="Arial"/>
          <w:b/>
          <w:bCs/>
        </w:rPr>
        <w:t>Vegetation and cognitive/material participation</w:t>
      </w:r>
    </w:p>
    <w:p w14:paraId="3C8F1BD6" w14:textId="23E085AA" w:rsidR="001E3541" w:rsidRPr="001E3541" w:rsidRDefault="001E3541" w:rsidP="00096E9F">
      <w:pPr>
        <w:ind w:left="720"/>
        <w:jc w:val="both"/>
        <w:rPr>
          <w:rFonts w:ascii="Arial" w:hAnsi="Arial" w:cs="Arial"/>
        </w:rPr>
      </w:pPr>
      <w:r w:rsidRPr="001E3541">
        <w:rPr>
          <w:rFonts w:ascii="Arial" w:hAnsi="Arial" w:cs="Arial"/>
        </w:rPr>
        <w:t>Availability of vegetation is significantly associated with participation in ideas (p = 0.034) and goods (p = 0.016). Residents who perceive vegetation as better are more likely to suggest improvements, while perceptions of vegetation deficits are linked to donating plants or gardening materials. This supports the notion that vegetation fosters emotional attachment and stewardship</w:t>
      </w:r>
      <w:r w:rsidR="00096E9F" w:rsidRPr="00647437">
        <w:rPr>
          <w:rFonts w:ascii="Arial" w:hAnsi="Arial" w:cs="Arial"/>
        </w:rPr>
        <w:t>.</w:t>
      </w:r>
    </w:p>
    <w:p w14:paraId="494EF8D0" w14:textId="77777777" w:rsidR="00096E9F" w:rsidRPr="00647437" w:rsidRDefault="001E3541" w:rsidP="001E3541">
      <w:pPr>
        <w:numPr>
          <w:ilvl w:val="0"/>
          <w:numId w:val="14"/>
        </w:numPr>
        <w:jc w:val="both"/>
        <w:rPr>
          <w:rFonts w:ascii="Arial" w:hAnsi="Arial" w:cs="Arial"/>
        </w:rPr>
      </w:pPr>
      <w:r w:rsidRPr="001E3541">
        <w:rPr>
          <w:rFonts w:ascii="Arial" w:hAnsi="Arial" w:cs="Arial"/>
          <w:b/>
          <w:bCs/>
        </w:rPr>
        <w:t>Facilities and labor-based participation</w:t>
      </w:r>
    </w:p>
    <w:p w14:paraId="592BBB7B" w14:textId="75AC11B6" w:rsidR="001E3541" w:rsidRPr="001E3541" w:rsidRDefault="001E3541" w:rsidP="00096E9F">
      <w:pPr>
        <w:ind w:left="720"/>
        <w:jc w:val="both"/>
        <w:rPr>
          <w:rFonts w:ascii="Arial" w:hAnsi="Arial" w:cs="Arial"/>
        </w:rPr>
      </w:pPr>
      <w:r w:rsidRPr="001E3541">
        <w:rPr>
          <w:rFonts w:ascii="Arial" w:hAnsi="Arial" w:cs="Arial"/>
        </w:rPr>
        <w:t>Both facility availability (p = 0.029) and condition (p = 0.028) are significantly related to labor participation. Where facilities such as jogging tracks, benches, and play equipment are present and in better condition, residents are more willing to engage in clean-ups and maintenance, indicating that functional facilities act as incentives for collective action.</w:t>
      </w:r>
    </w:p>
    <w:p w14:paraId="375BF88B" w14:textId="77777777" w:rsidR="00096E9F" w:rsidRPr="00647437" w:rsidRDefault="001E3541" w:rsidP="001E3541">
      <w:pPr>
        <w:numPr>
          <w:ilvl w:val="0"/>
          <w:numId w:val="14"/>
        </w:numPr>
        <w:jc w:val="both"/>
        <w:rPr>
          <w:rFonts w:ascii="Arial" w:hAnsi="Arial" w:cs="Arial"/>
        </w:rPr>
      </w:pPr>
      <w:r w:rsidRPr="001E3541">
        <w:rPr>
          <w:rFonts w:ascii="Arial" w:hAnsi="Arial" w:cs="Arial"/>
          <w:b/>
          <w:bCs/>
        </w:rPr>
        <w:t>Facilities and skill-based participation</w:t>
      </w:r>
    </w:p>
    <w:p w14:paraId="7DC4363F" w14:textId="5E5AB6F9" w:rsidR="001E3541" w:rsidRPr="001E3541" w:rsidRDefault="001E3541" w:rsidP="00096E9F">
      <w:pPr>
        <w:ind w:left="720"/>
        <w:jc w:val="both"/>
        <w:rPr>
          <w:rFonts w:ascii="Arial" w:hAnsi="Arial" w:cs="Arial"/>
        </w:rPr>
      </w:pPr>
      <w:r w:rsidRPr="001E3541">
        <w:rPr>
          <w:rFonts w:ascii="Arial" w:hAnsi="Arial" w:cs="Arial"/>
        </w:rPr>
        <w:t>Availability and condition of facilities also show significant relationships with skill-based participation (both p = 0.003). Residents are more likely to contribute expertise (e.g. mural painting, health education) when the field is perceived as adequately equipped and well maintained.</w:t>
      </w:r>
    </w:p>
    <w:p w14:paraId="5376A1F4" w14:textId="77777777" w:rsidR="00096E9F" w:rsidRPr="00647437" w:rsidRDefault="001E3541" w:rsidP="001E3541">
      <w:pPr>
        <w:numPr>
          <w:ilvl w:val="0"/>
          <w:numId w:val="14"/>
        </w:numPr>
        <w:jc w:val="both"/>
        <w:rPr>
          <w:rFonts w:ascii="Arial" w:hAnsi="Arial" w:cs="Arial"/>
        </w:rPr>
      </w:pPr>
      <w:r w:rsidRPr="001E3541">
        <w:rPr>
          <w:rFonts w:ascii="Arial" w:hAnsi="Arial" w:cs="Arial"/>
          <w:b/>
          <w:bCs/>
        </w:rPr>
        <w:t>No significant link to financial participation</w:t>
      </w:r>
    </w:p>
    <w:p w14:paraId="4D75866C" w14:textId="092FE6BC" w:rsidR="00096E9F" w:rsidRPr="00647437" w:rsidRDefault="001E3541" w:rsidP="00096E9F">
      <w:pPr>
        <w:ind w:left="720"/>
        <w:jc w:val="both"/>
        <w:rPr>
          <w:rFonts w:ascii="Arial" w:hAnsi="Arial" w:cs="Arial"/>
        </w:rPr>
      </w:pPr>
      <w:r w:rsidRPr="001E3541">
        <w:rPr>
          <w:rFonts w:ascii="Arial" w:hAnsi="Arial" w:cs="Arial"/>
        </w:rPr>
        <w:t>None of the physical condition variables are significantly associated with financial contributions, suggesting that financial participation is driven more by socio-economic factors and perceptions of state responsibility than by physical conditions</w:t>
      </w:r>
      <w:r w:rsidR="00096E9F" w:rsidRPr="00647437">
        <w:rPr>
          <w:rFonts w:ascii="Arial" w:hAnsi="Arial" w:cs="Arial"/>
        </w:rPr>
        <w:t>.</w:t>
      </w:r>
    </w:p>
    <w:p w14:paraId="2A2F0B05" w14:textId="43E95BBF" w:rsidR="001E3541" w:rsidRPr="001E3541" w:rsidRDefault="001E3541" w:rsidP="00096E9F">
      <w:pPr>
        <w:jc w:val="both"/>
        <w:rPr>
          <w:rFonts w:ascii="Arial" w:hAnsi="Arial" w:cs="Arial"/>
        </w:rPr>
      </w:pPr>
      <w:r w:rsidRPr="001E3541">
        <w:rPr>
          <w:rFonts w:ascii="Arial" w:hAnsi="Arial" w:cs="Arial"/>
        </w:rPr>
        <w:t>Overall, vegetation and facilities emerge as critical levers: improving these elements can reinforce non-financial participation (ideas, labor, skills, goods), which is central to community-based management.</w:t>
      </w:r>
    </w:p>
    <w:p w14:paraId="69C68DB7" w14:textId="77777777" w:rsidR="001E3541" w:rsidRPr="001E3541" w:rsidRDefault="001E3541" w:rsidP="001E3541">
      <w:pPr>
        <w:jc w:val="both"/>
        <w:rPr>
          <w:rFonts w:ascii="Arial" w:hAnsi="Arial" w:cs="Arial"/>
          <w:b/>
          <w:bCs/>
        </w:rPr>
      </w:pPr>
      <w:r w:rsidRPr="001E3541">
        <w:rPr>
          <w:rFonts w:ascii="Arial" w:hAnsi="Arial" w:cs="Arial"/>
          <w:b/>
          <w:bCs/>
        </w:rPr>
        <w:t>3.5 Internal Strategic Factors and IFE Matrix</w:t>
      </w:r>
    </w:p>
    <w:p w14:paraId="01378997" w14:textId="77777777" w:rsidR="001E3541" w:rsidRPr="001E3541" w:rsidRDefault="001E3541" w:rsidP="001E3541">
      <w:pPr>
        <w:jc w:val="both"/>
        <w:rPr>
          <w:rFonts w:ascii="Arial" w:hAnsi="Arial" w:cs="Arial"/>
        </w:rPr>
      </w:pPr>
      <w:r w:rsidRPr="001E3541">
        <w:rPr>
          <w:rFonts w:ascii="Arial" w:hAnsi="Arial" w:cs="Arial"/>
        </w:rPr>
        <w:t>Internal strengths and weaknesses were derived from descriptive findings, chi-square results, and qualitative insights.</w:t>
      </w:r>
    </w:p>
    <w:p w14:paraId="4AA60CBE" w14:textId="77777777" w:rsidR="001E3541" w:rsidRPr="001E3541" w:rsidRDefault="001E3541" w:rsidP="001E3541">
      <w:pPr>
        <w:jc w:val="both"/>
        <w:rPr>
          <w:rFonts w:ascii="Arial" w:hAnsi="Arial" w:cs="Arial"/>
        </w:rPr>
      </w:pPr>
      <w:r w:rsidRPr="001E3541">
        <w:rPr>
          <w:rFonts w:ascii="Arial" w:hAnsi="Arial" w:cs="Arial"/>
          <w:b/>
          <w:bCs/>
        </w:rPr>
        <w:t>Strengths (S)</w:t>
      </w:r>
    </w:p>
    <w:p w14:paraId="5F43B947" w14:textId="213EC257" w:rsidR="001E3541" w:rsidRPr="001E3541" w:rsidRDefault="001E3541" w:rsidP="001E3541">
      <w:pPr>
        <w:numPr>
          <w:ilvl w:val="0"/>
          <w:numId w:val="15"/>
        </w:numPr>
        <w:jc w:val="both"/>
        <w:rPr>
          <w:rFonts w:ascii="Arial" w:hAnsi="Arial" w:cs="Arial"/>
        </w:rPr>
      </w:pPr>
      <w:r w:rsidRPr="001E3541">
        <w:rPr>
          <w:rFonts w:ascii="Arial" w:hAnsi="Arial" w:cs="Arial"/>
          <w:b/>
          <w:bCs/>
        </w:rPr>
        <w:lastRenderedPageBreak/>
        <w:t>S1. Adequate vegetation with ecological benefits.</w:t>
      </w:r>
      <w:r w:rsidRPr="001E3541">
        <w:rPr>
          <w:rFonts w:ascii="Arial" w:hAnsi="Arial" w:cs="Arial"/>
        </w:rPr>
        <w:t xml:space="preserve"> Vegetation is rated “good” or “adequate” by 96% of respondents and is statistically related to ideas and goods-based participation.</w:t>
      </w:r>
    </w:p>
    <w:p w14:paraId="4427BF72" w14:textId="7FB2374D" w:rsidR="001E3541" w:rsidRPr="001E3541" w:rsidRDefault="001E3541" w:rsidP="001E3541">
      <w:pPr>
        <w:numPr>
          <w:ilvl w:val="0"/>
          <w:numId w:val="15"/>
        </w:numPr>
        <w:jc w:val="both"/>
        <w:rPr>
          <w:rFonts w:ascii="Arial" w:hAnsi="Arial" w:cs="Arial"/>
        </w:rPr>
      </w:pPr>
      <w:r w:rsidRPr="001E3541">
        <w:rPr>
          <w:rFonts w:ascii="Arial" w:hAnsi="Arial" w:cs="Arial"/>
          <w:b/>
          <w:bCs/>
        </w:rPr>
        <w:t>S2. Strategic and accessible location.</w:t>
      </w:r>
      <w:r w:rsidRPr="001E3541">
        <w:rPr>
          <w:rFonts w:ascii="Arial" w:hAnsi="Arial" w:cs="Arial"/>
        </w:rPr>
        <w:t xml:space="preserve"> The field is centrally located and well integrated into daily movement patterns.</w:t>
      </w:r>
    </w:p>
    <w:p w14:paraId="43E84C69" w14:textId="77777777" w:rsidR="001E3541" w:rsidRPr="001E3541" w:rsidRDefault="001E3541" w:rsidP="001E3541">
      <w:pPr>
        <w:numPr>
          <w:ilvl w:val="0"/>
          <w:numId w:val="15"/>
        </w:numPr>
        <w:jc w:val="both"/>
        <w:rPr>
          <w:rFonts w:ascii="Arial" w:hAnsi="Arial" w:cs="Arial"/>
        </w:rPr>
      </w:pPr>
      <w:r w:rsidRPr="001E3541">
        <w:rPr>
          <w:rFonts w:ascii="Arial" w:hAnsi="Arial" w:cs="Arial"/>
          <w:b/>
          <w:bCs/>
        </w:rPr>
        <w:t>S3. Clear legal status as city-owned land.</w:t>
      </w:r>
      <w:r w:rsidRPr="001E3541">
        <w:rPr>
          <w:rFonts w:ascii="Arial" w:hAnsi="Arial" w:cs="Arial"/>
        </w:rPr>
        <w:t xml:space="preserve"> This reduces the risk of tenure disputes and supports long-term protection.</w:t>
      </w:r>
    </w:p>
    <w:p w14:paraId="41C8235F" w14:textId="6A718D18" w:rsidR="001E3541" w:rsidRPr="001E3541" w:rsidRDefault="001E3541" w:rsidP="001E3541">
      <w:pPr>
        <w:numPr>
          <w:ilvl w:val="0"/>
          <w:numId w:val="15"/>
        </w:numPr>
        <w:jc w:val="both"/>
        <w:rPr>
          <w:rFonts w:ascii="Arial" w:hAnsi="Arial" w:cs="Arial"/>
        </w:rPr>
      </w:pPr>
      <w:r w:rsidRPr="001E3541">
        <w:rPr>
          <w:rFonts w:ascii="Arial" w:hAnsi="Arial" w:cs="Arial"/>
          <w:b/>
          <w:bCs/>
        </w:rPr>
        <w:t>S4. Existing social capital.</w:t>
      </w:r>
      <w:r w:rsidRPr="001E3541">
        <w:rPr>
          <w:rFonts w:ascii="Arial" w:hAnsi="Arial" w:cs="Arial"/>
        </w:rPr>
        <w:t xml:space="preserve"> Active user communities and a core group of contributing residents indicate potential for community-based management.</w:t>
      </w:r>
    </w:p>
    <w:p w14:paraId="3601DB70" w14:textId="77777777" w:rsidR="001E3541" w:rsidRPr="001E3541" w:rsidRDefault="001E3541" w:rsidP="001E3541">
      <w:pPr>
        <w:jc w:val="both"/>
        <w:rPr>
          <w:rFonts w:ascii="Arial" w:hAnsi="Arial" w:cs="Arial"/>
        </w:rPr>
      </w:pPr>
      <w:r w:rsidRPr="001E3541">
        <w:rPr>
          <w:rFonts w:ascii="Arial" w:hAnsi="Arial" w:cs="Arial"/>
          <w:b/>
          <w:bCs/>
        </w:rPr>
        <w:t>Weaknesses (W)</w:t>
      </w:r>
    </w:p>
    <w:p w14:paraId="004C2F0F" w14:textId="77777777" w:rsidR="001E3541" w:rsidRPr="001E3541" w:rsidRDefault="001E3541" w:rsidP="001E3541">
      <w:pPr>
        <w:numPr>
          <w:ilvl w:val="0"/>
          <w:numId w:val="16"/>
        </w:numPr>
        <w:jc w:val="both"/>
        <w:rPr>
          <w:rFonts w:ascii="Arial" w:hAnsi="Arial" w:cs="Arial"/>
        </w:rPr>
      </w:pPr>
      <w:r w:rsidRPr="001E3541">
        <w:rPr>
          <w:rFonts w:ascii="Arial" w:hAnsi="Arial" w:cs="Arial"/>
          <w:b/>
          <w:bCs/>
        </w:rPr>
        <w:t>W1. Inadequate public facilities.</w:t>
      </w:r>
      <w:r w:rsidRPr="001E3541">
        <w:rPr>
          <w:rFonts w:ascii="Arial" w:hAnsi="Arial" w:cs="Arial"/>
        </w:rPr>
        <w:t xml:space="preserve"> Toilets are absent, lighting is limited, pedestrian paths are damaged, and play equipment is unsafe; over half of respondents rate facility condition as poor.</w:t>
      </w:r>
    </w:p>
    <w:p w14:paraId="05B5FDFD" w14:textId="77777777" w:rsidR="001E3541" w:rsidRPr="001E3541" w:rsidRDefault="001E3541" w:rsidP="001E3541">
      <w:pPr>
        <w:numPr>
          <w:ilvl w:val="0"/>
          <w:numId w:val="16"/>
        </w:numPr>
        <w:jc w:val="both"/>
        <w:rPr>
          <w:rFonts w:ascii="Arial" w:hAnsi="Arial" w:cs="Arial"/>
        </w:rPr>
      </w:pPr>
      <w:r w:rsidRPr="001E3541">
        <w:rPr>
          <w:rFonts w:ascii="Arial" w:hAnsi="Arial" w:cs="Arial"/>
          <w:b/>
          <w:bCs/>
        </w:rPr>
        <w:t>W2. Low and episodic participation.</w:t>
      </w:r>
      <w:r w:rsidRPr="001E3541">
        <w:rPr>
          <w:rFonts w:ascii="Arial" w:hAnsi="Arial" w:cs="Arial"/>
        </w:rPr>
        <w:t xml:space="preserve"> Participation is largely limited to government-initiated activities and focuses on labor.</w:t>
      </w:r>
    </w:p>
    <w:p w14:paraId="31DD747B" w14:textId="77777777" w:rsidR="001E3541" w:rsidRPr="001E3541" w:rsidRDefault="001E3541" w:rsidP="001E3541">
      <w:pPr>
        <w:numPr>
          <w:ilvl w:val="0"/>
          <w:numId w:val="16"/>
        </w:numPr>
        <w:jc w:val="both"/>
        <w:rPr>
          <w:rFonts w:ascii="Arial" w:hAnsi="Arial" w:cs="Arial"/>
        </w:rPr>
      </w:pPr>
      <w:r w:rsidRPr="001E3541">
        <w:rPr>
          <w:rFonts w:ascii="Arial" w:hAnsi="Arial" w:cs="Arial"/>
          <w:b/>
          <w:bCs/>
        </w:rPr>
        <w:t>W3. Absence of a resident-based management forum.</w:t>
      </w:r>
      <w:r w:rsidRPr="001E3541">
        <w:rPr>
          <w:rFonts w:ascii="Arial" w:hAnsi="Arial" w:cs="Arial"/>
        </w:rPr>
        <w:t xml:space="preserve"> Participation remains unstructured and non-institutionalized.</w:t>
      </w:r>
    </w:p>
    <w:p w14:paraId="17CA62EC" w14:textId="77777777" w:rsidR="001E3541" w:rsidRPr="001E3541" w:rsidRDefault="001E3541" w:rsidP="001E3541">
      <w:pPr>
        <w:numPr>
          <w:ilvl w:val="0"/>
          <w:numId w:val="16"/>
        </w:numPr>
        <w:jc w:val="both"/>
        <w:rPr>
          <w:rFonts w:ascii="Arial" w:hAnsi="Arial" w:cs="Arial"/>
        </w:rPr>
      </w:pPr>
      <w:r w:rsidRPr="001E3541">
        <w:rPr>
          <w:rFonts w:ascii="Arial" w:hAnsi="Arial" w:cs="Arial"/>
          <w:b/>
          <w:bCs/>
        </w:rPr>
        <w:t>W4. Risk of tokenistic participation.</w:t>
      </w:r>
      <w:r w:rsidRPr="001E3541">
        <w:rPr>
          <w:rFonts w:ascii="Arial" w:hAnsi="Arial" w:cs="Arial"/>
        </w:rPr>
        <w:t xml:space="preserve"> Involvement tends to stop at informing and consultation (Arnstein, 1969).</w:t>
      </w:r>
    </w:p>
    <w:p w14:paraId="4A41A8ED" w14:textId="77EA8B1B" w:rsidR="001E3541" w:rsidRPr="001E3541" w:rsidRDefault="001E3541" w:rsidP="001E3541">
      <w:pPr>
        <w:jc w:val="both"/>
        <w:rPr>
          <w:rFonts w:ascii="Arial" w:hAnsi="Arial" w:cs="Arial"/>
        </w:rPr>
      </w:pPr>
      <w:r w:rsidRPr="001E3541">
        <w:rPr>
          <w:rFonts w:ascii="Arial" w:hAnsi="Arial" w:cs="Arial"/>
        </w:rPr>
        <w:t>These factors were then quantified in an IFE matrix.</w:t>
      </w:r>
    </w:p>
    <w:p w14:paraId="53FA5C3C" w14:textId="2D943706" w:rsidR="001E3541" w:rsidRPr="001E3541" w:rsidRDefault="001E3541" w:rsidP="001E3541">
      <w:pPr>
        <w:jc w:val="both"/>
        <w:rPr>
          <w:rFonts w:ascii="Arial" w:hAnsi="Arial" w:cs="Arial"/>
        </w:rPr>
      </w:pPr>
      <w:r w:rsidRPr="001E3541">
        <w:rPr>
          <w:rFonts w:ascii="Arial" w:hAnsi="Arial" w:cs="Arial"/>
          <w:b/>
          <w:bCs/>
        </w:rPr>
        <w:t xml:space="preserve">Table </w:t>
      </w:r>
      <w:r w:rsidR="00E4623A">
        <w:rPr>
          <w:rFonts w:ascii="Arial" w:hAnsi="Arial" w:cs="Arial"/>
          <w:b/>
          <w:bCs/>
        </w:rPr>
        <w:t>3</w:t>
      </w:r>
      <w:r w:rsidRPr="001E3541">
        <w:rPr>
          <w:rFonts w:ascii="Arial" w:hAnsi="Arial" w:cs="Arial"/>
          <w:b/>
          <w:bCs/>
        </w:rPr>
        <w:t>. Internal Factor Evaluation (IFE) matrix</w:t>
      </w:r>
    </w:p>
    <w:tbl>
      <w:tblPr>
        <w:tblStyle w:val="TableGrid"/>
        <w:tblW w:w="9445" w:type="dxa"/>
        <w:tblLook w:val="04A0" w:firstRow="1" w:lastRow="0" w:firstColumn="1" w:lastColumn="0" w:noHBand="0" w:noVBand="1"/>
      </w:tblPr>
      <w:tblGrid>
        <w:gridCol w:w="5807"/>
        <w:gridCol w:w="1012"/>
        <w:gridCol w:w="963"/>
        <w:gridCol w:w="1663"/>
      </w:tblGrid>
      <w:tr w:rsidR="001E3541" w:rsidRPr="001E3541" w14:paraId="151D5020" w14:textId="77777777" w:rsidTr="00BE4296">
        <w:tc>
          <w:tcPr>
            <w:tcW w:w="5807" w:type="dxa"/>
            <w:hideMark/>
          </w:tcPr>
          <w:p w14:paraId="46B13A92" w14:textId="77777777" w:rsidR="001E3541" w:rsidRPr="001E3541" w:rsidRDefault="001E3541" w:rsidP="001E3541">
            <w:pPr>
              <w:spacing w:after="160" w:line="278" w:lineRule="auto"/>
              <w:jc w:val="both"/>
              <w:rPr>
                <w:rFonts w:ascii="Arial" w:hAnsi="Arial" w:cs="Arial"/>
                <w:b/>
                <w:bCs/>
              </w:rPr>
            </w:pPr>
            <w:r w:rsidRPr="001E3541">
              <w:rPr>
                <w:rFonts w:ascii="Arial" w:hAnsi="Arial" w:cs="Arial"/>
                <w:b/>
                <w:bCs/>
              </w:rPr>
              <w:t>Internal factor</w:t>
            </w:r>
          </w:p>
        </w:tc>
        <w:tc>
          <w:tcPr>
            <w:tcW w:w="0" w:type="auto"/>
            <w:hideMark/>
          </w:tcPr>
          <w:p w14:paraId="1820C58A" w14:textId="77777777" w:rsidR="001E3541" w:rsidRPr="001E3541" w:rsidRDefault="001E3541" w:rsidP="001E3541">
            <w:pPr>
              <w:spacing w:after="160" w:line="278" w:lineRule="auto"/>
              <w:jc w:val="both"/>
              <w:rPr>
                <w:rFonts w:ascii="Arial" w:hAnsi="Arial" w:cs="Arial"/>
                <w:b/>
                <w:bCs/>
              </w:rPr>
            </w:pPr>
            <w:r w:rsidRPr="001E3541">
              <w:rPr>
                <w:rFonts w:ascii="Arial" w:hAnsi="Arial" w:cs="Arial"/>
                <w:b/>
                <w:bCs/>
              </w:rPr>
              <w:t>Weight</w:t>
            </w:r>
          </w:p>
        </w:tc>
        <w:tc>
          <w:tcPr>
            <w:tcW w:w="0" w:type="auto"/>
            <w:hideMark/>
          </w:tcPr>
          <w:p w14:paraId="3C46F216" w14:textId="77777777" w:rsidR="001E3541" w:rsidRPr="001E3541" w:rsidRDefault="001E3541" w:rsidP="001E3541">
            <w:pPr>
              <w:spacing w:after="160" w:line="278" w:lineRule="auto"/>
              <w:jc w:val="both"/>
              <w:rPr>
                <w:rFonts w:ascii="Arial" w:hAnsi="Arial" w:cs="Arial"/>
                <w:b/>
                <w:bCs/>
              </w:rPr>
            </w:pPr>
            <w:r w:rsidRPr="001E3541">
              <w:rPr>
                <w:rFonts w:ascii="Arial" w:hAnsi="Arial" w:cs="Arial"/>
                <w:b/>
                <w:bCs/>
              </w:rPr>
              <w:t>Rating</w:t>
            </w:r>
          </w:p>
        </w:tc>
        <w:tc>
          <w:tcPr>
            <w:tcW w:w="0" w:type="auto"/>
            <w:hideMark/>
          </w:tcPr>
          <w:p w14:paraId="08C1FD41" w14:textId="77777777" w:rsidR="001E3541" w:rsidRPr="001E3541" w:rsidRDefault="001E3541" w:rsidP="001E3541">
            <w:pPr>
              <w:spacing w:after="160" w:line="278" w:lineRule="auto"/>
              <w:jc w:val="both"/>
              <w:rPr>
                <w:rFonts w:ascii="Arial" w:hAnsi="Arial" w:cs="Arial"/>
                <w:b/>
                <w:bCs/>
              </w:rPr>
            </w:pPr>
            <w:r w:rsidRPr="001E3541">
              <w:rPr>
                <w:rFonts w:ascii="Arial" w:hAnsi="Arial" w:cs="Arial"/>
                <w:b/>
                <w:bCs/>
              </w:rPr>
              <w:t>Weighted score</w:t>
            </w:r>
          </w:p>
        </w:tc>
      </w:tr>
      <w:tr w:rsidR="001E3541" w:rsidRPr="001E3541" w14:paraId="6D355D9C" w14:textId="77777777" w:rsidTr="00BE4296">
        <w:tc>
          <w:tcPr>
            <w:tcW w:w="5807" w:type="dxa"/>
            <w:hideMark/>
          </w:tcPr>
          <w:p w14:paraId="2097A73B" w14:textId="77777777" w:rsidR="001E3541" w:rsidRPr="001E3541" w:rsidRDefault="001E3541" w:rsidP="001E3541">
            <w:pPr>
              <w:spacing w:after="160" w:line="278" w:lineRule="auto"/>
              <w:jc w:val="both"/>
              <w:rPr>
                <w:rFonts w:ascii="Arial" w:hAnsi="Arial" w:cs="Arial"/>
              </w:rPr>
            </w:pPr>
            <w:r w:rsidRPr="001E3541">
              <w:rPr>
                <w:rFonts w:ascii="Arial" w:hAnsi="Arial" w:cs="Arial"/>
                <w:b/>
                <w:bCs/>
              </w:rPr>
              <w:t>Strengths (S)</w:t>
            </w:r>
          </w:p>
        </w:tc>
        <w:tc>
          <w:tcPr>
            <w:tcW w:w="0" w:type="auto"/>
            <w:hideMark/>
          </w:tcPr>
          <w:p w14:paraId="74F74079" w14:textId="77777777" w:rsidR="001E3541" w:rsidRPr="001E3541" w:rsidRDefault="001E3541" w:rsidP="001E3541">
            <w:pPr>
              <w:spacing w:after="160" w:line="278" w:lineRule="auto"/>
              <w:jc w:val="both"/>
              <w:rPr>
                <w:rFonts w:ascii="Arial" w:hAnsi="Arial" w:cs="Arial"/>
              </w:rPr>
            </w:pPr>
          </w:p>
        </w:tc>
        <w:tc>
          <w:tcPr>
            <w:tcW w:w="0" w:type="auto"/>
            <w:hideMark/>
          </w:tcPr>
          <w:p w14:paraId="4C714B15" w14:textId="77777777" w:rsidR="001E3541" w:rsidRPr="001E3541" w:rsidRDefault="001E3541" w:rsidP="001E3541">
            <w:pPr>
              <w:spacing w:after="160" w:line="278" w:lineRule="auto"/>
              <w:jc w:val="both"/>
              <w:rPr>
                <w:rFonts w:ascii="Arial" w:hAnsi="Arial" w:cs="Arial"/>
              </w:rPr>
            </w:pPr>
          </w:p>
        </w:tc>
        <w:tc>
          <w:tcPr>
            <w:tcW w:w="0" w:type="auto"/>
            <w:hideMark/>
          </w:tcPr>
          <w:p w14:paraId="315A387A" w14:textId="77777777" w:rsidR="001E3541" w:rsidRPr="001E3541" w:rsidRDefault="001E3541" w:rsidP="001E3541">
            <w:pPr>
              <w:spacing w:after="160" w:line="278" w:lineRule="auto"/>
              <w:jc w:val="both"/>
              <w:rPr>
                <w:rFonts w:ascii="Arial" w:hAnsi="Arial" w:cs="Arial"/>
              </w:rPr>
            </w:pPr>
          </w:p>
        </w:tc>
      </w:tr>
      <w:tr w:rsidR="001E3541" w:rsidRPr="001E3541" w14:paraId="718CE5E2" w14:textId="77777777" w:rsidTr="00BE4296">
        <w:tc>
          <w:tcPr>
            <w:tcW w:w="5807" w:type="dxa"/>
            <w:hideMark/>
          </w:tcPr>
          <w:p w14:paraId="335519D7" w14:textId="77777777" w:rsidR="001E3541" w:rsidRPr="001E3541" w:rsidRDefault="001E3541" w:rsidP="001E3541">
            <w:pPr>
              <w:spacing w:after="160" w:line="278" w:lineRule="auto"/>
              <w:jc w:val="both"/>
              <w:rPr>
                <w:rFonts w:ascii="Arial" w:hAnsi="Arial" w:cs="Arial"/>
              </w:rPr>
            </w:pPr>
            <w:r w:rsidRPr="001E3541">
              <w:rPr>
                <w:rFonts w:ascii="Arial" w:hAnsi="Arial" w:cs="Arial"/>
              </w:rPr>
              <w:t>S1. Adequate vegetation</w:t>
            </w:r>
          </w:p>
        </w:tc>
        <w:tc>
          <w:tcPr>
            <w:tcW w:w="0" w:type="auto"/>
            <w:hideMark/>
          </w:tcPr>
          <w:p w14:paraId="62CD23CC" w14:textId="77777777" w:rsidR="001E3541" w:rsidRPr="001E3541" w:rsidRDefault="001E3541" w:rsidP="001E3541">
            <w:pPr>
              <w:spacing w:after="160" w:line="278" w:lineRule="auto"/>
              <w:jc w:val="both"/>
              <w:rPr>
                <w:rFonts w:ascii="Arial" w:hAnsi="Arial" w:cs="Arial"/>
              </w:rPr>
            </w:pPr>
            <w:r w:rsidRPr="001E3541">
              <w:rPr>
                <w:rFonts w:ascii="Arial" w:hAnsi="Arial" w:cs="Arial"/>
              </w:rPr>
              <w:t>0.22</w:t>
            </w:r>
          </w:p>
        </w:tc>
        <w:tc>
          <w:tcPr>
            <w:tcW w:w="0" w:type="auto"/>
            <w:hideMark/>
          </w:tcPr>
          <w:p w14:paraId="72E32904" w14:textId="77777777" w:rsidR="001E3541" w:rsidRPr="001E3541" w:rsidRDefault="001E3541" w:rsidP="001E3541">
            <w:pPr>
              <w:spacing w:after="160" w:line="278" w:lineRule="auto"/>
              <w:jc w:val="both"/>
              <w:rPr>
                <w:rFonts w:ascii="Arial" w:hAnsi="Arial" w:cs="Arial"/>
              </w:rPr>
            </w:pPr>
            <w:r w:rsidRPr="001E3541">
              <w:rPr>
                <w:rFonts w:ascii="Arial" w:hAnsi="Arial" w:cs="Arial"/>
              </w:rPr>
              <w:t>4</w:t>
            </w:r>
          </w:p>
        </w:tc>
        <w:tc>
          <w:tcPr>
            <w:tcW w:w="0" w:type="auto"/>
            <w:hideMark/>
          </w:tcPr>
          <w:p w14:paraId="0FA96B7A" w14:textId="77777777" w:rsidR="001E3541" w:rsidRPr="001E3541" w:rsidRDefault="001E3541" w:rsidP="001E3541">
            <w:pPr>
              <w:spacing w:after="160" w:line="278" w:lineRule="auto"/>
              <w:jc w:val="both"/>
              <w:rPr>
                <w:rFonts w:ascii="Arial" w:hAnsi="Arial" w:cs="Arial"/>
              </w:rPr>
            </w:pPr>
            <w:r w:rsidRPr="001E3541">
              <w:rPr>
                <w:rFonts w:ascii="Arial" w:hAnsi="Arial" w:cs="Arial"/>
              </w:rPr>
              <w:t>0.88</w:t>
            </w:r>
          </w:p>
        </w:tc>
      </w:tr>
      <w:tr w:rsidR="001E3541" w:rsidRPr="001E3541" w14:paraId="51D5622A" w14:textId="77777777" w:rsidTr="00BE4296">
        <w:tc>
          <w:tcPr>
            <w:tcW w:w="5807" w:type="dxa"/>
            <w:hideMark/>
          </w:tcPr>
          <w:p w14:paraId="455C02A4" w14:textId="77777777" w:rsidR="001E3541" w:rsidRPr="001E3541" w:rsidRDefault="001E3541" w:rsidP="001E3541">
            <w:pPr>
              <w:spacing w:after="160" w:line="278" w:lineRule="auto"/>
              <w:jc w:val="both"/>
              <w:rPr>
                <w:rFonts w:ascii="Arial" w:hAnsi="Arial" w:cs="Arial"/>
              </w:rPr>
            </w:pPr>
            <w:r w:rsidRPr="001E3541">
              <w:rPr>
                <w:rFonts w:ascii="Arial" w:hAnsi="Arial" w:cs="Arial"/>
              </w:rPr>
              <w:t>S2. Strategic location</w:t>
            </w:r>
          </w:p>
        </w:tc>
        <w:tc>
          <w:tcPr>
            <w:tcW w:w="0" w:type="auto"/>
            <w:hideMark/>
          </w:tcPr>
          <w:p w14:paraId="75DE2B03" w14:textId="77777777" w:rsidR="001E3541" w:rsidRPr="001E3541" w:rsidRDefault="001E3541" w:rsidP="001E3541">
            <w:pPr>
              <w:spacing w:after="160" w:line="278" w:lineRule="auto"/>
              <w:jc w:val="both"/>
              <w:rPr>
                <w:rFonts w:ascii="Arial" w:hAnsi="Arial" w:cs="Arial"/>
              </w:rPr>
            </w:pPr>
            <w:r w:rsidRPr="001E3541">
              <w:rPr>
                <w:rFonts w:ascii="Arial" w:hAnsi="Arial" w:cs="Arial"/>
              </w:rPr>
              <w:t>0.13</w:t>
            </w:r>
          </w:p>
        </w:tc>
        <w:tc>
          <w:tcPr>
            <w:tcW w:w="0" w:type="auto"/>
            <w:hideMark/>
          </w:tcPr>
          <w:p w14:paraId="6724FF55" w14:textId="77777777" w:rsidR="001E3541" w:rsidRPr="001E3541" w:rsidRDefault="001E3541" w:rsidP="001E3541">
            <w:pPr>
              <w:spacing w:after="160" w:line="278" w:lineRule="auto"/>
              <w:jc w:val="both"/>
              <w:rPr>
                <w:rFonts w:ascii="Arial" w:hAnsi="Arial" w:cs="Arial"/>
              </w:rPr>
            </w:pPr>
            <w:r w:rsidRPr="001E3541">
              <w:rPr>
                <w:rFonts w:ascii="Arial" w:hAnsi="Arial" w:cs="Arial"/>
              </w:rPr>
              <w:t>4</w:t>
            </w:r>
          </w:p>
        </w:tc>
        <w:tc>
          <w:tcPr>
            <w:tcW w:w="0" w:type="auto"/>
            <w:hideMark/>
          </w:tcPr>
          <w:p w14:paraId="116459CA" w14:textId="77777777" w:rsidR="001E3541" w:rsidRPr="001E3541" w:rsidRDefault="001E3541" w:rsidP="001E3541">
            <w:pPr>
              <w:spacing w:after="160" w:line="278" w:lineRule="auto"/>
              <w:jc w:val="both"/>
              <w:rPr>
                <w:rFonts w:ascii="Arial" w:hAnsi="Arial" w:cs="Arial"/>
              </w:rPr>
            </w:pPr>
            <w:r w:rsidRPr="001E3541">
              <w:rPr>
                <w:rFonts w:ascii="Arial" w:hAnsi="Arial" w:cs="Arial"/>
              </w:rPr>
              <w:t>0.52</w:t>
            </w:r>
          </w:p>
        </w:tc>
      </w:tr>
      <w:tr w:rsidR="001E3541" w:rsidRPr="001E3541" w14:paraId="343DE59F" w14:textId="77777777" w:rsidTr="00BE4296">
        <w:tc>
          <w:tcPr>
            <w:tcW w:w="5807" w:type="dxa"/>
            <w:hideMark/>
          </w:tcPr>
          <w:p w14:paraId="0223BF8D" w14:textId="77777777" w:rsidR="001E3541" w:rsidRPr="001E3541" w:rsidRDefault="001E3541" w:rsidP="001E3541">
            <w:pPr>
              <w:spacing w:after="160" w:line="278" w:lineRule="auto"/>
              <w:jc w:val="both"/>
              <w:rPr>
                <w:rFonts w:ascii="Arial" w:hAnsi="Arial" w:cs="Arial"/>
              </w:rPr>
            </w:pPr>
            <w:r w:rsidRPr="001E3541">
              <w:rPr>
                <w:rFonts w:ascii="Arial" w:hAnsi="Arial" w:cs="Arial"/>
              </w:rPr>
              <w:t>S3. Legal status</w:t>
            </w:r>
          </w:p>
        </w:tc>
        <w:tc>
          <w:tcPr>
            <w:tcW w:w="0" w:type="auto"/>
            <w:hideMark/>
          </w:tcPr>
          <w:p w14:paraId="307832FB" w14:textId="77777777" w:rsidR="001E3541" w:rsidRPr="001E3541" w:rsidRDefault="001E3541" w:rsidP="001E3541">
            <w:pPr>
              <w:spacing w:after="160" w:line="278" w:lineRule="auto"/>
              <w:jc w:val="both"/>
              <w:rPr>
                <w:rFonts w:ascii="Arial" w:hAnsi="Arial" w:cs="Arial"/>
              </w:rPr>
            </w:pPr>
            <w:r w:rsidRPr="001E3541">
              <w:rPr>
                <w:rFonts w:ascii="Arial" w:hAnsi="Arial" w:cs="Arial"/>
              </w:rPr>
              <w:t>0.10</w:t>
            </w:r>
          </w:p>
        </w:tc>
        <w:tc>
          <w:tcPr>
            <w:tcW w:w="0" w:type="auto"/>
            <w:hideMark/>
          </w:tcPr>
          <w:p w14:paraId="0E4887DA" w14:textId="77777777" w:rsidR="001E3541" w:rsidRPr="001E3541" w:rsidRDefault="001E3541" w:rsidP="001E3541">
            <w:pPr>
              <w:spacing w:after="160" w:line="278" w:lineRule="auto"/>
              <w:jc w:val="both"/>
              <w:rPr>
                <w:rFonts w:ascii="Arial" w:hAnsi="Arial" w:cs="Arial"/>
              </w:rPr>
            </w:pPr>
            <w:r w:rsidRPr="001E3541">
              <w:rPr>
                <w:rFonts w:ascii="Arial" w:hAnsi="Arial" w:cs="Arial"/>
              </w:rPr>
              <w:t>3</w:t>
            </w:r>
          </w:p>
        </w:tc>
        <w:tc>
          <w:tcPr>
            <w:tcW w:w="0" w:type="auto"/>
            <w:hideMark/>
          </w:tcPr>
          <w:p w14:paraId="0F907750" w14:textId="77777777" w:rsidR="001E3541" w:rsidRPr="001E3541" w:rsidRDefault="001E3541" w:rsidP="001E3541">
            <w:pPr>
              <w:spacing w:after="160" w:line="278" w:lineRule="auto"/>
              <w:jc w:val="both"/>
              <w:rPr>
                <w:rFonts w:ascii="Arial" w:hAnsi="Arial" w:cs="Arial"/>
              </w:rPr>
            </w:pPr>
            <w:r w:rsidRPr="001E3541">
              <w:rPr>
                <w:rFonts w:ascii="Arial" w:hAnsi="Arial" w:cs="Arial"/>
              </w:rPr>
              <w:t>0.30</w:t>
            </w:r>
          </w:p>
        </w:tc>
      </w:tr>
      <w:tr w:rsidR="001E3541" w:rsidRPr="001E3541" w14:paraId="7DE89605" w14:textId="77777777" w:rsidTr="00BE4296">
        <w:tc>
          <w:tcPr>
            <w:tcW w:w="5807" w:type="dxa"/>
            <w:hideMark/>
          </w:tcPr>
          <w:p w14:paraId="459EC905" w14:textId="77777777" w:rsidR="001E3541" w:rsidRPr="001E3541" w:rsidRDefault="001E3541" w:rsidP="001E3541">
            <w:pPr>
              <w:spacing w:after="160" w:line="278" w:lineRule="auto"/>
              <w:jc w:val="both"/>
              <w:rPr>
                <w:rFonts w:ascii="Arial" w:hAnsi="Arial" w:cs="Arial"/>
              </w:rPr>
            </w:pPr>
            <w:r w:rsidRPr="001E3541">
              <w:rPr>
                <w:rFonts w:ascii="Arial" w:hAnsi="Arial" w:cs="Arial"/>
              </w:rPr>
              <w:t>S4. Social capital</w:t>
            </w:r>
          </w:p>
        </w:tc>
        <w:tc>
          <w:tcPr>
            <w:tcW w:w="0" w:type="auto"/>
            <w:hideMark/>
          </w:tcPr>
          <w:p w14:paraId="7792B0DC" w14:textId="77777777" w:rsidR="001E3541" w:rsidRPr="001E3541" w:rsidRDefault="001E3541" w:rsidP="001E3541">
            <w:pPr>
              <w:spacing w:after="160" w:line="278" w:lineRule="auto"/>
              <w:jc w:val="both"/>
              <w:rPr>
                <w:rFonts w:ascii="Arial" w:hAnsi="Arial" w:cs="Arial"/>
              </w:rPr>
            </w:pPr>
            <w:r w:rsidRPr="001E3541">
              <w:rPr>
                <w:rFonts w:ascii="Arial" w:hAnsi="Arial" w:cs="Arial"/>
              </w:rPr>
              <w:t>0.10</w:t>
            </w:r>
          </w:p>
        </w:tc>
        <w:tc>
          <w:tcPr>
            <w:tcW w:w="0" w:type="auto"/>
            <w:hideMark/>
          </w:tcPr>
          <w:p w14:paraId="5197E547" w14:textId="77777777" w:rsidR="001E3541" w:rsidRPr="001E3541" w:rsidRDefault="001E3541" w:rsidP="001E3541">
            <w:pPr>
              <w:spacing w:after="160" w:line="278" w:lineRule="auto"/>
              <w:jc w:val="both"/>
              <w:rPr>
                <w:rFonts w:ascii="Arial" w:hAnsi="Arial" w:cs="Arial"/>
              </w:rPr>
            </w:pPr>
            <w:r w:rsidRPr="001E3541">
              <w:rPr>
                <w:rFonts w:ascii="Arial" w:hAnsi="Arial" w:cs="Arial"/>
              </w:rPr>
              <w:t>3</w:t>
            </w:r>
          </w:p>
        </w:tc>
        <w:tc>
          <w:tcPr>
            <w:tcW w:w="0" w:type="auto"/>
            <w:hideMark/>
          </w:tcPr>
          <w:p w14:paraId="4B43AA49" w14:textId="77777777" w:rsidR="001E3541" w:rsidRPr="001E3541" w:rsidRDefault="001E3541" w:rsidP="001E3541">
            <w:pPr>
              <w:spacing w:after="160" w:line="278" w:lineRule="auto"/>
              <w:jc w:val="both"/>
              <w:rPr>
                <w:rFonts w:ascii="Arial" w:hAnsi="Arial" w:cs="Arial"/>
              </w:rPr>
            </w:pPr>
            <w:r w:rsidRPr="001E3541">
              <w:rPr>
                <w:rFonts w:ascii="Arial" w:hAnsi="Arial" w:cs="Arial"/>
              </w:rPr>
              <w:t>0.30</w:t>
            </w:r>
          </w:p>
        </w:tc>
      </w:tr>
      <w:tr w:rsidR="001E3541" w:rsidRPr="001E3541" w14:paraId="761B3D0C" w14:textId="77777777" w:rsidTr="00BE4296">
        <w:tc>
          <w:tcPr>
            <w:tcW w:w="5807" w:type="dxa"/>
            <w:hideMark/>
          </w:tcPr>
          <w:p w14:paraId="5ED04669" w14:textId="77777777" w:rsidR="001E3541" w:rsidRPr="001E3541" w:rsidRDefault="001E3541" w:rsidP="001E3541">
            <w:pPr>
              <w:spacing w:after="160" w:line="278" w:lineRule="auto"/>
              <w:jc w:val="both"/>
              <w:rPr>
                <w:rFonts w:ascii="Arial" w:hAnsi="Arial" w:cs="Arial"/>
              </w:rPr>
            </w:pPr>
            <w:r w:rsidRPr="001E3541">
              <w:rPr>
                <w:rFonts w:ascii="Arial" w:hAnsi="Arial" w:cs="Arial"/>
              </w:rPr>
              <w:t>Subtotal strengths</w:t>
            </w:r>
          </w:p>
        </w:tc>
        <w:tc>
          <w:tcPr>
            <w:tcW w:w="0" w:type="auto"/>
            <w:hideMark/>
          </w:tcPr>
          <w:p w14:paraId="772A0913" w14:textId="77777777" w:rsidR="001E3541" w:rsidRPr="001E3541" w:rsidRDefault="001E3541" w:rsidP="001E3541">
            <w:pPr>
              <w:spacing w:after="160" w:line="278" w:lineRule="auto"/>
              <w:jc w:val="both"/>
              <w:rPr>
                <w:rFonts w:ascii="Arial" w:hAnsi="Arial" w:cs="Arial"/>
              </w:rPr>
            </w:pPr>
            <w:r w:rsidRPr="001E3541">
              <w:rPr>
                <w:rFonts w:ascii="Arial" w:hAnsi="Arial" w:cs="Arial"/>
              </w:rPr>
              <w:t>0.55</w:t>
            </w:r>
          </w:p>
        </w:tc>
        <w:tc>
          <w:tcPr>
            <w:tcW w:w="0" w:type="auto"/>
            <w:hideMark/>
          </w:tcPr>
          <w:p w14:paraId="22AB236D" w14:textId="77777777" w:rsidR="001E3541" w:rsidRPr="001E3541" w:rsidRDefault="001E3541" w:rsidP="001E3541">
            <w:pPr>
              <w:spacing w:after="160" w:line="278" w:lineRule="auto"/>
              <w:jc w:val="both"/>
              <w:rPr>
                <w:rFonts w:ascii="Arial" w:hAnsi="Arial" w:cs="Arial"/>
              </w:rPr>
            </w:pPr>
          </w:p>
        </w:tc>
        <w:tc>
          <w:tcPr>
            <w:tcW w:w="0" w:type="auto"/>
            <w:hideMark/>
          </w:tcPr>
          <w:p w14:paraId="1A7ADA73" w14:textId="77777777" w:rsidR="001E3541" w:rsidRPr="001E3541" w:rsidRDefault="001E3541" w:rsidP="001E3541">
            <w:pPr>
              <w:spacing w:after="160" w:line="278" w:lineRule="auto"/>
              <w:jc w:val="both"/>
              <w:rPr>
                <w:rFonts w:ascii="Arial" w:hAnsi="Arial" w:cs="Arial"/>
              </w:rPr>
            </w:pPr>
            <w:r w:rsidRPr="001E3541">
              <w:rPr>
                <w:rFonts w:ascii="Arial" w:hAnsi="Arial" w:cs="Arial"/>
              </w:rPr>
              <w:t>2.00</w:t>
            </w:r>
          </w:p>
        </w:tc>
      </w:tr>
      <w:tr w:rsidR="001E3541" w:rsidRPr="001E3541" w14:paraId="2B92C0AD" w14:textId="77777777" w:rsidTr="00BE4296">
        <w:tc>
          <w:tcPr>
            <w:tcW w:w="5807" w:type="dxa"/>
            <w:hideMark/>
          </w:tcPr>
          <w:p w14:paraId="0E01FC4F" w14:textId="77777777" w:rsidR="001E3541" w:rsidRPr="001E3541" w:rsidRDefault="001E3541" w:rsidP="001E3541">
            <w:pPr>
              <w:spacing w:after="160" w:line="278" w:lineRule="auto"/>
              <w:jc w:val="both"/>
              <w:rPr>
                <w:rFonts w:ascii="Arial" w:hAnsi="Arial" w:cs="Arial"/>
              </w:rPr>
            </w:pPr>
            <w:r w:rsidRPr="001E3541">
              <w:rPr>
                <w:rFonts w:ascii="Arial" w:hAnsi="Arial" w:cs="Arial"/>
                <w:b/>
                <w:bCs/>
              </w:rPr>
              <w:t>Weaknesses (W)</w:t>
            </w:r>
          </w:p>
        </w:tc>
        <w:tc>
          <w:tcPr>
            <w:tcW w:w="0" w:type="auto"/>
            <w:hideMark/>
          </w:tcPr>
          <w:p w14:paraId="7D391B6B" w14:textId="77777777" w:rsidR="001E3541" w:rsidRPr="001E3541" w:rsidRDefault="001E3541" w:rsidP="001E3541">
            <w:pPr>
              <w:spacing w:after="160" w:line="278" w:lineRule="auto"/>
              <w:jc w:val="both"/>
              <w:rPr>
                <w:rFonts w:ascii="Arial" w:hAnsi="Arial" w:cs="Arial"/>
              </w:rPr>
            </w:pPr>
          </w:p>
        </w:tc>
        <w:tc>
          <w:tcPr>
            <w:tcW w:w="0" w:type="auto"/>
            <w:hideMark/>
          </w:tcPr>
          <w:p w14:paraId="12DDC4F8" w14:textId="77777777" w:rsidR="001E3541" w:rsidRPr="001E3541" w:rsidRDefault="001E3541" w:rsidP="001E3541">
            <w:pPr>
              <w:spacing w:after="160" w:line="278" w:lineRule="auto"/>
              <w:jc w:val="both"/>
              <w:rPr>
                <w:rFonts w:ascii="Arial" w:hAnsi="Arial" w:cs="Arial"/>
              </w:rPr>
            </w:pPr>
          </w:p>
        </w:tc>
        <w:tc>
          <w:tcPr>
            <w:tcW w:w="0" w:type="auto"/>
            <w:hideMark/>
          </w:tcPr>
          <w:p w14:paraId="60DA238D" w14:textId="77777777" w:rsidR="001E3541" w:rsidRPr="001E3541" w:rsidRDefault="001E3541" w:rsidP="001E3541">
            <w:pPr>
              <w:spacing w:after="160" w:line="278" w:lineRule="auto"/>
              <w:jc w:val="both"/>
              <w:rPr>
                <w:rFonts w:ascii="Arial" w:hAnsi="Arial" w:cs="Arial"/>
              </w:rPr>
            </w:pPr>
          </w:p>
        </w:tc>
      </w:tr>
      <w:tr w:rsidR="001E3541" w:rsidRPr="001E3541" w14:paraId="2BB39B94" w14:textId="77777777" w:rsidTr="00BE4296">
        <w:tc>
          <w:tcPr>
            <w:tcW w:w="5807" w:type="dxa"/>
            <w:hideMark/>
          </w:tcPr>
          <w:p w14:paraId="37F66844" w14:textId="77777777" w:rsidR="001E3541" w:rsidRPr="001E3541" w:rsidRDefault="001E3541" w:rsidP="001E3541">
            <w:pPr>
              <w:spacing w:after="160" w:line="278" w:lineRule="auto"/>
              <w:jc w:val="both"/>
              <w:rPr>
                <w:rFonts w:ascii="Arial" w:hAnsi="Arial" w:cs="Arial"/>
              </w:rPr>
            </w:pPr>
            <w:r w:rsidRPr="001E3541">
              <w:rPr>
                <w:rFonts w:ascii="Arial" w:hAnsi="Arial" w:cs="Arial"/>
              </w:rPr>
              <w:lastRenderedPageBreak/>
              <w:t>W1. Inadequate facilities</w:t>
            </w:r>
          </w:p>
        </w:tc>
        <w:tc>
          <w:tcPr>
            <w:tcW w:w="0" w:type="auto"/>
            <w:hideMark/>
          </w:tcPr>
          <w:p w14:paraId="030AD41F" w14:textId="77777777" w:rsidR="001E3541" w:rsidRPr="001E3541" w:rsidRDefault="001E3541" w:rsidP="001E3541">
            <w:pPr>
              <w:spacing w:after="160" w:line="278" w:lineRule="auto"/>
              <w:jc w:val="both"/>
              <w:rPr>
                <w:rFonts w:ascii="Arial" w:hAnsi="Arial" w:cs="Arial"/>
              </w:rPr>
            </w:pPr>
            <w:r w:rsidRPr="001E3541">
              <w:rPr>
                <w:rFonts w:ascii="Arial" w:hAnsi="Arial" w:cs="Arial"/>
              </w:rPr>
              <w:t>0.18</w:t>
            </w:r>
          </w:p>
        </w:tc>
        <w:tc>
          <w:tcPr>
            <w:tcW w:w="0" w:type="auto"/>
            <w:hideMark/>
          </w:tcPr>
          <w:p w14:paraId="51784D74" w14:textId="77777777" w:rsidR="001E3541" w:rsidRPr="001E3541" w:rsidRDefault="001E3541" w:rsidP="001E3541">
            <w:pPr>
              <w:spacing w:after="160" w:line="278" w:lineRule="auto"/>
              <w:jc w:val="both"/>
              <w:rPr>
                <w:rFonts w:ascii="Arial" w:hAnsi="Arial" w:cs="Arial"/>
              </w:rPr>
            </w:pPr>
            <w:r w:rsidRPr="001E3541">
              <w:rPr>
                <w:rFonts w:ascii="Arial" w:hAnsi="Arial" w:cs="Arial"/>
              </w:rPr>
              <w:t>2</w:t>
            </w:r>
          </w:p>
        </w:tc>
        <w:tc>
          <w:tcPr>
            <w:tcW w:w="0" w:type="auto"/>
            <w:hideMark/>
          </w:tcPr>
          <w:p w14:paraId="0F402AB8" w14:textId="77777777" w:rsidR="001E3541" w:rsidRPr="001E3541" w:rsidRDefault="001E3541" w:rsidP="001E3541">
            <w:pPr>
              <w:spacing w:after="160" w:line="278" w:lineRule="auto"/>
              <w:jc w:val="both"/>
              <w:rPr>
                <w:rFonts w:ascii="Arial" w:hAnsi="Arial" w:cs="Arial"/>
              </w:rPr>
            </w:pPr>
            <w:r w:rsidRPr="001E3541">
              <w:rPr>
                <w:rFonts w:ascii="Arial" w:hAnsi="Arial" w:cs="Arial"/>
              </w:rPr>
              <w:t>0.36</w:t>
            </w:r>
          </w:p>
        </w:tc>
      </w:tr>
      <w:tr w:rsidR="001E3541" w:rsidRPr="001E3541" w14:paraId="53128BE0" w14:textId="77777777" w:rsidTr="00BE4296">
        <w:tc>
          <w:tcPr>
            <w:tcW w:w="5807" w:type="dxa"/>
            <w:hideMark/>
          </w:tcPr>
          <w:p w14:paraId="2464423A" w14:textId="77777777" w:rsidR="001E3541" w:rsidRPr="001E3541" w:rsidRDefault="001E3541" w:rsidP="001E3541">
            <w:pPr>
              <w:spacing w:after="160" w:line="278" w:lineRule="auto"/>
              <w:jc w:val="both"/>
              <w:rPr>
                <w:rFonts w:ascii="Arial" w:hAnsi="Arial" w:cs="Arial"/>
              </w:rPr>
            </w:pPr>
            <w:r w:rsidRPr="001E3541">
              <w:rPr>
                <w:rFonts w:ascii="Arial" w:hAnsi="Arial" w:cs="Arial"/>
              </w:rPr>
              <w:t>W2. Low participation</w:t>
            </w:r>
          </w:p>
        </w:tc>
        <w:tc>
          <w:tcPr>
            <w:tcW w:w="0" w:type="auto"/>
            <w:hideMark/>
          </w:tcPr>
          <w:p w14:paraId="354D6D28" w14:textId="77777777" w:rsidR="001E3541" w:rsidRPr="001E3541" w:rsidRDefault="001E3541" w:rsidP="001E3541">
            <w:pPr>
              <w:spacing w:after="160" w:line="278" w:lineRule="auto"/>
              <w:jc w:val="both"/>
              <w:rPr>
                <w:rFonts w:ascii="Arial" w:hAnsi="Arial" w:cs="Arial"/>
              </w:rPr>
            </w:pPr>
            <w:r w:rsidRPr="001E3541">
              <w:rPr>
                <w:rFonts w:ascii="Arial" w:hAnsi="Arial" w:cs="Arial"/>
              </w:rPr>
              <w:t>0.12</w:t>
            </w:r>
          </w:p>
        </w:tc>
        <w:tc>
          <w:tcPr>
            <w:tcW w:w="0" w:type="auto"/>
            <w:hideMark/>
          </w:tcPr>
          <w:p w14:paraId="7661794F" w14:textId="77777777" w:rsidR="001E3541" w:rsidRPr="001E3541" w:rsidRDefault="001E3541" w:rsidP="001E3541">
            <w:pPr>
              <w:spacing w:after="160" w:line="278" w:lineRule="auto"/>
              <w:jc w:val="both"/>
              <w:rPr>
                <w:rFonts w:ascii="Arial" w:hAnsi="Arial" w:cs="Arial"/>
              </w:rPr>
            </w:pPr>
            <w:r w:rsidRPr="001E3541">
              <w:rPr>
                <w:rFonts w:ascii="Arial" w:hAnsi="Arial" w:cs="Arial"/>
              </w:rPr>
              <w:t>2</w:t>
            </w:r>
          </w:p>
        </w:tc>
        <w:tc>
          <w:tcPr>
            <w:tcW w:w="0" w:type="auto"/>
            <w:hideMark/>
          </w:tcPr>
          <w:p w14:paraId="1477CD7A" w14:textId="77777777" w:rsidR="001E3541" w:rsidRPr="001E3541" w:rsidRDefault="001E3541" w:rsidP="001E3541">
            <w:pPr>
              <w:spacing w:after="160" w:line="278" w:lineRule="auto"/>
              <w:jc w:val="both"/>
              <w:rPr>
                <w:rFonts w:ascii="Arial" w:hAnsi="Arial" w:cs="Arial"/>
              </w:rPr>
            </w:pPr>
            <w:r w:rsidRPr="001E3541">
              <w:rPr>
                <w:rFonts w:ascii="Arial" w:hAnsi="Arial" w:cs="Arial"/>
              </w:rPr>
              <w:t>0.24</w:t>
            </w:r>
          </w:p>
        </w:tc>
      </w:tr>
      <w:tr w:rsidR="001E3541" w:rsidRPr="001E3541" w14:paraId="1CE8650D" w14:textId="77777777" w:rsidTr="00BE4296">
        <w:tc>
          <w:tcPr>
            <w:tcW w:w="5807" w:type="dxa"/>
            <w:hideMark/>
          </w:tcPr>
          <w:p w14:paraId="098CDFF4" w14:textId="77777777" w:rsidR="001E3541" w:rsidRPr="001E3541" w:rsidRDefault="001E3541" w:rsidP="001E3541">
            <w:pPr>
              <w:spacing w:after="160" w:line="278" w:lineRule="auto"/>
              <w:jc w:val="both"/>
              <w:rPr>
                <w:rFonts w:ascii="Arial" w:hAnsi="Arial" w:cs="Arial"/>
              </w:rPr>
            </w:pPr>
            <w:r w:rsidRPr="001E3541">
              <w:rPr>
                <w:rFonts w:ascii="Arial" w:hAnsi="Arial" w:cs="Arial"/>
              </w:rPr>
              <w:t>W3. No management forum</w:t>
            </w:r>
          </w:p>
        </w:tc>
        <w:tc>
          <w:tcPr>
            <w:tcW w:w="0" w:type="auto"/>
            <w:hideMark/>
          </w:tcPr>
          <w:p w14:paraId="7C78435E" w14:textId="77777777" w:rsidR="001E3541" w:rsidRPr="001E3541" w:rsidRDefault="001E3541" w:rsidP="001E3541">
            <w:pPr>
              <w:spacing w:after="160" w:line="278" w:lineRule="auto"/>
              <w:jc w:val="both"/>
              <w:rPr>
                <w:rFonts w:ascii="Arial" w:hAnsi="Arial" w:cs="Arial"/>
              </w:rPr>
            </w:pPr>
            <w:r w:rsidRPr="001E3541">
              <w:rPr>
                <w:rFonts w:ascii="Arial" w:hAnsi="Arial" w:cs="Arial"/>
              </w:rPr>
              <w:t>0.08</w:t>
            </w:r>
          </w:p>
        </w:tc>
        <w:tc>
          <w:tcPr>
            <w:tcW w:w="0" w:type="auto"/>
            <w:hideMark/>
          </w:tcPr>
          <w:p w14:paraId="2CBD620A" w14:textId="77777777" w:rsidR="001E3541" w:rsidRPr="001E3541" w:rsidRDefault="001E3541" w:rsidP="001E3541">
            <w:pPr>
              <w:spacing w:after="160" w:line="278" w:lineRule="auto"/>
              <w:jc w:val="both"/>
              <w:rPr>
                <w:rFonts w:ascii="Arial" w:hAnsi="Arial" w:cs="Arial"/>
              </w:rPr>
            </w:pPr>
            <w:r w:rsidRPr="001E3541">
              <w:rPr>
                <w:rFonts w:ascii="Arial" w:hAnsi="Arial" w:cs="Arial"/>
              </w:rPr>
              <w:t>2</w:t>
            </w:r>
          </w:p>
        </w:tc>
        <w:tc>
          <w:tcPr>
            <w:tcW w:w="0" w:type="auto"/>
            <w:hideMark/>
          </w:tcPr>
          <w:p w14:paraId="7866DAE4" w14:textId="77777777" w:rsidR="001E3541" w:rsidRPr="001E3541" w:rsidRDefault="001E3541" w:rsidP="001E3541">
            <w:pPr>
              <w:spacing w:after="160" w:line="278" w:lineRule="auto"/>
              <w:jc w:val="both"/>
              <w:rPr>
                <w:rFonts w:ascii="Arial" w:hAnsi="Arial" w:cs="Arial"/>
              </w:rPr>
            </w:pPr>
            <w:r w:rsidRPr="001E3541">
              <w:rPr>
                <w:rFonts w:ascii="Arial" w:hAnsi="Arial" w:cs="Arial"/>
              </w:rPr>
              <w:t>0.16</w:t>
            </w:r>
          </w:p>
        </w:tc>
      </w:tr>
      <w:tr w:rsidR="001E3541" w:rsidRPr="001E3541" w14:paraId="583B9B23" w14:textId="77777777" w:rsidTr="00BE4296">
        <w:tc>
          <w:tcPr>
            <w:tcW w:w="5807" w:type="dxa"/>
            <w:hideMark/>
          </w:tcPr>
          <w:p w14:paraId="1A795FE5" w14:textId="77777777" w:rsidR="001E3541" w:rsidRPr="001E3541" w:rsidRDefault="001E3541" w:rsidP="001E3541">
            <w:pPr>
              <w:spacing w:after="160" w:line="278" w:lineRule="auto"/>
              <w:jc w:val="both"/>
              <w:rPr>
                <w:rFonts w:ascii="Arial" w:hAnsi="Arial" w:cs="Arial"/>
              </w:rPr>
            </w:pPr>
            <w:r w:rsidRPr="001E3541">
              <w:rPr>
                <w:rFonts w:ascii="Arial" w:hAnsi="Arial" w:cs="Arial"/>
              </w:rPr>
              <w:t>W4. Tokenistic participation</w:t>
            </w:r>
          </w:p>
        </w:tc>
        <w:tc>
          <w:tcPr>
            <w:tcW w:w="0" w:type="auto"/>
            <w:hideMark/>
          </w:tcPr>
          <w:p w14:paraId="3D608233" w14:textId="77777777" w:rsidR="001E3541" w:rsidRPr="001E3541" w:rsidRDefault="001E3541" w:rsidP="001E3541">
            <w:pPr>
              <w:spacing w:after="160" w:line="278" w:lineRule="auto"/>
              <w:jc w:val="both"/>
              <w:rPr>
                <w:rFonts w:ascii="Arial" w:hAnsi="Arial" w:cs="Arial"/>
              </w:rPr>
            </w:pPr>
            <w:r w:rsidRPr="001E3541">
              <w:rPr>
                <w:rFonts w:ascii="Arial" w:hAnsi="Arial" w:cs="Arial"/>
              </w:rPr>
              <w:t>0.07</w:t>
            </w:r>
          </w:p>
        </w:tc>
        <w:tc>
          <w:tcPr>
            <w:tcW w:w="0" w:type="auto"/>
            <w:hideMark/>
          </w:tcPr>
          <w:p w14:paraId="3A6FA63C" w14:textId="77777777" w:rsidR="001E3541" w:rsidRPr="001E3541" w:rsidRDefault="001E3541" w:rsidP="001E3541">
            <w:pPr>
              <w:spacing w:after="160" w:line="278" w:lineRule="auto"/>
              <w:jc w:val="both"/>
              <w:rPr>
                <w:rFonts w:ascii="Arial" w:hAnsi="Arial" w:cs="Arial"/>
              </w:rPr>
            </w:pPr>
            <w:r w:rsidRPr="001E3541">
              <w:rPr>
                <w:rFonts w:ascii="Arial" w:hAnsi="Arial" w:cs="Arial"/>
              </w:rPr>
              <w:t>2</w:t>
            </w:r>
          </w:p>
        </w:tc>
        <w:tc>
          <w:tcPr>
            <w:tcW w:w="0" w:type="auto"/>
            <w:hideMark/>
          </w:tcPr>
          <w:p w14:paraId="68491F1D" w14:textId="77777777" w:rsidR="001E3541" w:rsidRPr="001E3541" w:rsidRDefault="001E3541" w:rsidP="001E3541">
            <w:pPr>
              <w:spacing w:after="160" w:line="278" w:lineRule="auto"/>
              <w:jc w:val="both"/>
              <w:rPr>
                <w:rFonts w:ascii="Arial" w:hAnsi="Arial" w:cs="Arial"/>
              </w:rPr>
            </w:pPr>
            <w:r w:rsidRPr="001E3541">
              <w:rPr>
                <w:rFonts w:ascii="Arial" w:hAnsi="Arial" w:cs="Arial"/>
              </w:rPr>
              <w:t>0.14</w:t>
            </w:r>
          </w:p>
        </w:tc>
      </w:tr>
      <w:tr w:rsidR="001E3541" w:rsidRPr="001E3541" w14:paraId="6AA05005" w14:textId="77777777" w:rsidTr="00BE4296">
        <w:tc>
          <w:tcPr>
            <w:tcW w:w="5807" w:type="dxa"/>
            <w:hideMark/>
          </w:tcPr>
          <w:p w14:paraId="01BB745F" w14:textId="77777777" w:rsidR="001E3541" w:rsidRPr="001E3541" w:rsidRDefault="001E3541" w:rsidP="001E3541">
            <w:pPr>
              <w:spacing w:after="160" w:line="278" w:lineRule="auto"/>
              <w:jc w:val="both"/>
              <w:rPr>
                <w:rFonts w:ascii="Arial" w:hAnsi="Arial" w:cs="Arial"/>
              </w:rPr>
            </w:pPr>
            <w:r w:rsidRPr="001E3541">
              <w:rPr>
                <w:rFonts w:ascii="Arial" w:hAnsi="Arial" w:cs="Arial"/>
              </w:rPr>
              <w:t>Subtotal weaknesses</w:t>
            </w:r>
          </w:p>
        </w:tc>
        <w:tc>
          <w:tcPr>
            <w:tcW w:w="0" w:type="auto"/>
            <w:hideMark/>
          </w:tcPr>
          <w:p w14:paraId="0F6C0E25" w14:textId="77777777" w:rsidR="001E3541" w:rsidRPr="001E3541" w:rsidRDefault="001E3541" w:rsidP="001E3541">
            <w:pPr>
              <w:spacing w:after="160" w:line="278" w:lineRule="auto"/>
              <w:jc w:val="both"/>
              <w:rPr>
                <w:rFonts w:ascii="Arial" w:hAnsi="Arial" w:cs="Arial"/>
              </w:rPr>
            </w:pPr>
            <w:r w:rsidRPr="001E3541">
              <w:rPr>
                <w:rFonts w:ascii="Arial" w:hAnsi="Arial" w:cs="Arial"/>
              </w:rPr>
              <w:t>0.45</w:t>
            </w:r>
          </w:p>
        </w:tc>
        <w:tc>
          <w:tcPr>
            <w:tcW w:w="0" w:type="auto"/>
            <w:hideMark/>
          </w:tcPr>
          <w:p w14:paraId="3F676CAC" w14:textId="77777777" w:rsidR="001E3541" w:rsidRPr="001E3541" w:rsidRDefault="001E3541" w:rsidP="001E3541">
            <w:pPr>
              <w:spacing w:after="160" w:line="278" w:lineRule="auto"/>
              <w:jc w:val="both"/>
              <w:rPr>
                <w:rFonts w:ascii="Arial" w:hAnsi="Arial" w:cs="Arial"/>
              </w:rPr>
            </w:pPr>
          </w:p>
        </w:tc>
        <w:tc>
          <w:tcPr>
            <w:tcW w:w="0" w:type="auto"/>
            <w:hideMark/>
          </w:tcPr>
          <w:p w14:paraId="7DC0DB0C" w14:textId="77777777" w:rsidR="001E3541" w:rsidRPr="001E3541" w:rsidRDefault="001E3541" w:rsidP="001E3541">
            <w:pPr>
              <w:spacing w:after="160" w:line="278" w:lineRule="auto"/>
              <w:jc w:val="both"/>
              <w:rPr>
                <w:rFonts w:ascii="Arial" w:hAnsi="Arial" w:cs="Arial"/>
              </w:rPr>
            </w:pPr>
            <w:r w:rsidRPr="001E3541">
              <w:rPr>
                <w:rFonts w:ascii="Arial" w:hAnsi="Arial" w:cs="Arial"/>
              </w:rPr>
              <w:t>0.90</w:t>
            </w:r>
          </w:p>
        </w:tc>
      </w:tr>
      <w:tr w:rsidR="001E3541" w:rsidRPr="001E3541" w14:paraId="1C0B1119" w14:textId="77777777" w:rsidTr="00BE4296">
        <w:tc>
          <w:tcPr>
            <w:tcW w:w="5807" w:type="dxa"/>
            <w:hideMark/>
          </w:tcPr>
          <w:p w14:paraId="232AC8FA" w14:textId="77777777" w:rsidR="001E3541" w:rsidRPr="001E3541" w:rsidRDefault="001E3541" w:rsidP="001E3541">
            <w:pPr>
              <w:spacing w:after="160" w:line="278" w:lineRule="auto"/>
              <w:jc w:val="both"/>
              <w:rPr>
                <w:rFonts w:ascii="Arial" w:hAnsi="Arial" w:cs="Arial"/>
              </w:rPr>
            </w:pPr>
            <w:r w:rsidRPr="001E3541">
              <w:rPr>
                <w:rFonts w:ascii="Arial" w:hAnsi="Arial" w:cs="Arial"/>
                <w:b/>
                <w:bCs/>
              </w:rPr>
              <w:t>Total</w:t>
            </w:r>
          </w:p>
        </w:tc>
        <w:tc>
          <w:tcPr>
            <w:tcW w:w="0" w:type="auto"/>
            <w:hideMark/>
          </w:tcPr>
          <w:p w14:paraId="3B6CEDA5" w14:textId="77777777" w:rsidR="001E3541" w:rsidRPr="001E3541" w:rsidRDefault="001E3541" w:rsidP="001E3541">
            <w:pPr>
              <w:spacing w:after="160" w:line="278" w:lineRule="auto"/>
              <w:jc w:val="both"/>
              <w:rPr>
                <w:rFonts w:ascii="Arial" w:hAnsi="Arial" w:cs="Arial"/>
              </w:rPr>
            </w:pPr>
            <w:r w:rsidRPr="001E3541">
              <w:rPr>
                <w:rFonts w:ascii="Arial" w:hAnsi="Arial" w:cs="Arial"/>
              </w:rPr>
              <w:t>1.00</w:t>
            </w:r>
          </w:p>
        </w:tc>
        <w:tc>
          <w:tcPr>
            <w:tcW w:w="0" w:type="auto"/>
            <w:hideMark/>
          </w:tcPr>
          <w:p w14:paraId="5CE5B013" w14:textId="77777777" w:rsidR="001E3541" w:rsidRPr="001E3541" w:rsidRDefault="001E3541" w:rsidP="001E3541">
            <w:pPr>
              <w:spacing w:after="160" w:line="278" w:lineRule="auto"/>
              <w:jc w:val="both"/>
              <w:rPr>
                <w:rFonts w:ascii="Arial" w:hAnsi="Arial" w:cs="Arial"/>
              </w:rPr>
            </w:pPr>
          </w:p>
        </w:tc>
        <w:tc>
          <w:tcPr>
            <w:tcW w:w="0" w:type="auto"/>
            <w:hideMark/>
          </w:tcPr>
          <w:p w14:paraId="72A0C0A3" w14:textId="77777777" w:rsidR="001E3541" w:rsidRPr="001E3541" w:rsidRDefault="001E3541" w:rsidP="001E3541">
            <w:pPr>
              <w:spacing w:after="160" w:line="278" w:lineRule="auto"/>
              <w:jc w:val="both"/>
              <w:rPr>
                <w:rFonts w:ascii="Arial" w:hAnsi="Arial" w:cs="Arial"/>
              </w:rPr>
            </w:pPr>
            <w:r w:rsidRPr="001E3541">
              <w:rPr>
                <w:rFonts w:ascii="Arial" w:hAnsi="Arial" w:cs="Arial"/>
              </w:rPr>
              <w:t>2.90</w:t>
            </w:r>
          </w:p>
        </w:tc>
      </w:tr>
    </w:tbl>
    <w:p w14:paraId="6F9BA480" w14:textId="77777777" w:rsidR="001E3541" w:rsidRPr="001E3541" w:rsidRDefault="001E3541" w:rsidP="001E3541">
      <w:pPr>
        <w:jc w:val="both"/>
        <w:rPr>
          <w:rFonts w:ascii="Arial" w:hAnsi="Arial" w:cs="Arial"/>
        </w:rPr>
      </w:pPr>
      <w:r w:rsidRPr="001E3541">
        <w:rPr>
          <w:rFonts w:ascii="Arial" w:hAnsi="Arial" w:cs="Arial"/>
        </w:rPr>
        <w:t>The total IFE score of 2.90 (above the 2.50 average) indicates that strengths currently outweigh weaknesses. Ecological quality, location, legal certainty, and social capital provide a solid foundation for a participatory development model, provided that facility deficits and institutional weaknesses are addressed.</w:t>
      </w:r>
    </w:p>
    <w:p w14:paraId="4102BA16" w14:textId="77777777" w:rsidR="001E3541" w:rsidRPr="001E3541" w:rsidRDefault="001E3541" w:rsidP="001E3541">
      <w:pPr>
        <w:jc w:val="both"/>
        <w:rPr>
          <w:rFonts w:ascii="Arial" w:hAnsi="Arial" w:cs="Arial"/>
          <w:b/>
          <w:bCs/>
        </w:rPr>
      </w:pPr>
      <w:r w:rsidRPr="001E3541">
        <w:rPr>
          <w:rFonts w:ascii="Arial" w:hAnsi="Arial" w:cs="Arial"/>
          <w:b/>
          <w:bCs/>
        </w:rPr>
        <w:t>3.6 External Strategic Factors and EFE Matrix</w:t>
      </w:r>
    </w:p>
    <w:p w14:paraId="20A9B3F0" w14:textId="77777777" w:rsidR="001E3541" w:rsidRPr="001E3541" w:rsidRDefault="001E3541" w:rsidP="001E3541">
      <w:pPr>
        <w:jc w:val="both"/>
        <w:rPr>
          <w:rFonts w:ascii="Arial" w:hAnsi="Arial" w:cs="Arial"/>
        </w:rPr>
      </w:pPr>
      <w:r w:rsidRPr="001E3541">
        <w:rPr>
          <w:rFonts w:ascii="Arial" w:hAnsi="Arial" w:cs="Arial"/>
        </w:rPr>
        <w:t>External opportunities and threats were derived from policy review, interviews, and contextual analysis.</w:t>
      </w:r>
    </w:p>
    <w:p w14:paraId="2968BEC7" w14:textId="77777777" w:rsidR="001E3541" w:rsidRPr="001E3541" w:rsidRDefault="001E3541" w:rsidP="001E3541">
      <w:pPr>
        <w:jc w:val="both"/>
        <w:rPr>
          <w:rFonts w:ascii="Arial" w:hAnsi="Arial" w:cs="Arial"/>
        </w:rPr>
      </w:pPr>
      <w:r w:rsidRPr="001E3541">
        <w:rPr>
          <w:rFonts w:ascii="Arial" w:hAnsi="Arial" w:cs="Arial"/>
          <w:b/>
          <w:bCs/>
        </w:rPr>
        <w:t>Opportunities (O)</w:t>
      </w:r>
    </w:p>
    <w:p w14:paraId="326BA1CC" w14:textId="77777777" w:rsidR="001E3541" w:rsidRPr="001E3541" w:rsidRDefault="001E3541" w:rsidP="001E3541">
      <w:pPr>
        <w:numPr>
          <w:ilvl w:val="0"/>
          <w:numId w:val="17"/>
        </w:numPr>
        <w:jc w:val="both"/>
        <w:rPr>
          <w:rFonts w:ascii="Arial" w:hAnsi="Arial" w:cs="Arial"/>
        </w:rPr>
      </w:pPr>
      <w:r w:rsidRPr="001E3541">
        <w:rPr>
          <w:rFonts w:ascii="Arial" w:hAnsi="Arial" w:cs="Arial"/>
        </w:rPr>
        <w:t>O1. Strong policy support for ≥30% RTH.</w:t>
      </w:r>
    </w:p>
    <w:p w14:paraId="662AF037" w14:textId="77777777" w:rsidR="001E3541" w:rsidRPr="001E3541" w:rsidRDefault="001E3541" w:rsidP="001E3541">
      <w:pPr>
        <w:numPr>
          <w:ilvl w:val="0"/>
          <w:numId w:val="17"/>
        </w:numPr>
        <w:jc w:val="both"/>
        <w:rPr>
          <w:rFonts w:ascii="Arial" w:hAnsi="Arial" w:cs="Arial"/>
        </w:rPr>
      </w:pPr>
      <w:r w:rsidRPr="001E3541">
        <w:rPr>
          <w:rFonts w:ascii="Arial" w:hAnsi="Arial" w:cs="Arial"/>
        </w:rPr>
        <w:t>O2. Potential for multi-stakeholder collaboration (government, schools, community organizations, universities, CSR).</w:t>
      </w:r>
    </w:p>
    <w:p w14:paraId="184E5768" w14:textId="77777777" w:rsidR="001E3541" w:rsidRPr="001E3541" w:rsidRDefault="001E3541" w:rsidP="001E3541">
      <w:pPr>
        <w:numPr>
          <w:ilvl w:val="0"/>
          <w:numId w:val="17"/>
        </w:numPr>
        <w:jc w:val="both"/>
        <w:rPr>
          <w:rFonts w:ascii="Arial" w:hAnsi="Arial" w:cs="Arial"/>
        </w:rPr>
      </w:pPr>
      <w:r w:rsidRPr="001E3541">
        <w:rPr>
          <w:rFonts w:ascii="Arial" w:hAnsi="Arial" w:cs="Arial"/>
        </w:rPr>
        <w:t>O3. Growing ecological awareness among residents.</w:t>
      </w:r>
    </w:p>
    <w:p w14:paraId="107BFA10" w14:textId="77777777" w:rsidR="001E3541" w:rsidRPr="001E3541" w:rsidRDefault="001E3541" w:rsidP="001E3541">
      <w:pPr>
        <w:numPr>
          <w:ilvl w:val="0"/>
          <w:numId w:val="17"/>
        </w:numPr>
        <w:jc w:val="both"/>
        <w:rPr>
          <w:rFonts w:ascii="Arial" w:hAnsi="Arial" w:cs="Arial"/>
        </w:rPr>
      </w:pPr>
      <w:r w:rsidRPr="001E3541">
        <w:rPr>
          <w:rFonts w:ascii="Arial" w:hAnsi="Arial" w:cs="Arial"/>
        </w:rPr>
        <w:t>O4. Use of social media and digital tools for environmental campaigns.</w:t>
      </w:r>
    </w:p>
    <w:p w14:paraId="7F350403" w14:textId="77777777" w:rsidR="001E3541" w:rsidRPr="001E3541" w:rsidRDefault="001E3541" w:rsidP="001E3541">
      <w:pPr>
        <w:jc w:val="both"/>
        <w:rPr>
          <w:rFonts w:ascii="Arial" w:hAnsi="Arial" w:cs="Arial"/>
        </w:rPr>
      </w:pPr>
      <w:r w:rsidRPr="001E3541">
        <w:rPr>
          <w:rFonts w:ascii="Arial" w:hAnsi="Arial" w:cs="Arial"/>
          <w:b/>
          <w:bCs/>
        </w:rPr>
        <w:t>Threats (T)</w:t>
      </w:r>
    </w:p>
    <w:p w14:paraId="2FE7DCE1" w14:textId="77777777" w:rsidR="001E3541" w:rsidRPr="001E3541" w:rsidRDefault="001E3541" w:rsidP="001E3541">
      <w:pPr>
        <w:numPr>
          <w:ilvl w:val="0"/>
          <w:numId w:val="18"/>
        </w:numPr>
        <w:jc w:val="both"/>
        <w:rPr>
          <w:rFonts w:ascii="Arial" w:hAnsi="Arial" w:cs="Arial"/>
        </w:rPr>
      </w:pPr>
      <w:r w:rsidRPr="001E3541">
        <w:rPr>
          <w:rFonts w:ascii="Arial" w:hAnsi="Arial" w:cs="Arial"/>
        </w:rPr>
        <w:t>T1. Pressure for land conversion.</w:t>
      </w:r>
    </w:p>
    <w:p w14:paraId="6D116BE4" w14:textId="77777777" w:rsidR="001E3541" w:rsidRPr="001E3541" w:rsidRDefault="001E3541" w:rsidP="001E3541">
      <w:pPr>
        <w:numPr>
          <w:ilvl w:val="0"/>
          <w:numId w:val="18"/>
        </w:numPr>
        <w:jc w:val="both"/>
        <w:rPr>
          <w:rFonts w:ascii="Arial" w:hAnsi="Arial" w:cs="Arial"/>
        </w:rPr>
      </w:pPr>
      <w:r w:rsidRPr="001E3541">
        <w:rPr>
          <w:rFonts w:ascii="Arial" w:hAnsi="Arial" w:cs="Arial"/>
        </w:rPr>
        <w:t>T2. Limited municipal budget for RTH maintenance.</w:t>
      </w:r>
    </w:p>
    <w:p w14:paraId="506506F5" w14:textId="77777777" w:rsidR="001E3541" w:rsidRPr="001E3541" w:rsidRDefault="001E3541" w:rsidP="001E3541">
      <w:pPr>
        <w:numPr>
          <w:ilvl w:val="0"/>
          <w:numId w:val="18"/>
        </w:numPr>
        <w:jc w:val="both"/>
        <w:rPr>
          <w:rFonts w:ascii="Arial" w:hAnsi="Arial" w:cs="Arial"/>
        </w:rPr>
      </w:pPr>
      <w:r w:rsidRPr="001E3541">
        <w:rPr>
          <w:rFonts w:ascii="Arial" w:hAnsi="Arial" w:cs="Arial"/>
        </w:rPr>
        <w:t xml:space="preserve">T3. Declining culture of </w:t>
      </w:r>
      <w:r w:rsidRPr="001E3541">
        <w:rPr>
          <w:rFonts w:ascii="Arial" w:hAnsi="Arial" w:cs="Arial"/>
          <w:i/>
          <w:iCs/>
        </w:rPr>
        <w:t>gotong royong</w:t>
      </w:r>
      <w:r w:rsidRPr="001E3541">
        <w:rPr>
          <w:rFonts w:ascii="Arial" w:hAnsi="Arial" w:cs="Arial"/>
        </w:rPr>
        <w:t>.</w:t>
      </w:r>
    </w:p>
    <w:p w14:paraId="4EC8CC08" w14:textId="77777777" w:rsidR="001E3541" w:rsidRPr="001E3541" w:rsidRDefault="001E3541" w:rsidP="001E3541">
      <w:pPr>
        <w:numPr>
          <w:ilvl w:val="0"/>
          <w:numId w:val="18"/>
        </w:numPr>
        <w:jc w:val="both"/>
        <w:rPr>
          <w:rFonts w:ascii="Arial" w:hAnsi="Arial" w:cs="Arial"/>
        </w:rPr>
      </w:pPr>
      <w:r w:rsidRPr="001E3541">
        <w:rPr>
          <w:rFonts w:ascii="Arial" w:hAnsi="Arial" w:cs="Arial"/>
        </w:rPr>
        <w:t>T4. Risk of vandalism and damage.</w:t>
      </w:r>
    </w:p>
    <w:p w14:paraId="08481F62" w14:textId="77777777" w:rsidR="001E3541" w:rsidRPr="001E3541" w:rsidRDefault="001E3541" w:rsidP="001E3541">
      <w:pPr>
        <w:jc w:val="both"/>
        <w:rPr>
          <w:rFonts w:ascii="Arial" w:hAnsi="Arial" w:cs="Arial"/>
        </w:rPr>
      </w:pPr>
      <w:r w:rsidRPr="001E3541">
        <w:rPr>
          <w:rFonts w:ascii="Arial" w:hAnsi="Arial" w:cs="Arial"/>
        </w:rPr>
        <w:t>These were structured in an EFE matrix (</w:t>
      </w:r>
      <w:proofErr w:type="spellStart"/>
      <w:r w:rsidRPr="001E3541">
        <w:rPr>
          <w:rFonts w:ascii="Arial" w:hAnsi="Arial" w:cs="Arial"/>
        </w:rPr>
        <w:t>Rangkuti</w:t>
      </w:r>
      <w:proofErr w:type="spellEnd"/>
      <w:r w:rsidRPr="001E3541">
        <w:rPr>
          <w:rFonts w:ascii="Arial" w:hAnsi="Arial" w:cs="Arial"/>
        </w:rPr>
        <w:t>, 2003).</w:t>
      </w:r>
    </w:p>
    <w:p w14:paraId="4183CAA0" w14:textId="77777777" w:rsidR="00E4623A" w:rsidRDefault="00E4623A" w:rsidP="001E3541">
      <w:pPr>
        <w:jc w:val="both"/>
        <w:rPr>
          <w:rFonts w:ascii="Arial" w:hAnsi="Arial" w:cs="Arial"/>
          <w:b/>
          <w:bCs/>
        </w:rPr>
      </w:pPr>
    </w:p>
    <w:p w14:paraId="5F6F2E32" w14:textId="77777777" w:rsidR="00E4623A" w:rsidRDefault="00E4623A" w:rsidP="001E3541">
      <w:pPr>
        <w:jc w:val="both"/>
        <w:rPr>
          <w:rFonts w:ascii="Arial" w:hAnsi="Arial" w:cs="Arial"/>
          <w:b/>
          <w:bCs/>
        </w:rPr>
      </w:pPr>
    </w:p>
    <w:p w14:paraId="51E8A939" w14:textId="7801282D" w:rsidR="001E3541" w:rsidRPr="001E3541" w:rsidRDefault="001E3541" w:rsidP="00E4623A">
      <w:pPr>
        <w:jc w:val="center"/>
        <w:rPr>
          <w:rFonts w:ascii="Arial" w:hAnsi="Arial" w:cs="Arial"/>
        </w:rPr>
      </w:pPr>
      <w:r w:rsidRPr="001E3541">
        <w:rPr>
          <w:rFonts w:ascii="Arial" w:hAnsi="Arial" w:cs="Arial"/>
          <w:b/>
          <w:bCs/>
        </w:rPr>
        <w:t xml:space="preserve">Table </w:t>
      </w:r>
      <w:r w:rsidR="00E4623A">
        <w:rPr>
          <w:rFonts w:ascii="Arial" w:hAnsi="Arial" w:cs="Arial"/>
          <w:b/>
          <w:bCs/>
        </w:rPr>
        <w:t>4</w:t>
      </w:r>
      <w:r w:rsidRPr="001E3541">
        <w:rPr>
          <w:rFonts w:ascii="Arial" w:hAnsi="Arial" w:cs="Arial"/>
          <w:b/>
          <w:bCs/>
        </w:rPr>
        <w:t>. External Factor Evaluation (EFE) matrix</w:t>
      </w:r>
    </w:p>
    <w:tbl>
      <w:tblPr>
        <w:tblStyle w:val="TableGrid"/>
        <w:tblW w:w="0" w:type="auto"/>
        <w:tblLook w:val="04A0" w:firstRow="1" w:lastRow="0" w:firstColumn="1" w:lastColumn="0" w:noHBand="0" w:noVBand="1"/>
      </w:tblPr>
      <w:tblGrid>
        <w:gridCol w:w="5524"/>
        <w:gridCol w:w="1012"/>
        <w:gridCol w:w="963"/>
        <w:gridCol w:w="1999"/>
      </w:tblGrid>
      <w:tr w:rsidR="001E3541" w:rsidRPr="001E3541" w14:paraId="62135F97" w14:textId="77777777" w:rsidTr="00BE4296">
        <w:tc>
          <w:tcPr>
            <w:tcW w:w="5524" w:type="dxa"/>
            <w:hideMark/>
          </w:tcPr>
          <w:p w14:paraId="65B0D981" w14:textId="77777777" w:rsidR="001E3541" w:rsidRPr="001E3541" w:rsidRDefault="001E3541" w:rsidP="001E3541">
            <w:pPr>
              <w:spacing w:after="160" w:line="278" w:lineRule="auto"/>
              <w:jc w:val="both"/>
              <w:rPr>
                <w:rFonts w:ascii="Arial" w:hAnsi="Arial" w:cs="Arial"/>
                <w:b/>
                <w:bCs/>
              </w:rPr>
            </w:pPr>
            <w:r w:rsidRPr="001E3541">
              <w:rPr>
                <w:rFonts w:ascii="Arial" w:hAnsi="Arial" w:cs="Arial"/>
                <w:b/>
                <w:bCs/>
              </w:rPr>
              <w:lastRenderedPageBreak/>
              <w:t>External factor</w:t>
            </w:r>
          </w:p>
        </w:tc>
        <w:tc>
          <w:tcPr>
            <w:tcW w:w="0" w:type="auto"/>
            <w:hideMark/>
          </w:tcPr>
          <w:p w14:paraId="4C9515FC" w14:textId="77777777" w:rsidR="001E3541" w:rsidRPr="001E3541" w:rsidRDefault="001E3541" w:rsidP="001E3541">
            <w:pPr>
              <w:spacing w:after="160" w:line="278" w:lineRule="auto"/>
              <w:jc w:val="both"/>
              <w:rPr>
                <w:rFonts w:ascii="Arial" w:hAnsi="Arial" w:cs="Arial"/>
                <w:b/>
                <w:bCs/>
              </w:rPr>
            </w:pPr>
            <w:r w:rsidRPr="001E3541">
              <w:rPr>
                <w:rFonts w:ascii="Arial" w:hAnsi="Arial" w:cs="Arial"/>
                <w:b/>
                <w:bCs/>
              </w:rPr>
              <w:t>Weight</w:t>
            </w:r>
          </w:p>
        </w:tc>
        <w:tc>
          <w:tcPr>
            <w:tcW w:w="0" w:type="auto"/>
            <w:hideMark/>
          </w:tcPr>
          <w:p w14:paraId="0E794283" w14:textId="77777777" w:rsidR="001E3541" w:rsidRPr="001E3541" w:rsidRDefault="001E3541" w:rsidP="001E3541">
            <w:pPr>
              <w:spacing w:after="160" w:line="278" w:lineRule="auto"/>
              <w:jc w:val="both"/>
              <w:rPr>
                <w:rFonts w:ascii="Arial" w:hAnsi="Arial" w:cs="Arial"/>
                <w:b/>
                <w:bCs/>
              </w:rPr>
            </w:pPr>
            <w:r w:rsidRPr="001E3541">
              <w:rPr>
                <w:rFonts w:ascii="Arial" w:hAnsi="Arial" w:cs="Arial"/>
                <w:b/>
                <w:bCs/>
              </w:rPr>
              <w:t>Rating</w:t>
            </w:r>
          </w:p>
        </w:tc>
        <w:tc>
          <w:tcPr>
            <w:tcW w:w="0" w:type="auto"/>
            <w:hideMark/>
          </w:tcPr>
          <w:p w14:paraId="5CF94686" w14:textId="77777777" w:rsidR="001E3541" w:rsidRPr="001E3541" w:rsidRDefault="001E3541" w:rsidP="001E3541">
            <w:pPr>
              <w:spacing w:after="160" w:line="278" w:lineRule="auto"/>
              <w:jc w:val="both"/>
              <w:rPr>
                <w:rFonts w:ascii="Arial" w:hAnsi="Arial" w:cs="Arial"/>
                <w:b/>
                <w:bCs/>
              </w:rPr>
            </w:pPr>
            <w:r w:rsidRPr="001E3541">
              <w:rPr>
                <w:rFonts w:ascii="Arial" w:hAnsi="Arial" w:cs="Arial"/>
                <w:b/>
                <w:bCs/>
              </w:rPr>
              <w:t>Weighted score</w:t>
            </w:r>
          </w:p>
        </w:tc>
      </w:tr>
      <w:tr w:rsidR="001E3541" w:rsidRPr="001E3541" w14:paraId="2103DF2C" w14:textId="77777777" w:rsidTr="00BE4296">
        <w:tc>
          <w:tcPr>
            <w:tcW w:w="5524" w:type="dxa"/>
            <w:hideMark/>
          </w:tcPr>
          <w:p w14:paraId="1C4706B0" w14:textId="77777777" w:rsidR="001E3541" w:rsidRPr="001E3541" w:rsidRDefault="001E3541" w:rsidP="001E3541">
            <w:pPr>
              <w:spacing w:after="160" w:line="278" w:lineRule="auto"/>
              <w:jc w:val="both"/>
              <w:rPr>
                <w:rFonts w:ascii="Arial" w:hAnsi="Arial" w:cs="Arial"/>
              </w:rPr>
            </w:pPr>
            <w:r w:rsidRPr="001E3541">
              <w:rPr>
                <w:rFonts w:ascii="Arial" w:hAnsi="Arial" w:cs="Arial"/>
                <w:b/>
                <w:bCs/>
              </w:rPr>
              <w:t>Opportunities (O)</w:t>
            </w:r>
          </w:p>
        </w:tc>
        <w:tc>
          <w:tcPr>
            <w:tcW w:w="0" w:type="auto"/>
            <w:hideMark/>
          </w:tcPr>
          <w:p w14:paraId="6BD857D0" w14:textId="77777777" w:rsidR="001E3541" w:rsidRPr="001E3541" w:rsidRDefault="001E3541" w:rsidP="001E3541">
            <w:pPr>
              <w:spacing w:after="160" w:line="278" w:lineRule="auto"/>
              <w:jc w:val="both"/>
              <w:rPr>
                <w:rFonts w:ascii="Arial" w:hAnsi="Arial" w:cs="Arial"/>
              </w:rPr>
            </w:pPr>
          </w:p>
        </w:tc>
        <w:tc>
          <w:tcPr>
            <w:tcW w:w="0" w:type="auto"/>
            <w:hideMark/>
          </w:tcPr>
          <w:p w14:paraId="65ADCA82" w14:textId="77777777" w:rsidR="001E3541" w:rsidRPr="001E3541" w:rsidRDefault="001E3541" w:rsidP="001E3541">
            <w:pPr>
              <w:spacing w:after="160" w:line="278" w:lineRule="auto"/>
              <w:jc w:val="both"/>
              <w:rPr>
                <w:rFonts w:ascii="Arial" w:hAnsi="Arial" w:cs="Arial"/>
              </w:rPr>
            </w:pPr>
          </w:p>
        </w:tc>
        <w:tc>
          <w:tcPr>
            <w:tcW w:w="0" w:type="auto"/>
            <w:hideMark/>
          </w:tcPr>
          <w:p w14:paraId="573ED87C" w14:textId="77777777" w:rsidR="001E3541" w:rsidRPr="001E3541" w:rsidRDefault="001E3541" w:rsidP="001E3541">
            <w:pPr>
              <w:spacing w:after="160" w:line="278" w:lineRule="auto"/>
              <w:jc w:val="both"/>
              <w:rPr>
                <w:rFonts w:ascii="Arial" w:hAnsi="Arial" w:cs="Arial"/>
              </w:rPr>
            </w:pPr>
          </w:p>
        </w:tc>
      </w:tr>
      <w:tr w:rsidR="001E3541" w:rsidRPr="001E3541" w14:paraId="3BAF5DAA" w14:textId="77777777" w:rsidTr="00BE4296">
        <w:tc>
          <w:tcPr>
            <w:tcW w:w="5524" w:type="dxa"/>
            <w:hideMark/>
          </w:tcPr>
          <w:p w14:paraId="2C955175" w14:textId="77777777" w:rsidR="001E3541" w:rsidRPr="001E3541" w:rsidRDefault="001E3541" w:rsidP="001E3541">
            <w:pPr>
              <w:spacing w:after="160" w:line="278" w:lineRule="auto"/>
              <w:jc w:val="both"/>
              <w:rPr>
                <w:rFonts w:ascii="Arial" w:hAnsi="Arial" w:cs="Arial"/>
              </w:rPr>
            </w:pPr>
            <w:r w:rsidRPr="001E3541">
              <w:rPr>
                <w:rFonts w:ascii="Arial" w:hAnsi="Arial" w:cs="Arial"/>
              </w:rPr>
              <w:t>O1. Policy support</w:t>
            </w:r>
          </w:p>
        </w:tc>
        <w:tc>
          <w:tcPr>
            <w:tcW w:w="0" w:type="auto"/>
            <w:hideMark/>
          </w:tcPr>
          <w:p w14:paraId="7762D15D" w14:textId="77777777" w:rsidR="001E3541" w:rsidRPr="001E3541" w:rsidRDefault="001E3541" w:rsidP="001E3541">
            <w:pPr>
              <w:spacing w:after="160" w:line="278" w:lineRule="auto"/>
              <w:jc w:val="both"/>
              <w:rPr>
                <w:rFonts w:ascii="Arial" w:hAnsi="Arial" w:cs="Arial"/>
              </w:rPr>
            </w:pPr>
            <w:r w:rsidRPr="001E3541">
              <w:rPr>
                <w:rFonts w:ascii="Arial" w:hAnsi="Arial" w:cs="Arial"/>
              </w:rPr>
              <w:t>0.17</w:t>
            </w:r>
          </w:p>
        </w:tc>
        <w:tc>
          <w:tcPr>
            <w:tcW w:w="0" w:type="auto"/>
            <w:hideMark/>
          </w:tcPr>
          <w:p w14:paraId="2506D127" w14:textId="77777777" w:rsidR="001E3541" w:rsidRPr="001E3541" w:rsidRDefault="001E3541" w:rsidP="001E3541">
            <w:pPr>
              <w:spacing w:after="160" w:line="278" w:lineRule="auto"/>
              <w:jc w:val="both"/>
              <w:rPr>
                <w:rFonts w:ascii="Arial" w:hAnsi="Arial" w:cs="Arial"/>
              </w:rPr>
            </w:pPr>
            <w:r w:rsidRPr="001E3541">
              <w:rPr>
                <w:rFonts w:ascii="Arial" w:hAnsi="Arial" w:cs="Arial"/>
              </w:rPr>
              <w:t>4</w:t>
            </w:r>
          </w:p>
        </w:tc>
        <w:tc>
          <w:tcPr>
            <w:tcW w:w="0" w:type="auto"/>
            <w:hideMark/>
          </w:tcPr>
          <w:p w14:paraId="11927C18" w14:textId="77777777" w:rsidR="001E3541" w:rsidRPr="001E3541" w:rsidRDefault="001E3541" w:rsidP="001E3541">
            <w:pPr>
              <w:spacing w:after="160" w:line="278" w:lineRule="auto"/>
              <w:jc w:val="both"/>
              <w:rPr>
                <w:rFonts w:ascii="Arial" w:hAnsi="Arial" w:cs="Arial"/>
              </w:rPr>
            </w:pPr>
            <w:r w:rsidRPr="001E3541">
              <w:rPr>
                <w:rFonts w:ascii="Arial" w:hAnsi="Arial" w:cs="Arial"/>
              </w:rPr>
              <w:t>0.68</w:t>
            </w:r>
          </w:p>
        </w:tc>
      </w:tr>
      <w:tr w:rsidR="001E3541" w:rsidRPr="001E3541" w14:paraId="2C9A6777" w14:textId="77777777" w:rsidTr="00BE4296">
        <w:tc>
          <w:tcPr>
            <w:tcW w:w="5524" w:type="dxa"/>
            <w:hideMark/>
          </w:tcPr>
          <w:p w14:paraId="51A91E65" w14:textId="77777777" w:rsidR="001E3541" w:rsidRPr="001E3541" w:rsidRDefault="001E3541" w:rsidP="001E3541">
            <w:pPr>
              <w:spacing w:after="160" w:line="278" w:lineRule="auto"/>
              <w:jc w:val="both"/>
              <w:rPr>
                <w:rFonts w:ascii="Arial" w:hAnsi="Arial" w:cs="Arial"/>
              </w:rPr>
            </w:pPr>
            <w:r w:rsidRPr="001E3541">
              <w:rPr>
                <w:rFonts w:ascii="Arial" w:hAnsi="Arial" w:cs="Arial"/>
              </w:rPr>
              <w:t>O2. Collaboration potential</w:t>
            </w:r>
          </w:p>
        </w:tc>
        <w:tc>
          <w:tcPr>
            <w:tcW w:w="0" w:type="auto"/>
            <w:hideMark/>
          </w:tcPr>
          <w:p w14:paraId="5FFFE826" w14:textId="77777777" w:rsidR="001E3541" w:rsidRPr="001E3541" w:rsidRDefault="001E3541" w:rsidP="001E3541">
            <w:pPr>
              <w:spacing w:after="160" w:line="278" w:lineRule="auto"/>
              <w:jc w:val="both"/>
              <w:rPr>
                <w:rFonts w:ascii="Arial" w:hAnsi="Arial" w:cs="Arial"/>
              </w:rPr>
            </w:pPr>
            <w:r w:rsidRPr="001E3541">
              <w:rPr>
                <w:rFonts w:ascii="Arial" w:hAnsi="Arial" w:cs="Arial"/>
              </w:rPr>
              <w:t>0.14</w:t>
            </w:r>
          </w:p>
        </w:tc>
        <w:tc>
          <w:tcPr>
            <w:tcW w:w="0" w:type="auto"/>
            <w:hideMark/>
          </w:tcPr>
          <w:p w14:paraId="7779E360" w14:textId="77777777" w:rsidR="001E3541" w:rsidRPr="001E3541" w:rsidRDefault="001E3541" w:rsidP="001E3541">
            <w:pPr>
              <w:spacing w:after="160" w:line="278" w:lineRule="auto"/>
              <w:jc w:val="both"/>
              <w:rPr>
                <w:rFonts w:ascii="Arial" w:hAnsi="Arial" w:cs="Arial"/>
              </w:rPr>
            </w:pPr>
            <w:r w:rsidRPr="001E3541">
              <w:rPr>
                <w:rFonts w:ascii="Arial" w:hAnsi="Arial" w:cs="Arial"/>
              </w:rPr>
              <w:t>3</w:t>
            </w:r>
          </w:p>
        </w:tc>
        <w:tc>
          <w:tcPr>
            <w:tcW w:w="0" w:type="auto"/>
            <w:hideMark/>
          </w:tcPr>
          <w:p w14:paraId="1A14D775" w14:textId="77777777" w:rsidR="001E3541" w:rsidRPr="001E3541" w:rsidRDefault="001E3541" w:rsidP="001E3541">
            <w:pPr>
              <w:spacing w:after="160" w:line="278" w:lineRule="auto"/>
              <w:jc w:val="both"/>
              <w:rPr>
                <w:rFonts w:ascii="Arial" w:hAnsi="Arial" w:cs="Arial"/>
              </w:rPr>
            </w:pPr>
            <w:r w:rsidRPr="001E3541">
              <w:rPr>
                <w:rFonts w:ascii="Arial" w:hAnsi="Arial" w:cs="Arial"/>
              </w:rPr>
              <w:t>0.56</w:t>
            </w:r>
          </w:p>
        </w:tc>
      </w:tr>
      <w:tr w:rsidR="001E3541" w:rsidRPr="001E3541" w14:paraId="119A4ECC" w14:textId="77777777" w:rsidTr="00BE4296">
        <w:tc>
          <w:tcPr>
            <w:tcW w:w="5524" w:type="dxa"/>
            <w:hideMark/>
          </w:tcPr>
          <w:p w14:paraId="3A801068" w14:textId="77777777" w:rsidR="001E3541" w:rsidRPr="001E3541" w:rsidRDefault="001E3541" w:rsidP="001E3541">
            <w:pPr>
              <w:spacing w:after="160" w:line="278" w:lineRule="auto"/>
              <w:jc w:val="both"/>
              <w:rPr>
                <w:rFonts w:ascii="Arial" w:hAnsi="Arial" w:cs="Arial"/>
              </w:rPr>
            </w:pPr>
            <w:r w:rsidRPr="001E3541">
              <w:rPr>
                <w:rFonts w:ascii="Arial" w:hAnsi="Arial" w:cs="Arial"/>
              </w:rPr>
              <w:t>O3. Ecological awareness</w:t>
            </w:r>
          </w:p>
        </w:tc>
        <w:tc>
          <w:tcPr>
            <w:tcW w:w="0" w:type="auto"/>
            <w:hideMark/>
          </w:tcPr>
          <w:p w14:paraId="5E0226E4" w14:textId="77777777" w:rsidR="001E3541" w:rsidRPr="001E3541" w:rsidRDefault="001E3541" w:rsidP="001E3541">
            <w:pPr>
              <w:spacing w:after="160" w:line="278" w:lineRule="auto"/>
              <w:jc w:val="both"/>
              <w:rPr>
                <w:rFonts w:ascii="Arial" w:hAnsi="Arial" w:cs="Arial"/>
              </w:rPr>
            </w:pPr>
            <w:r w:rsidRPr="001E3541">
              <w:rPr>
                <w:rFonts w:ascii="Arial" w:hAnsi="Arial" w:cs="Arial"/>
              </w:rPr>
              <w:t>0.12</w:t>
            </w:r>
          </w:p>
        </w:tc>
        <w:tc>
          <w:tcPr>
            <w:tcW w:w="0" w:type="auto"/>
            <w:hideMark/>
          </w:tcPr>
          <w:p w14:paraId="139AF31D" w14:textId="77777777" w:rsidR="001E3541" w:rsidRPr="001E3541" w:rsidRDefault="001E3541" w:rsidP="001E3541">
            <w:pPr>
              <w:spacing w:after="160" w:line="278" w:lineRule="auto"/>
              <w:jc w:val="both"/>
              <w:rPr>
                <w:rFonts w:ascii="Arial" w:hAnsi="Arial" w:cs="Arial"/>
              </w:rPr>
            </w:pPr>
            <w:r w:rsidRPr="001E3541">
              <w:rPr>
                <w:rFonts w:ascii="Arial" w:hAnsi="Arial" w:cs="Arial"/>
              </w:rPr>
              <w:t>3</w:t>
            </w:r>
          </w:p>
        </w:tc>
        <w:tc>
          <w:tcPr>
            <w:tcW w:w="0" w:type="auto"/>
            <w:hideMark/>
          </w:tcPr>
          <w:p w14:paraId="3A6D63CC" w14:textId="77777777" w:rsidR="001E3541" w:rsidRPr="001E3541" w:rsidRDefault="001E3541" w:rsidP="001E3541">
            <w:pPr>
              <w:spacing w:after="160" w:line="278" w:lineRule="auto"/>
              <w:jc w:val="both"/>
              <w:rPr>
                <w:rFonts w:ascii="Arial" w:hAnsi="Arial" w:cs="Arial"/>
              </w:rPr>
            </w:pPr>
            <w:r w:rsidRPr="001E3541">
              <w:rPr>
                <w:rFonts w:ascii="Arial" w:hAnsi="Arial" w:cs="Arial"/>
              </w:rPr>
              <w:t>0.36</w:t>
            </w:r>
          </w:p>
        </w:tc>
      </w:tr>
      <w:tr w:rsidR="001E3541" w:rsidRPr="001E3541" w14:paraId="6AA9B622" w14:textId="77777777" w:rsidTr="00BE4296">
        <w:tc>
          <w:tcPr>
            <w:tcW w:w="5524" w:type="dxa"/>
            <w:hideMark/>
          </w:tcPr>
          <w:p w14:paraId="67CD98BC" w14:textId="77777777" w:rsidR="001E3541" w:rsidRPr="001E3541" w:rsidRDefault="001E3541" w:rsidP="001E3541">
            <w:pPr>
              <w:spacing w:after="160" w:line="278" w:lineRule="auto"/>
              <w:jc w:val="both"/>
              <w:rPr>
                <w:rFonts w:ascii="Arial" w:hAnsi="Arial" w:cs="Arial"/>
              </w:rPr>
            </w:pPr>
            <w:r w:rsidRPr="001E3541">
              <w:rPr>
                <w:rFonts w:ascii="Arial" w:hAnsi="Arial" w:cs="Arial"/>
              </w:rPr>
              <w:t>O4. Digital tools</w:t>
            </w:r>
          </w:p>
        </w:tc>
        <w:tc>
          <w:tcPr>
            <w:tcW w:w="0" w:type="auto"/>
            <w:hideMark/>
          </w:tcPr>
          <w:p w14:paraId="55696014" w14:textId="77777777" w:rsidR="001E3541" w:rsidRPr="001E3541" w:rsidRDefault="001E3541" w:rsidP="001E3541">
            <w:pPr>
              <w:spacing w:after="160" w:line="278" w:lineRule="auto"/>
              <w:jc w:val="both"/>
              <w:rPr>
                <w:rFonts w:ascii="Arial" w:hAnsi="Arial" w:cs="Arial"/>
              </w:rPr>
            </w:pPr>
            <w:r w:rsidRPr="001E3541">
              <w:rPr>
                <w:rFonts w:ascii="Arial" w:hAnsi="Arial" w:cs="Arial"/>
              </w:rPr>
              <w:t>0.10</w:t>
            </w:r>
          </w:p>
        </w:tc>
        <w:tc>
          <w:tcPr>
            <w:tcW w:w="0" w:type="auto"/>
            <w:hideMark/>
          </w:tcPr>
          <w:p w14:paraId="4697BBCD" w14:textId="77777777" w:rsidR="001E3541" w:rsidRPr="001E3541" w:rsidRDefault="001E3541" w:rsidP="001E3541">
            <w:pPr>
              <w:spacing w:after="160" w:line="278" w:lineRule="auto"/>
              <w:jc w:val="both"/>
              <w:rPr>
                <w:rFonts w:ascii="Arial" w:hAnsi="Arial" w:cs="Arial"/>
              </w:rPr>
            </w:pPr>
            <w:r w:rsidRPr="001E3541">
              <w:rPr>
                <w:rFonts w:ascii="Arial" w:hAnsi="Arial" w:cs="Arial"/>
              </w:rPr>
              <w:t>3</w:t>
            </w:r>
          </w:p>
        </w:tc>
        <w:tc>
          <w:tcPr>
            <w:tcW w:w="0" w:type="auto"/>
            <w:hideMark/>
          </w:tcPr>
          <w:p w14:paraId="460C8DD3" w14:textId="77777777" w:rsidR="001E3541" w:rsidRPr="001E3541" w:rsidRDefault="001E3541" w:rsidP="001E3541">
            <w:pPr>
              <w:spacing w:after="160" w:line="278" w:lineRule="auto"/>
              <w:jc w:val="both"/>
              <w:rPr>
                <w:rFonts w:ascii="Arial" w:hAnsi="Arial" w:cs="Arial"/>
              </w:rPr>
            </w:pPr>
            <w:r w:rsidRPr="001E3541">
              <w:rPr>
                <w:rFonts w:ascii="Arial" w:hAnsi="Arial" w:cs="Arial"/>
              </w:rPr>
              <w:t>0.30</w:t>
            </w:r>
          </w:p>
        </w:tc>
      </w:tr>
      <w:tr w:rsidR="001E3541" w:rsidRPr="001E3541" w14:paraId="653BC2AB" w14:textId="77777777" w:rsidTr="00BE4296">
        <w:tc>
          <w:tcPr>
            <w:tcW w:w="5524" w:type="dxa"/>
            <w:hideMark/>
          </w:tcPr>
          <w:p w14:paraId="0BBD386E" w14:textId="77777777" w:rsidR="001E3541" w:rsidRPr="001E3541" w:rsidRDefault="001E3541" w:rsidP="001E3541">
            <w:pPr>
              <w:spacing w:after="160" w:line="278" w:lineRule="auto"/>
              <w:jc w:val="both"/>
              <w:rPr>
                <w:rFonts w:ascii="Arial" w:hAnsi="Arial" w:cs="Arial"/>
              </w:rPr>
            </w:pPr>
            <w:r w:rsidRPr="001E3541">
              <w:rPr>
                <w:rFonts w:ascii="Arial" w:hAnsi="Arial" w:cs="Arial"/>
              </w:rPr>
              <w:t>Subtotal opportunities</w:t>
            </w:r>
          </w:p>
        </w:tc>
        <w:tc>
          <w:tcPr>
            <w:tcW w:w="0" w:type="auto"/>
            <w:hideMark/>
          </w:tcPr>
          <w:p w14:paraId="752A9406" w14:textId="77777777" w:rsidR="001E3541" w:rsidRPr="001E3541" w:rsidRDefault="001E3541" w:rsidP="001E3541">
            <w:pPr>
              <w:spacing w:after="160" w:line="278" w:lineRule="auto"/>
              <w:jc w:val="both"/>
              <w:rPr>
                <w:rFonts w:ascii="Arial" w:hAnsi="Arial" w:cs="Arial"/>
              </w:rPr>
            </w:pPr>
            <w:r w:rsidRPr="001E3541">
              <w:rPr>
                <w:rFonts w:ascii="Arial" w:hAnsi="Arial" w:cs="Arial"/>
              </w:rPr>
              <w:t>0.53</w:t>
            </w:r>
          </w:p>
        </w:tc>
        <w:tc>
          <w:tcPr>
            <w:tcW w:w="0" w:type="auto"/>
            <w:hideMark/>
          </w:tcPr>
          <w:p w14:paraId="7D7D8FA1" w14:textId="77777777" w:rsidR="001E3541" w:rsidRPr="001E3541" w:rsidRDefault="001E3541" w:rsidP="001E3541">
            <w:pPr>
              <w:spacing w:after="160" w:line="278" w:lineRule="auto"/>
              <w:jc w:val="both"/>
              <w:rPr>
                <w:rFonts w:ascii="Arial" w:hAnsi="Arial" w:cs="Arial"/>
              </w:rPr>
            </w:pPr>
          </w:p>
        </w:tc>
        <w:tc>
          <w:tcPr>
            <w:tcW w:w="0" w:type="auto"/>
            <w:hideMark/>
          </w:tcPr>
          <w:p w14:paraId="54FC1197" w14:textId="77777777" w:rsidR="001E3541" w:rsidRPr="001E3541" w:rsidRDefault="001E3541" w:rsidP="001E3541">
            <w:pPr>
              <w:spacing w:after="160" w:line="278" w:lineRule="auto"/>
              <w:jc w:val="both"/>
              <w:rPr>
                <w:rFonts w:ascii="Arial" w:hAnsi="Arial" w:cs="Arial"/>
              </w:rPr>
            </w:pPr>
            <w:r w:rsidRPr="001E3541">
              <w:rPr>
                <w:rFonts w:ascii="Arial" w:hAnsi="Arial" w:cs="Arial"/>
              </w:rPr>
              <w:t>1.90</w:t>
            </w:r>
          </w:p>
        </w:tc>
      </w:tr>
      <w:tr w:rsidR="001E3541" w:rsidRPr="001E3541" w14:paraId="6187031C" w14:textId="77777777" w:rsidTr="00BE4296">
        <w:tc>
          <w:tcPr>
            <w:tcW w:w="5524" w:type="dxa"/>
            <w:hideMark/>
          </w:tcPr>
          <w:p w14:paraId="40A7FAC7" w14:textId="77777777" w:rsidR="001E3541" w:rsidRPr="001E3541" w:rsidRDefault="001E3541" w:rsidP="001E3541">
            <w:pPr>
              <w:spacing w:after="160" w:line="278" w:lineRule="auto"/>
              <w:jc w:val="both"/>
              <w:rPr>
                <w:rFonts w:ascii="Arial" w:hAnsi="Arial" w:cs="Arial"/>
              </w:rPr>
            </w:pPr>
            <w:r w:rsidRPr="001E3541">
              <w:rPr>
                <w:rFonts w:ascii="Arial" w:hAnsi="Arial" w:cs="Arial"/>
                <w:b/>
                <w:bCs/>
              </w:rPr>
              <w:t>Threats (T)</w:t>
            </w:r>
          </w:p>
        </w:tc>
        <w:tc>
          <w:tcPr>
            <w:tcW w:w="0" w:type="auto"/>
            <w:hideMark/>
          </w:tcPr>
          <w:p w14:paraId="074C8A46" w14:textId="77777777" w:rsidR="001E3541" w:rsidRPr="001E3541" w:rsidRDefault="001E3541" w:rsidP="001E3541">
            <w:pPr>
              <w:spacing w:after="160" w:line="278" w:lineRule="auto"/>
              <w:jc w:val="both"/>
              <w:rPr>
                <w:rFonts w:ascii="Arial" w:hAnsi="Arial" w:cs="Arial"/>
              </w:rPr>
            </w:pPr>
          </w:p>
        </w:tc>
        <w:tc>
          <w:tcPr>
            <w:tcW w:w="0" w:type="auto"/>
            <w:hideMark/>
          </w:tcPr>
          <w:p w14:paraId="1E615B13" w14:textId="77777777" w:rsidR="001E3541" w:rsidRPr="001E3541" w:rsidRDefault="001E3541" w:rsidP="001E3541">
            <w:pPr>
              <w:spacing w:after="160" w:line="278" w:lineRule="auto"/>
              <w:jc w:val="both"/>
              <w:rPr>
                <w:rFonts w:ascii="Arial" w:hAnsi="Arial" w:cs="Arial"/>
              </w:rPr>
            </w:pPr>
          </w:p>
        </w:tc>
        <w:tc>
          <w:tcPr>
            <w:tcW w:w="0" w:type="auto"/>
            <w:hideMark/>
          </w:tcPr>
          <w:p w14:paraId="17EFB1DC" w14:textId="77777777" w:rsidR="001E3541" w:rsidRPr="001E3541" w:rsidRDefault="001E3541" w:rsidP="001E3541">
            <w:pPr>
              <w:spacing w:after="160" w:line="278" w:lineRule="auto"/>
              <w:jc w:val="both"/>
              <w:rPr>
                <w:rFonts w:ascii="Arial" w:hAnsi="Arial" w:cs="Arial"/>
              </w:rPr>
            </w:pPr>
          </w:p>
        </w:tc>
      </w:tr>
      <w:tr w:rsidR="001E3541" w:rsidRPr="001E3541" w14:paraId="723112EC" w14:textId="77777777" w:rsidTr="00BE4296">
        <w:tc>
          <w:tcPr>
            <w:tcW w:w="5524" w:type="dxa"/>
            <w:hideMark/>
          </w:tcPr>
          <w:p w14:paraId="138F403C" w14:textId="77777777" w:rsidR="001E3541" w:rsidRPr="001E3541" w:rsidRDefault="001E3541" w:rsidP="001E3541">
            <w:pPr>
              <w:spacing w:after="160" w:line="278" w:lineRule="auto"/>
              <w:jc w:val="both"/>
              <w:rPr>
                <w:rFonts w:ascii="Arial" w:hAnsi="Arial" w:cs="Arial"/>
              </w:rPr>
            </w:pPr>
            <w:r w:rsidRPr="001E3541">
              <w:rPr>
                <w:rFonts w:ascii="Arial" w:hAnsi="Arial" w:cs="Arial"/>
              </w:rPr>
              <w:t>T1. Land conversion pressure</w:t>
            </w:r>
          </w:p>
        </w:tc>
        <w:tc>
          <w:tcPr>
            <w:tcW w:w="0" w:type="auto"/>
            <w:hideMark/>
          </w:tcPr>
          <w:p w14:paraId="79A00952" w14:textId="77777777" w:rsidR="001E3541" w:rsidRPr="001E3541" w:rsidRDefault="001E3541" w:rsidP="001E3541">
            <w:pPr>
              <w:spacing w:after="160" w:line="278" w:lineRule="auto"/>
              <w:jc w:val="both"/>
              <w:rPr>
                <w:rFonts w:ascii="Arial" w:hAnsi="Arial" w:cs="Arial"/>
              </w:rPr>
            </w:pPr>
            <w:r w:rsidRPr="001E3541">
              <w:rPr>
                <w:rFonts w:ascii="Arial" w:hAnsi="Arial" w:cs="Arial"/>
              </w:rPr>
              <w:t>0.11</w:t>
            </w:r>
          </w:p>
        </w:tc>
        <w:tc>
          <w:tcPr>
            <w:tcW w:w="0" w:type="auto"/>
            <w:hideMark/>
          </w:tcPr>
          <w:p w14:paraId="0B929297" w14:textId="77777777" w:rsidR="001E3541" w:rsidRPr="001E3541" w:rsidRDefault="001E3541" w:rsidP="001E3541">
            <w:pPr>
              <w:spacing w:after="160" w:line="278" w:lineRule="auto"/>
              <w:jc w:val="both"/>
              <w:rPr>
                <w:rFonts w:ascii="Arial" w:hAnsi="Arial" w:cs="Arial"/>
              </w:rPr>
            </w:pPr>
            <w:r w:rsidRPr="001E3541">
              <w:rPr>
                <w:rFonts w:ascii="Arial" w:hAnsi="Arial" w:cs="Arial"/>
              </w:rPr>
              <w:t>2</w:t>
            </w:r>
          </w:p>
        </w:tc>
        <w:tc>
          <w:tcPr>
            <w:tcW w:w="0" w:type="auto"/>
            <w:hideMark/>
          </w:tcPr>
          <w:p w14:paraId="110E71D1" w14:textId="77777777" w:rsidR="001E3541" w:rsidRPr="001E3541" w:rsidRDefault="001E3541" w:rsidP="001E3541">
            <w:pPr>
              <w:spacing w:after="160" w:line="278" w:lineRule="auto"/>
              <w:jc w:val="both"/>
              <w:rPr>
                <w:rFonts w:ascii="Arial" w:hAnsi="Arial" w:cs="Arial"/>
              </w:rPr>
            </w:pPr>
            <w:r w:rsidRPr="001E3541">
              <w:rPr>
                <w:rFonts w:ascii="Arial" w:hAnsi="Arial" w:cs="Arial"/>
              </w:rPr>
              <w:t>0.22</w:t>
            </w:r>
          </w:p>
        </w:tc>
      </w:tr>
      <w:tr w:rsidR="001E3541" w:rsidRPr="001E3541" w14:paraId="4567C6FC" w14:textId="77777777" w:rsidTr="00BE4296">
        <w:tc>
          <w:tcPr>
            <w:tcW w:w="5524" w:type="dxa"/>
            <w:hideMark/>
          </w:tcPr>
          <w:p w14:paraId="5FAFEA2F" w14:textId="77777777" w:rsidR="001E3541" w:rsidRPr="001E3541" w:rsidRDefault="001E3541" w:rsidP="001E3541">
            <w:pPr>
              <w:spacing w:after="160" w:line="278" w:lineRule="auto"/>
              <w:jc w:val="both"/>
              <w:rPr>
                <w:rFonts w:ascii="Arial" w:hAnsi="Arial" w:cs="Arial"/>
              </w:rPr>
            </w:pPr>
            <w:r w:rsidRPr="001E3541">
              <w:rPr>
                <w:rFonts w:ascii="Arial" w:hAnsi="Arial" w:cs="Arial"/>
              </w:rPr>
              <w:t>T2. Limited budget</w:t>
            </w:r>
          </w:p>
        </w:tc>
        <w:tc>
          <w:tcPr>
            <w:tcW w:w="0" w:type="auto"/>
            <w:hideMark/>
          </w:tcPr>
          <w:p w14:paraId="7AB7F00D" w14:textId="77777777" w:rsidR="001E3541" w:rsidRPr="001E3541" w:rsidRDefault="001E3541" w:rsidP="001E3541">
            <w:pPr>
              <w:spacing w:after="160" w:line="278" w:lineRule="auto"/>
              <w:jc w:val="both"/>
              <w:rPr>
                <w:rFonts w:ascii="Arial" w:hAnsi="Arial" w:cs="Arial"/>
              </w:rPr>
            </w:pPr>
            <w:r w:rsidRPr="001E3541">
              <w:rPr>
                <w:rFonts w:ascii="Arial" w:hAnsi="Arial" w:cs="Arial"/>
              </w:rPr>
              <w:t>0.10</w:t>
            </w:r>
          </w:p>
        </w:tc>
        <w:tc>
          <w:tcPr>
            <w:tcW w:w="0" w:type="auto"/>
            <w:hideMark/>
          </w:tcPr>
          <w:p w14:paraId="7D8120E6" w14:textId="77777777" w:rsidR="001E3541" w:rsidRPr="001E3541" w:rsidRDefault="001E3541" w:rsidP="001E3541">
            <w:pPr>
              <w:spacing w:after="160" w:line="278" w:lineRule="auto"/>
              <w:jc w:val="both"/>
              <w:rPr>
                <w:rFonts w:ascii="Arial" w:hAnsi="Arial" w:cs="Arial"/>
              </w:rPr>
            </w:pPr>
            <w:r w:rsidRPr="001E3541">
              <w:rPr>
                <w:rFonts w:ascii="Arial" w:hAnsi="Arial" w:cs="Arial"/>
              </w:rPr>
              <w:t>2</w:t>
            </w:r>
          </w:p>
        </w:tc>
        <w:tc>
          <w:tcPr>
            <w:tcW w:w="0" w:type="auto"/>
            <w:hideMark/>
          </w:tcPr>
          <w:p w14:paraId="5DD81343" w14:textId="77777777" w:rsidR="001E3541" w:rsidRPr="001E3541" w:rsidRDefault="001E3541" w:rsidP="001E3541">
            <w:pPr>
              <w:spacing w:after="160" w:line="278" w:lineRule="auto"/>
              <w:jc w:val="both"/>
              <w:rPr>
                <w:rFonts w:ascii="Arial" w:hAnsi="Arial" w:cs="Arial"/>
              </w:rPr>
            </w:pPr>
            <w:r w:rsidRPr="001E3541">
              <w:rPr>
                <w:rFonts w:ascii="Arial" w:hAnsi="Arial" w:cs="Arial"/>
              </w:rPr>
              <w:t>0.20</w:t>
            </w:r>
          </w:p>
        </w:tc>
      </w:tr>
      <w:tr w:rsidR="001E3541" w:rsidRPr="001E3541" w14:paraId="488E33D4" w14:textId="77777777" w:rsidTr="00BE4296">
        <w:tc>
          <w:tcPr>
            <w:tcW w:w="5524" w:type="dxa"/>
            <w:hideMark/>
          </w:tcPr>
          <w:p w14:paraId="39497CA0" w14:textId="77777777" w:rsidR="001E3541" w:rsidRPr="001E3541" w:rsidRDefault="001E3541" w:rsidP="001E3541">
            <w:pPr>
              <w:spacing w:after="160" w:line="278" w:lineRule="auto"/>
              <w:jc w:val="both"/>
              <w:rPr>
                <w:rFonts w:ascii="Arial" w:hAnsi="Arial" w:cs="Arial"/>
              </w:rPr>
            </w:pPr>
            <w:r w:rsidRPr="001E3541">
              <w:rPr>
                <w:rFonts w:ascii="Arial" w:hAnsi="Arial" w:cs="Arial"/>
              </w:rPr>
              <w:t>T3. Weak collective culture</w:t>
            </w:r>
          </w:p>
        </w:tc>
        <w:tc>
          <w:tcPr>
            <w:tcW w:w="0" w:type="auto"/>
            <w:hideMark/>
          </w:tcPr>
          <w:p w14:paraId="533EE01D" w14:textId="77777777" w:rsidR="001E3541" w:rsidRPr="001E3541" w:rsidRDefault="001E3541" w:rsidP="001E3541">
            <w:pPr>
              <w:spacing w:after="160" w:line="278" w:lineRule="auto"/>
              <w:jc w:val="both"/>
              <w:rPr>
                <w:rFonts w:ascii="Arial" w:hAnsi="Arial" w:cs="Arial"/>
              </w:rPr>
            </w:pPr>
            <w:r w:rsidRPr="001E3541">
              <w:rPr>
                <w:rFonts w:ascii="Arial" w:hAnsi="Arial" w:cs="Arial"/>
              </w:rPr>
              <w:t>0.14</w:t>
            </w:r>
          </w:p>
        </w:tc>
        <w:tc>
          <w:tcPr>
            <w:tcW w:w="0" w:type="auto"/>
            <w:hideMark/>
          </w:tcPr>
          <w:p w14:paraId="2E289825" w14:textId="77777777" w:rsidR="001E3541" w:rsidRPr="001E3541" w:rsidRDefault="001E3541" w:rsidP="001E3541">
            <w:pPr>
              <w:spacing w:after="160" w:line="278" w:lineRule="auto"/>
              <w:jc w:val="both"/>
              <w:rPr>
                <w:rFonts w:ascii="Arial" w:hAnsi="Arial" w:cs="Arial"/>
              </w:rPr>
            </w:pPr>
            <w:r w:rsidRPr="001E3541">
              <w:rPr>
                <w:rFonts w:ascii="Arial" w:hAnsi="Arial" w:cs="Arial"/>
              </w:rPr>
              <w:t>2</w:t>
            </w:r>
          </w:p>
        </w:tc>
        <w:tc>
          <w:tcPr>
            <w:tcW w:w="0" w:type="auto"/>
            <w:hideMark/>
          </w:tcPr>
          <w:p w14:paraId="66619496" w14:textId="77777777" w:rsidR="001E3541" w:rsidRPr="001E3541" w:rsidRDefault="001E3541" w:rsidP="001E3541">
            <w:pPr>
              <w:spacing w:after="160" w:line="278" w:lineRule="auto"/>
              <w:jc w:val="both"/>
              <w:rPr>
                <w:rFonts w:ascii="Arial" w:hAnsi="Arial" w:cs="Arial"/>
              </w:rPr>
            </w:pPr>
            <w:r w:rsidRPr="001E3541">
              <w:rPr>
                <w:rFonts w:ascii="Arial" w:hAnsi="Arial" w:cs="Arial"/>
              </w:rPr>
              <w:t>0.28</w:t>
            </w:r>
          </w:p>
        </w:tc>
      </w:tr>
      <w:tr w:rsidR="001E3541" w:rsidRPr="001E3541" w14:paraId="4C26D25C" w14:textId="77777777" w:rsidTr="00BE4296">
        <w:tc>
          <w:tcPr>
            <w:tcW w:w="5524" w:type="dxa"/>
            <w:hideMark/>
          </w:tcPr>
          <w:p w14:paraId="12673717" w14:textId="77777777" w:rsidR="001E3541" w:rsidRPr="001E3541" w:rsidRDefault="001E3541" w:rsidP="001E3541">
            <w:pPr>
              <w:spacing w:after="160" w:line="278" w:lineRule="auto"/>
              <w:jc w:val="both"/>
              <w:rPr>
                <w:rFonts w:ascii="Arial" w:hAnsi="Arial" w:cs="Arial"/>
              </w:rPr>
            </w:pPr>
            <w:r w:rsidRPr="001E3541">
              <w:rPr>
                <w:rFonts w:ascii="Arial" w:hAnsi="Arial" w:cs="Arial"/>
              </w:rPr>
              <w:t>T4. Vandalism risk</w:t>
            </w:r>
          </w:p>
        </w:tc>
        <w:tc>
          <w:tcPr>
            <w:tcW w:w="0" w:type="auto"/>
            <w:hideMark/>
          </w:tcPr>
          <w:p w14:paraId="1CB9367D" w14:textId="77777777" w:rsidR="001E3541" w:rsidRPr="001E3541" w:rsidRDefault="001E3541" w:rsidP="001E3541">
            <w:pPr>
              <w:spacing w:after="160" w:line="278" w:lineRule="auto"/>
              <w:jc w:val="both"/>
              <w:rPr>
                <w:rFonts w:ascii="Arial" w:hAnsi="Arial" w:cs="Arial"/>
              </w:rPr>
            </w:pPr>
            <w:r w:rsidRPr="001E3541">
              <w:rPr>
                <w:rFonts w:ascii="Arial" w:hAnsi="Arial" w:cs="Arial"/>
              </w:rPr>
              <w:t>0.12</w:t>
            </w:r>
          </w:p>
        </w:tc>
        <w:tc>
          <w:tcPr>
            <w:tcW w:w="0" w:type="auto"/>
            <w:hideMark/>
          </w:tcPr>
          <w:p w14:paraId="086C17AE" w14:textId="77777777" w:rsidR="001E3541" w:rsidRPr="001E3541" w:rsidRDefault="001E3541" w:rsidP="001E3541">
            <w:pPr>
              <w:spacing w:after="160" w:line="278" w:lineRule="auto"/>
              <w:jc w:val="both"/>
              <w:rPr>
                <w:rFonts w:ascii="Arial" w:hAnsi="Arial" w:cs="Arial"/>
              </w:rPr>
            </w:pPr>
            <w:r w:rsidRPr="001E3541">
              <w:rPr>
                <w:rFonts w:ascii="Arial" w:hAnsi="Arial" w:cs="Arial"/>
              </w:rPr>
              <w:t>2</w:t>
            </w:r>
          </w:p>
        </w:tc>
        <w:tc>
          <w:tcPr>
            <w:tcW w:w="0" w:type="auto"/>
            <w:hideMark/>
          </w:tcPr>
          <w:p w14:paraId="35D51F84" w14:textId="77777777" w:rsidR="001E3541" w:rsidRPr="001E3541" w:rsidRDefault="001E3541" w:rsidP="001E3541">
            <w:pPr>
              <w:spacing w:after="160" w:line="278" w:lineRule="auto"/>
              <w:jc w:val="both"/>
              <w:rPr>
                <w:rFonts w:ascii="Arial" w:hAnsi="Arial" w:cs="Arial"/>
              </w:rPr>
            </w:pPr>
            <w:r w:rsidRPr="001E3541">
              <w:rPr>
                <w:rFonts w:ascii="Arial" w:hAnsi="Arial" w:cs="Arial"/>
              </w:rPr>
              <w:t>0.24</w:t>
            </w:r>
          </w:p>
        </w:tc>
      </w:tr>
      <w:tr w:rsidR="001E3541" w:rsidRPr="001E3541" w14:paraId="68188DF4" w14:textId="77777777" w:rsidTr="00BE4296">
        <w:tc>
          <w:tcPr>
            <w:tcW w:w="5524" w:type="dxa"/>
            <w:hideMark/>
          </w:tcPr>
          <w:p w14:paraId="0860F13C" w14:textId="77777777" w:rsidR="001E3541" w:rsidRPr="001E3541" w:rsidRDefault="001E3541" w:rsidP="001E3541">
            <w:pPr>
              <w:spacing w:after="160" w:line="278" w:lineRule="auto"/>
              <w:jc w:val="both"/>
              <w:rPr>
                <w:rFonts w:ascii="Arial" w:hAnsi="Arial" w:cs="Arial"/>
              </w:rPr>
            </w:pPr>
            <w:r w:rsidRPr="001E3541">
              <w:rPr>
                <w:rFonts w:ascii="Arial" w:hAnsi="Arial" w:cs="Arial"/>
              </w:rPr>
              <w:t>Subtotal threats</w:t>
            </w:r>
          </w:p>
        </w:tc>
        <w:tc>
          <w:tcPr>
            <w:tcW w:w="0" w:type="auto"/>
            <w:hideMark/>
          </w:tcPr>
          <w:p w14:paraId="0A134E29" w14:textId="77777777" w:rsidR="001E3541" w:rsidRPr="001E3541" w:rsidRDefault="001E3541" w:rsidP="001E3541">
            <w:pPr>
              <w:spacing w:after="160" w:line="278" w:lineRule="auto"/>
              <w:jc w:val="both"/>
              <w:rPr>
                <w:rFonts w:ascii="Arial" w:hAnsi="Arial" w:cs="Arial"/>
              </w:rPr>
            </w:pPr>
            <w:r w:rsidRPr="001E3541">
              <w:rPr>
                <w:rFonts w:ascii="Arial" w:hAnsi="Arial" w:cs="Arial"/>
              </w:rPr>
              <w:t>0.47</w:t>
            </w:r>
          </w:p>
        </w:tc>
        <w:tc>
          <w:tcPr>
            <w:tcW w:w="0" w:type="auto"/>
            <w:hideMark/>
          </w:tcPr>
          <w:p w14:paraId="21AA39B0" w14:textId="77777777" w:rsidR="001E3541" w:rsidRPr="001E3541" w:rsidRDefault="001E3541" w:rsidP="001E3541">
            <w:pPr>
              <w:spacing w:after="160" w:line="278" w:lineRule="auto"/>
              <w:jc w:val="both"/>
              <w:rPr>
                <w:rFonts w:ascii="Arial" w:hAnsi="Arial" w:cs="Arial"/>
              </w:rPr>
            </w:pPr>
          </w:p>
        </w:tc>
        <w:tc>
          <w:tcPr>
            <w:tcW w:w="0" w:type="auto"/>
            <w:hideMark/>
          </w:tcPr>
          <w:p w14:paraId="1A73D0A8" w14:textId="77777777" w:rsidR="001E3541" w:rsidRPr="001E3541" w:rsidRDefault="001E3541" w:rsidP="001E3541">
            <w:pPr>
              <w:spacing w:after="160" w:line="278" w:lineRule="auto"/>
              <w:jc w:val="both"/>
              <w:rPr>
                <w:rFonts w:ascii="Arial" w:hAnsi="Arial" w:cs="Arial"/>
              </w:rPr>
            </w:pPr>
            <w:r w:rsidRPr="001E3541">
              <w:rPr>
                <w:rFonts w:ascii="Arial" w:hAnsi="Arial" w:cs="Arial"/>
              </w:rPr>
              <w:t>0.94</w:t>
            </w:r>
          </w:p>
        </w:tc>
      </w:tr>
      <w:tr w:rsidR="001E3541" w:rsidRPr="001E3541" w14:paraId="4DF44B96" w14:textId="77777777" w:rsidTr="00BE4296">
        <w:tc>
          <w:tcPr>
            <w:tcW w:w="5524" w:type="dxa"/>
            <w:hideMark/>
          </w:tcPr>
          <w:p w14:paraId="110AAA14" w14:textId="77777777" w:rsidR="001E3541" w:rsidRPr="001E3541" w:rsidRDefault="001E3541" w:rsidP="001E3541">
            <w:pPr>
              <w:spacing w:after="160" w:line="278" w:lineRule="auto"/>
              <w:jc w:val="both"/>
              <w:rPr>
                <w:rFonts w:ascii="Arial" w:hAnsi="Arial" w:cs="Arial"/>
              </w:rPr>
            </w:pPr>
            <w:r w:rsidRPr="001E3541">
              <w:rPr>
                <w:rFonts w:ascii="Arial" w:hAnsi="Arial" w:cs="Arial"/>
                <w:b/>
                <w:bCs/>
              </w:rPr>
              <w:t>Total</w:t>
            </w:r>
          </w:p>
        </w:tc>
        <w:tc>
          <w:tcPr>
            <w:tcW w:w="0" w:type="auto"/>
            <w:hideMark/>
          </w:tcPr>
          <w:p w14:paraId="612B6BF9" w14:textId="77777777" w:rsidR="001E3541" w:rsidRPr="001E3541" w:rsidRDefault="001E3541" w:rsidP="001E3541">
            <w:pPr>
              <w:spacing w:after="160" w:line="278" w:lineRule="auto"/>
              <w:jc w:val="both"/>
              <w:rPr>
                <w:rFonts w:ascii="Arial" w:hAnsi="Arial" w:cs="Arial"/>
              </w:rPr>
            </w:pPr>
            <w:r w:rsidRPr="001E3541">
              <w:rPr>
                <w:rFonts w:ascii="Arial" w:hAnsi="Arial" w:cs="Arial"/>
              </w:rPr>
              <w:t>1.00</w:t>
            </w:r>
          </w:p>
        </w:tc>
        <w:tc>
          <w:tcPr>
            <w:tcW w:w="0" w:type="auto"/>
            <w:hideMark/>
          </w:tcPr>
          <w:p w14:paraId="59DA1DD3" w14:textId="77777777" w:rsidR="001E3541" w:rsidRPr="001E3541" w:rsidRDefault="001E3541" w:rsidP="001E3541">
            <w:pPr>
              <w:spacing w:after="160" w:line="278" w:lineRule="auto"/>
              <w:jc w:val="both"/>
              <w:rPr>
                <w:rFonts w:ascii="Arial" w:hAnsi="Arial" w:cs="Arial"/>
              </w:rPr>
            </w:pPr>
          </w:p>
        </w:tc>
        <w:tc>
          <w:tcPr>
            <w:tcW w:w="0" w:type="auto"/>
            <w:hideMark/>
          </w:tcPr>
          <w:p w14:paraId="1FB716D9" w14:textId="77777777" w:rsidR="001E3541" w:rsidRPr="001E3541" w:rsidRDefault="001E3541" w:rsidP="001E3541">
            <w:pPr>
              <w:spacing w:after="160" w:line="278" w:lineRule="auto"/>
              <w:jc w:val="both"/>
              <w:rPr>
                <w:rFonts w:ascii="Arial" w:hAnsi="Arial" w:cs="Arial"/>
              </w:rPr>
            </w:pPr>
            <w:r w:rsidRPr="001E3541">
              <w:rPr>
                <w:rFonts w:ascii="Arial" w:hAnsi="Arial" w:cs="Arial"/>
              </w:rPr>
              <w:t>2.84</w:t>
            </w:r>
          </w:p>
        </w:tc>
      </w:tr>
    </w:tbl>
    <w:p w14:paraId="3004A1A5" w14:textId="77777777" w:rsidR="001E3541" w:rsidRPr="001E3541" w:rsidRDefault="001E3541" w:rsidP="001E3541">
      <w:pPr>
        <w:jc w:val="both"/>
        <w:rPr>
          <w:rFonts w:ascii="Arial" w:hAnsi="Arial" w:cs="Arial"/>
        </w:rPr>
      </w:pPr>
      <w:r w:rsidRPr="001E3541">
        <w:rPr>
          <w:rFonts w:ascii="Arial" w:hAnsi="Arial" w:cs="Arial"/>
        </w:rPr>
        <w:t xml:space="preserve">The total EFE score of 2.84 suggests a moderately to strongly </w:t>
      </w:r>
      <w:proofErr w:type="spellStart"/>
      <w:r w:rsidRPr="001E3541">
        <w:rPr>
          <w:rFonts w:ascii="Arial" w:hAnsi="Arial" w:cs="Arial"/>
        </w:rPr>
        <w:t>favourable</w:t>
      </w:r>
      <w:proofErr w:type="spellEnd"/>
      <w:r w:rsidRPr="001E3541">
        <w:rPr>
          <w:rFonts w:ascii="Arial" w:hAnsi="Arial" w:cs="Arial"/>
        </w:rPr>
        <w:t xml:space="preserve"> external environment. Policy frameworks, partnership opportunities, and ecological awareness offer a supportive context for participatory, community-based management, provided that threats are addressed.</w:t>
      </w:r>
    </w:p>
    <w:p w14:paraId="3CB9FCDA" w14:textId="77777777" w:rsidR="001E3541" w:rsidRPr="001E3541" w:rsidRDefault="001E3541" w:rsidP="001E3541">
      <w:pPr>
        <w:jc w:val="both"/>
        <w:rPr>
          <w:rFonts w:ascii="Arial" w:hAnsi="Arial" w:cs="Arial"/>
          <w:b/>
          <w:bCs/>
        </w:rPr>
      </w:pPr>
      <w:r w:rsidRPr="001E3541">
        <w:rPr>
          <w:rFonts w:ascii="Arial" w:hAnsi="Arial" w:cs="Arial"/>
          <w:b/>
          <w:bCs/>
        </w:rPr>
        <w:t>3.7 Strategic Position: IE Matrix</w:t>
      </w:r>
    </w:p>
    <w:p w14:paraId="4625FCBB" w14:textId="77777777" w:rsidR="001E3541" w:rsidRPr="001E3541" w:rsidRDefault="001E3541" w:rsidP="001E3541">
      <w:pPr>
        <w:jc w:val="both"/>
        <w:rPr>
          <w:rFonts w:ascii="Arial" w:hAnsi="Arial" w:cs="Arial"/>
        </w:rPr>
      </w:pPr>
      <w:r w:rsidRPr="001E3541">
        <w:rPr>
          <w:rFonts w:ascii="Arial" w:hAnsi="Arial" w:cs="Arial"/>
        </w:rPr>
        <w:t>Using the IFE and EFE scores:</w:t>
      </w:r>
    </w:p>
    <w:p w14:paraId="3A5D5AFD" w14:textId="77777777" w:rsidR="001E3541" w:rsidRPr="001E3541" w:rsidRDefault="001E3541" w:rsidP="001E3541">
      <w:pPr>
        <w:numPr>
          <w:ilvl w:val="0"/>
          <w:numId w:val="19"/>
        </w:numPr>
        <w:jc w:val="both"/>
        <w:rPr>
          <w:rFonts w:ascii="Arial" w:hAnsi="Arial" w:cs="Arial"/>
        </w:rPr>
      </w:pPr>
      <w:r w:rsidRPr="001E3541">
        <w:rPr>
          <w:rFonts w:ascii="Arial" w:hAnsi="Arial" w:cs="Arial"/>
        </w:rPr>
        <w:t>Total strengths (S) = 2.00</w:t>
      </w:r>
    </w:p>
    <w:p w14:paraId="2A787992" w14:textId="77777777" w:rsidR="001E3541" w:rsidRPr="001E3541" w:rsidRDefault="001E3541" w:rsidP="001E3541">
      <w:pPr>
        <w:numPr>
          <w:ilvl w:val="0"/>
          <w:numId w:val="19"/>
        </w:numPr>
        <w:jc w:val="both"/>
        <w:rPr>
          <w:rFonts w:ascii="Arial" w:hAnsi="Arial" w:cs="Arial"/>
        </w:rPr>
      </w:pPr>
      <w:r w:rsidRPr="001E3541">
        <w:rPr>
          <w:rFonts w:ascii="Arial" w:hAnsi="Arial" w:cs="Arial"/>
        </w:rPr>
        <w:t>Total weaknesses (W) = 0.90 → S – W = 1.10</w:t>
      </w:r>
    </w:p>
    <w:p w14:paraId="6ADCB1D3" w14:textId="77777777" w:rsidR="001E3541" w:rsidRPr="001E3541" w:rsidRDefault="001E3541" w:rsidP="001E3541">
      <w:pPr>
        <w:numPr>
          <w:ilvl w:val="0"/>
          <w:numId w:val="19"/>
        </w:numPr>
        <w:jc w:val="both"/>
        <w:rPr>
          <w:rFonts w:ascii="Arial" w:hAnsi="Arial" w:cs="Arial"/>
        </w:rPr>
      </w:pPr>
      <w:r w:rsidRPr="001E3541">
        <w:rPr>
          <w:rFonts w:ascii="Arial" w:hAnsi="Arial" w:cs="Arial"/>
        </w:rPr>
        <w:t>Total opportunities (O) = 1.90</w:t>
      </w:r>
    </w:p>
    <w:p w14:paraId="2F9ED90D" w14:textId="77777777" w:rsidR="001E3541" w:rsidRPr="001E3541" w:rsidRDefault="001E3541" w:rsidP="001E3541">
      <w:pPr>
        <w:numPr>
          <w:ilvl w:val="0"/>
          <w:numId w:val="19"/>
        </w:numPr>
        <w:jc w:val="both"/>
        <w:rPr>
          <w:rFonts w:ascii="Arial" w:hAnsi="Arial" w:cs="Arial"/>
        </w:rPr>
      </w:pPr>
      <w:r w:rsidRPr="001E3541">
        <w:rPr>
          <w:rFonts w:ascii="Arial" w:hAnsi="Arial" w:cs="Arial"/>
        </w:rPr>
        <w:t>Total threats (T) = 0.94 → O – T = 0.96</w:t>
      </w:r>
    </w:p>
    <w:p w14:paraId="7BF982B0" w14:textId="77777777" w:rsidR="001E3541" w:rsidRPr="001E3541" w:rsidRDefault="001E3541" w:rsidP="001E3541">
      <w:pPr>
        <w:jc w:val="both"/>
        <w:rPr>
          <w:rFonts w:ascii="Arial" w:hAnsi="Arial" w:cs="Arial"/>
        </w:rPr>
      </w:pPr>
      <w:r w:rsidRPr="001E3541">
        <w:rPr>
          <w:rFonts w:ascii="Arial" w:hAnsi="Arial" w:cs="Arial"/>
        </w:rPr>
        <w:t>Plotting (1.10, 0.96) on the IE matrix places Balai Desa Field in Quadrant I (“growth-oriented” or aggressive). In this position, strong internal capacity coincides with a favorable external environment. Strategically, this implies a focus on expanding and deepening participatory management, improving physical quality, and enhancing the field’s role as a community hub, rather than merely maintaining the status quo.</w:t>
      </w:r>
    </w:p>
    <w:p w14:paraId="2E179845" w14:textId="77777777" w:rsidR="001E3541" w:rsidRPr="001E3541" w:rsidRDefault="001E3541" w:rsidP="001E3541">
      <w:pPr>
        <w:jc w:val="both"/>
        <w:rPr>
          <w:rFonts w:ascii="Arial" w:hAnsi="Arial" w:cs="Arial"/>
          <w:b/>
          <w:bCs/>
        </w:rPr>
      </w:pPr>
      <w:r w:rsidRPr="001E3541">
        <w:rPr>
          <w:rFonts w:ascii="Arial" w:hAnsi="Arial" w:cs="Arial"/>
          <w:b/>
          <w:bCs/>
        </w:rPr>
        <w:lastRenderedPageBreak/>
        <w:t>3.8 SWOT Matrix and Strategy Discussion</w:t>
      </w:r>
    </w:p>
    <w:p w14:paraId="5A394C22" w14:textId="77777777" w:rsidR="001E3541" w:rsidRPr="001E3541" w:rsidRDefault="001E3541" w:rsidP="001E3541">
      <w:pPr>
        <w:jc w:val="both"/>
        <w:rPr>
          <w:rFonts w:ascii="Arial" w:hAnsi="Arial" w:cs="Arial"/>
        </w:rPr>
      </w:pPr>
      <w:r w:rsidRPr="001E3541">
        <w:rPr>
          <w:rFonts w:ascii="Arial" w:hAnsi="Arial" w:cs="Arial"/>
        </w:rPr>
        <w:t>The SWOT matrix synthesizes internal and external factors into strategic options. Priority strategies, consistent with the growth-oriented position, are S–O strategies that leverage strengths to exploit opportunities. Three are highlighted:</w:t>
      </w:r>
    </w:p>
    <w:p w14:paraId="632A8F9D" w14:textId="77777777" w:rsidR="001E3541" w:rsidRPr="001E3541" w:rsidRDefault="001E3541" w:rsidP="001E3541">
      <w:pPr>
        <w:numPr>
          <w:ilvl w:val="0"/>
          <w:numId w:val="20"/>
        </w:numPr>
        <w:jc w:val="both"/>
        <w:rPr>
          <w:rFonts w:ascii="Arial" w:hAnsi="Arial" w:cs="Arial"/>
        </w:rPr>
      </w:pPr>
      <w:r w:rsidRPr="001E3541">
        <w:rPr>
          <w:rFonts w:ascii="Arial" w:hAnsi="Arial" w:cs="Arial"/>
          <w:b/>
          <w:bCs/>
        </w:rPr>
        <w:t>Community “Adopt-a-Plant/Plot” Program (SO1)</w:t>
      </w:r>
      <w:r w:rsidRPr="001E3541">
        <w:rPr>
          <w:rFonts w:ascii="Arial" w:hAnsi="Arial" w:cs="Arial"/>
        </w:rPr>
        <w:br/>
        <w:t>Residents, schools, and community groups “adopt” specific trees or plots, assuming responsibility for planting and routine care, while government provides initial inputs. This moves selected functions toward delegated power on Arnstein’s ladder.</w:t>
      </w:r>
    </w:p>
    <w:p w14:paraId="72D45D03" w14:textId="77777777" w:rsidR="001E3541" w:rsidRPr="001E3541" w:rsidRDefault="001E3541" w:rsidP="001E3541">
      <w:pPr>
        <w:numPr>
          <w:ilvl w:val="0"/>
          <w:numId w:val="20"/>
        </w:numPr>
        <w:jc w:val="both"/>
        <w:rPr>
          <w:rFonts w:ascii="Arial" w:hAnsi="Arial" w:cs="Arial"/>
        </w:rPr>
      </w:pPr>
      <w:r w:rsidRPr="001E3541">
        <w:rPr>
          <w:rFonts w:ascii="Arial" w:hAnsi="Arial" w:cs="Arial"/>
          <w:b/>
          <w:bCs/>
        </w:rPr>
        <w:t>Regular “Green Gotong Royong” as Environmental Education (SO2)</w:t>
      </w:r>
      <w:r w:rsidRPr="001E3541">
        <w:rPr>
          <w:rFonts w:ascii="Arial" w:hAnsi="Arial" w:cs="Arial"/>
        </w:rPr>
        <w:br/>
        <w:t>Periodic community clean-ups and light repairs are combined with environmental education (waste sorting, composting, urban gardening). Government plays a facilitative role, while community groups plan and implement activities—approaching a partnership model.</w:t>
      </w:r>
    </w:p>
    <w:p w14:paraId="58013A45" w14:textId="77777777" w:rsidR="001E3541" w:rsidRPr="001E3541" w:rsidRDefault="001E3541" w:rsidP="001E3541">
      <w:pPr>
        <w:numPr>
          <w:ilvl w:val="0"/>
          <w:numId w:val="20"/>
        </w:numPr>
        <w:jc w:val="both"/>
        <w:rPr>
          <w:rFonts w:ascii="Arial" w:hAnsi="Arial" w:cs="Arial"/>
        </w:rPr>
      </w:pPr>
      <w:r w:rsidRPr="001E3541">
        <w:rPr>
          <w:rFonts w:ascii="Arial" w:hAnsi="Arial" w:cs="Arial"/>
          <w:b/>
          <w:bCs/>
        </w:rPr>
        <w:t>“Green Expression Space” for Arts, Culture, and Education (SO3)</w:t>
      </w:r>
      <w:r w:rsidRPr="001E3541">
        <w:rPr>
          <w:rFonts w:ascii="Arial" w:hAnsi="Arial" w:cs="Arial"/>
        </w:rPr>
        <w:br/>
        <w:t>Part of the field is reserved for community-led events, including environmental festivals, cultural performances, and educational workshops. Over time, if community organizations dominate planning and implementation, this can approach citizen control.</w:t>
      </w:r>
    </w:p>
    <w:p w14:paraId="42253E69" w14:textId="77777777" w:rsidR="001E3541" w:rsidRPr="001E3541" w:rsidRDefault="001E3541" w:rsidP="001E3541">
      <w:pPr>
        <w:jc w:val="both"/>
        <w:rPr>
          <w:rFonts w:ascii="Arial" w:hAnsi="Arial" w:cs="Arial"/>
        </w:rPr>
      </w:pPr>
      <w:r w:rsidRPr="001E3541">
        <w:rPr>
          <w:rFonts w:ascii="Arial" w:hAnsi="Arial" w:cs="Arial"/>
        </w:rPr>
        <w:t>These strategies would gradually transform Balai Desa Field from a top-down, government-centered facility into a bottom-up, community-based green open space, aligning physical improvements with deeper participatory governance.</w:t>
      </w:r>
    </w:p>
    <w:p w14:paraId="29D817B7" w14:textId="1F464E3A" w:rsidR="001E3541" w:rsidRPr="001E3541" w:rsidRDefault="001E3541" w:rsidP="001E3541">
      <w:pPr>
        <w:jc w:val="both"/>
        <w:rPr>
          <w:rFonts w:ascii="Arial" w:hAnsi="Arial" w:cs="Arial"/>
        </w:rPr>
      </w:pPr>
    </w:p>
    <w:p w14:paraId="62128B97" w14:textId="77777777" w:rsidR="001E3541" w:rsidRPr="001E3541" w:rsidRDefault="001E3541" w:rsidP="001E3541">
      <w:pPr>
        <w:jc w:val="both"/>
        <w:rPr>
          <w:rFonts w:ascii="Arial" w:hAnsi="Arial" w:cs="Arial"/>
          <w:b/>
          <w:bCs/>
        </w:rPr>
      </w:pPr>
      <w:r w:rsidRPr="001E3541">
        <w:rPr>
          <w:rFonts w:ascii="Arial" w:hAnsi="Arial" w:cs="Arial"/>
          <w:b/>
          <w:bCs/>
        </w:rPr>
        <w:t>4. Conclusion</w:t>
      </w:r>
    </w:p>
    <w:p w14:paraId="4E4FB543" w14:textId="77777777" w:rsidR="00E4623A" w:rsidRPr="00E4623A" w:rsidRDefault="00E4623A" w:rsidP="00E4623A">
      <w:pPr>
        <w:jc w:val="both"/>
        <w:rPr>
          <w:rFonts w:ascii="Arial" w:hAnsi="Arial" w:cs="Arial"/>
          <w:highlight w:val="yellow"/>
          <w:lang w:val="en-ID"/>
        </w:rPr>
      </w:pPr>
      <w:r w:rsidRPr="00E4623A">
        <w:rPr>
          <w:rFonts w:ascii="Arial" w:hAnsi="Arial" w:cs="Arial"/>
          <w:highlight w:val="yellow"/>
          <w:lang w:val="en-ID"/>
        </w:rPr>
        <w:t xml:space="preserve">This study </w:t>
      </w:r>
      <w:proofErr w:type="spellStart"/>
      <w:r w:rsidRPr="00E4623A">
        <w:rPr>
          <w:rFonts w:ascii="Arial" w:hAnsi="Arial" w:cs="Arial"/>
          <w:highlight w:val="yellow"/>
          <w:lang w:val="en-ID"/>
        </w:rPr>
        <w:t>analyzed</w:t>
      </w:r>
      <w:proofErr w:type="spellEnd"/>
      <w:r w:rsidRPr="00E4623A">
        <w:rPr>
          <w:rFonts w:ascii="Arial" w:hAnsi="Arial" w:cs="Arial"/>
          <w:highlight w:val="yellow"/>
          <w:lang w:val="en-ID"/>
        </w:rPr>
        <w:t xml:space="preserve"> how the physical and ecological condition and governance of Balai Desa Field shape community participation and inform strategies for participatory open green space development in Medan Helvetia. Using a mixed-methods approach—combining household surveys, chi-square analysis, field observations, interviews, an FGD, and SWOT–IFE–EFE evaluation—the research provided an integrated view of ecological, social, and institutional dimensions at the </w:t>
      </w:r>
      <w:proofErr w:type="spellStart"/>
      <w:r w:rsidRPr="00E4623A">
        <w:rPr>
          <w:rFonts w:ascii="Arial" w:hAnsi="Arial" w:cs="Arial"/>
          <w:highlight w:val="yellow"/>
          <w:lang w:val="en-ID"/>
        </w:rPr>
        <w:t>neighborhood</w:t>
      </w:r>
      <w:proofErr w:type="spellEnd"/>
      <w:r w:rsidRPr="00E4623A">
        <w:rPr>
          <w:rFonts w:ascii="Arial" w:hAnsi="Arial" w:cs="Arial"/>
          <w:highlight w:val="yellow"/>
          <w:lang w:val="en-ID"/>
        </w:rPr>
        <w:t xml:space="preserve"> scale. The field functions as both an ecological asset and social hub in a dense urban district, with relatively strong vegetation and accessibility but inadequate, poorly maintained facilities that limit inclusive use. Community participation is modest and episodic, dominated by idea- and </w:t>
      </w:r>
      <w:proofErr w:type="spellStart"/>
      <w:r w:rsidRPr="00E4623A">
        <w:rPr>
          <w:rFonts w:ascii="Arial" w:hAnsi="Arial" w:cs="Arial"/>
          <w:highlight w:val="yellow"/>
          <w:lang w:val="en-ID"/>
        </w:rPr>
        <w:t>labor</w:t>
      </w:r>
      <w:proofErr w:type="spellEnd"/>
      <w:r w:rsidRPr="00E4623A">
        <w:rPr>
          <w:rFonts w:ascii="Arial" w:hAnsi="Arial" w:cs="Arial"/>
          <w:highlight w:val="yellow"/>
          <w:lang w:val="en-ID"/>
        </w:rPr>
        <w:t xml:space="preserve">-based contributions in government-initiated </w:t>
      </w:r>
      <w:r w:rsidRPr="00E4623A">
        <w:rPr>
          <w:rFonts w:ascii="Arial" w:hAnsi="Arial" w:cs="Arial"/>
          <w:i/>
          <w:iCs/>
          <w:highlight w:val="yellow"/>
          <w:lang w:val="en-ID"/>
        </w:rPr>
        <w:t>gotong royong</w:t>
      </w:r>
      <w:r w:rsidRPr="00E4623A">
        <w:rPr>
          <w:rFonts w:ascii="Arial" w:hAnsi="Arial" w:cs="Arial"/>
          <w:highlight w:val="yellow"/>
          <w:lang w:val="en-ID"/>
        </w:rPr>
        <w:t>, with limited skills, goods, and financial involvement; on Arnstein’s ladder, this corresponds mainly to informing and consultation, indicating a top-down governance model.</w:t>
      </w:r>
    </w:p>
    <w:p w14:paraId="62E9A986" w14:textId="77777777" w:rsidR="00E4623A" w:rsidRPr="00E4623A" w:rsidRDefault="00E4623A" w:rsidP="00E4623A">
      <w:pPr>
        <w:jc w:val="both"/>
        <w:rPr>
          <w:rFonts w:ascii="Arial" w:hAnsi="Arial" w:cs="Arial"/>
          <w:highlight w:val="yellow"/>
          <w:lang w:val="en-ID"/>
        </w:rPr>
      </w:pPr>
      <w:r w:rsidRPr="00E4623A">
        <w:rPr>
          <w:rFonts w:ascii="Arial" w:hAnsi="Arial" w:cs="Arial"/>
          <w:highlight w:val="yellow"/>
          <w:lang w:val="en-ID"/>
        </w:rPr>
        <w:lastRenderedPageBreak/>
        <w:t xml:space="preserve">Chi-square analysis shows that better vegetation conditions are significantly associated with idea- and goods-based participation, while the availability and condition of facilities are associated with </w:t>
      </w:r>
      <w:proofErr w:type="spellStart"/>
      <w:r w:rsidRPr="00E4623A">
        <w:rPr>
          <w:rFonts w:ascii="Arial" w:hAnsi="Arial" w:cs="Arial"/>
          <w:highlight w:val="yellow"/>
          <w:lang w:val="en-ID"/>
        </w:rPr>
        <w:t>labor</w:t>
      </w:r>
      <w:proofErr w:type="spellEnd"/>
      <w:r w:rsidRPr="00E4623A">
        <w:rPr>
          <w:rFonts w:ascii="Arial" w:hAnsi="Arial" w:cs="Arial"/>
          <w:highlight w:val="yellow"/>
          <w:lang w:val="en-ID"/>
        </w:rPr>
        <w:t>- and skill-based participation, but not with financial contributions. These results suggest that investments in vegetation and facilities act not only as ecological and functional improvements but also as catalysts for non-financial community engagement. The SWOT–IFE–EFE analysis further indicates that Balai Desa Field occupies a growth-oriented strategic position, with internal strengths (vegetation, location, legal status, social capital) and external opportunities (policy support, collaboration potential, ecological awareness, digital tools) outweighing weaknesses and threats.</w:t>
      </w:r>
    </w:p>
    <w:p w14:paraId="6F1EAACD" w14:textId="595AD220" w:rsidR="001E3541" w:rsidRPr="00E4623A" w:rsidRDefault="00E4623A" w:rsidP="001E3541">
      <w:pPr>
        <w:jc w:val="both"/>
        <w:rPr>
          <w:rFonts w:ascii="Arial" w:hAnsi="Arial" w:cs="Arial"/>
          <w:lang w:val="en-ID"/>
        </w:rPr>
      </w:pPr>
      <w:r w:rsidRPr="00E4623A">
        <w:rPr>
          <w:rFonts w:ascii="Arial" w:hAnsi="Arial" w:cs="Arial"/>
          <w:highlight w:val="yellow"/>
          <w:lang w:val="en-ID"/>
        </w:rPr>
        <w:t xml:space="preserve">On this basis, the study proposes three priority strategies: a community “adopt-a-plant/plot” program, regular “Green Gotong Royong” activities coupled with environmental education, and a community-led “Green Expression Space” for arts, culture, and learning. Together, these strategies can gradually move participation upward along Arnstein’s ladder—from tokenistic involvement toward partnership and shared stewardship—while improving physical and ecological performance. Although limited to a single case and cross-sectional, self-reported data, the study demonstrates how relatively simple analytical tools (cross-tabulation, chi-square, SWOT, IFE–EFE) can be combined with participatory planning principles to design context-sensitive models of </w:t>
      </w:r>
      <w:proofErr w:type="spellStart"/>
      <w:r w:rsidRPr="00E4623A">
        <w:rPr>
          <w:rFonts w:ascii="Arial" w:hAnsi="Arial" w:cs="Arial"/>
          <w:highlight w:val="yellow"/>
          <w:lang w:val="en-ID"/>
        </w:rPr>
        <w:t>neighborhood</w:t>
      </w:r>
      <w:proofErr w:type="spellEnd"/>
      <w:r w:rsidRPr="00E4623A">
        <w:rPr>
          <w:rFonts w:ascii="Arial" w:hAnsi="Arial" w:cs="Arial"/>
          <w:highlight w:val="yellow"/>
          <w:lang w:val="en-ID"/>
        </w:rPr>
        <w:t xml:space="preserve"> open green space governance in Indonesian cities</w:t>
      </w:r>
      <w:r w:rsidR="001E3541" w:rsidRPr="00E4623A">
        <w:rPr>
          <w:rFonts w:ascii="Arial" w:hAnsi="Arial" w:cs="Arial"/>
          <w:highlight w:val="yellow"/>
        </w:rPr>
        <w:t>.</w:t>
      </w:r>
    </w:p>
    <w:p w14:paraId="068B5A89" w14:textId="6733D7FE" w:rsidR="001E3541" w:rsidRPr="001E3541" w:rsidRDefault="001E3541" w:rsidP="001E3541">
      <w:pPr>
        <w:jc w:val="both"/>
        <w:rPr>
          <w:rFonts w:ascii="Arial" w:hAnsi="Arial" w:cs="Arial"/>
        </w:rPr>
      </w:pPr>
    </w:p>
    <w:p w14:paraId="2B1CE827" w14:textId="77777777" w:rsidR="001E3541" w:rsidRPr="001E3541" w:rsidRDefault="001E3541" w:rsidP="001E3541">
      <w:pPr>
        <w:jc w:val="both"/>
        <w:rPr>
          <w:rFonts w:ascii="Arial" w:hAnsi="Arial" w:cs="Arial"/>
          <w:b/>
          <w:bCs/>
        </w:rPr>
      </w:pPr>
      <w:r w:rsidRPr="001E3541">
        <w:rPr>
          <w:rFonts w:ascii="Arial" w:hAnsi="Arial" w:cs="Arial"/>
          <w:b/>
          <w:bCs/>
        </w:rPr>
        <w:t>5. Recommendations</w:t>
      </w:r>
    </w:p>
    <w:p w14:paraId="65A58256" w14:textId="77777777" w:rsidR="00E4623A" w:rsidRPr="00E4623A" w:rsidRDefault="00E4623A" w:rsidP="00E4623A">
      <w:pPr>
        <w:jc w:val="both"/>
        <w:rPr>
          <w:rFonts w:ascii="Arial" w:hAnsi="Arial" w:cs="Arial"/>
          <w:highlight w:val="yellow"/>
          <w:lang w:val="en-ID"/>
        </w:rPr>
      </w:pPr>
      <w:r w:rsidRPr="00E4623A">
        <w:rPr>
          <w:rFonts w:ascii="Arial" w:hAnsi="Arial" w:cs="Arial"/>
          <w:highlight w:val="yellow"/>
          <w:lang w:val="en-ID"/>
        </w:rPr>
        <w:t xml:space="preserve">For local government, particularly </w:t>
      </w:r>
      <w:proofErr w:type="spellStart"/>
      <w:r w:rsidRPr="00E4623A">
        <w:rPr>
          <w:rFonts w:ascii="Arial" w:hAnsi="Arial" w:cs="Arial"/>
          <w:highlight w:val="yellow"/>
          <w:lang w:val="en-ID"/>
        </w:rPr>
        <w:t>Dispora</w:t>
      </w:r>
      <w:proofErr w:type="spellEnd"/>
      <w:r w:rsidRPr="00E4623A">
        <w:rPr>
          <w:rFonts w:ascii="Arial" w:hAnsi="Arial" w:cs="Arial"/>
          <w:highlight w:val="yellow"/>
          <w:lang w:val="en-ID"/>
        </w:rPr>
        <w:t>, sub-district and village administrations, and the Environmental Agency, Balai Desa Field should be treated as a strategic pilot site for participatory open green space governance. Authorities should establish a resident-led “Green Field Management Forum” with clear mandates, formalized through local regulations or agreements; prioritize upgrades to basic facilities—lighting, benches, toilets, safe play equipment, pedestrian paths, signage, and waste facilities—through co-design with community representatives; and protect the field from land conversion via zoning and legal instruments. The proposed adopt-a-plant/plot, Green Gotong Royong, and Green Expression Space programs should be integrated into annual and medium-term plans, supported by multi-stakeholder partnerships with schools, universities, NGOs, and private sector actors through CSR and cooperation agreements.</w:t>
      </w:r>
    </w:p>
    <w:p w14:paraId="1986029F" w14:textId="77777777" w:rsidR="00E4623A" w:rsidRPr="00E4623A" w:rsidRDefault="00E4623A" w:rsidP="00E4623A">
      <w:pPr>
        <w:jc w:val="both"/>
        <w:rPr>
          <w:rFonts w:ascii="Arial" w:hAnsi="Arial" w:cs="Arial"/>
          <w:highlight w:val="yellow"/>
          <w:lang w:val="en-ID"/>
        </w:rPr>
      </w:pPr>
      <w:r w:rsidRPr="00E4623A">
        <w:rPr>
          <w:rFonts w:ascii="Arial" w:hAnsi="Arial" w:cs="Arial"/>
          <w:highlight w:val="yellow"/>
          <w:lang w:val="en-ID"/>
        </w:rPr>
        <w:t xml:space="preserve">For community organizations and civil society, including </w:t>
      </w:r>
      <w:proofErr w:type="spellStart"/>
      <w:r w:rsidRPr="00E4623A">
        <w:rPr>
          <w:rFonts w:ascii="Arial" w:hAnsi="Arial" w:cs="Arial"/>
          <w:highlight w:val="yellow"/>
          <w:lang w:val="en-ID"/>
        </w:rPr>
        <w:t>neighborhood</w:t>
      </w:r>
      <w:proofErr w:type="spellEnd"/>
      <w:r w:rsidRPr="00E4623A">
        <w:rPr>
          <w:rFonts w:ascii="Arial" w:hAnsi="Arial" w:cs="Arial"/>
          <w:highlight w:val="yellow"/>
          <w:lang w:val="en-ID"/>
        </w:rPr>
        <w:t xml:space="preserve"> associations, youth groups, and local leaders, the key step is to move from ad hoc involvement to more structured co-management. This entails organizing a formal or semi-formal forum to coordinate with government agencies, plan joint activities, and monitor </w:t>
      </w:r>
      <w:r w:rsidRPr="00E4623A">
        <w:rPr>
          <w:rFonts w:ascii="Arial" w:hAnsi="Arial" w:cs="Arial"/>
          <w:highlight w:val="yellow"/>
          <w:lang w:val="en-ID"/>
        </w:rPr>
        <w:lastRenderedPageBreak/>
        <w:t>implementation of agreed programs. Community actors should leverage digital tools such as WhatsApp and Instagram to share information, showcase improvements, mobilize volunteers, and attract external support, while also strengthening their capacity in participatory planning, environmental monitoring, communication, and advocacy through collaboration with NGOs, professional associations, and universities.</w:t>
      </w:r>
    </w:p>
    <w:p w14:paraId="451F5E62" w14:textId="735DF3D6" w:rsidR="00E4623A" w:rsidRDefault="00E4623A" w:rsidP="00E4623A">
      <w:pPr>
        <w:jc w:val="both"/>
        <w:rPr>
          <w:rFonts w:ascii="Arial" w:hAnsi="Arial" w:cs="Arial"/>
          <w:lang w:val="en-ID"/>
        </w:rPr>
      </w:pPr>
      <w:r w:rsidRPr="00E4623A">
        <w:rPr>
          <w:rFonts w:ascii="Arial" w:hAnsi="Arial" w:cs="Arial"/>
          <w:highlight w:val="yellow"/>
          <w:lang w:val="en-ID"/>
        </w:rPr>
        <w:t xml:space="preserve">For researchers and practitioners, future work should build on this case by conducting comparative and longitudinal studies across multiple open green spaces in Medan and other cities to understand how different physical, social, and institutional configurations shape participation and governance outcomes over time. Participatory action research approaches can be used to test and refine strategies such as adopt-a-plant/plot and Green Gotong Royong in real-world implementation, while equity-sensitive analyses should examine how gender, age, income, and other social dimensions influence access and participation. In this way, Balai Desa Field can serve as a reference point and learning laboratory for developing more inclusive, resilient, and democratically governed </w:t>
      </w:r>
      <w:proofErr w:type="spellStart"/>
      <w:r w:rsidRPr="00E4623A">
        <w:rPr>
          <w:rFonts w:ascii="Arial" w:hAnsi="Arial" w:cs="Arial"/>
          <w:highlight w:val="yellow"/>
          <w:lang w:val="en-ID"/>
        </w:rPr>
        <w:t>neighborhood</w:t>
      </w:r>
      <w:proofErr w:type="spellEnd"/>
      <w:r w:rsidRPr="00E4623A">
        <w:rPr>
          <w:rFonts w:ascii="Arial" w:hAnsi="Arial" w:cs="Arial"/>
          <w:highlight w:val="yellow"/>
          <w:lang w:val="en-ID"/>
        </w:rPr>
        <w:t>-scale open green spaces in the Indonesian urban context</w:t>
      </w:r>
      <w:r w:rsidRPr="004021D2">
        <w:rPr>
          <w:rFonts w:ascii="Arial" w:hAnsi="Arial" w:cs="Arial"/>
          <w:highlight w:val="yellow"/>
          <w:lang w:val="en-ID"/>
        </w:rPr>
        <w:t>.</w:t>
      </w:r>
    </w:p>
    <w:p w14:paraId="240936A9" w14:textId="77777777" w:rsidR="004867F7" w:rsidRPr="004867F7" w:rsidRDefault="004867F7" w:rsidP="004867F7">
      <w:pPr>
        <w:jc w:val="both"/>
        <w:rPr>
          <w:rFonts w:ascii="Arial" w:hAnsi="Arial" w:cs="Arial"/>
          <w:lang w:val="en-ID"/>
        </w:rPr>
      </w:pPr>
      <w:r w:rsidRPr="004867F7">
        <w:rPr>
          <w:rFonts w:ascii="Arial" w:hAnsi="Arial" w:cs="Arial"/>
          <w:lang w:val="en-ID"/>
        </w:rPr>
        <w:t xml:space="preserve">Consent </w:t>
      </w:r>
    </w:p>
    <w:p w14:paraId="599ED10D" w14:textId="1082A626" w:rsidR="004867F7" w:rsidRPr="00E4623A" w:rsidRDefault="004867F7" w:rsidP="004867F7">
      <w:pPr>
        <w:jc w:val="both"/>
        <w:rPr>
          <w:rFonts w:ascii="Arial" w:hAnsi="Arial" w:cs="Arial"/>
          <w:lang w:val="en-ID"/>
        </w:rPr>
      </w:pPr>
      <w:r w:rsidRPr="004867F7">
        <w:rPr>
          <w:rFonts w:ascii="Arial" w:hAnsi="Arial" w:cs="Arial"/>
          <w:lang w:val="en-ID"/>
        </w:rPr>
        <w:t>As per international standards or university standards, Participants’ written consent has been collected and preserved by the author(s).</w:t>
      </w:r>
      <w:bookmarkStart w:id="0" w:name="_GoBack"/>
      <w:bookmarkEnd w:id="0"/>
    </w:p>
    <w:p w14:paraId="1C13ADDB" w14:textId="77777777" w:rsidR="00AE66CE" w:rsidRPr="00740879" w:rsidRDefault="00AE66CE" w:rsidP="00AE66CE">
      <w:pPr>
        <w:rPr>
          <w:highlight w:val="yellow"/>
        </w:rPr>
      </w:pPr>
      <w:r w:rsidRPr="00740879">
        <w:rPr>
          <w:highlight w:val="yellow"/>
        </w:rPr>
        <w:t>Disclaimer (Artificial intelligence)</w:t>
      </w:r>
    </w:p>
    <w:p w14:paraId="3A01739D" w14:textId="77777777" w:rsidR="00AE66CE" w:rsidRPr="00740879" w:rsidRDefault="00AE66CE" w:rsidP="00AE66CE">
      <w:pPr>
        <w:rPr>
          <w:highlight w:val="yellow"/>
        </w:rPr>
      </w:pPr>
      <w:r w:rsidRPr="00740879">
        <w:rPr>
          <w:highlight w:val="yellow"/>
        </w:rPr>
        <w:t xml:space="preserve">Option 1: </w:t>
      </w:r>
    </w:p>
    <w:p w14:paraId="64BD2BB2" w14:textId="77777777" w:rsidR="00AE66CE" w:rsidRPr="00740879" w:rsidRDefault="00AE66CE" w:rsidP="00AE66CE">
      <w:pPr>
        <w:rPr>
          <w:highlight w:val="yellow"/>
        </w:rPr>
      </w:pPr>
      <w:r w:rsidRPr="00740879">
        <w:rPr>
          <w:highlight w:val="yellow"/>
        </w:rPr>
        <w:t xml:space="preserve">Author(s) hereby declare that NO generative AI technologies such as Large Language Models (ChatGPT, COPILOT, etc.) and text-to-image generators have been used during the writing or editing of this manuscript. </w:t>
      </w:r>
    </w:p>
    <w:p w14:paraId="7036D789" w14:textId="77777777" w:rsidR="001E3541" w:rsidRPr="001E3541" w:rsidRDefault="001E3541" w:rsidP="001E3541">
      <w:pPr>
        <w:jc w:val="both"/>
        <w:rPr>
          <w:rFonts w:ascii="Arial" w:hAnsi="Arial" w:cs="Arial"/>
          <w:b/>
          <w:bCs/>
        </w:rPr>
      </w:pPr>
      <w:r w:rsidRPr="001E3541">
        <w:rPr>
          <w:rFonts w:ascii="Arial" w:hAnsi="Arial" w:cs="Arial"/>
          <w:b/>
          <w:bCs/>
        </w:rPr>
        <w:t>References</w:t>
      </w:r>
    </w:p>
    <w:p w14:paraId="1E393643" w14:textId="77777777" w:rsidR="00746A3D" w:rsidRPr="00746A3D" w:rsidRDefault="00746A3D" w:rsidP="00746A3D">
      <w:pPr>
        <w:ind w:left="567" w:hanging="567"/>
        <w:jc w:val="both"/>
        <w:rPr>
          <w:rFonts w:ascii="Arial" w:hAnsi="Arial" w:cs="Arial"/>
        </w:rPr>
      </w:pPr>
      <w:proofErr w:type="spellStart"/>
      <w:r w:rsidRPr="00746A3D">
        <w:rPr>
          <w:rFonts w:ascii="Arial" w:hAnsi="Arial" w:cs="Arial"/>
        </w:rPr>
        <w:t>Adiyanta</w:t>
      </w:r>
      <w:proofErr w:type="spellEnd"/>
      <w:r w:rsidRPr="00746A3D">
        <w:rPr>
          <w:rFonts w:ascii="Arial" w:hAnsi="Arial" w:cs="Arial"/>
        </w:rPr>
        <w:t xml:space="preserve">, F. S. (2018). </w:t>
      </w:r>
      <w:proofErr w:type="spellStart"/>
      <w:r w:rsidRPr="00746A3D">
        <w:rPr>
          <w:rFonts w:ascii="Arial" w:hAnsi="Arial" w:cs="Arial"/>
        </w:rPr>
        <w:t>Partisipasi</w:t>
      </w:r>
      <w:proofErr w:type="spellEnd"/>
      <w:r w:rsidRPr="00746A3D">
        <w:rPr>
          <w:rFonts w:ascii="Arial" w:hAnsi="Arial" w:cs="Arial"/>
        </w:rPr>
        <w:t xml:space="preserve"> </w:t>
      </w:r>
      <w:proofErr w:type="spellStart"/>
      <w:r w:rsidRPr="00746A3D">
        <w:rPr>
          <w:rFonts w:ascii="Arial" w:hAnsi="Arial" w:cs="Arial"/>
        </w:rPr>
        <w:t>masyarakat</w:t>
      </w:r>
      <w:proofErr w:type="spellEnd"/>
      <w:r w:rsidRPr="00746A3D">
        <w:rPr>
          <w:rFonts w:ascii="Arial" w:hAnsi="Arial" w:cs="Arial"/>
        </w:rPr>
        <w:t xml:space="preserve"> </w:t>
      </w:r>
      <w:proofErr w:type="spellStart"/>
      <w:r w:rsidRPr="00746A3D">
        <w:rPr>
          <w:rFonts w:ascii="Arial" w:hAnsi="Arial" w:cs="Arial"/>
        </w:rPr>
        <w:t>sebagai</w:t>
      </w:r>
      <w:proofErr w:type="spellEnd"/>
      <w:r w:rsidRPr="00746A3D">
        <w:rPr>
          <w:rFonts w:ascii="Arial" w:hAnsi="Arial" w:cs="Arial"/>
        </w:rPr>
        <w:t xml:space="preserve"> basis </w:t>
      </w:r>
      <w:proofErr w:type="spellStart"/>
      <w:r w:rsidRPr="00746A3D">
        <w:rPr>
          <w:rFonts w:ascii="Arial" w:hAnsi="Arial" w:cs="Arial"/>
        </w:rPr>
        <w:t>kebijakan</w:t>
      </w:r>
      <w:proofErr w:type="spellEnd"/>
      <w:r w:rsidRPr="00746A3D">
        <w:rPr>
          <w:rFonts w:ascii="Arial" w:hAnsi="Arial" w:cs="Arial"/>
        </w:rPr>
        <w:t xml:space="preserve"> </w:t>
      </w:r>
      <w:proofErr w:type="spellStart"/>
      <w:r w:rsidRPr="00746A3D">
        <w:rPr>
          <w:rFonts w:ascii="Arial" w:hAnsi="Arial" w:cs="Arial"/>
        </w:rPr>
        <w:t>penataan</w:t>
      </w:r>
      <w:proofErr w:type="spellEnd"/>
      <w:r w:rsidRPr="00746A3D">
        <w:rPr>
          <w:rFonts w:ascii="Arial" w:hAnsi="Arial" w:cs="Arial"/>
        </w:rPr>
        <w:t xml:space="preserve"> </w:t>
      </w:r>
      <w:proofErr w:type="spellStart"/>
      <w:r w:rsidRPr="00746A3D">
        <w:rPr>
          <w:rFonts w:ascii="Arial" w:hAnsi="Arial" w:cs="Arial"/>
        </w:rPr>
        <w:t>ruang</w:t>
      </w:r>
      <w:proofErr w:type="spellEnd"/>
      <w:r w:rsidRPr="00746A3D">
        <w:rPr>
          <w:rFonts w:ascii="Arial" w:hAnsi="Arial" w:cs="Arial"/>
        </w:rPr>
        <w:t xml:space="preserve"> </w:t>
      </w:r>
      <w:proofErr w:type="spellStart"/>
      <w:r w:rsidRPr="00746A3D">
        <w:rPr>
          <w:rFonts w:ascii="Arial" w:hAnsi="Arial" w:cs="Arial"/>
        </w:rPr>
        <w:t>publik</w:t>
      </w:r>
      <w:proofErr w:type="spellEnd"/>
      <w:r w:rsidRPr="00746A3D">
        <w:rPr>
          <w:rFonts w:ascii="Arial" w:hAnsi="Arial" w:cs="Arial"/>
        </w:rPr>
        <w:t xml:space="preserve"> </w:t>
      </w:r>
      <w:proofErr w:type="spellStart"/>
      <w:r w:rsidRPr="00746A3D">
        <w:rPr>
          <w:rFonts w:ascii="Arial" w:hAnsi="Arial" w:cs="Arial"/>
        </w:rPr>
        <w:t>dan</w:t>
      </w:r>
      <w:proofErr w:type="spellEnd"/>
      <w:r w:rsidRPr="00746A3D">
        <w:rPr>
          <w:rFonts w:ascii="Arial" w:hAnsi="Arial" w:cs="Arial"/>
        </w:rPr>
        <w:t xml:space="preserve"> </w:t>
      </w:r>
      <w:proofErr w:type="spellStart"/>
      <w:r w:rsidRPr="00746A3D">
        <w:rPr>
          <w:rFonts w:ascii="Arial" w:hAnsi="Arial" w:cs="Arial"/>
        </w:rPr>
        <w:t>ruang</w:t>
      </w:r>
      <w:proofErr w:type="spellEnd"/>
      <w:r w:rsidRPr="00746A3D">
        <w:rPr>
          <w:rFonts w:ascii="Arial" w:hAnsi="Arial" w:cs="Arial"/>
        </w:rPr>
        <w:t xml:space="preserve"> </w:t>
      </w:r>
      <w:proofErr w:type="spellStart"/>
      <w:r w:rsidRPr="00746A3D">
        <w:rPr>
          <w:rFonts w:ascii="Arial" w:hAnsi="Arial" w:cs="Arial"/>
        </w:rPr>
        <w:t>terbuka</w:t>
      </w:r>
      <w:proofErr w:type="spellEnd"/>
      <w:r w:rsidRPr="00746A3D">
        <w:rPr>
          <w:rFonts w:ascii="Arial" w:hAnsi="Arial" w:cs="Arial"/>
        </w:rPr>
        <w:t xml:space="preserve"> </w:t>
      </w:r>
      <w:proofErr w:type="spellStart"/>
      <w:r w:rsidRPr="00746A3D">
        <w:rPr>
          <w:rFonts w:ascii="Arial" w:hAnsi="Arial" w:cs="Arial"/>
        </w:rPr>
        <w:t>hijau</w:t>
      </w:r>
      <w:proofErr w:type="spellEnd"/>
      <w:r w:rsidRPr="00746A3D">
        <w:rPr>
          <w:rFonts w:ascii="Arial" w:hAnsi="Arial" w:cs="Arial"/>
        </w:rPr>
        <w:t xml:space="preserve"> </w:t>
      </w:r>
      <w:proofErr w:type="spellStart"/>
      <w:r w:rsidRPr="00746A3D">
        <w:rPr>
          <w:rFonts w:ascii="Arial" w:hAnsi="Arial" w:cs="Arial"/>
        </w:rPr>
        <w:t>kota</w:t>
      </w:r>
      <w:proofErr w:type="spellEnd"/>
      <w:r w:rsidRPr="00746A3D">
        <w:rPr>
          <w:rFonts w:ascii="Arial" w:hAnsi="Arial" w:cs="Arial"/>
        </w:rPr>
        <w:t xml:space="preserve"> yang </w:t>
      </w:r>
      <w:proofErr w:type="spellStart"/>
      <w:r w:rsidRPr="00746A3D">
        <w:rPr>
          <w:rFonts w:ascii="Arial" w:hAnsi="Arial" w:cs="Arial"/>
        </w:rPr>
        <w:t>berkelanjutan</w:t>
      </w:r>
      <w:proofErr w:type="spellEnd"/>
      <w:r w:rsidRPr="00746A3D">
        <w:rPr>
          <w:rFonts w:ascii="Arial" w:hAnsi="Arial" w:cs="Arial"/>
        </w:rPr>
        <w:t xml:space="preserve"> [Community participation as the basis of policy for public space and sustainable urban green open space]. </w:t>
      </w:r>
      <w:r w:rsidRPr="00746A3D">
        <w:rPr>
          <w:rFonts w:ascii="Arial" w:hAnsi="Arial" w:cs="Arial"/>
          <w:i/>
          <w:iCs/>
        </w:rPr>
        <w:t>Administrative Law and Governance Journal, 1</w:t>
      </w:r>
      <w:r w:rsidRPr="00746A3D">
        <w:rPr>
          <w:rFonts w:ascii="Arial" w:hAnsi="Arial" w:cs="Arial"/>
        </w:rPr>
        <w:t xml:space="preserve">(1), 1–8. </w:t>
      </w:r>
      <w:hyperlink r:id="rId9" w:tgtFrame="_new" w:history="1">
        <w:r w:rsidRPr="00746A3D">
          <w:rPr>
            <w:rStyle w:val="Hyperlink"/>
            <w:rFonts w:ascii="Arial" w:hAnsi="Arial" w:cs="Arial"/>
          </w:rPr>
          <w:t>https://doi.org/10.14710/alj.v1i1.1-8</w:t>
        </w:r>
      </w:hyperlink>
    </w:p>
    <w:p w14:paraId="13E37AB0" w14:textId="77777777" w:rsidR="00746A3D" w:rsidRPr="00746A3D" w:rsidRDefault="00746A3D" w:rsidP="00746A3D">
      <w:pPr>
        <w:ind w:left="567" w:hanging="567"/>
        <w:jc w:val="both"/>
        <w:rPr>
          <w:rFonts w:ascii="Arial" w:hAnsi="Arial" w:cs="Arial"/>
        </w:rPr>
      </w:pPr>
      <w:r w:rsidRPr="00746A3D">
        <w:rPr>
          <w:rFonts w:ascii="Arial" w:hAnsi="Arial" w:cs="Arial"/>
        </w:rPr>
        <w:t xml:space="preserve">Arnstein, S. R. (1969). A ladder of citizen participation. </w:t>
      </w:r>
      <w:r w:rsidRPr="00746A3D">
        <w:rPr>
          <w:rFonts w:ascii="Arial" w:hAnsi="Arial" w:cs="Arial"/>
          <w:i/>
          <w:iCs/>
        </w:rPr>
        <w:t>Journal of the American Institute of Planners, 35</w:t>
      </w:r>
      <w:r w:rsidRPr="00746A3D">
        <w:rPr>
          <w:rFonts w:ascii="Arial" w:hAnsi="Arial" w:cs="Arial"/>
        </w:rPr>
        <w:t>(4), 216–224.</w:t>
      </w:r>
    </w:p>
    <w:p w14:paraId="18E67D51" w14:textId="77777777" w:rsidR="00746A3D" w:rsidRPr="00746A3D" w:rsidRDefault="00746A3D" w:rsidP="00746A3D">
      <w:pPr>
        <w:ind w:left="567" w:hanging="567"/>
        <w:jc w:val="both"/>
        <w:rPr>
          <w:rFonts w:ascii="Arial" w:hAnsi="Arial" w:cs="Arial"/>
        </w:rPr>
      </w:pPr>
      <w:proofErr w:type="spellStart"/>
      <w:r w:rsidRPr="00746A3D">
        <w:rPr>
          <w:rFonts w:ascii="Arial" w:hAnsi="Arial" w:cs="Arial"/>
        </w:rPr>
        <w:t>Chiesura</w:t>
      </w:r>
      <w:proofErr w:type="spellEnd"/>
      <w:r w:rsidRPr="00746A3D">
        <w:rPr>
          <w:rFonts w:ascii="Arial" w:hAnsi="Arial" w:cs="Arial"/>
        </w:rPr>
        <w:t xml:space="preserve">, A. (2004). The role of urban parks for the sustainable city. </w:t>
      </w:r>
      <w:r w:rsidRPr="00746A3D">
        <w:rPr>
          <w:rFonts w:ascii="Arial" w:hAnsi="Arial" w:cs="Arial"/>
          <w:i/>
          <w:iCs/>
        </w:rPr>
        <w:t>Landscape and Urban Planning, 68</w:t>
      </w:r>
      <w:r w:rsidRPr="00746A3D">
        <w:rPr>
          <w:rFonts w:ascii="Arial" w:hAnsi="Arial" w:cs="Arial"/>
        </w:rPr>
        <w:t xml:space="preserve">(1), 129–138. </w:t>
      </w:r>
      <w:hyperlink r:id="rId10" w:tgtFrame="_new" w:history="1">
        <w:r w:rsidRPr="00746A3D">
          <w:rPr>
            <w:rStyle w:val="Hyperlink"/>
            <w:rFonts w:ascii="Arial" w:hAnsi="Arial" w:cs="Arial"/>
          </w:rPr>
          <w:t>https://doi.org/10.1016/j.landurbplan.2003.08.003</w:t>
        </w:r>
      </w:hyperlink>
    </w:p>
    <w:p w14:paraId="5D625BEC" w14:textId="77777777" w:rsidR="00746A3D" w:rsidRPr="00746A3D" w:rsidRDefault="00746A3D" w:rsidP="00746A3D">
      <w:pPr>
        <w:ind w:left="567" w:hanging="567"/>
        <w:jc w:val="both"/>
        <w:rPr>
          <w:rFonts w:ascii="Arial" w:hAnsi="Arial" w:cs="Arial"/>
        </w:rPr>
      </w:pPr>
      <w:r w:rsidRPr="00746A3D">
        <w:rPr>
          <w:rFonts w:ascii="Arial" w:hAnsi="Arial" w:cs="Arial"/>
        </w:rPr>
        <w:t xml:space="preserve">David, F. R. (2017). </w:t>
      </w:r>
      <w:r w:rsidRPr="00746A3D">
        <w:rPr>
          <w:rFonts w:ascii="Arial" w:hAnsi="Arial" w:cs="Arial"/>
          <w:i/>
          <w:iCs/>
        </w:rPr>
        <w:t>Strategic management: Concepts and cases</w:t>
      </w:r>
      <w:r w:rsidRPr="00746A3D">
        <w:rPr>
          <w:rFonts w:ascii="Arial" w:hAnsi="Arial" w:cs="Arial"/>
        </w:rPr>
        <w:t xml:space="preserve"> (16th ed.). Pearson Education.</w:t>
      </w:r>
    </w:p>
    <w:p w14:paraId="216D6239" w14:textId="77777777" w:rsidR="00746A3D" w:rsidRPr="00746A3D" w:rsidRDefault="00746A3D" w:rsidP="00746A3D">
      <w:pPr>
        <w:ind w:left="567" w:hanging="567"/>
        <w:jc w:val="both"/>
        <w:rPr>
          <w:rFonts w:ascii="Arial" w:hAnsi="Arial" w:cs="Arial"/>
        </w:rPr>
      </w:pPr>
      <w:r w:rsidRPr="00746A3D">
        <w:rPr>
          <w:rFonts w:ascii="Arial" w:hAnsi="Arial" w:cs="Arial"/>
        </w:rPr>
        <w:lastRenderedPageBreak/>
        <w:t xml:space="preserve">Fatah, S. A. S. P. (2024). </w:t>
      </w:r>
      <w:proofErr w:type="spellStart"/>
      <w:r w:rsidRPr="00746A3D">
        <w:rPr>
          <w:rFonts w:ascii="Arial" w:hAnsi="Arial" w:cs="Arial"/>
          <w:i/>
          <w:iCs/>
        </w:rPr>
        <w:t>Strategi</w:t>
      </w:r>
      <w:proofErr w:type="spellEnd"/>
      <w:r w:rsidRPr="00746A3D">
        <w:rPr>
          <w:rFonts w:ascii="Arial" w:hAnsi="Arial" w:cs="Arial"/>
          <w:i/>
          <w:iCs/>
        </w:rPr>
        <w:t xml:space="preserve"> </w:t>
      </w:r>
      <w:proofErr w:type="spellStart"/>
      <w:r w:rsidRPr="00746A3D">
        <w:rPr>
          <w:rFonts w:ascii="Arial" w:hAnsi="Arial" w:cs="Arial"/>
          <w:i/>
          <w:iCs/>
        </w:rPr>
        <w:t>pengelolaan</w:t>
      </w:r>
      <w:proofErr w:type="spellEnd"/>
      <w:r w:rsidRPr="00746A3D">
        <w:rPr>
          <w:rFonts w:ascii="Arial" w:hAnsi="Arial" w:cs="Arial"/>
          <w:i/>
          <w:iCs/>
        </w:rPr>
        <w:t xml:space="preserve"> </w:t>
      </w:r>
      <w:proofErr w:type="spellStart"/>
      <w:r w:rsidRPr="00746A3D">
        <w:rPr>
          <w:rFonts w:ascii="Arial" w:hAnsi="Arial" w:cs="Arial"/>
          <w:i/>
          <w:iCs/>
        </w:rPr>
        <w:t>ruang</w:t>
      </w:r>
      <w:proofErr w:type="spellEnd"/>
      <w:r w:rsidRPr="00746A3D">
        <w:rPr>
          <w:rFonts w:ascii="Arial" w:hAnsi="Arial" w:cs="Arial"/>
          <w:i/>
          <w:iCs/>
        </w:rPr>
        <w:t xml:space="preserve"> </w:t>
      </w:r>
      <w:proofErr w:type="spellStart"/>
      <w:r w:rsidRPr="00746A3D">
        <w:rPr>
          <w:rFonts w:ascii="Arial" w:hAnsi="Arial" w:cs="Arial"/>
          <w:i/>
          <w:iCs/>
        </w:rPr>
        <w:t>terbuka</w:t>
      </w:r>
      <w:proofErr w:type="spellEnd"/>
      <w:r w:rsidRPr="00746A3D">
        <w:rPr>
          <w:rFonts w:ascii="Arial" w:hAnsi="Arial" w:cs="Arial"/>
          <w:i/>
          <w:iCs/>
        </w:rPr>
        <w:t xml:space="preserve"> </w:t>
      </w:r>
      <w:proofErr w:type="spellStart"/>
      <w:r w:rsidRPr="00746A3D">
        <w:rPr>
          <w:rFonts w:ascii="Arial" w:hAnsi="Arial" w:cs="Arial"/>
          <w:i/>
          <w:iCs/>
        </w:rPr>
        <w:t>hijau</w:t>
      </w:r>
      <w:proofErr w:type="spellEnd"/>
      <w:r w:rsidRPr="00746A3D">
        <w:rPr>
          <w:rFonts w:ascii="Arial" w:hAnsi="Arial" w:cs="Arial"/>
          <w:i/>
          <w:iCs/>
        </w:rPr>
        <w:t xml:space="preserve"> (RTH) </w:t>
      </w:r>
      <w:proofErr w:type="spellStart"/>
      <w:r w:rsidRPr="00746A3D">
        <w:rPr>
          <w:rFonts w:ascii="Arial" w:hAnsi="Arial" w:cs="Arial"/>
          <w:i/>
          <w:iCs/>
        </w:rPr>
        <w:t>publik</w:t>
      </w:r>
      <w:proofErr w:type="spellEnd"/>
      <w:r w:rsidRPr="00746A3D">
        <w:rPr>
          <w:rFonts w:ascii="Arial" w:hAnsi="Arial" w:cs="Arial"/>
          <w:i/>
          <w:iCs/>
        </w:rPr>
        <w:t xml:space="preserve"> Kota Medan</w:t>
      </w:r>
      <w:r w:rsidRPr="00746A3D">
        <w:rPr>
          <w:rFonts w:ascii="Arial" w:hAnsi="Arial" w:cs="Arial"/>
        </w:rPr>
        <w:t xml:space="preserve"> [Management strategy for public green open spaces in Medan City] (Master’s thesis, Universitas Sumatera Utara).</w:t>
      </w:r>
    </w:p>
    <w:p w14:paraId="7C5DF759" w14:textId="77777777" w:rsidR="00746A3D" w:rsidRPr="00746A3D" w:rsidRDefault="00746A3D" w:rsidP="00746A3D">
      <w:pPr>
        <w:ind w:left="567" w:hanging="567"/>
        <w:jc w:val="both"/>
        <w:rPr>
          <w:rFonts w:ascii="Arial" w:hAnsi="Arial" w:cs="Arial"/>
        </w:rPr>
      </w:pPr>
      <w:r w:rsidRPr="00746A3D">
        <w:rPr>
          <w:rFonts w:ascii="Arial" w:hAnsi="Arial" w:cs="Arial"/>
        </w:rPr>
        <w:t xml:space="preserve">Friedmann, J. (1992). </w:t>
      </w:r>
      <w:r w:rsidRPr="00746A3D">
        <w:rPr>
          <w:rFonts w:ascii="Arial" w:hAnsi="Arial" w:cs="Arial"/>
          <w:i/>
          <w:iCs/>
        </w:rPr>
        <w:t>Empowerment: The politics of alternative development</w:t>
      </w:r>
      <w:r w:rsidRPr="00746A3D">
        <w:rPr>
          <w:rFonts w:ascii="Arial" w:hAnsi="Arial" w:cs="Arial"/>
        </w:rPr>
        <w:t>. Blackwell Publishers.</w:t>
      </w:r>
    </w:p>
    <w:p w14:paraId="2C9B0F72" w14:textId="77777777" w:rsidR="00746A3D" w:rsidRPr="00746A3D" w:rsidRDefault="00746A3D" w:rsidP="00746A3D">
      <w:pPr>
        <w:ind w:left="567" w:hanging="567"/>
        <w:jc w:val="both"/>
        <w:rPr>
          <w:rFonts w:ascii="Arial" w:hAnsi="Arial" w:cs="Arial"/>
        </w:rPr>
      </w:pPr>
      <w:r w:rsidRPr="00746A3D">
        <w:rPr>
          <w:rFonts w:ascii="Arial" w:hAnsi="Arial" w:cs="Arial"/>
        </w:rPr>
        <w:t xml:space="preserve">Gürel, E., &amp; Tat, M. (2017). SWOT analysis: A theoretical review. </w:t>
      </w:r>
      <w:r w:rsidRPr="00746A3D">
        <w:rPr>
          <w:rFonts w:ascii="Arial" w:hAnsi="Arial" w:cs="Arial"/>
          <w:i/>
          <w:iCs/>
        </w:rPr>
        <w:t>The Journal of International Social Research, 10</w:t>
      </w:r>
      <w:r w:rsidRPr="00746A3D">
        <w:rPr>
          <w:rFonts w:ascii="Arial" w:hAnsi="Arial" w:cs="Arial"/>
        </w:rPr>
        <w:t>(51), 994–1006.</w:t>
      </w:r>
    </w:p>
    <w:p w14:paraId="1237835B" w14:textId="77777777" w:rsidR="00746A3D" w:rsidRPr="00746A3D" w:rsidRDefault="00746A3D" w:rsidP="00746A3D">
      <w:pPr>
        <w:ind w:left="567" w:hanging="567"/>
        <w:jc w:val="both"/>
        <w:rPr>
          <w:rFonts w:ascii="Arial" w:hAnsi="Arial" w:cs="Arial"/>
        </w:rPr>
      </w:pPr>
      <w:r w:rsidRPr="00746A3D">
        <w:rPr>
          <w:rFonts w:ascii="Arial" w:hAnsi="Arial" w:cs="Arial"/>
        </w:rPr>
        <w:t xml:space="preserve">Healey, P. (1997). </w:t>
      </w:r>
      <w:r w:rsidRPr="00746A3D">
        <w:rPr>
          <w:rFonts w:ascii="Arial" w:hAnsi="Arial" w:cs="Arial"/>
          <w:i/>
          <w:iCs/>
        </w:rPr>
        <w:t>Collaborative planning: Shaping places in fragmented societies</w:t>
      </w:r>
      <w:r w:rsidRPr="00746A3D">
        <w:rPr>
          <w:rFonts w:ascii="Arial" w:hAnsi="Arial" w:cs="Arial"/>
        </w:rPr>
        <w:t>. Palgrave Macmillan.</w:t>
      </w:r>
    </w:p>
    <w:p w14:paraId="640843D3" w14:textId="77777777" w:rsidR="00746A3D" w:rsidRPr="00746A3D" w:rsidRDefault="00746A3D" w:rsidP="00746A3D">
      <w:pPr>
        <w:ind w:left="567" w:hanging="567"/>
        <w:jc w:val="both"/>
        <w:rPr>
          <w:rFonts w:ascii="Arial" w:hAnsi="Arial" w:cs="Arial"/>
        </w:rPr>
      </w:pPr>
      <w:proofErr w:type="spellStart"/>
      <w:r w:rsidRPr="00746A3D">
        <w:rPr>
          <w:rFonts w:ascii="Arial" w:hAnsi="Arial" w:cs="Arial"/>
        </w:rPr>
        <w:t>Kurniati</w:t>
      </w:r>
      <w:proofErr w:type="spellEnd"/>
      <w:r w:rsidRPr="00746A3D">
        <w:rPr>
          <w:rFonts w:ascii="Arial" w:hAnsi="Arial" w:cs="Arial"/>
        </w:rPr>
        <w:t xml:space="preserve">, A. C., &amp; Zamroni, A. (2021). </w:t>
      </w:r>
      <w:proofErr w:type="spellStart"/>
      <w:r w:rsidRPr="00746A3D">
        <w:rPr>
          <w:rFonts w:ascii="Arial" w:hAnsi="Arial" w:cs="Arial"/>
        </w:rPr>
        <w:t>Kategorisasi</w:t>
      </w:r>
      <w:proofErr w:type="spellEnd"/>
      <w:r w:rsidRPr="00746A3D">
        <w:rPr>
          <w:rFonts w:ascii="Arial" w:hAnsi="Arial" w:cs="Arial"/>
        </w:rPr>
        <w:t xml:space="preserve"> </w:t>
      </w:r>
      <w:proofErr w:type="spellStart"/>
      <w:r w:rsidRPr="00746A3D">
        <w:rPr>
          <w:rFonts w:ascii="Arial" w:hAnsi="Arial" w:cs="Arial"/>
        </w:rPr>
        <w:t>karakteristik</w:t>
      </w:r>
      <w:proofErr w:type="spellEnd"/>
      <w:r w:rsidRPr="00746A3D">
        <w:rPr>
          <w:rFonts w:ascii="Arial" w:hAnsi="Arial" w:cs="Arial"/>
        </w:rPr>
        <w:t xml:space="preserve"> </w:t>
      </w:r>
      <w:proofErr w:type="spellStart"/>
      <w:r w:rsidRPr="00746A3D">
        <w:rPr>
          <w:rFonts w:ascii="Arial" w:hAnsi="Arial" w:cs="Arial"/>
        </w:rPr>
        <w:t>ruang</w:t>
      </w:r>
      <w:proofErr w:type="spellEnd"/>
      <w:r w:rsidRPr="00746A3D">
        <w:rPr>
          <w:rFonts w:ascii="Arial" w:hAnsi="Arial" w:cs="Arial"/>
        </w:rPr>
        <w:t xml:space="preserve"> </w:t>
      </w:r>
      <w:proofErr w:type="spellStart"/>
      <w:r w:rsidRPr="00746A3D">
        <w:rPr>
          <w:rFonts w:ascii="Arial" w:hAnsi="Arial" w:cs="Arial"/>
        </w:rPr>
        <w:t>terbuka</w:t>
      </w:r>
      <w:proofErr w:type="spellEnd"/>
      <w:r w:rsidRPr="00746A3D">
        <w:rPr>
          <w:rFonts w:ascii="Arial" w:hAnsi="Arial" w:cs="Arial"/>
        </w:rPr>
        <w:t xml:space="preserve"> </w:t>
      </w:r>
      <w:proofErr w:type="spellStart"/>
      <w:r w:rsidRPr="00746A3D">
        <w:rPr>
          <w:rFonts w:ascii="Arial" w:hAnsi="Arial" w:cs="Arial"/>
        </w:rPr>
        <w:t>hijau</w:t>
      </w:r>
      <w:proofErr w:type="spellEnd"/>
      <w:r w:rsidRPr="00746A3D">
        <w:rPr>
          <w:rFonts w:ascii="Arial" w:hAnsi="Arial" w:cs="Arial"/>
        </w:rPr>
        <w:t xml:space="preserve"> </w:t>
      </w:r>
      <w:proofErr w:type="spellStart"/>
      <w:r w:rsidRPr="00746A3D">
        <w:rPr>
          <w:rFonts w:ascii="Arial" w:hAnsi="Arial" w:cs="Arial"/>
        </w:rPr>
        <w:t>publik</w:t>
      </w:r>
      <w:proofErr w:type="spellEnd"/>
      <w:r w:rsidRPr="00746A3D">
        <w:rPr>
          <w:rFonts w:ascii="Arial" w:hAnsi="Arial" w:cs="Arial"/>
        </w:rPr>
        <w:t xml:space="preserve"> </w:t>
      </w:r>
      <w:proofErr w:type="spellStart"/>
      <w:r w:rsidRPr="00746A3D">
        <w:rPr>
          <w:rFonts w:ascii="Arial" w:hAnsi="Arial" w:cs="Arial"/>
        </w:rPr>
        <w:t>untuk</w:t>
      </w:r>
      <w:proofErr w:type="spellEnd"/>
      <w:r w:rsidRPr="00746A3D">
        <w:rPr>
          <w:rFonts w:ascii="Arial" w:hAnsi="Arial" w:cs="Arial"/>
        </w:rPr>
        <w:t xml:space="preserve"> </w:t>
      </w:r>
      <w:proofErr w:type="spellStart"/>
      <w:r w:rsidRPr="00746A3D">
        <w:rPr>
          <w:rFonts w:ascii="Arial" w:hAnsi="Arial" w:cs="Arial"/>
        </w:rPr>
        <w:t>menunjang</w:t>
      </w:r>
      <w:proofErr w:type="spellEnd"/>
      <w:r w:rsidRPr="00746A3D">
        <w:rPr>
          <w:rFonts w:ascii="Arial" w:hAnsi="Arial" w:cs="Arial"/>
        </w:rPr>
        <w:t xml:space="preserve"> </w:t>
      </w:r>
      <w:proofErr w:type="spellStart"/>
      <w:r w:rsidRPr="00746A3D">
        <w:rPr>
          <w:rFonts w:ascii="Arial" w:hAnsi="Arial" w:cs="Arial"/>
        </w:rPr>
        <w:t>kenyamanan</w:t>
      </w:r>
      <w:proofErr w:type="spellEnd"/>
      <w:r w:rsidRPr="00746A3D">
        <w:rPr>
          <w:rFonts w:ascii="Arial" w:hAnsi="Arial" w:cs="Arial"/>
        </w:rPr>
        <w:t xml:space="preserve"> Kota Yogyakarta [Categorizing characteristics of public green open space to support comfort in Yogyakarta City]. </w:t>
      </w:r>
      <w:proofErr w:type="spellStart"/>
      <w:r w:rsidRPr="00746A3D">
        <w:rPr>
          <w:rFonts w:ascii="Arial" w:hAnsi="Arial" w:cs="Arial"/>
          <w:i/>
          <w:iCs/>
        </w:rPr>
        <w:t>Jurnal</w:t>
      </w:r>
      <w:proofErr w:type="spellEnd"/>
      <w:r w:rsidRPr="00746A3D">
        <w:rPr>
          <w:rFonts w:ascii="Arial" w:hAnsi="Arial" w:cs="Arial"/>
          <w:i/>
          <w:iCs/>
        </w:rPr>
        <w:t xml:space="preserve"> </w:t>
      </w:r>
      <w:proofErr w:type="spellStart"/>
      <w:r w:rsidRPr="00746A3D">
        <w:rPr>
          <w:rFonts w:ascii="Arial" w:hAnsi="Arial" w:cs="Arial"/>
          <w:i/>
          <w:iCs/>
        </w:rPr>
        <w:t>Ilmu</w:t>
      </w:r>
      <w:proofErr w:type="spellEnd"/>
      <w:r w:rsidRPr="00746A3D">
        <w:rPr>
          <w:rFonts w:ascii="Arial" w:hAnsi="Arial" w:cs="Arial"/>
          <w:i/>
          <w:iCs/>
        </w:rPr>
        <w:t xml:space="preserve"> </w:t>
      </w:r>
      <w:proofErr w:type="spellStart"/>
      <w:r w:rsidRPr="00746A3D">
        <w:rPr>
          <w:rFonts w:ascii="Arial" w:hAnsi="Arial" w:cs="Arial"/>
          <w:i/>
          <w:iCs/>
        </w:rPr>
        <w:t>Lingkungan</w:t>
      </w:r>
      <w:proofErr w:type="spellEnd"/>
      <w:r w:rsidRPr="00746A3D">
        <w:rPr>
          <w:rFonts w:ascii="Arial" w:hAnsi="Arial" w:cs="Arial"/>
          <w:i/>
          <w:iCs/>
        </w:rPr>
        <w:t>, 19</w:t>
      </w:r>
      <w:r w:rsidRPr="00746A3D">
        <w:rPr>
          <w:rFonts w:ascii="Arial" w:hAnsi="Arial" w:cs="Arial"/>
        </w:rPr>
        <w:t>(1), 127–139.</w:t>
      </w:r>
    </w:p>
    <w:p w14:paraId="2C1EF029" w14:textId="77777777" w:rsidR="00746A3D" w:rsidRPr="00746A3D" w:rsidRDefault="00746A3D" w:rsidP="00746A3D">
      <w:pPr>
        <w:ind w:left="567" w:hanging="567"/>
        <w:jc w:val="both"/>
        <w:rPr>
          <w:rFonts w:ascii="Arial" w:hAnsi="Arial" w:cs="Arial"/>
        </w:rPr>
      </w:pPr>
      <w:r w:rsidRPr="00746A3D">
        <w:rPr>
          <w:rFonts w:ascii="Arial" w:hAnsi="Arial" w:cs="Arial"/>
        </w:rPr>
        <w:t xml:space="preserve">Lee, A. C. K., &amp; Maheswaran, R. (2011). The health benefits of urban green spaces: A review of the evidence. </w:t>
      </w:r>
      <w:r w:rsidRPr="00746A3D">
        <w:rPr>
          <w:rFonts w:ascii="Arial" w:hAnsi="Arial" w:cs="Arial"/>
          <w:i/>
          <w:iCs/>
        </w:rPr>
        <w:t>Journal of Public Health, 33</w:t>
      </w:r>
      <w:r w:rsidRPr="00746A3D">
        <w:rPr>
          <w:rFonts w:ascii="Arial" w:hAnsi="Arial" w:cs="Arial"/>
        </w:rPr>
        <w:t xml:space="preserve">(2), 212–222. </w:t>
      </w:r>
      <w:hyperlink r:id="rId11" w:tgtFrame="_new" w:history="1">
        <w:r w:rsidRPr="00746A3D">
          <w:rPr>
            <w:rStyle w:val="Hyperlink"/>
            <w:rFonts w:ascii="Arial" w:hAnsi="Arial" w:cs="Arial"/>
          </w:rPr>
          <w:t>https://doi.org/10.1093/pubmed/fdq068</w:t>
        </w:r>
      </w:hyperlink>
    </w:p>
    <w:p w14:paraId="4FB45177" w14:textId="77777777" w:rsidR="00746A3D" w:rsidRPr="00746A3D" w:rsidRDefault="00746A3D" w:rsidP="00746A3D">
      <w:pPr>
        <w:ind w:left="567" w:hanging="567"/>
        <w:jc w:val="both"/>
        <w:rPr>
          <w:rFonts w:ascii="Arial" w:hAnsi="Arial" w:cs="Arial"/>
        </w:rPr>
      </w:pPr>
      <w:r w:rsidRPr="00746A3D">
        <w:rPr>
          <w:rFonts w:ascii="Arial" w:hAnsi="Arial" w:cs="Arial"/>
        </w:rPr>
        <w:t xml:space="preserve">Mutiah, C. (2023). </w:t>
      </w:r>
      <w:proofErr w:type="spellStart"/>
      <w:r w:rsidRPr="00746A3D">
        <w:rPr>
          <w:rFonts w:ascii="Arial" w:hAnsi="Arial" w:cs="Arial"/>
          <w:i/>
          <w:iCs/>
        </w:rPr>
        <w:t>Analisis</w:t>
      </w:r>
      <w:proofErr w:type="spellEnd"/>
      <w:r w:rsidRPr="00746A3D">
        <w:rPr>
          <w:rFonts w:ascii="Arial" w:hAnsi="Arial" w:cs="Arial"/>
          <w:i/>
          <w:iCs/>
        </w:rPr>
        <w:t xml:space="preserve"> program </w:t>
      </w:r>
      <w:proofErr w:type="spellStart"/>
      <w:r w:rsidRPr="00746A3D">
        <w:rPr>
          <w:rFonts w:ascii="Arial" w:hAnsi="Arial" w:cs="Arial"/>
          <w:i/>
          <w:iCs/>
        </w:rPr>
        <w:t>pengembangan</w:t>
      </w:r>
      <w:proofErr w:type="spellEnd"/>
      <w:r w:rsidRPr="00746A3D">
        <w:rPr>
          <w:rFonts w:ascii="Arial" w:hAnsi="Arial" w:cs="Arial"/>
          <w:i/>
          <w:iCs/>
        </w:rPr>
        <w:t xml:space="preserve"> </w:t>
      </w:r>
      <w:proofErr w:type="spellStart"/>
      <w:r w:rsidRPr="00746A3D">
        <w:rPr>
          <w:rFonts w:ascii="Arial" w:hAnsi="Arial" w:cs="Arial"/>
          <w:i/>
          <w:iCs/>
        </w:rPr>
        <w:t>ruang</w:t>
      </w:r>
      <w:proofErr w:type="spellEnd"/>
      <w:r w:rsidRPr="00746A3D">
        <w:rPr>
          <w:rFonts w:ascii="Arial" w:hAnsi="Arial" w:cs="Arial"/>
          <w:i/>
          <w:iCs/>
        </w:rPr>
        <w:t xml:space="preserve"> </w:t>
      </w:r>
      <w:proofErr w:type="spellStart"/>
      <w:r w:rsidRPr="00746A3D">
        <w:rPr>
          <w:rFonts w:ascii="Arial" w:hAnsi="Arial" w:cs="Arial"/>
          <w:i/>
          <w:iCs/>
        </w:rPr>
        <w:t>terbuka</w:t>
      </w:r>
      <w:proofErr w:type="spellEnd"/>
      <w:r w:rsidRPr="00746A3D">
        <w:rPr>
          <w:rFonts w:ascii="Arial" w:hAnsi="Arial" w:cs="Arial"/>
          <w:i/>
          <w:iCs/>
        </w:rPr>
        <w:t xml:space="preserve"> </w:t>
      </w:r>
      <w:proofErr w:type="spellStart"/>
      <w:r w:rsidRPr="00746A3D">
        <w:rPr>
          <w:rFonts w:ascii="Arial" w:hAnsi="Arial" w:cs="Arial"/>
          <w:i/>
          <w:iCs/>
        </w:rPr>
        <w:t>hijau</w:t>
      </w:r>
      <w:proofErr w:type="spellEnd"/>
      <w:r w:rsidRPr="00746A3D">
        <w:rPr>
          <w:rFonts w:ascii="Arial" w:hAnsi="Arial" w:cs="Arial"/>
          <w:i/>
          <w:iCs/>
        </w:rPr>
        <w:t xml:space="preserve"> di </w:t>
      </w:r>
      <w:proofErr w:type="spellStart"/>
      <w:r w:rsidRPr="00746A3D">
        <w:rPr>
          <w:rFonts w:ascii="Arial" w:hAnsi="Arial" w:cs="Arial"/>
          <w:i/>
          <w:iCs/>
        </w:rPr>
        <w:t>Dinas</w:t>
      </w:r>
      <w:proofErr w:type="spellEnd"/>
      <w:r w:rsidRPr="00746A3D">
        <w:rPr>
          <w:rFonts w:ascii="Arial" w:hAnsi="Arial" w:cs="Arial"/>
          <w:i/>
          <w:iCs/>
        </w:rPr>
        <w:t xml:space="preserve"> </w:t>
      </w:r>
      <w:proofErr w:type="spellStart"/>
      <w:r w:rsidRPr="00746A3D">
        <w:rPr>
          <w:rFonts w:ascii="Arial" w:hAnsi="Arial" w:cs="Arial"/>
          <w:i/>
          <w:iCs/>
        </w:rPr>
        <w:t>Lingkungan</w:t>
      </w:r>
      <w:proofErr w:type="spellEnd"/>
      <w:r w:rsidRPr="00746A3D">
        <w:rPr>
          <w:rFonts w:ascii="Arial" w:hAnsi="Arial" w:cs="Arial"/>
          <w:i/>
          <w:iCs/>
        </w:rPr>
        <w:t xml:space="preserve"> </w:t>
      </w:r>
      <w:proofErr w:type="spellStart"/>
      <w:r w:rsidRPr="00746A3D">
        <w:rPr>
          <w:rFonts w:ascii="Arial" w:hAnsi="Arial" w:cs="Arial"/>
          <w:i/>
          <w:iCs/>
        </w:rPr>
        <w:t>Hidup</w:t>
      </w:r>
      <w:proofErr w:type="spellEnd"/>
      <w:r w:rsidRPr="00746A3D">
        <w:rPr>
          <w:rFonts w:ascii="Arial" w:hAnsi="Arial" w:cs="Arial"/>
          <w:i/>
          <w:iCs/>
        </w:rPr>
        <w:t xml:space="preserve"> Kota </w:t>
      </w:r>
      <w:proofErr w:type="spellStart"/>
      <w:r w:rsidRPr="00746A3D">
        <w:rPr>
          <w:rFonts w:ascii="Arial" w:hAnsi="Arial" w:cs="Arial"/>
          <w:i/>
          <w:iCs/>
        </w:rPr>
        <w:t>Mataram</w:t>
      </w:r>
      <w:proofErr w:type="spellEnd"/>
      <w:r w:rsidRPr="00746A3D">
        <w:rPr>
          <w:rFonts w:ascii="Arial" w:hAnsi="Arial" w:cs="Arial"/>
        </w:rPr>
        <w:t xml:space="preserve"> [Analysis of green open space development programs at the Environmental Agency of </w:t>
      </w:r>
      <w:proofErr w:type="spellStart"/>
      <w:r w:rsidRPr="00746A3D">
        <w:rPr>
          <w:rFonts w:ascii="Arial" w:hAnsi="Arial" w:cs="Arial"/>
        </w:rPr>
        <w:t>Mataram</w:t>
      </w:r>
      <w:proofErr w:type="spellEnd"/>
      <w:r w:rsidRPr="00746A3D">
        <w:rPr>
          <w:rFonts w:ascii="Arial" w:hAnsi="Arial" w:cs="Arial"/>
        </w:rPr>
        <w:t xml:space="preserve"> City] (Undergraduate thesis, </w:t>
      </w:r>
      <w:proofErr w:type="spellStart"/>
      <w:r w:rsidRPr="00746A3D">
        <w:rPr>
          <w:rFonts w:ascii="Arial" w:hAnsi="Arial" w:cs="Arial"/>
        </w:rPr>
        <w:t>Universitas</w:t>
      </w:r>
      <w:proofErr w:type="spellEnd"/>
      <w:r w:rsidRPr="00746A3D">
        <w:rPr>
          <w:rFonts w:ascii="Arial" w:hAnsi="Arial" w:cs="Arial"/>
        </w:rPr>
        <w:t xml:space="preserve"> </w:t>
      </w:r>
      <w:proofErr w:type="spellStart"/>
      <w:r w:rsidRPr="00746A3D">
        <w:rPr>
          <w:rFonts w:ascii="Arial" w:hAnsi="Arial" w:cs="Arial"/>
        </w:rPr>
        <w:t>Muhammadiyah</w:t>
      </w:r>
      <w:proofErr w:type="spellEnd"/>
      <w:r w:rsidRPr="00746A3D">
        <w:rPr>
          <w:rFonts w:ascii="Arial" w:hAnsi="Arial" w:cs="Arial"/>
        </w:rPr>
        <w:t xml:space="preserve"> </w:t>
      </w:r>
      <w:proofErr w:type="spellStart"/>
      <w:r w:rsidRPr="00746A3D">
        <w:rPr>
          <w:rFonts w:ascii="Arial" w:hAnsi="Arial" w:cs="Arial"/>
        </w:rPr>
        <w:t>Mataram</w:t>
      </w:r>
      <w:proofErr w:type="spellEnd"/>
      <w:r w:rsidRPr="00746A3D">
        <w:rPr>
          <w:rFonts w:ascii="Arial" w:hAnsi="Arial" w:cs="Arial"/>
        </w:rPr>
        <w:t>).</w:t>
      </w:r>
    </w:p>
    <w:p w14:paraId="2A1087DD" w14:textId="77777777" w:rsidR="00746A3D" w:rsidRPr="00746A3D" w:rsidRDefault="00746A3D" w:rsidP="00746A3D">
      <w:pPr>
        <w:ind w:left="567" w:hanging="567"/>
        <w:jc w:val="both"/>
        <w:rPr>
          <w:rFonts w:ascii="Arial" w:hAnsi="Arial" w:cs="Arial"/>
        </w:rPr>
      </w:pPr>
      <w:r w:rsidRPr="00746A3D">
        <w:rPr>
          <w:rFonts w:ascii="Arial" w:hAnsi="Arial" w:cs="Arial"/>
        </w:rPr>
        <w:t xml:space="preserve">Pretty, J. N. (1995). Participatory learning for sustainable agriculture. </w:t>
      </w:r>
      <w:r w:rsidRPr="00746A3D">
        <w:rPr>
          <w:rFonts w:ascii="Arial" w:hAnsi="Arial" w:cs="Arial"/>
          <w:i/>
          <w:iCs/>
        </w:rPr>
        <w:t>World Development, 23</w:t>
      </w:r>
      <w:r w:rsidRPr="00746A3D">
        <w:rPr>
          <w:rFonts w:ascii="Arial" w:hAnsi="Arial" w:cs="Arial"/>
        </w:rPr>
        <w:t>(8), 1247–1263.</w:t>
      </w:r>
    </w:p>
    <w:p w14:paraId="5738EEE4" w14:textId="77777777" w:rsidR="00746A3D" w:rsidRPr="00746A3D" w:rsidRDefault="00746A3D" w:rsidP="00746A3D">
      <w:pPr>
        <w:ind w:left="567" w:hanging="567"/>
        <w:jc w:val="both"/>
        <w:rPr>
          <w:rFonts w:ascii="Arial" w:hAnsi="Arial" w:cs="Arial"/>
        </w:rPr>
      </w:pPr>
      <w:proofErr w:type="spellStart"/>
      <w:r w:rsidRPr="00746A3D">
        <w:rPr>
          <w:rFonts w:ascii="Arial" w:hAnsi="Arial" w:cs="Arial"/>
        </w:rPr>
        <w:t>Purnomohadi</w:t>
      </w:r>
      <w:proofErr w:type="spellEnd"/>
      <w:r w:rsidRPr="00746A3D">
        <w:rPr>
          <w:rFonts w:ascii="Arial" w:hAnsi="Arial" w:cs="Arial"/>
        </w:rPr>
        <w:t xml:space="preserve">, N., </w:t>
      </w:r>
      <w:proofErr w:type="spellStart"/>
      <w:r w:rsidRPr="00746A3D">
        <w:rPr>
          <w:rFonts w:ascii="Arial" w:hAnsi="Arial" w:cs="Arial"/>
        </w:rPr>
        <w:t>Soedradjat</w:t>
      </w:r>
      <w:proofErr w:type="spellEnd"/>
      <w:r w:rsidRPr="00746A3D">
        <w:rPr>
          <w:rFonts w:ascii="Arial" w:hAnsi="Arial" w:cs="Arial"/>
        </w:rPr>
        <w:t xml:space="preserve">, I., </w:t>
      </w:r>
      <w:proofErr w:type="spellStart"/>
      <w:r w:rsidRPr="00746A3D">
        <w:rPr>
          <w:rFonts w:ascii="Arial" w:hAnsi="Arial" w:cs="Arial"/>
        </w:rPr>
        <w:t>Djumantri</w:t>
      </w:r>
      <w:proofErr w:type="spellEnd"/>
      <w:r w:rsidRPr="00746A3D">
        <w:rPr>
          <w:rFonts w:ascii="Arial" w:hAnsi="Arial" w:cs="Arial"/>
        </w:rPr>
        <w:t xml:space="preserve">, M., Widiantono, D. J., &amp; </w:t>
      </w:r>
      <w:proofErr w:type="spellStart"/>
      <w:r w:rsidRPr="00746A3D">
        <w:rPr>
          <w:rFonts w:ascii="Arial" w:hAnsi="Arial" w:cs="Arial"/>
        </w:rPr>
        <w:t>Bastaman</w:t>
      </w:r>
      <w:proofErr w:type="spellEnd"/>
      <w:r w:rsidRPr="00746A3D">
        <w:rPr>
          <w:rFonts w:ascii="Arial" w:hAnsi="Arial" w:cs="Arial"/>
        </w:rPr>
        <w:t xml:space="preserve">, F. (2006). </w:t>
      </w:r>
      <w:proofErr w:type="spellStart"/>
      <w:r w:rsidRPr="00746A3D">
        <w:rPr>
          <w:rFonts w:ascii="Arial" w:hAnsi="Arial" w:cs="Arial"/>
          <w:i/>
          <w:iCs/>
        </w:rPr>
        <w:t>Ruang</w:t>
      </w:r>
      <w:proofErr w:type="spellEnd"/>
      <w:r w:rsidRPr="00746A3D">
        <w:rPr>
          <w:rFonts w:ascii="Arial" w:hAnsi="Arial" w:cs="Arial"/>
          <w:i/>
          <w:iCs/>
        </w:rPr>
        <w:t xml:space="preserve"> </w:t>
      </w:r>
      <w:proofErr w:type="spellStart"/>
      <w:r w:rsidRPr="00746A3D">
        <w:rPr>
          <w:rFonts w:ascii="Arial" w:hAnsi="Arial" w:cs="Arial"/>
          <w:i/>
          <w:iCs/>
        </w:rPr>
        <w:t>terbuka</w:t>
      </w:r>
      <w:proofErr w:type="spellEnd"/>
      <w:r w:rsidRPr="00746A3D">
        <w:rPr>
          <w:rFonts w:ascii="Arial" w:hAnsi="Arial" w:cs="Arial"/>
          <w:i/>
          <w:iCs/>
        </w:rPr>
        <w:t xml:space="preserve"> </w:t>
      </w:r>
      <w:proofErr w:type="spellStart"/>
      <w:r w:rsidRPr="00746A3D">
        <w:rPr>
          <w:rFonts w:ascii="Arial" w:hAnsi="Arial" w:cs="Arial"/>
          <w:i/>
          <w:iCs/>
        </w:rPr>
        <w:t>hijau</w:t>
      </w:r>
      <w:proofErr w:type="spellEnd"/>
      <w:r w:rsidRPr="00746A3D">
        <w:rPr>
          <w:rFonts w:ascii="Arial" w:hAnsi="Arial" w:cs="Arial"/>
          <w:i/>
          <w:iCs/>
        </w:rPr>
        <w:t xml:space="preserve"> </w:t>
      </w:r>
      <w:proofErr w:type="spellStart"/>
      <w:r w:rsidRPr="00746A3D">
        <w:rPr>
          <w:rFonts w:ascii="Arial" w:hAnsi="Arial" w:cs="Arial"/>
          <w:i/>
          <w:iCs/>
        </w:rPr>
        <w:t>sebagai</w:t>
      </w:r>
      <w:proofErr w:type="spellEnd"/>
      <w:r w:rsidRPr="00746A3D">
        <w:rPr>
          <w:rFonts w:ascii="Arial" w:hAnsi="Arial" w:cs="Arial"/>
          <w:i/>
          <w:iCs/>
        </w:rPr>
        <w:t xml:space="preserve"> </w:t>
      </w:r>
      <w:proofErr w:type="spellStart"/>
      <w:r w:rsidRPr="00746A3D">
        <w:rPr>
          <w:rFonts w:ascii="Arial" w:hAnsi="Arial" w:cs="Arial"/>
          <w:i/>
          <w:iCs/>
        </w:rPr>
        <w:t>unsur</w:t>
      </w:r>
      <w:proofErr w:type="spellEnd"/>
      <w:r w:rsidRPr="00746A3D">
        <w:rPr>
          <w:rFonts w:ascii="Arial" w:hAnsi="Arial" w:cs="Arial"/>
          <w:i/>
          <w:iCs/>
        </w:rPr>
        <w:t xml:space="preserve"> </w:t>
      </w:r>
      <w:proofErr w:type="spellStart"/>
      <w:r w:rsidRPr="00746A3D">
        <w:rPr>
          <w:rFonts w:ascii="Arial" w:hAnsi="Arial" w:cs="Arial"/>
          <w:i/>
          <w:iCs/>
        </w:rPr>
        <w:t>utama</w:t>
      </w:r>
      <w:proofErr w:type="spellEnd"/>
      <w:r w:rsidRPr="00746A3D">
        <w:rPr>
          <w:rFonts w:ascii="Arial" w:hAnsi="Arial" w:cs="Arial"/>
          <w:i/>
          <w:iCs/>
        </w:rPr>
        <w:t xml:space="preserve"> </w:t>
      </w:r>
      <w:proofErr w:type="spellStart"/>
      <w:r w:rsidRPr="00746A3D">
        <w:rPr>
          <w:rFonts w:ascii="Arial" w:hAnsi="Arial" w:cs="Arial"/>
          <w:i/>
          <w:iCs/>
        </w:rPr>
        <w:t>tata</w:t>
      </w:r>
      <w:proofErr w:type="spellEnd"/>
      <w:r w:rsidRPr="00746A3D">
        <w:rPr>
          <w:rFonts w:ascii="Arial" w:hAnsi="Arial" w:cs="Arial"/>
          <w:i/>
          <w:iCs/>
        </w:rPr>
        <w:t xml:space="preserve"> </w:t>
      </w:r>
      <w:proofErr w:type="spellStart"/>
      <w:r w:rsidRPr="00746A3D">
        <w:rPr>
          <w:rFonts w:ascii="Arial" w:hAnsi="Arial" w:cs="Arial"/>
          <w:i/>
          <w:iCs/>
        </w:rPr>
        <w:t>ruang</w:t>
      </w:r>
      <w:proofErr w:type="spellEnd"/>
      <w:r w:rsidRPr="00746A3D">
        <w:rPr>
          <w:rFonts w:ascii="Arial" w:hAnsi="Arial" w:cs="Arial"/>
          <w:i/>
          <w:iCs/>
        </w:rPr>
        <w:t xml:space="preserve"> </w:t>
      </w:r>
      <w:proofErr w:type="spellStart"/>
      <w:r w:rsidRPr="00746A3D">
        <w:rPr>
          <w:rFonts w:ascii="Arial" w:hAnsi="Arial" w:cs="Arial"/>
          <w:i/>
          <w:iCs/>
        </w:rPr>
        <w:t>kota</w:t>
      </w:r>
      <w:proofErr w:type="spellEnd"/>
      <w:r w:rsidRPr="00746A3D">
        <w:rPr>
          <w:rFonts w:ascii="Arial" w:hAnsi="Arial" w:cs="Arial"/>
        </w:rPr>
        <w:t xml:space="preserve"> [Green open space as a key element of urban spatial planning]. </w:t>
      </w:r>
      <w:proofErr w:type="spellStart"/>
      <w:r w:rsidRPr="00746A3D">
        <w:rPr>
          <w:rFonts w:ascii="Arial" w:hAnsi="Arial" w:cs="Arial"/>
        </w:rPr>
        <w:t>Direktorat</w:t>
      </w:r>
      <w:proofErr w:type="spellEnd"/>
      <w:r w:rsidRPr="00746A3D">
        <w:rPr>
          <w:rFonts w:ascii="Arial" w:hAnsi="Arial" w:cs="Arial"/>
        </w:rPr>
        <w:t xml:space="preserve"> </w:t>
      </w:r>
      <w:proofErr w:type="spellStart"/>
      <w:r w:rsidRPr="00746A3D">
        <w:rPr>
          <w:rFonts w:ascii="Arial" w:hAnsi="Arial" w:cs="Arial"/>
        </w:rPr>
        <w:t>Jenderal</w:t>
      </w:r>
      <w:proofErr w:type="spellEnd"/>
      <w:r w:rsidRPr="00746A3D">
        <w:rPr>
          <w:rFonts w:ascii="Arial" w:hAnsi="Arial" w:cs="Arial"/>
        </w:rPr>
        <w:t xml:space="preserve"> </w:t>
      </w:r>
      <w:proofErr w:type="spellStart"/>
      <w:r w:rsidRPr="00746A3D">
        <w:rPr>
          <w:rFonts w:ascii="Arial" w:hAnsi="Arial" w:cs="Arial"/>
        </w:rPr>
        <w:t>Penataan</w:t>
      </w:r>
      <w:proofErr w:type="spellEnd"/>
      <w:r w:rsidRPr="00746A3D">
        <w:rPr>
          <w:rFonts w:ascii="Arial" w:hAnsi="Arial" w:cs="Arial"/>
        </w:rPr>
        <w:t xml:space="preserve"> </w:t>
      </w:r>
      <w:proofErr w:type="spellStart"/>
      <w:r w:rsidRPr="00746A3D">
        <w:rPr>
          <w:rFonts w:ascii="Arial" w:hAnsi="Arial" w:cs="Arial"/>
        </w:rPr>
        <w:t>Ruang</w:t>
      </w:r>
      <w:proofErr w:type="spellEnd"/>
      <w:r w:rsidRPr="00746A3D">
        <w:rPr>
          <w:rFonts w:ascii="Arial" w:hAnsi="Arial" w:cs="Arial"/>
        </w:rPr>
        <w:t>.</w:t>
      </w:r>
    </w:p>
    <w:p w14:paraId="3E319737" w14:textId="77777777" w:rsidR="00746A3D" w:rsidRPr="00746A3D" w:rsidRDefault="00746A3D" w:rsidP="00746A3D">
      <w:pPr>
        <w:ind w:left="567" w:hanging="567"/>
        <w:jc w:val="both"/>
        <w:rPr>
          <w:rFonts w:ascii="Arial" w:hAnsi="Arial" w:cs="Arial"/>
        </w:rPr>
      </w:pPr>
      <w:r w:rsidRPr="00746A3D">
        <w:rPr>
          <w:rFonts w:ascii="Arial" w:hAnsi="Arial" w:cs="Arial"/>
        </w:rPr>
        <w:t xml:space="preserve">Putnam, R. D. (1993). The prosperous community: Social capital and public life. </w:t>
      </w:r>
      <w:r w:rsidRPr="00746A3D">
        <w:rPr>
          <w:rFonts w:ascii="Arial" w:hAnsi="Arial" w:cs="Arial"/>
          <w:i/>
          <w:iCs/>
        </w:rPr>
        <w:t>The American Prospect, 13</w:t>
      </w:r>
      <w:r w:rsidRPr="00746A3D">
        <w:rPr>
          <w:rFonts w:ascii="Arial" w:hAnsi="Arial" w:cs="Arial"/>
        </w:rPr>
        <w:t>, 35–42.</w:t>
      </w:r>
    </w:p>
    <w:p w14:paraId="3C7E9632" w14:textId="77777777" w:rsidR="00746A3D" w:rsidRPr="00746A3D" w:rsidRDefault="00746A3D" w:rsidP="00746A3D">
      <w:pPr>
        <w:ind w:left="567" w:hanging="567"/>
        <w:jc w:val="both"/>
        <w:rPr>
          <w:rFonts w:ascii="Arial" w:hAnsi="Arial" w:cs="Arial"/>
        </w:rPr>
      </w:pPr>
      <w:r w:rsidRPr="00746A3D">
        <w:rPr>
          <w:rFonts w:ascii="Arial" w:hAnsi="Arial" w:cs="Arial"/>
        </w:rPr>
        <w:t xml:space="preserve">Rauf, S. (2022). </w:t>
      </w:r>
      <w:proofErr w:type="spellStart"/>
      <w:r w:rsidRPr="00746A3D">
        <w:rPr>
          <w:rFonts w:ascii="Arial" w:hAnsi="Arial" w:cs="Arial"/>
          <w:i/>
          <w:iCs/>
        </w:rPr>
        <w:t>Evaluasi</w:t>
      </w:r>
      <w:proofErr w:type="spellEnd"/>
      <w:r w:rsidRPr="00746A3D">
        <w:rPr>
          <w:rFonts w:ascii="Arial" w:hAnsi="Arial" w:cs="Arial"/>
          <w:i/>
          <w:iCs/>
        </w:rPr>
        <w:t xml:space="preserve"> </w:t>
      </w:r>
      <w:proofErr w:type="spellStart"/>
      <w:r w:rsidRPr="00746A3D">
        <w:rPr>
          <w:rFonts w:ascii="Arial" w:hAnsi="Arial" w:cs="Arial"/>
          <w:i/>
          <w:iCs/>
        </w:rPr>
        <w:t>fungsi</w:t>
      </w:r>
      <w:proofErr w:type="spellEnd"/>
      <w:r w:rsidRPr="00746A3D">
        <w:rPr>
          <w:rFonts w:ascii="Arial" w:hAnsi="Arial" w:cs="Arial"/>
          <w:i/>
          <w:iCs/>
        </w:rPr>
        <w:t xml:space="preserve"> </w:t>
      </w:r>
      <w:proofErr w:type="spellStart"/>
      <w:r w:rsidRPr="00746A3D">
        <w:rPr>
          <w:rFonts w:ascii="Arial" w:hAnsi="Arial" w:cs="Arial"/>
          <w:i/>
          <w:iCs/>
        </w:rPr>
        <w:t>ruang</w:t>
      </w:r>
      <w:proofErr w:type="spellEnd"/>
      <w:r w:rsidRPr="00746A3D">
        <w:rPr>
          <w:rFonts w:ascii="Arial" w:hAnsi="Arial" w:cs="Arial"/>
          <w:i/>
          <w:iCs/>
        </w:rPr>
        <w:t xml:space="preserve"> </w:t>
      </w:r>
      <w:proofErr w:type="spellStart"/>
      <w:r w:rsidRPr="00746A3D">
        <w:rPr>
          <w:rFonts w:ascii="Arial" w:hAnsi="Arial" w:cs="Arial"/>
          <w:i/>
          <w:iCs/>
        </w:rPr>
        <w:t>terbuka</w:t>
      </w:r>
      <w:proofErr w:type="spellEnd"/>
      <w:r w:rsidRPr="00746A3D">
        <w:rPr>
          <w:rFonts w:ascii="Arial" w:hAnsi="Arial" w:cs="Arial"/>
          <w:i/>
          <w:iCs/>
        </w:rPr>
        <w:t xml:space="preserve"> </w:t>
      </w:r>
      <w:proofErr w:type="spellStart"/>
      <w:r w:rsidRPr="00746A3D">
        <w:rPr>
          <w:rFonts w:ascii="Arial" w:hAnsi="Arial" w:cs="Arial"/>
          <w:i/>
          <w:iCs/>
        </w:rPr>
        <w:t>hijau</w:t>
      </w:r>
      <w:proofErr w:type="spellEnd"/>
      <w:r w:rsidRPr="00746A3D">
        <w:rPr>
          <w:rFonts w:ascii="Arial" w:hAnsi="Arial" w:cs="Arial"/>
          <w:i/>
          <w:iCs/>
        </w:rPr>
        <w:t xml:space="preserve"> </w:t>
      </w:r>
      <w:proofErr w:type="spellStart"/>
      <w:r w:rsidRPr="00746A3D">
        <w:rPr>
          <w:rFonts w:ascii="Arial" w:hAnsi="Arial" w:cs="Arial"/>
          <w:i/>
          <w:iCs/>
        </w:rPr>
        <w:t>pada</w:t>
      </w:r>
      <w:proofErr w:type="spellEnd"/>
      <w:r w:rsidRPr="00746A3D">
        <w:rPr>
          <w:rFonts w:ascii="Arial" w:hAnsi="Arial" w:cs="Arial"/>
          <w:i/>
          <w:iCs/>
        </w:rPr>
        <w:t xml:space="preserve"> Taman </w:t>
      </w:r>
      <w:proofErr w:type="spellStart"/>
      <w:r w:rsidRPr="00746A3D">
        <w:rPr>
          <w:rFonts w:ascii="Arial" w:hAnsi="Arial" w:cs="Arial"/>
          <w:i/>
          <w:iCs/>
        </w:rPr>
        <w:t>Keren</w:t>
      </w:r>
      <w:proofErr w:type="spellEnd"/>
      <w:r w:rsidRPr="00746A3D">
        <w:rPr>
          <w:rFonts w:ascii="Arial" w:hAnsi="Arial" w:cs="Arial"/>
          <w:i/>
          <w:iCs/>
        </w:rPr>
        <w:t xml:space="preserve"> </w:t>
      </w:r>
      <w:proofErr w:type="spellStart"/>
      <w:r w:rsidRPr="00746A3D">
        <w:rPr>
          <w:rFonts w:ascii="Arial" w:hAnsi="Arial" w:cs="Arial"/>
          <w:i/>
          <w:iCs/>
        </w:rPr>
        <w:t>Mo’odu</w:t>
      </w:r>
      <w:proofErr w:type="spellEnd"/>
      <w:r w:rsidRPr="00746A3D">
        <w:rPr>
          <w:rFonts w:ascii="Arial" w:hAnsi="Arial" w:cs="Arial"/>
          <w:i/>
          <w:iCs/>
        </w:rPr>
        <w:t xml:space="preserve"> Kota </w:t>
      </w:r>
      <w:proofErr w:type="spellStart"/>
      <w:r w:rsidRPr="00746A3D">
        <w:rPr>
          <w:rFonts w:ascii="Arial" w:hAnsi="Arial" w:cs="Arial"/>
          <w:i/>
          <w:iCs/>
        </w:rPr>
        <w:t>Gorontalo</w:t>
      </w:r>
      <w:proofErr w:type="spellEnd"/>
      <w:r w:rsidRPr="00746A3D">
        <w:rPr>
          <w:rFonts w:ascii="Arial" w:hAnsi="Arial" w:cs="Arial"/>
        </w:rPr>
        <w:t xml:space="preserve"> [Evaluation of green open space functions at </w:t>
      </w:r>
      <w:proofErr w:type="spellStart"/>
      <w:r w:rsidRPr="00746A3D">
        <w:rPr>
          <w:rFonts w:ascii="Arial" w:hAnsi="Arial" w:cs="Arial"/>
        </w:rPr>
        <w:t>Keren</w:t>
      </w:r>
      <w:proofErr w:type="spellEnd"/>
      <w:r w:rsidRPr="00746A3D">
        <w:rPr>
          <w:rFonts w:ascii="Arial" w:hAnsi="Arial" w:cs="Arial"/>
        </w:rPr>
        <w:t xml:space="preserve"> </w:t>
      </w:r>
      <w:proofErr w:type="spellStart"/>
      <w:r w:rsidRPr="00746A3D">
        <w:rPr>
          <w:rFonts w:ascii="Arial" w:hAnsi="Arial" w:cs="Arial"/>
        </w:rPr>
        <w:t>Mo’odu</w:t>
      </w:r>
      <w:proofErr w:type="spellEnd"/>
      <w:r w:rsidRPr="00746A3D">
        <w:rPr>
          <w:rFonts w:ascii="Arial" w:hAnsi="Arial" w:cs="Arial"/>
        </w:rPr>
        <w:t xml:space="preserve"> Park, </w:t>
      </w:r>
      <w:proofErr w:type="spellStart"/>
      <w:r w:rsidRPr="00746A3D">
        <w:rPr>
          <w:rFonts w:ascii="Arial" w:hAnsi="Arial" w:cs="Arial"/>
        </w:rPr>
        <w:t>Gorontalo</w:t>
      </w:r>
      <w:proofErr w:type="spellEnd"/>
      <w:r w:rsidRPr="00746A3D">
        <w:rPr>
          <w:rFonts w:ascii="Arial" w:hAnsi="Arial" w:cs="Arial"/>
        </w:rPr>
        <w:t xml:space="preserve"> City] (Master’s thesis, Universitas Hasanuddin).</w:t>
      </w:r>
    </w:p>
    <w:p w14:paraId="52ABACAB" w14:textId="77777777" w:rsidR="00746A3D" w:rsidRPr="00746A3D" w:rsidRDefault="00746A3D" w:rsidP="00746A3D">
      <w:pPr>
        <w:ind w:left="567" w:hanging="567"/>
        <w:jc w:val="both"/>
        <w:rPr>
          <w:rFonts w:ascii="Arial" w:hAnsi="Arial" w:cs="Arial"/>
        </w:rPr>
      </w:pPr>
      <w:r w:rsidRPr="00746A3D">
        <w:rPr>
          <w:rFonts w:ascii="Arial" w:hAnsi="Arial" w:cs="Arial"/>
        </w:rPr>
        <w:t xml:space="preserve">Setiawan, A., &amp; </w:t>
      </w:r>
      <w:proofErr w:type="spellStart"/>
      <w:r w:rsidRPr="00746A3D">
        <w:rPr>
          <w:rFonts w:ascii="Arial" w:hAnsi="Arial" w:cs="Arial"/>
        </w:rPr>
        <w:t>Widiyastuti</w:t>
      </w:r>
      <w:proofErr w:type="spellEnd"/>
      <w:r w:rsidRPr="00746A3D">
        <w:rPr>
          <w:rFonts w:ascii="Arial" w:hAnsi="Arial" w:cs="Arial"/>
        </w:rPr>
        <w:t xml:space="preserve">, D. (2018). </w:t>
      </w:r>
      <w:proofErr w:type="spellStart"/>
      <w:r w:rsidRPr="00746A3D">
        <w:rPr>
          <w:rFonts w:ascii="Arial" w:hAnsi="Arial" w:cs="Arial"/>
        </w:rPr>
        <w:t>Partisipasi</w:t>
      </w:r>
      <w:proofErr w:type="spellEnd"/>
      <w:r w:rsidRPr="00746A3D">
        <w:rPr>
          <w:rFonts w:ascii="Arial" w:hAnsi="Arial" w:cs="Arial"/>
        </w:rPr>
        <w:t xml:space="preserve"> </w:t>
      </w:r>
      <w:proofErr w:type="spellStart"/>
      <w:r w:rsidRPr="00746A3D">
        <w:rPr>
          <w:rFonts w:ascii="Arial" w:hAnsi="Arial" w:cs="Arial"/>
        </w:rPr>
        <w:t>masyarakat</w:t>
      </w:r>
      <w:proofErr w:type="spellEnd"/>
      <w:r w:rsidRPr="00746A3D">
        <w:rPr>
          <w:rFonts w:ascii="Arial" w:hAnsi="Arial" w:cs="Arial"/>
        </w:rPr>
        <w:t xml:space="preserve"> </w:t>
      </w:r>
      <w:proofErr w:type="spellStart"/>
      <w:r w:rsidRPr="00746A3D">
        <w:rPr>
          <w:rFonts w:ascii="Arial" w:hAnsi="Arial" w:cs="Arial"/>
        </w:rPr>
        <w:t>dalam</w:t>
      </w:r>
      <w:proofErr w:type="spellEnd"/>
      <w:r w:rsidRPr="00746A3D">
        <w:rPr>
          <w:rFonts w:ascii="Arial" w:hAnsi="Arial" w:cs="Arial"/>
        </w:rPr>
        <w:t xml:space="preserve"> </w:t>
      </w:r>
      <w:proofErr w:type="spellStart"/>
      <w:r w:rsidRPr="00746A3D">
        <w:rPr>
          <w:rFonts w:ascii="Arial" w:hAnsi="Arial" w:cs="Arial"/>
        </w:rPr>
        <w:t>pengelolaan</w:t>
      </w:r>
      <w:proofErr w:type="spellEnd"/>
      <w:r w:rsidRPr="00746A3D">
        <w:rPr>
          <w:rFonts w:ascii="Arial" w:hAnsi="Arial" w:cs="Arial"/>
        </w:rPr>
        <w:t xml:space="preserve"> </w:t>
      </w:r>
      <w:proofErr w:type="spellStart"/>
      <w:r w:rsidRPr="00746A3D">
        <w:rPr>
          <w:rFonts w:ascii="Arial" w:hAnsi="Arial" w:cs="Arial"/>
        </w:rPr>
        <w:t>ruang</w:t>
      </w:r>
      <w:proofErr w:type="spellEnd"/>
      <w:r w:rsidRPr="00746A3D">
        <w:rPr>
          <w:rFonts w:ascii="Arial" w:hAnsi="Arial" w:cs="Arial"/>
        </w:rPr>
        <w:t xml:space="preserve"> </w:t>
      </w:r>
      <w:proofErr w:type="spellStart"/>
      <w:r w:rsidRPr="00746A3D">
        <w:rPr>
          <w:rFonts w:ascii="Arial" w:hAnsi="Arial" w:cs="Arial"/>
        </w:rPr>
        <w:t>terbuka</w:t>
      </w:r>
      <w:proofErr w:type="spellEnd"/>
      <w:r w:rsidRPr="00746A3D">
        <w:rPr>
          <w:rFonts w:ascii="Arial" w:hAnsi="Arial" w:cs="Arial"/>
        </w:rPr>
        <w:t xml:space="preserve"> </w:t>
      </w:r>
      <w:proofErr w:type="spellStart"/>
      <w:r w:rsidRPr="00746A3D">
        <w:rPr>
          <w:rFonts w:ascii="Arial" w:hAnsi="Arial" w:cs="Arial"/>
        </w:rPr>
        <w:t>hijau</w:t>
      </w:r>
      <w:proofErr w:type="spellEnd"/>
      <w:r w:rsidRPr="00746A3D">
        <w:rPr>
          <w:rFonts w:ascii="Arial" w:hAnsi="Arial" w:cs="Arial"/>
        </w:rPr>
        <w:t xml:space="preserve"> </w:t>
      </w:r>
      <w:proofErr w:type="spellStart"/>
      <w:r w:rsidRPr="00746A3D">
        <w:rPr>
          <w:rFonts w:ascii="Arial" w:hAnsi="Arial" w:cs="Arial"/>
        </w:rPr>
        <w:t>publik</w:t>
      </w:r>
      <w:proofErr w:type="spellEnd"/>
      <w:r w:rsidRPr="00746A3D">
        <w:rPr>
          <w:rFonts w:ascii="Arial" w:hAnsi="Arial" w:cs="Arial"/>
        </w:rPr>
        <w:t xml:space="preserve"> di </w:t>
      </w:r>
      <w:proofErr w:type="spellStart"/>
      <w:r w:rsidRPr="00746A3D">
        <w:rPr>
          <w:rFonts w:ascii="Arial" w:hAnsi="Arial" w:cs="Arial"/>
        </w:rPr>
        <w:t>Kecamatan</w:t>
      </w:r>
      <w:proofErr w:type="spellEnd"/>
      <w:r w:rsidRPr="00746A3D">
        <w:rPr>
          <w:rFonts w:ascii="Arial" w:hAnsi="Arial" w:cs="Arial"/>
        </w:rPr>
        <w:t xml:space="preserve"> </w:t>
      </w:r>
      <w:proofErr w:type="spellStart"/>
      <w:r w:rsidRPr="00746A3D">
        <w:rPr>
          <w:rFonts w:ascii="Arial" w:hAnsi="Arial" w:cs="Arial"/>
        </w:rPr>
        <w:t>Umbulharjo</w:t>
      </w:r>
      <w:proofErr w:type="spellEnd"/>
      <w:r w:rsidRPr="00746A3D">
        <w:rPr>
          <w:rFonts w:ascii="Arial" w:hAnsi="Arial" w:cs="Arial"/>
        </w:rPr>
        <w:t xml:space="preserve">, Kota Yogyakarta [Community participation in managing public green open spaces in </w:t>
      </w:r>
      <w:proofErr w:type="spellStart"/>
      <w:r w:rsidRPr="00746A3D">
        <w:rPr>
          <w:rFonts w:ascii="Arial" w:hAnsi="Arial" w:cs="Arial"/>
        </w:rPr>
        <w:t>Umbulharjo</w:t>
      </w:r>
      <w:proofErr w:type="spellEnd"/>
      <w:r w:rsidRPr="00746A3D">
        <w:rPr>
          <w:rFonts w:ascii="Arial" w:hAnsi="Arial" w:cs="Arial"/>
        </w:rPr>
        <w:t xml:space="preserve"> District, Yogyakarta City]. </w:t>
      </w:r>
      <w:proofErr w:type="spellStart"/>
      <w:r w:rsidRPr="00746A3D">
        <w:rPr>
          <w:rFonts w:ascii="Arial" w:hAnsi="Arial" w:cs="Arial"/>
          <w:i/>
          <w:iCs/>
        </w:rPr>
        <w:t>Jurnal</w:t>
      </w:r>
      <w:proofErr w:type="spellEnd"/>
      <w:r w:rsidRPr="00746A3D">
        <w:rPr>
          <w:rFonts w:ascii="Arial" w:hAnsi="Arial" w:cs="Arial"/>
          <w:i/>
          <w:iCs/>
        </w:rPr>
        <w:t xml:space="preserve"> </w:t>
      </w:r>
      <w:proofErr w:type="spellStart"/>
      <w:r w:rsidRPr="00746A3D">
        <w:rPr>
          <w:rFonts w:ascii="Arial" w:hAnsi="Arial" w:cs="Arial"/>
          <w:i/>
          <w:iCs/>
        </w:rPr>
        <w:t>Bumi</w:t>
      </w:r>
      <w:proofErr w:type="spellEnd"/>
      <w:r w:rsidRPr="00746A3D">
        <w:rPr>
          <w:rFonts w:ascii="Arial" w:hAnsi="Arial" w:cs="Arial"/>
          <w:i/>
          <w:iCs/>
        </w:rPr>
        <w:t xml:space="preserve"> Indonesia</w:t>
      </w:r>
      <w:r w:rsidRPr="00746A3D">
        <w:rPr>
          <w:rFonts w:ascii="Arial" w:hAnsi="Arial" w:cs="Arial"/>
        </w:rPr>
        <w:t>.</w:t>
      </w:r>
    </w:p>
    <w:p w14:paraId="1F0BEDCC" w14:textId="77777777" w:rsidR="00746A3D" w:rsidRPr="00746A3D" w:rsidRDefault="00746A3D" w:rsidP="00746A3D">
      <w:pPr>
        <w:ind w:left="567" w:hanging="567"/>
        <w:jc w:val="both"/>
        <w:rPr>
          <w:rFonts w:ascii="Arial" w:hAnsi="Arial" w:cs="Arial"/>
        </w:rPr>
      </w:pPr>
      <w:proofErr w:type="spellStart"/>
      <w:r w:rsidRPr="00746A3D">
        <w:rPr>
          <w:rFonts w:ascii="Arial" w:hAnsi="Arial" w:cs="Arial"/>
        </w:rPr>
        <w:lastRenderedPageBreak/>
        <w:t>Setiyadi</w:t>
      </w:r>
      <w:proofErr w:type="spellEnd"/>
      <w:r w:rsidRPr="00746A3D">
        <w:rPr>
          <w:rFonts w:ascii="Arial" w:hAnsi="Arial" w:cs="Arial"/>
        </w:rPr>
        <w:t xml:space="preserve">, I. (2022). </w:t>
      </w:r>
      <w:proofErr w:type="spellStart"/>
      <w:r w:rsidRPr="00746A3D">
        <w:rPr>
          <w:rFonts w:ascii="Arial" w:hAnsi="Arial" w:cs="Arial"/>
          <w:i/>
          <w:iCs/>
        </w:rPr>
        <w:t>Konsep</w:t>
      </w:r>
      <w:proofErr w:type="spellEnd"/>
      <w:r w:rsidRPr="00746A3D">
        <w:rPr>
          <w:rFonts w:ascii="Arial" w:hAnsi="Arial" w:cs="Arial"/>
          <w:i/>
          <w:iCs/>
        </w:rPr>
        <w:t xml:space="preserve"> </w:t>
      </w:r>
      <w:proofErr w:type="spellStart"/>
      <w:r w:rsidRPr="00746A3D">
        <w:rPr>
          <w:rFonts w:ascii="Arial" w:hAnsi="Arial" w:cs="Arial"/>
          <w:i/>
          <w:iCs/>
        </w:rPr>
        <w:t>pengembangan</w:t>
      </w:r>
      <w:proofErr w:type="spellEnd"/>
      <w:r w:rsidRPr="00746A3D">
        <w:rPr>
          <w:rFonts w:ascii="Arial" w:hAnsi="Arial" w:cs="Arial"/>
          <w:i/>
          <w:iCs/>
        </w:rPr>
        <w:t xml:space="preserve"> </w:t>
      </w:r>
      <w:proofErr w:type="spellStart"/>
      <w:r w:rsidRPr="00746A3D">
        <w:rPr>
          <w:rFonts w:ascii="Arial" w:hAnsi="Arial" w:cs="Arial"/>
          <w:i/>
          <w:iCs/>
        </w:rPr>
        <w:t>ruang</w:t>
      </w:r>
      <w:proofErr w:type="spellEnd"/>
      <w:r w:rsidRPr="00746A3D">
        <w:rPr>
          <w:rFonts w:ascii="Arial" w:hAnsi="Arial" w:cs="Arial"/>
          <w:i/>
          <w:iCs/>
        </w:rPr>
        <w:t xml:space="preserve"> </w:t>
      </w:r>
      <w:proofErr w:type="spellStart"/>
      <w:r w:rsidRPr="00746A3D">
        <w:rPr>
          <w:rFonts w:ascii="Arial" w:hAnsi="Arial" w:cs="Arial"/>
          <w:i/>
          <w:iCs/>
        </w:rPr>
        <w:t>terbuka</w:t>
      </w:r>
      <w:proofErr w:type="spellEnd"/>
      <w:r w:rsidRPr="00746A3D">
        <w:rPr>
          <w:rFonts w:ascii="Arial" w:hAnsi="Arial" w:cs="Arial"/>
          <w:i/>
          <w:iCs/>
        </w:rPr>
        <w:t xml:space="preserve"> </w:t>
      </w:r>
      <w:proofErr w:type="spellStart"/>
      <w:r w:rsidRPr="00746A3D">
        <w:rPr>
          <w:rFonts w:ascii="Arial" w:hAnsi="Arial" w:cs="Arial"/>
          <w:i/>
          <w:iCs/>
        </w:rPr>
        <w:t>hijau</w:t>
      </w:r>
      <w:proofErr w:type="spellEnd"/>
      <w:r w:rsidRPr="00746A3D">
        <w:rPr>
          <w:rFonts w:ascii="Arial" w:hAnsi="Arial" w:cs="Arial"/>
          <w:i/>
          <w:iCs/>
        </w:rPr>
        <w:t xml:space="preserve"> (RTH) di </w:t>
      </w:r>
      <w:proofErr w:type="spellStart"/>
      <w:r w:rsidRPr="00746A3D">
        <w:rPr>
          <w:rFonts w:ascii="Arial" w:hAnsi="Arial" w:cs="Arial"/>
          <w:i/>
          <w:iCs/>
        </w:rPr>
        <w:t>Kecamatan</w:t>
      </w:r>
      <w:proofErr w:type="spellEnd"/>
      <w:r w:rsidRPr="00746A3D">
        <w:rPr>
          <w:rFonts w:ascii="Arial" w:hAnsi="Arial" w:cs="Arial"/>
          <w:i/>
          <w:iCs/>
        </w:rPr>
        <w:t xml:space="preserve"> Kuantan Tengah</w:t>
      </w:r>
      <w:r w:rsidRPr="00746A3D">
        <w:rPr>
          <w:rFonts w:ascii="Arial" w:hAnsi="Arial" w:cs="Arial"/>
        </w:rPr>
        <w:t xml:space="preserve"> [Concept of green open space development in Kuantan Tengah District] (Undergraduate thesis, Universitas Islam Riau).</w:t>
      </w:r>
    </w:p>
    <w:p w14:paraId="27AE5E23" w14:textId="77777777" w:rsidR="00746A3D" w:rsidRPr="00746A3D" w:rsidRDefault="00746A3D" w:rsidP="00746A3D">
      <w:pPr>
        <w:ind w:left="567" w:hanging="567"/>
        <w:jc w:val="both"/>
        <w:rPr>
          <w:rFonts w:ascii="Arial" w:hAnsi="Arial" w:cs="Arial"/>
          <w:lang w:val="fi-FI"/>
        </w:rPr>
      </w:pPr>
      <w:r w:rsidRPr="00746A3D">
        <w:rPr>
          <w:rFonts w:ascii="Arial" w:hAnsi="Arial" w:cs="Arial"/>
          <w:lang w:val="fi-FI"/>
        </w:rPr>
        <w:t xml:space="preserve">Setyani, W., Sitorus, S. R. P., &amp; Panuju, D. R. (2017). </w:t>
      </w:r>
      <w:proofErr w:type="spellStart"/>
      <w:r w:rsidRPr="00746A3D">
        <w:rPr>
          <w:rFonts w:ascii="Arial" w:hAnsi="Arial" w:cs="Arial"/>
        </w:rPr>
        <w:t>Analisis</w:t>
      </w:r>
      <w:proofErr w:type="spellEnd"/>
      <w:r w:rsidRPr="00746A3D">
        <w:rPr>
          <w:rFonts w:ascii="Arial" w:hAnsi="Arial" w:cs="Arial"/>
        </w:rPr>
        <w:t xml:space="preserve"> </w:t>
      </w:r>
      <w:proofErr w:type="spellStart"/>
      <w:r w:rsidRPr="00746A3D">
        <w:rPr>
          <w:rFonts w:ascii="Arial" w:hAnsi="Arial" w:cs="Arial"/>
        </w:rPr>
        <w:t>ruang</w:t>
      </w:r>
      <w:proofErr w:type="spellEnd"/>
      <w:r w:rsidRPr="00746A3D">
        <w:rPr>
          <w:rFonts w:ascii="Arial" w:hAnsi="Arial" w:cs="Arial"/>
        </w:rPr>
        <w:t xml:space="preserve"> </w:t>
      </w:r>
      <w:proofErr w:type="spellStart"/>
      <w:r w:rsidRPr="00746A3D">
        <w:rPr>
          <w:rFonts w:ascii="Arial" w:hAnsi="Arial" w:cs="Arial"/>
        </w:rPr>
        <w:t>terbuka</w:t>
      </w:r>
      <w:proofErr w:type="spellEnd"/>
      <w:r w:rsidRPr="00746A3D">
        <w:rPr>
          <w:rFonts w:ascii="Arial" w:hAnsi="Arial" w:cs="Arial"/>
        </w:rPr>
        <w:t xml:space="preserve"> </w:t>
      </w:r>
      <w:proofErr w:type="spellStart"/>
      <w:r w:rsidRPr="00746A3D">
        <w:rPr>
          <w:rFonts w:ascii="Arial" w:hAnsi="Arial" w:cs="Arial"/>
        </w:rPr>
        <w:t>hijau</w:t>
      </w:r>
      <w:proofErr w:type="spellEnd"/>
      <w:r w:rsidRPr="00746A3D">
        <w:rPr>
          <w:rFonts w:ascii="Arial" w:hAnsi="Arial" w:cs="Arial"/>
        </w:rPr>
        <w:t xml:space="preserve"> </w:t>
      </w:r>
      <w:proofErr w:type="spellStart"/>
      <w:r w:rsidRPr="00746A3D">
        <w:rPr>
          <w:rFonts w:ascii="Arial" w:hAnsi="Arial" w:cs="Arial"/>
        </w:rPr>
        <w:t>dan</w:t>
      </w:r>
      <w:proofErr w:type="spellEnd"/>
      <w:r w:rsidRPr="00746A3D">
        <w:rPr>
          <w:rFonts w:ascii="Arial" w:hAnsi="Arial" w:cs="Arial"/>
        </w:rPr>
        <w:t xml:space="preserve"> </w:t>
      </w:r>
      <w:proofErr w:type="spellStart"/>
      <w:r w:rsidRPr="00746A3D">
        <w:rPr>
          <w:rFonts w:ascii="Arial" w:hAnsi="Arial" w:cs="Arial"/>
        </w:rPr>
        <w:t>kecukupannya</w:t>
      </w:r>
      <w:proofErr w:type="spellEnd"/>
      <w:r w:rsidRPr="00746A3D">
        <w:rPr>
          <w:rFonts w:ascii="Arial" w:hAnsi="Arial" w:cs="Arial"/>
        </w:rPr>
        <w:t xml:space="preserve"> di Kota </w:t>
      </w:r>
      <w:proofErr w:type="spellStart"/>
      <w:r w:rsidRPr="00746A3D">
        <w:rPr>
          <w:rFonts w:ascii="Arial" w:hAnsi="Arial" w:cs="Arial"/>
        </w:rPr>
        <w:t>Depok</w:t>
      </w:r>
      <w:proofErr w:type="spellEnd"/>
      <w:r w:rsidRPr="00746A3D">
        <w:rPr>
          <w:rFonts w:ascii="Arial" w:hAnsi="Arial" w:cs="Arial"/>
        </w:rPr>
        <w:t xml:space="preserve"> [Analysis of green open space and its adequacy in Depok City]. </w:t>
      </w:r>
      <w:r w:rsidRPr="00746A3D">
        <w:rPr>
          <w:rFonts w:ascii="Arial" w:hAnsi="Arial" w:cs="Arial"/>
          <w:i/>
          <w:iCs/>
          <w:lang w:val="fi-FI"/>
        </w:rPr>
        <w:t>Buletin Tanah dan Lahan, 1</w:t>
      </w:r>
      <w:r w:rsidRPr="00746A3D">
        <w:rPr>
          <w:rFonts w:ascii="Arial" w:hAnsi="Arial" w:cs="Arial"/>
          <w:lang w:val="fi-FI"/>
        </w:rPr>
        <w:t>(1), 121–127.</w:t>
      </w:r>
    </w:p>
    <w:p w14:paraId="675E32F0" w14:textId="77777777" w:rsidR="00746A3D" w:rsidRPr="00746A3D" w:rsidRDefault="00746A3D" w:rsidP="00746A3D">
      <w:pPr>
        <w:ind w:left="567" w:hanging="567"/>
        <w:jc w:val="both"/>
        <w:rPr>
          <w:rFonts w:ascii="Arial" w:hAnsi="Arial" w:cs="Arial"/>
        </w:rPr>
      </w:pPr>
      <w:r w:rsidRPr="00746A3D">
        <w:rPr>
          <w:rFonts w:ascii="Arial" w:hAnsi="Arial" w:cs="Arial"/>
          <w:lang w:val="fi-FI"/>
        </w:rPr>
        <w:t xml:space="preserve">Siregar, R. U., Sabrina, T., &amp; Lubis, S. N. (2024). </w:t>
      </w:r>
      <w:proofErr w:type="spellStart"/>
      <w:r w:rsidRPr="00746A3D">
        <w:rPr>
          <w:rFonts w:ascii="Arial" w:hAnsi="Arial" w:cs="Arial"/>
        </w:rPr>
        <w:t>Analisis</w:t>
      </w:r>
      <w:proofErr w:type="spellEnd"/>
      <w:r w:rsidRPr="00746A3D">
        <w:rPr>
          <w:rFonts w:ascii="Arial" w:hAnsi="Arial" w:cs="Arial"/>
        </w:rPr>
        <w:t xml:space="preserve"> </w:t>
      </w:r>
      <w:proofErr w:type="spellStart"/>
      <w:r w:rsidRPr="00746A3D">
        <w:rPr>
          <w:rFonts w:ascii="Arial" w:hAnsi="Arial" w:cs="Arial"/>
        </w:rPr>
        <w:t>pemenuhan</w:t>
      </w:r>
      <w:proofErr w:type="spellEnd"/>
      <w:r w:rsidRPr="00746A3D">
        <w:rPr>
          <w:rFonts w:ascii="Arial" w:hAnsi="Arial" w:cs="Arial"/>
        </w:rPr>
        <w:t xml:space="preserve"> </w:t>
      </w:r>
      <w:proofErr w:type="spellStart"/>
      <w:r w:rsidRPr="00746A3D">
        <w:rPr>
          <w:rFonts w:ascii="Arial" w:hAnsi="Arial" w:cs="Arial"/>
        </w:rPr>
        <w:t>kebutuhan</w:t>
      </w:r>
      <w:proofErr w:type="spellEnd"/>
      <w:r w:rsidRPr="00746A3D">
        <w:rPr>
          <w:rFonts w:ascii="Arial" w:hAnsi="Arial" w:cs="Arial"/>
        </w:rPr>
        <w:t xml:space="preserve"> </w:t>
      </w:r>
      <w:proofErr w:type="spellStart"/>
      <w:r w:rsidRPr="00746A3D">
        <w:rPr>
          <w:rFonts w:ascii="Arial" w:hAnsi="Arial" w:cs="Arial"/>
        </w:rPr>
        <w:t>ruang</w:t>
      </w:r>
      <w:proofErr w:type="spellEnd"/>
      <w:r w:rsidRPr="00746A3D">
        <w:rPr>
          <w:rFonts w:ascii="Arial" w:hAnsi="Arial" w:cs="Arial"/>
        </w:rPr>
        <w:t xml:space="preserve"> </w:t>
      </w:r>
      <w:proofErr w:type="spellStart"/>
      <w:r w:rsidRPr="00746A3D">
        <w:rPr>
          <w:rFonts w:ascii="Arial" w:hAnsi="Arial" w:cs="Arial"/>
        </w:rPr>
        <w:t>terbuka</w:t>
      </w:r>
      <w:proofErr w:type="spellEnd"/>
      <w:r w:rsidRPr="00746A3D">
        <w:rPr>
          <w:rFonts w:ascii="Arial" w:hAnsi="Arial" w:cs="Arial"/>
        </w:rPr>
        <w:t xml:space="preserve"> </w:t>
      </w:r>
      <w:proofErr w:type="spellStart"/>
      <w:r w:rsidRPr="00746A3D">
        <w:rPr>
          <w:rFonts w:ascii="Arial" w:hAnsi="Arial" w:cs="Arial"/>
        </w:rPr>
        <w:t>hijau</w:t>
      </w:r>
      <w:proofErr w:type="spellEnd"/>
      <w:r w:rsidRPr="00746A3D">
        <w:rPr>
          <w:rFonts w:ascii="Arial" w:hAnsi="Arial" w:cs="Arial"/>
        </w:rPr>
        <w:t xml:space="preserve"> Kota Medan [Analysis of green open space provision in Medan City]. </w:t>
      </w:r>
      <w:proofErr w:type="spellStart"/>
      <w:r w:rsidRPr="00746A3D">
        <w:rPr>
          <w:rFonts w:ascii="Arial" w:hAnsi="Arial" w:cs="Arial"/>
          <w:i/>
          <w:iCs/>
        </w:rPr>
        <w:t>Jurnal</w:t>
      </w:r>
      <w:proofErr w:type="spellEnd"/>
      <w:r w:rsidRPr="00746A3D">
        <w:rPr>
          <w:rFonts w:ascii="Arial" w:hAnsi="Arial" w:cs="Arial"/>
          <w:i/>
          <w:iCs/>
        </w:rPr>
        <w:t xml:space="preserve"> </w:t>
      </w:r>
      <w:proofErr w:type="spellStart"/>
      <w:r w:rsidRPr="00746A3D">
        <w:rPr>
          <w:rFonts w:ascii="Arial" w:hAnsi="Arial" w:cs="Arial"/>
          <w:i/>
          <w:iCs/>
        </w:rPr>
        <w:t>Ilmiah</w:t>
      </w:r>
      <w:proofErr w:type="spellEnd"/>
      <w:r w:rsidRPr="00746A3D">
        <w:rPr>
          <w:rFonts w:ascii="Arial" w:hAnsi="Arial" w:cs="Arial"/>
          <w:i/>
          <w:iCs/>
        </w:rPr>
        <w:t xml:space="preserve"> Global Education, 5</w:t>
      </w:r>
      <w:r w:rsidRPr="00746A3D">
        <w:rPr>
          <w:rFonts w:ascii="Arial" w:hAnsi="Arial" w:cs="Arial"/>
        </w:rPr>
        <w:t xml:space="preserve">(1), 442–454. </w:t>
      </w:r>
      <w:hyperlink r:id="rId12" w:tgtFrame="_new" w:history="1">
        <w:r w:rsidRPr="00746A3D">
          <w:rPr>
            <w:rStyle w:val="Hyperlink"/>
            <w:rFonts w:ascii="Arial" w:hAnsi="Arial" w:cs="Arial"/>
          </w:rPr>
          <w:t>https://doi.org/10.55681/jige.v5i1.2470</w:t>
        </w:r>
      </w:hyperlink>
    </w:p>
    <w:p w14:paraId="40526350" w14:textId="77777777" w:rsidR="00746A3D" w:rsidRPr="00746A3D" w:rsidRDefault="00746A3D" w:rsidP="00746A3D">
      <w:pPr>
        <w:ind w:left="567" w:hanging="567"/>
        <w:jc w:val="both"/>
        <w:rPr>
          <w:rFonts w:ascii="Arial" w:hAnsi="Arial" w:cs="Arial"/>
        </w:rPr>
      </w:pPr>
      <w:r w:rsidRPr="00746A3D">
        <w:rPr>
          <w:rFonts w:ascii="Arial" w:hAnsi="Arial" w:cs="Arial"/>
        </w:rPr>
        <w:t xml:space="preserve">Ugar, F. N. (2022). </w:t>
      </w:r>
      <w:proofErr w:type="spellStart"/>
      <w:r w:rsidRPr="00746A3D">
        <w:rPr>
          <w:rFonts w:ascii="Arial" w:hAnsi="Arial" w:cs="Arial"/>
          <w:i/>
          <w:iCs/>
        </w:rPr>
        <w:t>Partisipasi</w:t>
      </w:r>
      <w:proofErr w:type="spellEnd"/>
      <w:r w:rsidRPr="00746A3D">
        <w:rPr>
          <w:rFonts w:ascii="Arial" w:hAnsi="Arial" w:cs="Arial"/>
          <w:i/>
          <w:iCs/>
        </w:rPr>
        <w:t xml:space="preserve"> </w:t>
      </w:r>
      <w:proofErr w:type="spellStart"/>
      <w:r w:rsidRPr="00746A3D">
        <w:rPr>
          <w:rFonts w:ascii="Arial" w:hAnsi="Arial" w:cs="Arial"/>
          <w:i/>
          <w:iCs/>
        </w:rPr>
        <w:t>masyarakat</w:t>
      </w:r>
      <w:proofErr w:type="spellEnd"/>
      <w:r w:rsidRPr="00746A3D">
        <w:rPr>
          <w:rFonts w:ascii="Arial" w:hAnsi="Arial" w:cs="Arial"/>
          <w:i/>
          <w:iCs/>
        </w:rPr>
        <w:t xml:space="preserve"> </w:t>
      </w:r>
      <w:proofErr w:type="spellStart"/>
      <w:r w:rsidRPr="00746A3D">
        <w:rPr>
          <w:rFonts w:ascii="Arial" w:hAnsi="Arial" w:cs="Arial"/>
          <w:i/>
          <w:iCs/>
        </w:rPr>
        <w:t>dalam</w:t>
      </w:r>
      <w:proofErr w:type="spellEnd"/>
      <w:r w:rsidRPr="00746A3D">
        <w:rPr>
          <w:rFonts w:ascii="Arial" w:hAnsi="Arial" w:cs="Arial"/>
          <w:i/>
          <w:iCs/>
        </w:rPr>
        <w:t xml:space="preserve"> </w:t>
      </w:r>
      <w:proofErr w:type="spellStart"/>
      <w:r w:rsidRPr="00746A3D">
        <w:rPr>
          <w:rFonts w:ascii="Arial" w:hAnsi="Arial" w:cs="Arial"/>
          <w:i/>
          <w:iCs/>
        </w:rPr>
        <w:t>pengelolaan</w:t>
      </w:r>
      <w:proofErr w:type="spellEnd"/>
      <w:r w:rsidRPr="00746A3D">
        <w:rPr>
          <w:rFonts w:ascii="Arial" w:hAnsi="Arial" w:cs="Arial"/>
          <w:i/>
          <w:iCs/>
        </w:rPr>
        <w:t xml:space="preserve"> </w:t>
      </w:r>
      <w:proofErr w:type="spellStart"/>
      <w:r w:rsidRPr="00746A3D">
        <w:rPr>
          <w:rFonts w:ascii="Arial" w:hAnsi="Arial" w:cs="Arial"/>
          <w:i/>
          <w:iCs/>
        </w:rPr>
        <w:t>ruang</w:t>
      </w:r>
      <w:proofErr w:type="spellEnd"/>
      <w:r w:rsidRPr="00746A3D">
        <w:rPr>
          <w:rFonts w:ascii="Arial" w:hAnsi="Arial" w:cs="Arial"/>
          <w:i/>
          <w:iCs/>
        </w:rPr>
        <w:t xml:space="preserve"> </w:t>
      </w:r>
      <w:proofErr w:type="spellStart"/>
      <w:r w:rsidRPr="00746A3D">
        <w:rPr>
          <w:rFonts w:ascii="Arial" w:hAnsi="Arial" w:cs="Arial"/>
          <w:i/>
          <w:iCs/>
        </w:rPr>
        <w:t>terbuka</w:t>
      </w:r>
      <w:proofErr w:type="spellEnd"/>
      <w:r w:rsidRPr="00746A3D">
        <w:rPr>
          <w:rFonts w:ascii="Arial" w:hAnsi="Arial" w:cs="Arial"/>
          <w:i/>
          <w:iCs/>
        </w:rPr>
        <w:t xml:space="preserve"> </w:t>
      </w:r>
      <w:proofErr w:type="spellStart"/>
      <w:r w:rsidRPr="00746A3D">
        <w:rPr>
          <w:rFonts w:ascii="Arial" w:hAnsi="Arial" w:cs="Arial"/>
          <w:i/>
          <w:iCs/>
        </w:rPr>
        <w:t>hijau</w:t>
      </w:r>
      <w:proofErr w:type="spellEnd"/>
      <w:r w:rsidRPr="00746A3D">
        <w:rPr>
          <w:rFonts w:ascii="Arial" w:hAnsi="Arial" w:cs="Arial"/>
          <w:i/>
          <w:iCs/>
        </w:rPr>
        <w:t xml:space="preserve"> </w:t>
      </w:r>
      <w:proofErr w:type="spellStart"/>
      <w:r w:rsidRPr="00746A3D">
        <w:rPr>
          <w:rFonts w:ascii="Arial" w:hAnsi="Arial" w:cs="Arial"/>
          <w:i/>
          <w:iCs/>
        </w:rPr>
        <w:t>perkotaan</w:t>
      </w:r>
      <w:proofErr w:type="spellEnd"/>
      <w:r w:rsidRPr="00746A3D">
        <w:rPr>
          <w:rFonts w:ascii="Arial" w:hAnsi="Arial" w:cs="Arial"/>
          <w:i/>
          <w:iCs/>
        </w:rPr>
        <w:t xml:space="preserve"> (</w:t>
      </w:r>
      <w:proofErr w:type="spellStart"/>
      <w:r w:rsidRPr="00746A3D">
        <w:rPr>
          <w:rFonts w:ascii="Arial" w:hAnsi="Arial" w:cs="Arial"/>
          <w:i/>
          <w:iCs/>
        </w:rPr>
        <w:t>studi</w:t>
      </w:r>
      <w:proofErr w:type="spellEnd"/>
      <w:r w:rsidRPr="00746A3D">
        <w:rPr>
          <w:rFonts w:ascii="Arial" w:hAnsi="Arial" w:cs="Arial"/>
          <w:i/>
          <w:iCs/>
        </w:rPr>
        <w:t xml:space="preserve"> </w:t>
      </w:r>
      <w:proofErr w:type="spellStart"/>
      <w:r w:rsidRPr="00746A3D">
        <w:rPr>
          <w:rFonts w:ascii="Arial" w:hAnsi="Arial" w:cs="Arial"/>
          <w:i/>
          <w:iCs/>
        </w:rPr>
        <w:t>kasus</w:t>
      </w:r>
      <w:proofErr w:type="spellEnd"/>
      <w:r w:rsidRPr="00746A3D">
        <w:rPr>
          <w:rFonts w:ascii="Arial" w:hAnsi="Arial" w:cs="Arial"/>
          <w:i/>
          <w:iCs/>
        </w:rPr>
        <w:t xml:space="preserve">: Sub </w:t>
      </w:r>
      <w:proofErr w:type="spellStart"/>
      <w:r w:rsidRPr="00746A3D">
        <w:rPr>
          <w:rFonts w:ascii="Arial" w:hAnsi="Arial" w:cs="Arial"/>
          <w:i/>
          <w:iCs/>
        </w:rPr>
        <w:t>Zona</w:t>
      </w:r>
      <w:proofErr w:type="spellEnd"/>
      <w:r w:rsidRPr="00746A3D">
        <w:rPr>
          <w:rFonts w:ascii="Arial" w:hAnsi="Arial" w:cs="Arial"/>
          <w:i/>
          <w:iCs/>
        </w:rPr>
        <w:t xml:space="preserve"> Taman Kota Fakfak)</w:t>
      </w:r>
      <w:r w:rsidRPr="00746A3D">
        <w:rPr>
          <w:rFonts w:ascii="Arial" w:hAnsi="Arial" w:cs="Arial"/>
        </w:rPr>
        <w:t xml:space="preserve"> [Community participation in urban green open space management: A case study of Fakfak City Park sub-zone] (Doctoral dissertation, </w:t>
      </w:r>
      <w:proofErr w:type="spellStart"/>
      <w:r w:rsidRPr="00746A3D">
        <w:rPr>
          <w:rFonts w:ascii="Arial" w:hAnsi="Arial" w:cs="Arial"/>
        </w:rPr>
        <w:t>Universitas</w:t>
      </w:r>
      <w:proofErr w:type="spellEnd"/>
      <w:r w:rsidRPr="00746A3D">
        <w:rPr>
          <w:rFonts w:ascii="Arial" w:hAnsi="Arial" w:cs="Arial"/>
        </w:rPr>
        <w:t xml:space="preserve"> </w:t>
      </w:r>
      <w:proofErr w:type="spellStart"/>
      <w:r w:rsidRPr="00746A3D">
        <w:rPr>
          <w:rFonts w:ascii="Arial" w:hAnsi="Arial" w:cs="Arial"/>
        </w:rPr>
        <w:t>Pasundan</w:t>
      </w:r>
      <w:proofErr w:type="spellEnd"/>
      <w:r w:rsidRPr="00746A3D">
        <w:rPr>
          <w:rFonts w:ascii="Arial" w:hAnsi="Arial" w:cs="Arial"/>
        </w:rPr>
        <w:t>).</w:t>
      </w:r>
    </w:p>
    <w:p w14:paraId="54CE1C6F" w14:textId="77777777" w:rsidR="00746A3D" w:rsidRPr="00746A3D" w:rsidRDefault="00746A3D" w:rsidP="00746A3D">
      <w:pPr>
        <w:ind w:left="567" w:hanging="567"/>
        <w:jc w:val="both"/>
        <w:rPr>
          <w:rFonts w:ascii="Arial" w:hAnsi="Arial" w:cs="Arial"/>
        </w:rPr>
      </w:pPr>
      <w:proofErr w:type="spellStart"/>
      <w:r w:rsidRPr="00746A3D">
        <w:rPr>
          <w:rFonts w:ascii="Arial" w:hAnsi="Arial" w:cs="Arial"/>
        </w:rPr>
        <w:t>Undang-Undang</w:t>
      </w:r>
      <w:proofErr w:type="spellEnd"/>
      <w:r w:rsidRPr="00746A3D">
        <w:rPr>
          <w:rFonts w:ascii="Arial" w:hAnsi="Arial" w:cs="Arial"/>
        </w:rPr>
        <w:t xml:space="preserve"> </w:t>
      </w:r>
      <w:proofErr w:type="spellStart"/>
      <w:r w:rsidRPr="00746A3D">
        <w:rPr>
          <w:rFonts w:ascii="Arial" w:hAnsi="Arial" w:cs="Arial"/>
        </w:rPr>
        <w:t>Republik</w:t>
      </w:r>
      <w:proofErr w:type="spellEnd"/>
      <w:r w:rsidRPr="00746A3D">
        <w:rPr>
          <w:rFonts w:ascii="Arial" w:hAnsi="Arial" w:cs="Arial"/>
        </w:rPr>
        <w:t xml:space="preserve"> Indonesia </w:t>
      </w:r>
      <w:proofErr w:type="spellStart"/>
      <w:r w:rsidRPr="00746A3D">
        <w:rPr>
          <w:rFonts w:ascii="Arial" w:hAnsi="Arial" w:cs="Arial"/>
        </w:rPr>
        <w:t>Nomor</w:t>
      </w:r>
      <w:proofErr w:type="spellEnd"/>
      <w:r w:rsidRPr="00746A3D">
        <w:rPr>
          <w:rFonts w:ascii="Arial" w:hAnsi="Arial" w:cs="Arial"/>
        </w:rPr>
        <w:t xml:space="preserve"> 26 </w:t>
      </w:r>
      <w:proofErr w:type="spellStart"/>
      <w:r w:rsidRPr="00746A3D">
        <w:rPr>
          <w:rFonts w:ascii="Arial" w:hAnsi="Arial" w:cs="Arial"/>
        </w:rPr>
        <w:t>Tahun</w:t>
      </w:r>
      <w:proofErr w:type="spellEnd"/>
      <w:r w:rsidRPr="00746A3D">
        <w:rPr>
          <w:rFonts w:ascii="Arial" w:hAnsi="Arial" w:cs="Arial"/>
        </w:rPr>
        <w:t xml:space="preserve"> 2007 </w:t>
      </w:r>
      <w:proofErr w:type="spellStart"/>
      <w:r w:rsidRPr="00746A3D">
        <w:rPr>
          <w:rFonts w:ascii="Arial" w:hAnsi="Arial" w:cs="Arial"/>
        </w:rPr>
        <w:t>tentang</w:t>
      </w:r>
      <w:proofErr w:type="spellEnd"/>
      <w:r w:rsidRPr="00746A3D">
        <w:rPr>
          <w:rFonts w:ascii="Arial" w:hAnsi="Arial" w:cs="Arial"/>
        </w:rPr>
        <w:t xml:space="preserve"> </w:t>
      </w:r>
      <w:proofErr w:type="spellStart"/>
      <w:r w:rsidRPr="00746A3D">
        <w:rPr>
          <w:rFonts w:ascii="Arial" w:hAnsi="Arial" w:cs="Arial"/>
        </w:rPr>
        <w:t>Penataan</w:t>
      </w:r>
      <w:proofErr w:type="spellEnd"/>
      <w:r w:rsidRPr="00746A3D">
        <w:rPr>
          <w:rFonts w:ascii="Arial" w:hAnsi="Arial" w:cs="Arial"/>
        </w:rPr>
        <w:t xml:space="preserve"> Ruang. (2007). [Law of the Republic of Indonesia Number 26 of 2007 on Spatial Planning].</w:t>
      </w:r>
    </w:p>
    <w:p w14:paraId="0225A3F9" w14:textId="77777777" w:rsidR="00746A3D" w:rsidRPr="00746A3D" w:rsidRDefault="00746A3D" w:rsidP="00746A3D">
      <w:pPr>
        <w:ind w:left="567" w:hanging="567"/>
        <w:jc w:val="both"/>
        <w:rPr>
          <w:rFonts w:ascii="Arial" w:hAnsi="Arial" w:cs="Arial"/>
        </w:rPr>
      </w:pPr>
      <w:proofErr w:type="spellStart"/>
      <w:r w:rsidRPr="00746A3D">
        <w:rPr>
          <w:rFonts w:ascii="Arial" w:hAnsi="Arial" w:cs="Arial"/>
        </w:rPr>
        <w:t>Peraturan</w:t>
      </w:r>
      <w:proofErr w:type="spellEnd"/>
      <w:r w:rsidRPr="00746A3D">
        <w:rPr>
          <w:rFonts w:ascii="Arial" w:hAnsi="Arial" w:cs="Arial"/>
        </w:rPr>
        <w:t xml:space="preserve"> </w:t>
      </w:r>
      <w:proofErr w:type="spellStart"/>
      <w:r w:rsidRPr="00746A3D">
        <w:rPr>
          <w:rFonts w:ascii="Arial" w:hAnsi="Arial" w:cs="Arial"/>
        </w:rPr>
        <w:t>Menteri</w:t>
      </w:r>
      <w:proofErr w:type="spellEnd"/>
      <w:r w:rsidRPr="00746A3D">
        <w:rPr>
          <w:rFonts w:ascii="Arial" w:hAnsi="Arial" w:cs="Arial"/>
        </w:rPr>
        <w:t xml:space="preserve"> </w:t>
      </w:r>
      <w:proofErr w:type="spellStart"/>
      <w:r w:rsidRPr="00746A3D">
        <w:rPr>
          <w:rFonts w:ascii="Arial" w:hAnsi="Arial" w:cs="Arial"/>
        </w:rPr>
        <w:t>Pekerjaan</w:t>
      </w:r>
      <w:proofErr w:type="spellEnd"/>
      <w:r w:rsidRPr="00746A3D">
        <w:rPr>
          <w:rFonts w:ascii="Arial" w:hAnsi="Arial" w:cs="Arial"/>
        </w:rPr>
        <w:t xml:space="preserve"> </w:t>
      </w:r>
      <w:proofErr w:type="spellStart"/>
      <w:r w:rsidRPr="00746A3D">
        <w:rPr>
          <w:rFonts w:ascii="Arial" w:hAnsi="Arial" w:cs="Arial"/>
        </w:rPr>
        <w:t>Umum</w:t>
      </w:r>
      <w:proofErr w:type="spellEnd"/>
      <w:r w:rsidRPr="00746A3D">
        <w:rPr>
          <w:rFonts w:ascii="Arial" w:hAnsi="Arial" w:cs="Arial"/>
        </w:rPr>
        <w:t xml:space="preserve"> </w:t>
      </w:r>
      <w:proofErr w:type="spellStart"/>
      <w:r w:rsidRPr="00746A3D">
        <w:rPr>
          <w:rFonts w:ascii="Arial" w:hAnsi="Arial" w:cs="Arial"/>
        </w:rPr>
        <w:t>Republik</w:t>
      </w:r>
      <w:proofErr w:type="spellEnd"/>
      <w:r w:rsidRPr="00746A3D">
        <w:rPr>
          <w:rFonts w:ascii="Arial" w:hAnsi="Arial" w:cs="Arial"/>
        </w:rPr>
        <w:t xml:space="preserve"> Indonesia </w:t>
      </w:r>
      <w:proofErr w:type="spellStart"/>
      <w:r w:rsidRPr="00746A3D">
        <w:rPr>
          <w:rFonts w:ascii="Arial" w:hAnsi="Arial" w:cs="Arial"/>
        </w:rPr>
        <w:t>Nomor</w:t>
      </w:r>
      <w:proofErr w:type="spellEnd"/>
      <w:r w:rsidRPr="00746A3D">
        <w:rPr>
          <w:rFonts w:ascii="Arial" w:hAnsi="Arial" w:cs="Arial"/>
        </w:rPr>
        <w:t xml:space="preserve"> 5 </w:t>
      </w:r>
      <w:proofErr w:type="spellStart"/>
      <w:r w:rsidRPr="00746A3D">
        <w:rPr>
          <w:rFonts w:ascii="Arial" w:hAnsi="Arial" w:cs="Arial"/>
        </w:rPr>
        <w:t>Tahun</w:t>
      </w:r>
      <w:proofErr w:type="spellEnd"/>
      <w:r w:rsidRPr="00746A3D">
        <w:rPr>
          <w:rFonts w:ascii="Arial" w:hAnsi="Arial" w:cs="Arial"/>
        </w:rPr>
        <w:t xml:space="preserve"> 2008 </w:t>
      </w:r>
      <w:proofErr w:type="spellStart"/>
      <w:r w:rsidRPr="00746A3D">
        <w:rPr>
          <w:rFonts w:ascii="Arial" w:hAnsi="Arial" w:cs="Arial"/>
        </w:rPr>
        <w:t>tentang</w:t>
      </w:r>
      <w:proofErr w:type="spellEnd"/>
      <w:r w:rsidRPr="00746A3D">
        <w:rPr>
          <w:rFonts w:ascii="Arial" w:hAnsi="Arial" w:cs="Arial"/>
        </w:rPr>
        <w:t xml:space="preserve"> </w:t>
      </w:r>
      <w:proofErr w:type="spellStart"/>
      <w:r w:rsidRPr="00746A3D">
        <w:rPr>
          <w:rFonts w:ascii="Arial" w:hAnsi="Arial" w:cs="Arial"/>
        </w:rPr>
        <w:t>Pedoman</w:t>
      </w:r>
      <w:proofErr w:type="spellEnd"/>
      <w:r w:rsidRPr="00746A3D">
        <w:rPr>
          <w:rFonts w:ascii="Arial" w:hAnsi="Arial" w:cs="Arial"/>
        </w:rPr>
        <w:t xml:space="preserve"> </w:t>
      </w:r>
      <w:proofErr w:type="spellStart"/>
      <w:r w:rsidRPr="00746A3D">
        <w:rPr>
          <w:rFonts w:ascii="Arial" w:hAnsi="Arial" w:cs="Arial"/>
        </w:rPr>
        <w:t>Penyediaan</w:t>
      </w:r>
      <w:proofErr w:type="spellEnd"/>
      <w:r w:rsidRPr="00746A3D">
        <w:rPr>
          <w:rFonts w:ascii="Arial" w:hAnsi="Arial" w:cs="Arial"/>
        </w:rPr>
        <w:t xml:space="preserve"> </w:t>
      </w:r>
      <w:proofErr w:type="spellStart"/>
      <w:r w:rsidRPr="00746A3D">
        <w:rPr>
          <w:rFonts w:ascii="Arial" w:hAnsi="Arial" w:cs="Arial"/>
        </w:rPr>
        <w:t>dan</w:t>
      </w:r>
      <w:proofErr w:type="spellEnd"/>
      <w:r w:rsidRPr="00746A3D">
        <w:rPr>
          <w:rFonts w:ascii="Arial" w:hAnsi="Arial" w:cs="Arial"/>
        </w:rPr>
        <w:t xml:space="preserve"> </w:t>
      </w:r>
      <w:proofErr w:type="spellStart"/>
      <w:r w:rsidRPr="00746A3D">
        <w:rPr>
          <w:rFonts w:ascii="Arial" w:hAnsi="Arial" w:cs="Arial"/>
        </w:rPr>
        <w:t>Pemanfaatan</w:t>
      </w:r>
      <w:proofErr w:type="spellEnd"/>
      <w:r w:rsidRPr="00746A3D">
        <w:rPr>
          <w:rFonts w:ascii="Arial" w:hAnsi="Arial" w:cs="Arial"/>
        </w:rPr>
        <w:t xml:space="preserve"> </w:t>
      </w:r>
      <w:proofErr w:type="spellStart"/>
      <w:r w:rsidRPr="00746A3D">
        <w:rPr>
          <w:rFonts w:ascii="Arial" w:hAnsi="Arial" w:cs="Arial"/>
        </w:rPr>
        <w:t>Ruang</w:t>
      </w:r>
      <w:proofErr w:type="spellEnd"/>
      <w:r w:rsidRPr="00746A3D">
        <w:rPr>
          <w:rFonts w:ascii="Arial" w:hAnsi="Arial" w:cs="Arial"/>
        </w:rPr>
        <w:t xml:space="preserve"> Terbuka </w:t>
      </w:r>
      <w:proofErr w:type="spellStart"/>
      <w:r w:rsidRPr="00746A3D">
        <w:rPr>
          <w:rFonts w:ascii="Arial" w:hAnsi="Arial" w:cs="Arial"/>
        </w:rPr>
        <w:t>Hijau</w:t>
      </w:r>
      <w:proofErr w:type="spellEnd"/>
      <w:r w:rsidRPr="00746A3D">
        <w:rPr>
          <w:rFonts w:ascii="Arial" w:hAnsi="Arial" w:cs="Arial"/>
        </w:rPr>
        <w:t xml:space="preserve"> di </w:t>
      </w:r>
      <w:proofErr w:type="spellStart"/>
      <w:r w:rsidRPr="00746A3D">
        <w:rPr>
          <w:rFonts w:ascii="Arial" w:hAnsi="Arial" w:cs="Arial"/>
        </w:rPr>
        <w:t>Kawasan</w:t>
      </w:r>
      <w:proofErr w:type="spellEnd"/>
      <w:r w:rsidRPr="00746A3D">
        <w:rPr>
          <w:rFonts w:ascii="Arial" w:hAnsi="Arial" w:cs="Arial"/>
        </w:rPr>
        <w:t xml:space="preserve"> </w:t>
      </w:r>
      <w:proofErr w:type="spellStart"/>
      <w:r w:rsidRPr="00746A3D">
        <w:rPr>
          <w:rFonts w:ascii="Arial" w:hAnsi="Arial" w:cs="Arial"/>
        </w:rPr>
        <w:t>Perkotaan</w:t>
      </w:r>
      <w:proofErr w:type="spellEnd"/>
      <w:r w:rsidRPr="00746A3D">
        <w:rPr>
          <w:rFonts w:ascii="Arial" w:hAnsi="Arial" w:cs="Arial"/>
        </w:rPr>
        <w:t>. (2008). [Regulation of the Minister of Public Works Number 5 of 2008 on Guidelines for the Provision and Utilization of Green Open Space in Urban Areas].</w:t>
      </w:r>
    </w:p>
    <w:p w14:paraId="4F330556" w14:textId="0234C92C" w:rsidR="00286FDD" w:rsidRPr="00647437" w:rsidRDefault="00286FDD" w:rsidP="001E3541">
      <w:pPr>
        <w:jc w:val="both"/>
        <w:rPr>
          <w:rFonts w:ascii="Arial" w:hAnsi="Arial" w:cs="Arial"/>
        </w:rPr>
      </w:pPr>
    </w:p>
    <w:p w14:paraId="76D8BEC5" w14:textId="77777777" w:rsidR="001E3541" w:rsidRPr="00647437" w:rsidRDefault="001E3541" w:rsidP="001E3541">
      <w:pPr>
        <w:jc w:val="both"/>
        <w:rPr>
          <w:rFonts w:ascii="Arial" w:hAnsi="Arial" w:cs="Arial"/>
        </w:rPr>
      </w:pPr>
    </w:p>
    <w:p w14:paraId="5E46E7E6" w14:textId="77777777" w:rsidR="001E3541" w:rsidRPr="00647437" w:rsidRDefault="001E3541" w:rsidP="001E3541">
      <w:pPr>
        <w:jc w:val="both"/>
        <w:rPr>
          <w:rFonts w:ascii="Arial" w:hAnsi="Arial" w:cs="Arial"/>
        </w:rPr>
      </w:pPr>
    </w:p>
    <w:sectPr w:rsidR="001E3541" w:rsidRPr="00647437">
      <w:headerReference w:type="even" r:id="rId13"/>
      <w:headerReference w:type="default" r:id="rId14"/>
      <w:footerReference w:type="even" r:id="rId15"/>
      <w:footerReference w:type="default" r:id="rId16"/>
      <w:headerReference w:type="first" r:id="rId17"/>
      <w:footerReference w:type="first" r:id="rId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7C68B11" w14:textId="77777777" w:rsidR="004D6BA4" w:rsidRDefault="004D6BA4" w:rsidP="00ED6707">
      <w:pPr>
        <w:spacing w:after="0" w:line="240" w:lineRule="auto"/>
      </w:pPr>
      <w:r>
        <w:separator/>
      </w:r>
    </w:p>
  </w:endnote>
  <w:endnote w:type="continuationSeparator" w:id="0">
    <w:p w14:paraId="2B90F00B" w14:textId="77777777" w:rsidR="004D6BA4" w:rsidRDefault="004D6BA4" w:rsidP="00ED67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Arial"/>
    <w:charset w:val="00"/>
    <w:family w:val="swiss"/>
    <w:pitch w:val="variable"/>
    <w:sig w:usb0="00000001" w:usb1="00000003" w:usb2="00000000" w:usb3="00000000" w:csb0="0000019F" w:csb1="00000000"/>
  </w:font>
  <w:font w:name="Aptos Display">
    <w:altName w:val="Arial"/>
    <w:charset w:val="00"/>
    <w:family w:val="swiss"/>
    <w:pitch w:val="variable"/>
    <w:sig w:usb0="00000001"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461E0D" w14:textId="77777777" w:rsidR="00ED6707" w:rsidRDefault="00ED670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292E0B" w14:textId="77777777" w:rsidR="00ED6707" w:rsidRDefault="00ED670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5FEFEA" w14:textId="77777777" w:rsidR="00ED6707" w:rsidRDefault="00ED670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8A0FF68" w14:textId="77777777" w:rsidR="004D6BA4" w:rsidRDefault="004D6BA4" w:rsidP="00ED6707">
      <w:pPr>
        <w:spacing w:after="0" w:line="240" w:lineRule="auto"/>
      </w:pPr>
      <w:r>
        <w:separator/>
      </w:r>
    </w:p>
  </w:footnote>
  <w:footnote w:type="continuationSeparator" w:id="0">
    <w:p w14:paraId="4213DE9F" w14:textId="77777777" w:rsidR="004D6BA4" w:rsidRDefault="004D6BA4" w:rsidP="00ED670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7B342D" w14:textId="216DF459" w:rsidR="00ED6707" w:rsidRDefault="004D6BA4">
    <w:pPr>
      <w:pStyle w:val="Header"/>
    </w:pPr>
    <w:r>
      <w:rPr>
        <w:noProof/>
      </w:rPr>
      <w:pict w14:anchorId="5623407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6125079" o:spid="_x0000_s2050" type="#_x0000_t136" style="position:absolute;margin-left:0;margin-top:0;width:592.85pt;height:66.9pt;rotation:315;z-index:-251655168;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DD28EA" w14:textId="01E467DA" w:rsidR="00ED6707" w:rsidRDefault="004D6BA4">
    <w:pPr>
      <w:pStyle w:val="Header"/>
    </w:pPr>
    <w:r>
      <w:rPr>
        <w:noProof/>
      </w:rPr>
      <w:pict w14:anchorId="0B2ABEB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6125080" o:spid="_x0000_s2051" type="#_x0000_t136" style="position:absolute;margin-left:0;margin-top:0;width:592.85pt;height:66.9pt;rotation:315;z-index:-251653120;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C0EB75" w14:textId="5932ABA9" w:rsidR="00ED6707" w:rsidRDefault="004D6BA4">
    <w:pPr>
      <w:pStyle w:val="Header"/>
    </w:pPr>
    <w:r>
      <w:rPr>
        <w:noProof/>
      </w:rPr>
      <w:pict w14:anchorId="1B319BC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6125078" o:spid="_x0000_s2049" type="#_x0000_t136" style="position:absolute;margin-left:0;margin-top:0;width:592.85pt;height:66.9pt;rotation:315;z-index:-251657216;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9746EF"/>
    <w:multiLevelType w:val="multilevel"/>
    <w:tmpl w:val="ED7E83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CB53FA4"/>
    <w:multiLevelType w:val="multilevel"/>
    <w:tmpl w:val="5A2CC8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48C05EA"/>
    <w:multiLevelType w:val="multilevel"/>
    <w:tmpl w:val="0E0C57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97011F1"/>
    <w:multiLevelType w:val="multilevel"/>
    <w:tmpl w:val="0F9C22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3CA3102"/>
    <w:multiLevelType w:val="multilevel"/>
    <w:tmpl w:val="93FCA4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2B534B28"/>
    <w:multiLevelType w:val="multilevel"/>
    <w:tmpl w:val="E1A4F2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2CFA2EAE"/>
    <w:multiLevelType w:val="multilevel"/>
    <w:tmpl w:val="2C5E93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F465696"/>
    <w:multiLevelType w:val="multilevel"/>
    <w:tmpl w:val="0F1A9B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378950E9"/>
    <w:multiLevelType w:val="multilevel"/>
    <w:tmpl w:val="8EC0D1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D6769C4"/>
    <w:multiLevelType w:val="multilevel"/>
    <w:tmpl w:val="BC8015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39C6A41"/>
    <w:multiLevelType w:val="multilevel"/>
    <w:tmpl w:val="2820CD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48C7185"/>
    <w:multiLevelType w:val="multilevel"/>
    <w:tmpl w:val="99FCCCF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47931E4E"/>
    <w:multiLevelType w:val="multilevel"/>
    <w:tmpl w:val="B52C08D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4DEA4579"/>
    <w:multiLevelType w:val="multilevel"/>
    <w:tmpl w:val="D346AB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4A752B6"/>
    <w:multiLevelType w:val="multilevel"/>
    <w:tmpl w:val="9A08B7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4B7330D"/>
    <w:multiLevelType w:val="multilevel"/>
    <w:tmpl w:val="4B50C5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56C80DAF"/>
    <w:multiLevelType w:val="multilevel"/>
    <w:tmpl w:val="2B8628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9BC42E8"/>
    <w:multiLevelType w:val="multilevel"/>
    <w:tmpl w:val="09A0B6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5C51686A"/>
    <w:multiLevelType w:val="multilevel"/>
    <w:tmpl w:val="CA1665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6BB309B4"/>
    <w:multiLevelType w:val="multilevel"/>
    <w:tmpl w:val="D612FC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E020706"/>
    <w:multiLevelType w:val="multilevel"/>
    <w:tmpl w:val="4E4C32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71412C26"/>
    <w:multiLevelType w:val="multilevel"/>
    <w:tmpl w:val="F45AD6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781C1506"/>
    <w:multiLevelType w:val="multilevel"/>
    <w:tmpl w:val="587E42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7BF131AF"/>
    <w:multiLevelType w:val="multilevel"/>
    <w:tmpl w:val="A8AEB7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
  </w:num>
  <w:num w:numId="2">
    <w:abstractNumId w:val="23"/>
  </w:num>
  <w:num w:numId="3">
    <w:abstractNumId w:val="13"/>
  </w:num>
  <w:num w:numId="4">
    <w:abstractNumId w:val="9"/>
  </w:num>
  <w:num w:numId="5">
    <w:abstractNumId w:val="14"/>
  </w:num>
  <w:num w:numId="6">
    <w:abstractNumId w:val="16"/>
  </w:num>
  <w:num w:numId="7">
    <w:abstractNumId w:val="19"/>
  </w:num>
  <w:num w:numId="8">
    <w:abstractNumId w:val="12"/>
  </w:num>
  <w:num w:numId="9">
    <w:abstractNumId w:val="22"/>
  </w:num>
  <w:num w:numId="10">
    <w:abstractNumId w:val="15"/>
  </w:num>
  <w:num w:numId="11">
    <w:abstractNumId w:val="5"/>
  </w:num>
  <w:num w:numId="12">
    <w:abstractNumId w:val="7"/>
  </w:num>
  <w:num w:numId="13">
    <w:abstractNumId w:val="17"/>
  </w:num>
  <w:num w:numId="14">
    <w:abstractNumId w:val="2"/>
  </w:num>
  <w:num w:numId="15">
    <w:abstractNumId w:val="10"/>
  </w:num>
  <w:num w:numId="16">
    <w:abstractNumId w:val="0"/>
  </w:num>
  <w:num w:numId="17">
    <w:abstractNumId w:val="1"/>
  </w:num>
  <w:num w:numId="18">
    <w:abstractNumId w:val="3"/>
  </w:num>
  <w:num w:numId="19">
    <w:abstractNumId w:val="8"/>
  </w:num>
  <w:num w:numId="20">
    <w:abstractNumId w:val="4"/>
  </w:num>
  <w:num w:numId="21">
    <w:abstractNumId w:val="20"/>
  </w:num>
  <w:num w:numId="22">
    <w:abstractNumId w:val="18"/>
  </w:num>
  <w:num w:numId="23">
    <w:abstractNumId w:val="21"/>
  </w:num>
  <w:num w:numId="2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6FDD"/>
    <w:rsid w:val="0003017B"/>
    <w:rsid w:val="00077D32"/>
    <w:rsid w:val="00096E9F"/>
    <w:rsid w:val="000B59BC"/>
    <w:rsid w:val="000F092E"/>
    <w:rsid w:val="001505E1"/>
    <w:rsid w:val="001E3541"/>
    <w:rsid w:val="00203B96"/>
    <w:rsid w:val="0021063D"/>
    <w:rsid w:val="00273C19"/>
    <w:rsid w:val="00286FDD"/>
    <w:rsid w:val="002A3276"/>
    <w:rsid w:val="002A78FE"/>
    <w:rsid w:val="003115FF"/>
    <w:rsid w:val="0036662A"/>
    <w:rsid w:val="004021D2"/>
    <w:rsid w:val="00454B17"/>
    <w:rsid w:val="004867F7"/>
    <w:rsid w:val="004B3F72"/>
    <w:rsid w:val="004B64D4"/>
    <w:rsid w:val="004D6BA4"/>
    <w:rsid w:val="004F758B"/>
    <w:rsid w:val="00647437"/>
    <w:rsid w:val="006506EE"/>
    <w:rsid w:val="00746A3D"/>
    <w:rsid w:val="0078264E"/>
    <w:rsid w:val="00861A00"/>
    <w:rsid w:val="008F46E3"/>
    <w:rsid w:val="00923856"/>
    <w:rsid w:val="00A25DC0"/>
    <w:rsid w:val="00A60C53"/>
    <w:rsid w:val="00AE66CE"/>
    <w:rsid w:val="00B65688"/>
    <w:rsid w:val="00BA4F15"/>
    <w:rsid w:val="00BC13EE"/>
    <w:rsid w:val="00BE4296"/>
    <w:rsid w:val="00DE5766"/>
    <w:rsid w:val="00E4623A"/>
    <w:rsid w:val="00E7271F"/>
    <w:rsid w:val="00ED6707"/>
    <w:rsid w:val="00FE5A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B6E61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286FD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86FD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86FD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86FD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86FD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86FD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86FD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86FD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86FD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86FD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86FD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86FD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86FD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86FD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86FD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86FD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86FD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86FDD"/>
    <w:rPr>
      <w:rFonts w:eastAsiaTheme="majorEastAsia" w:cstheme="majorBidi"/>
      <w:color w:val="272727" w:themeColor="text1" w:themeTint="D8"/>
    </w:rPr>
  </w:style>
  <w:style w:type="paragraph" w:styleId="Title">
    <w:name w:val="Title"/>
    <w:basedOn w:val="Normal"/>
    <w:next w:val="Normal"/>
    <w:link w:val="TitleChar"/>
    <w:uiPriority w:val="10"/>
    <w:qFormat/>
    <w:rsid w:val="00286FD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86FD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86FD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86FD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86FDD"/>
    <w:pPr>
      <w:spacing w:before="160"/>
      <w:jc w:val="center"/>
    </w:pPr>
    <w:rPr>
      <w:i/>
      <w:iCs/>
      <w:color w:val="404040" w:themeColor="text1" w:themeTint="BF"/>
    </w:rPr>
  </w:style>
  <w:style w:type="character" w:customStyle="1" w:styleId="QuoteChar">
    <w:name w:val="Quote Char"/>
    <w:basedOn w:val="DefaultParagraphFont"/>
    <w:link w:val="Quote"/>
    <w:uiPriority w:val="29"/>
    <w:rsid w:val="00286FDD"/>
    <w:rPr>
      <w:i/>
      <w:iCs/>
      <w:color w:val="404040" w:themeColor="text1" w:themeTint="BF"/>
    </w:rPr>
  </w:style>
  <w:style w:type="paragraph" w:styleId="ListParagraph">
    <w:name w:val="List Paragraph"/>
    <w:basedOn w:val="Normal"/>
    <w:uiPriority w:val="34"/>
    <w:qFormat/>
    <w:rsid w:val="00286FDD"/>
    <w:pPr>
      <w:ind w:left="720"/>
      <w:contextualSpacing/>
    </w:pPr>
  </w:style>
  <w:style w:type="character" w:styleId="IntenseEmphasis">
    <w:name w:val="Intense Emphasis"/>
    <w:basedOn w:val="DefaultParagraphFont"/>
    <w:uiPriority w:val="21"/>
    <w:qFormat/>
    <w:rsid w:val="00286FDD"/>
    <w:rPr>
      <w:i/>
      <w:iCs/>
      <w:color w:val="0F4761" w:themeColor="accent1" w:themeShade="BF"/>
    </w:rPr>
  </w:style>
  <w:style w:type="paragraph" w:styleId="IntenseQuote">
    <w:name w:val="Intense Quote"/>
    <w:basedOn w:val="Normal"/>
    <w:next w:val="Normal"/>
    <w:link w:val="IntenseQuoteChar"/>
    <w:uiPriority w:val="30"/>
    <w:qFormat/>
    <w:rsid w:val="00286FD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86FDD"/>
    <w:rPr>
      <w:i/>
      <w:iCs/>
      <w:color w:val="0F4761" w:themeColor="accent1" w:themeShade="BF"/>
    </w:rPr>
  </w:style>
  <w:style w:type="character" w:styleId="IntenseReference">
    <w:name w:val="Intense Reference"/>
    <w:basedOn w:val="DefaultParagraphFont"/>
    <w:uiPriority w:val="32"/>
    <w:qFormat/>
    <w:rsid w:val="00286FDD"/>
    <w:rPr>
      <w:b/>
      <w:bCs/>
      <w:smallCaps/>
      <w:color w:val="0F4761" w:themeColor="accent1" w:themeShade="BF"/>
      <w:spacing w:val="5"/>
    </w:rPr>
  </w:style>
  <w:style w:type="character" w:styleId="Hyperlink">
    <w:name w:val="Hyperlink"/>
    <w:basedOn w:val="DefaultParagraphFont"/>
    <w:uiPriority w:val="99"/>
    <w:unhideWhenUsed/>
    <w:rsid w:val="00B65688"/>
    <w:rPr>
      <w:color w:val="467886" w:themeColor="hyperlink"/>
      <w:u w:val="single"/>
    </w:rPr>
  </w:style>
  <w:style w:type="character" w:customStyle="1" w:styleId="UnresolvedMention">
    <w:name w:val="Unresolved Mention"/>
    <w:basedOn w:val="DefaultParagraphFont"/>
    <w:uiPriority w:val="99"/>
    <w:semiHidden/>
    <w:unhideWhenUsed/>
    <w:rsid w:val="00B65688"/>
    <w:rPr>
      <w:color w:val="605E5C"/>
      <w:shd w:val="clear" w:color="auto" w:fill="E1DFDD"/>
    </w:rPr>
  </w:style>
  <w:style w:type="table" w:styleId="TableGrid">
    <w:name w:val="Table Grid"/>
    <w:basedOn w:val="TableNormal"/>
    <w:uiPriority w:val="39"/>
    <w:rsid w:val="00096E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D6707"/>
    <w:pPr>
      <w:tabs>
        <w:tab w:val="center" w:pos="4680"/>
        <w:tab w:val="right" w:pos="9360"/>
      </w:tabs>
      <w:spacing w:after="0" w:line="240" w:lineRule="auto"/>
    </w:pPr>
  </w:style>
  <w:style w:type="character" w:customStyle="1" w:styleId="HeaderChar">
    <w:name w:val="Header Char"/>
    <w:basedOn w:val="DefaultParagraphFont"/>
    <w:link w:val="Header"/>
    <w:uiPriority w:val="99"/>
    <w:rsid w:val="00ED6707"/>
  </w:style>
  <w:style w:type="paragraph" w:styleId="Footer">
    <w:name w:val="footer"/>
    <w:basedOn w:val="Normal"/>
    <w:link w:val="FooterChar"/>
    <w:uiPriority w:val="99"/>
    <w:unhideWhenUsed/>
    <w:rsid w:val="00ED6707"/>
    <w:pPr>
      <w:tabs>
        <w:tab w:val="center" w:pos="4680"/>
        <w:tab w:val="right" w:pos="9360"/>
      </w:tabs>
      <w:spacing w:after="0" w:line="240" w:lineRule="auto"/>
    </w:pPr>
  </w:style>
  <w:style w:type="character" w:customStyle="1" w:styleId="FooterChar">
    <w:name w:val="Footer Char"/>
    <w:basedOn w:val="DefaultParagraphFont"/>
    <w:link w:val="Footer"/>
    <w:uiPriority w:val="99"/>
    <w:rsid w:val="00ED6707"/>
  </w:style>
  <w:style w:type="paragraph" w:styleId="NormalWeb">
    <w:name w:val="Normal (Web)"/>
    <w:basedOn w:val="Normal"/>
    <w:uiPriority w:val="99"/>
    <w:semiHidden/>
    <w:unhideWhenUsed/>
    <w:rsid w:val="002A78FE"/>
    <w:rPr>
      <w:rFonts w:ascii="Times New Roman" w:hAnsi="Times New Roman"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286FD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86FD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86FD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86FD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86FD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86FD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86FD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86FD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86FD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86FD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86FD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86FD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86FD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86FD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86FD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86FD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86FD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86FDD"/>
    <w:rPr>
      <w:rFonts w:eastAsiaTheme="majorEastAsia" w:cstheme="majorBidi"/>
      <w:color w:val="272727" w:themeColor="text1" w:themeTint="D8"/>
    </w:rPr>
  </w:style>
  <w:style w:type="paragraph" w:styleId="Title">
    <w:name w:val="Title"/>
    <w:basedOn w:val="Normal"/>
    <w:next w:val="Normal"/>
    <w:link w:val="TitleChar"/>
    <w:uiPriority w:val="10"/>
    <w:qFormat/>
    <w:rsid w:val="00286FD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86FD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86FD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86FD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86FDD"/>
    <w:pPr>
      <w:spacing w:before="160"/>
      <w:jc w:val="center"/>
    </w:pPr>
    <w:rPr>
      <w:i/>
      <w:iCs/>
      <w:color w:val="404040" w:themeColor="text1" w:themeTint="BF"/>
    </w:rPr>
  </w:style>
  <w:style w:type="character" w:customStyle="1" w:styleId="QuoteChar">
    <w:name w:val="Quote Char"/>
    <w:basedOn w:val="DefaultParagraphFont"/>
    <w:link w:val="Quote"/>
    <w:uiPriority w:val="29"/>
    <w:rsid w:val="00286FDD"/>
    <w:rPr>
      <w:i/>
      <w:iCs/>
      <w:color w:val="404040" w:themeColor="text1" w:themeTint="BF"/>
    </w:rPr>
  </w:style>
  <w:style w:type="paragraph" w:styleId="ListParagraph">
    <w:name w:val="List Paragraph"/>
    <w:basedOn w:val="Normal"/>
    <w:uiPriority w:val="34"/>
    <w:qFormat/>
    <w:rsid w:val="00286FDD"/>
    <w:pPr>
      <w:ind w:left="720"/>
      <w:contextualSpacing/>
    </w:pPr>
  </w:style>
  <w:style w:type="character" w:styleId="IntenseEmphasis">
    <w:name w:val="Intense Emphasis"/>
    <w:basedOn w:val="DefaultParagraphFont"/>
    <w:uiPriority w:val="21"/>
    <w:qFormat/>
    <w:rsid w:val="00286FDD"/>
    <w:rPr>
      <w:i/>
      <w:iCs/>
      <w:color w:val="0F4761" w:themeColor="accent1" w:themeShade="BF"/>
    </w:rPr>
  </w:style>
  <w:style w:type="paragraph" w:styleId="IntenseQuote">
    <w:name w:val="Intense Quote"/>
    <w:basedOn w:val="Normal"/>
    <w:next w:val="Normal"/>
    <w:link w:val="IntenseQuoteChar"/>
    <w:uiPriority w:val="30"/>
    <w:qFormat/>
    <w:rsid w:val="00286FD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86FDD"/>
    <w:rPr>
      <w:i/>
      <w:iCs/>
      <w:color w:val="0F4761" w:themeColor="accent1" w:themeShade="BF"/>
    </w:rPr>
  </w:style>
  <w:style w:type="character" w:styleId="IntenseReference">
    <w:name w:val="Intense Reference"/>
    <w:basedOn w:val="DefaultParagraphFont"/>
    <w:uiPriority w:val="32"/>
    <w:qFormat/>
    <w:rsid w:val="00286FDD"/>
    <w:rPr>
      <w:b/>
      <w:bCs/>
      <w:smallCaps/>
      <w:color w:val="0F4761" w:themeColor="accent1" w:themeShade="BF"/>
      <w:spacing w:val="5"/>
    </w:rPr>
  </w:style>
  <w:style w:type="character" w:styleId="Hyperlink">
    <w:name w:val="Hyperlink"/>
    <w:basedOn w:val="DefaultParagraphFont"/>
    <w:uiPriority w:val="99"/>
    <w:unhideWhenUsed/>
    <w:rsid w:val="00B65688"/>
    <w:rPr>
      <w:color w:val="467886" w:themeColor="hyperlink"/>
      <w:u w:val="single"/>
    </w:rPr>
  </w:style>
  <w:style w:type="character" w:customStyle="1" w:styleId="UnresolvedMention">
    <w:name w:val="Unresolved Mention"/>
    <w:basedOn w:val="DefaultParagraphFont"/>
    <w:uiPriority w:val="99"/>
    <w:semiHidden/>
    <w:unhideWhenUsed/>
    <w:rsid w:val="00B65688"/>
    <w:rPr>
      <w:color w:val="605E5C"/>
      <w:shd w:val="clear" w:color="auto" w:fill="E1DFDD"/>
    </w:rPr>
  </w:style>
  <w:style w:type="table" w:styleId="TableGrid">
    <w:name w:val="Table Grid"/>
    <w:basedOn w:val="TableNormal"/>
    <w:uiPriority w:val="39"/>
    <w:rsid w:val="00096E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D6707"/>
    <w:pPr>
      <w:tabs>
        <w:tab w:val="center" w:pos="4680"/>
        <w:tab w:val="right" w:pos="9360"/>
      </w:tabs>
      <w:spacing w:after="0" w:line="240" w:lineRule="auto"/>
    </w:pPr>
  </w:style>
  <w:style w:type="character" w:customStyle="1" w:styleId="HeaderChar">
    <w:name w:val="Header Char"/>
    <w:basedOn w:val="DefaultParagraphFont"/>
    <w:link w:val="Header"/>
    <w:uiPriority w:val="99"/>
    <w:rsid w:val="00ED6707"/>
  </w:style>
  <w:style w:type="paragraph" w:styleId="Footer">
    <w:name w:val="footer"/>
    <w:basedOn w:val="Normal"/>
    <w:link w:val="FooterChar"/>
    <w:uiPriority w:val="99"/>
    <w:unhideWhenUsed/>
    <w:rsid w:val="00ED6707"/>
    <w:pPr>
      <w:tabs>
        <w:tab w:val="center" w:pos="4680"/>
        <w:tab w:val="right" w:pos="9360"/>
      </w:tabs>
      <w:spacing w:after="0" w:line="240" w:lineRule="auto"/>
    </w:pPr>
  </w:style>
  <w:style w:type="character" w:customStyle="1" w:styleId="FooterChar">
    <w:name w:val="Footer Char"/>
    <w:basedOn w:val="DefaultParagraphFont"/>
    <w:link w:val="Footer"/>
    <w:uiPriority w:val="99"/>
    <w:rsid w:val="00ED6707"/>
  </w:style>
  <w:style w:type="paragraph" w:styleId="NormalWeb">
    <w:name w:val="Normal (Web)"/>
    <w:basedOn w:val="Normal"/>
    <w:uiPriority w:val="99"/>
    <w:semiHidden/>
    <w:unhideWhenUsed/>
    <w:rsid w:val="002A78FE"/>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oter" Target="foot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s://doi.org/10.55681/jige.v5i1.2470" TargetMode="External"/><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doi.org/10.1093/pubmed/fdq068"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doi.org/10.1016/j.landurbplan.2003.08.003"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doi.org/10.14710/alj.v1i1.1-8" TargetMode="External"/><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xmlns=""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108</TotalTime>
  <Pages>19</Pages>
  <Words>6384</Words>
  <Characters>36394</Characters>
  <Application>Microsoft Office Word</Application>
  <DocSecurity>0</DocSecurity>
  <Lines>303</Lines>
  <Paragraphs>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42693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Software Solution</dc:creator>
  <cp:keywords/>
  <dc:description/>
  <cp:lastModifiedBy>SDI 1055</cp:lastModifiedBy>
  <cp:revision>26</cp:revision>
  <dcterms:created xsi:type="dcterms:W3CDTF">2025-11-19T16:34:00Z</dcterms:created>
  <dcterms:modified xsi:type="dcterms:W3CDTF">2025-12-04T06:18:00Z</dcterms:modified>
</cp:coreProperties>
</file>