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C7F" w:rsidRDefault="008B3C7F" w:rsidP="008B3C7F">
      <w:pPr>
        <w:pStyle w:val="Titre1"/>
        <w:rPr>
          <w:lang w:val="en-US"/>
        </w:rPr>
      </w:pPr>
      <w:r>
        <w:rPr>
          <w:lang w:val="en-US"/>
        </w:rPr>
        <w:t xml:space="preserve"> ICT Adoption and Subjective Well-Being in the Democratic Republic of Congo</w:t>
      </w:r>
    </w:p>
    <w:p w:rsidR="008B3C7F" w:rsidRDefault="008B3C7F" w:rsidP="00E874CF">
      <w:pPr>
        <w:rPr>
          <w:lang w:val="en-US"/>
        </w:rPr>
      </w:pPr>
    </w:p>
    <w:p w:rsidR="0055546B" w:rsidRDefault="0055546B" w:rsidP="00E874CF">
      <w:pPr>
        <w:rPr>
          <w:lang w:val="en-US"/>
        </w:rPr>
      </w:pPr>
    </w:p>
    <w:p w:rsidR="008B3C7F" w:rsidRDefault="008B3C7F" w:rsidP="008B3C7F">
      <w:pPr>
        <w:pStyle w:val="Titre1"/>
        <w:rPr>
          <w:lang w:val="en-US"/>
        </w:rPr>
      </w:pPr>
      <w:r>
        <w:rPr>
          <w:lang w:val="en-US"/>
        </w:rPr>
        <w:t>Abstract</w:t>
      </w:r>
    </w:p>
    <w:p w:rsidR="00E15D0C" w:rsidRDefault="00E15D0C" w:rsidP="008B3C7F">
      <w:pPr>
        <w:rPr>
          <w:lang w:val="en-US"/>
        </w:rPr>
      </w:pPr>
    </w:p>
    <w:p w:rsidR="008B3C7F" w:rsidRDefault="00585C8D" w:rsidP="008B3C7F">
      <w:pPr>
        <w:rPr>
          <w:lang w:val="en-US"/>
        </w:rPr>
      </w:pPr>
      <w:r w:rsidRPr="00585C8D">
        <w:rPr>
          <w:lang w:val="en-US"/>
        </w:rPr>
        <w:t>This paper investigates the effect of adopting information and communication technologies (ICTs) on the perception of happiness in the Democratic Republic of Congo (DRC), drawing on a dataset spanning the years 1993–2023. The choice of this timeframe is strictly guided by the availability and reliability of the variables employed, primarily sourced from the World Happiness Report and the World Bank’s World Development Indicators. The empirical analysis applies the Fully Modified Ordinary Least Squares (FM-OLS) method, which is particularly suitable for examining long-run time series dynamics, and reveals a strong, positive, and statistically significant relationship between ICT development and improvements in well-being in the DRC, with coefficients of 0.182**, 0.288***, 0.168***, 0.193***, 0.189***, and 0.165*** across the various model specifications. The persistence of these ICT coefficients suggests that even modest gains in digital access can generate meaningful effects on both individual and collective welfare, fostering greater opportunities for social and economic inclusion in a context characterized by structural fragility and relatively low income levels. The findings underscore that digital infrastructures should not be regarded merely as technical tools, but rather as strategic levers of social transformation and fundamental drivers of human development. Therefore, it is essential that public policies adopt an integrated strategy combining the expansion of digital infrastructure, the enhancement of human capital, the strengthening of financial inclusion, and the targeted allocation of resources toward high social-value sectors. Such a coordinated approach linking technological progress, economic dynamism, and institutional stability could become a key driver for the sustainable improvement of happiness in the DRC, transforming growth into tangible social progress for the entire population.</w:t>
      </w:r>
      <w:bookmarkStart w:id="0" w:name="_GoBack"/>
      <w:bookmarkEnd w:id="0"/>
    </w:p>
    <w:p w:rsidR="00F87F18" w:rsidRDefault="00F87F18" w:rsidP="008B3C7F">
      <w:pPr>
        <w:rPr>
          <w:lang w:val="en-US"/>
        </w:rPr>
      </w:pPr>
    </w:p>
    <w:p w:rsidR="00F87F18" w:rsidRPr="00BE302E" w:rsidRDefault="00F87F18" w:rsidP="00F87F18">
      <w:pPr>
        <w:rPr>
          <w:rFonts w:cs="Times New Roman"/>
          <w:b/>
          <w:szCs w:val="24"/>
        </w:rPr>
      </w:pPr>
      <w:r w:rsidRPr="00845661">
        <w:rPr>
          <w:rFonts w:cs="Times New Roman"/>
          <w:b/>
          <w:szCs w:val="24"/>
        </w:rPr>
        <w:t>Keywords</w:t>
      </w:r>
      <w:r>
        <w:rPr>
          <w:rFonts w:cs="Times New Roman"/>
          <w:b/>
          <w:szCs w:val="24"/>
        </w:rPr>
        <w:t xml:space="preserve"> : </w:t>
      </w:r>
      <w:r>
        <w:rPr>
          <w:rFonts w:cs="Times New Roman"/>
          <w:szCs w:val="24"/>
        </w:rPr>
        <w:t>ICT, Subjective</w:t>
      </w:r>
      <w:r w:rsidRPr="00845661">
        <w:rPr>
          <w:rFonts w:cs="Times New Roman"/>
          <w:szCs w:val="24"/>
        </w:rPr>
        <w:t xml:space="preserve"> well-being, </w:t>
      </w:r>
      <w:r w:rsidRPr="00DE2CC0">
        <w:rPr>
          <w:lang w:val="en-US"/>
        </w:rPr>
        <w:t>Fully Modified Ordinary Least Squares</w:t>
      </w:r>
      <w:r w:rsidRPr="00845661">
        <w:rPr>
          <w:rFonts w:cs="Times New Roman"/>
          <w:szCs w:val="24"/>
        </w:rPr>
        <w:t>, Democratic Republic of Congo</w:t>
      </w:r>
    </w:p>
    <w:p w:rsidR="00F87F18" w:rsidRDefault="00F87F18" w:rsidP="00F87F18">
      <w:pPr>
        <w:rPr>
          <w:lang w:val="en-US"/>
        </w:rPr>
      </w:pPr>
      <w:r w:rsidRPr="00845661">
        <w:rPr>
          <w:rFonts w:cs="Times New Roman"/>
          <w:b/>
          <w:szCs w:val="24"/>
        </w:rPr>
        <w:t>JEIL Code</w:t>
      </w:r>
      <w:r>
        <w:rPr>
          <w:rFonts w:cs="Times New Roman"/>
          <w:szCs w:val="24"/>
        </w:rPr>
        <w:t xml:space="preserve"> : </w:t>
      </w:r>
      <w:r w:rsidRPr="00845661">
        <w:rPr>
          <w:rFonts w:cs="Times New Roman"/>
          <w:szCs w:val="24"/>
        </w:rPr>
        <w:t>C21, D63, I31, O12</w:t>
      </w:r>
    </w:p>
    <w:p w:rsidR="008B3C7F" w:rsidRDefault="008B3C7F" w:rsidP="008B3C7F">
      <w:pPr>
        <w:rPr>
          <w:lang w:val="en-US"/>
        </w:rPr>
      </w:pPr>
    </w:p>
    <w:p w:rsidR="00DE2CC0" w:rsidRDefault="00DE2CC0" w:rsidP="008B3C7F">
      <w:pPr>
        <w:rPr>
          <w:lang w:val="en-US"/>
        </w:rPr>
      </w:pPr>
    </w:p>
    <w:p w:rsidR="00DE2CC0" w:rsidRPr="008B3C7F" w:rsidRDefault="00DE2CC0" w:rsidP="008B3C7F">
      <w:pPr>
        <w:rPr>
          <w:lang w:val="en-US"/>
        </w:rPr>
      </w:pPr>
    </w:p>
    <w:p w:rsidR="00E874CF" w:rsidRDefault="00E874CF" w:rsidP="00354A14">
      <w:pPr>
        <w:pStyle w:val="Titre1"/>
        <w:numPr>
          <w:ilvl w:val="0"/>
          <w:numId w:val="3"/>
        </w:numPr>
        <w:spacing w:after="240"/>
        <w:ind w:hanging="720"/>
        <w:rPr>
          <w:lang w:val="en-US"/>
        </w:rPr>
      </w:pPr>
      <w:r>
        <w:rPr>
          <w:lang w:val="en-US"/>
        </w:rPr>
        <w:lastRenderedPageBreak/>
        <w:t>Introduction</w:t>
      </w:r>
    </w:p>
    <w:p w:rsidR="00354A14" w:rsidRPr="00354A14" w:rsidRDefault="00354A14" w:rsidP="00354A14">
      <w:pPr>
        <w:spacing w:after="240"/>
        <w:rPr>
          <w:lang w:val="en-US"/>
        </w:rPr>
      </w:pPr>
      <w:r w:rsidRPr="00354A14">
        <w:rPr>
          <w:lang w:val="en-US"/>
        </w:rPr>
        <w:t>The economics of happiness has become a very productive field of research, attracting numerous researchers from various social sciences, including sociology, psychology, philosophy, and economics. Although the subject began with the Leiden school in the Netherlands in the 1970s, it gained considerable momentum from 1990 onwards, particularly with the famous Easterlin paradox, which challenges the link between income</w:t>
      </w:r>
      <w:r>
        <w:rPr>
          <w:lang w:val="en-US"/>
        </w:rPr>
        <w:t xml:space="preserve"> and long-term happiness. </w:t>
      </w:r>
      <w:r w:rsidRPr="00354A14">
        <w:rPr>
          <w:lang w:val="en-US"/>
        </w:rPr>
        <w:t xml:space="preserve">A key finding of happiness economics is the lack of an upward trend in happiness, even during periods of sustained economic growth, which seems to demonstrate the futility of growth alone. Consequently, many researchers believe that </w:t>
      </w:r>
      <w:r>
        <w:rPr>
          <w:lang w:val="en-US"/>
        </w:rPr>
        <w:t xml:space="preserve">if growth is </w:t>
      </w:r>
      <w:r w:rsidR="008D71B7">
        <w:t>«</w:t>
      </w:r>
      <w:r w:rsidR="008D71B7">
        <w:rPr>
          <w:lang w:val="en-US"/>
        </w:rPr>
        <w:t xml:space="preserve"> </w:t>
      </w:r>
      <w:r>
        <w:rPr>
          <w:lang w:val="en-US"/>
        </w:rPr>
        <w:t>exclusive growth</w:t>
      </w:r>
      <w:r w:rsidR="008D71B7">
        <w:rPr>
          <w:lang w:val="en-US"/>
        </w:rPr>
        <w:t xml:space="preserve"> </w:t>
      </w:r>
      <w:r w:rsidR="008D71B7">
        <w:t>»</w:t>
      </w:r>
      <w:r>
        <w:rPr>
          <w:lang w:val="en-US"/>
        </w:rPr>
        <w:t xml:space="preserve"> </w:t>
      </w:r>
      <w:r w:rsidRPr="00354A14">
        <w:rPr>
          <w:lang w:val="en-US"/>
        </w:rPr>
        <w:t>that is, if it fails to allow a large number of people to achieve the happiness they hope for (a fundamental objective of the 17 Sustain</w:t>
      </w:r>
      <w:r>
        <w:rPr>
          <w:lang w:val="en-US"/>
        </w:rPr>
        <w:t xml:space="preserve">able Development Goals or SDGs) </w:t>
      </w:r>
      <w:r w:rsidRPr="00354A14">
        <w:rPr>
          <w:lang w:val="en-US"/>
        </w:rPr>
        <w:t>it becomes necessary to rethink the path to happiness by focusing on non-economic factors.</w:t>
      </w:r>
    </w:p>
    <w:p w:rsidR="000C3AF3" w:rsidRDefault="00354A14" w:rsidP="00354A14">
      <w:pPr>
        <w:spacing w:after="240"/>
        <w:rPr>
          <w:lang w:val="en-US"/>
        </w:rPr>
      </w:pPr>
      <w:r w:rsidRPr="00354A14">
        <w:rPr>
          <w:lang w:val="en-US"/>
        </w:rPr>
        <w:t xml:space="preserve">This is the purpose of this study, which examines the effect of ICT (Information and Communication Technologies) adoption on subjective well-being in the Democratic Republic of Congo (DRC). ICT refers to all technologies used to collect, process, store, and transmit information, such as computers and smartphones. Recent literature on the macroeconomic determinants of well-being is abundant and varied (Malah et al., 2022; </w:t>
      </w:r>
      <w:proofErr w:type="gramStart"/>
      <w:r w:rsidRPr="00354A14">
        <w:rPr>
          <w:lang w:val="en-US"/>
        </w:rPr>
        <w:t>Mignamissi ,</w:t>
      </w:r>
      <w:proofErr w:type="gramEnd"/>
      <w:r w:rsidRPr="00354A14">
        <w:rPr>
          <w:lang w:val="en-US"/>
        </w:rPr>
        <w:t xml:space="preserve"> and Kuete ; 2021; Malah , 2021; Kouladoum et al., 2023). Among the works conducted to date on the factors influencing well-being, we find those that have determined its institutional factors (Sulemana et al., 2016, Fischer, 2010, Kim et al., 2012); socio-economic factors (Pinquart and Sorensen, 2000 ; Zhou et al., 2015 ; Tan and Kraus, 2020) and those that have determined how it is influenced by the spread of ICT (Lohmann , 2015 ; Scherer et al., 2011 ; Kavetsos and Koutroumpis , 2011; Salanova and Cifre , 2004 ; Kouladoum et al., 2023; Diener et al., 1999 and Graham, 2009). However, most of this work has analyzed objective rather than subjective well-being.</w:t>
      </w:r>
      <w:r w:rsidR="00E926F8" w:rsidRPr="00E926F8">
        <w:rPr>
          <w:lang w:val="en-US"/>
        </w:rPr>
        <w:t xml:space="preserve"> </w:t>
      </w:r>
    </w:p>
    <w:p w:rsidR="003F53CF" w:rsidRPr="003F53CF" w:rsidRDefault="003F53CF" w:rsidP="003F53CF">
      <w:pPr>
        <w:spacing w:after="240"/>
        <w:rPr>
          <w:lang w:val="en-US"/>
        </w:rPr>
      </w:pPr>
      <w:r w:rsidRPr="003F53CF">
        <w:rPr>
          <w:lang w:val="en-US"/>
        </w:rPr>
        <w:t xml:space="preserve">However, research primarily based on objective measures of well-being does not effectively capture the happiness that individuals report themselves. This is a matter of subjective happiness. It is from this perspective that economists, using self-reported happiness data from sociodemographic surveys, have attempted to analyze the factors that can make people happier. Most of this work distinguishes between objective factors (income, marital status, socio-professional situation, place of residence, education level) and subjective factors (satisfaction with one's life, money worries, experience of poverty, stress, sexuality, sports) (Schkade and </w:t>
      </w:r>
      <w:r w:rsidRPr="003F53CF">
        <w:rPr>
          <w:lang w:val="en-US"/>
        </w:rPr>
        <w:lastRenderedPageBreak/>
        <w:t>Kahneman, 1998; Borooah, 2006; Stutzer and Frey, 2006; Araki, 2022; Rival, 2020; Islam and Goldwasser, 2020).</w:t>
      </w:r>
    </w:p>
    <w:p w:rsidR="003F53CF" w:rsidRDefault="003F53CF" w:rsidP="003F53CF">
      <w:pPr>
        <w:spacing w:after="240"/>
        <w:rPr>
          <w:lang w:val="en-US"/>
        </w:rPr>
      </w:pPr>
      <w:r w:rsidRPr="003F53CF">
        <w:rPr>
          <w:lang w:val="en-US"/>
        </w:rPr>
        <w:t>Yet, even with a growing body of literature on the determinants of subjective happiness perception, very little is known about the role of digitalization on consumer well-being. According to ITU statistics (2018), ICT usage is increasing globally. At the end of 2018, an estimated 51.2% of the world's population, or 3.9 billion people, used the internet (Myovella et al., 2020). In sub-Saharan Africa, the number of internet users rose from 2.1% in 2005 to 24.4% in 2018, while mobile subscriptions reached 77 p</w:t>
      </w:r>
      <w:r>
        <w:rPr>
          <w:lang w:val="en-US"/>
        </w:rPr>
        <w:t xml:space="preserve">er 100 inhabitants (ITU, 2018). </w:t>
      </w:r>
      <w:r w:rsidRPr="003F53CF">
        <w:rPr>
          <w:lang w:val="en-US"/>
        </w:rPr>
        <w:t>This trend is also visible in the Democratic Republic of Congo. According to World Bank statistics (2023), the DRC recorded an internet and social media penetration rate of 17.6% of the total population, a 23% jump between 202</w:t>
      </w:r>
      <w:r>
        <w:rPr>
          <w:lang w:val="en-US"/>
        </w:rPr>
        <w:t>1 and 2022 (World Bank Group</w:t>
      </w:r>
      <w:r>
        <w:rPr>
          <w:rStyle w:val="Appelnotedebasdep"/>
          <w:lang w:val="en-US"/>
        </w:rPr>
        <w:footnoteReference w:id="1"/>
      </w:r>
      <w:r w:rsidRPr="003F53CF">
        <w:rPr>
          <w:lang w:val="en-US"/>
        </w:rPr>
        <w:t>). ICTs are now an integral part of daily life (Kavetsos and Koutroumpis, 2011). While the literature has largely neglected the effects of ICT on individual well-being, focusing more on economic factors, recent studies are starting to show that landline and mobile phones, music players, and personal computers, including internet connections, are associated with significantly higher levels of well-being and personal satisfaction among their users (Kavetsos and Koutroumpis, 2011).</w:t>
      </w:r>
    </w:p>
    <w:p w:rsidR="003F53CF" w:rsidRDefault="003F53CF" w:rsidP="003F53CF">
      <w:pPr>
        <w:spacing w:after="240"/>
      </w:pPr>
      <w:r>
        <w:t xml:space="preserve">It is entirely possible that these digital tools influence the happiness levels of their users differently depending on whether they are men or women. For example, in the context of achieving the SDGs, ICTs can play a major role in achieving gender equality and empowering women. Thanks to them, women and girls can access important information for their productive, reproductive, and community roles and obtain additional resources to improve their life satisfaction. Access to ICTs also allows marginalized individuals to better make their voices heard and promotes their participation in life (Kavetsos and Koutroumpis, 2011). In addition, ICTs offer users a degree of flexibility in terms of time and space, which can be particularly beneficial for those facing social isolation (Kavetsos and Koutroumpis, 2011). However, it should be noted that ICTs do not primarily bring benefits, as the literature points out, but are also a source of problems and cybercrime in terms of identity theft, scams, and deviant behavior that can negatively influence consumer well-being. For example, based on cross-sectional data from the World Values Survey, Lohmann (2015) finds an indirect negative effect of Internet access on subjective well-being, as people who regularly use the Internet as a source of information derive less satisfaction from their income. This negative effect can be understood </w:t>
      </w:r>
      <w:r>
        <w:lastRenderedPageBreak/>
        <w:t>differently depending on gender. Indeed, even though we are seeing the emergence of digital professions that allow individuals to flourish, some people will tend to feel this negative effect of ICTs more strongly, through sexual assault, cyberbullying, unsolicited calls, misogynistic discourse, sexist image content, and unflattering clothing styles, which in one way or another alter the psychological well-being of certain individuals, or even the community. This leads to the following research question: Does the adoption of ICTs contribute to making individuals happier in the Democratic Republic of Congo?</w:t>
      </w:r>
    </w:p>
    <w:p w:rsidR="009D7274" w:rsidRPr="0000318D" w:rsidRDefault="00614B7E" w:rsidP="003F53CF">
      <w:pPr>
        <w:spacing w:after="240"/>
      </w:pPr>
      <w:r w:rsidRPr="00614B7E">
        <w:t>The purpose of this article is to analyze the effect of ICT adoption on the perception of happiness in the DRC. Theoretically, it draws on welfare economics, a normative economic approach that evaluates social welfare situations defined as Pareto optimal. This field addresses the relationship between economics and moral well-being, particularly how economic goods can contribute to improving collective well-being, especially when dysfunctions are observed in the economic system. Therefore, this article supports the hypothesis that the adoption of ICTs, which are considered economic goods, positively influences the perception of happiness in the DRC. The rest of the article is structured as follows: Section 2 presents the theoretical literature and empirical findings on the effect of information and communication technologies on subjective well-being. Section 3 outlines the data and methodological strategy. Section 4 presents and discusses the results, while Section 5 concludes with policy recommendations and directions for future research.</w:t>
      </w:r>
    </w:p>
    <w:p w:rsidR="00E874CF" w:rsidRDefault="00E874CF" w:rsidP="00BE1916">
      <w:pPr>
        <w:pStyle w:val="Titre1"/>
        <w:numPr>
          <w:ilvl w:val="0"/>
          <w:numId w:val="3"/>
        </w:numPr>
        <w:ind w:left="567" w:hanging="567"/>
        <w:rPr>
          <w:lang w:val="en-US"/>
        </w:rPr>
      </w:pPr>
      <w:r>
        <w:rPr>
          <w:lang w:val="en-US"/>
        </w:rPr>
        <w:t>Literature Review</w:t>
      </w:r>
    </w:p>
    <w:p w:rsidR="00E874CF" w:rsidRDefault="00273572" w:rsidP="00BE1916">
      <w:pPr>
        <w:pStyle w:val="Titre2"/>
        <w:rPr>
          <w:lang w:val="en-US"/>
        </w:rPr>
      </w:pPr>
      <w:r>
        <w:rPr>
          <w:lang w:val="en-US"/>
        </w:rPr>
        <w:t xml:space="preserve"> </w:t>
      </w:r>
      <w:r w:rsidR="00E874CF">
        <w:rPr>
          <w:lang w:val="en-US"/>
        </w:rPr>
        <w:t>Theoretical Foundation</w:t>
      </w:r>
    </w:p>
    <w:p w:rsidR="00550658" w:rsidRDefault="00550658" w:rsidP="00550658">
      <w:pPr>
        <w:rPr>
          <w:lang w:val="en-US"/>
        </w:rPr>
      </w:pPr>
    </w:p>
    <w:p w:rsidR="006A7BA1" w:rsidRDefault="006A7BA1" w:rsidP="006A7BA1">
      <w:pPr>
        <w:spacing w:after="240"/>
      </w:pPr>
      <w:r>
        <w:t>Well-being was long considered a phenomenon that could only be measured using economic and monetary indicators, or even health or morbidity absence indicators (Greyling, 2018). The first measures of well-being at the national and international levels focused mainly on GDP, considering that wealth and the possession of material goods indicate</w:t>
      </w:r>
      <w:r w:rsidR="00C80045">
        <w:t xml:space="preserve">d a higher level of well-being. </w:t>
      </w:r>
      <w:r>
        <w:t xml:space="preserve">However, starting in 1974, the work of Richard Easterlin, an American economist and demographer, revolutionized this way of thinking by emphasizing that several dimensions of well-being cannot be measured by GDP, whether they are non-market dimensions (domestic work, childcare, leisure, time spent with loved ones, etc.) or characteristics specific to societies (their democratic nature, freedom of movement and thought, access to an effective and independent justice system) (Greyling, 2018). Criticisms by Indian economist and Nobel laureate Amartya Sen also add that what truly matters are the capabilities available to </w:t>
      </w:r>
      <w:r w:rsidR="00C80045">
        <w:lastRenderedPageBreak/>
        <w:t xml:space="preserve">individuals </w:t>
      </w:r>
      <w:r>
        <w:t>that is, the range of possibilities open to them and their freedom to choose the type of life they value. According to him, a person's quality of life depends on their autonomy and the opportunities available to them to improve their own living conditions.</w:t>
      </w:r>
    </w:p>
    <w:p w:rsidR="00024BE8" w:rsidRDefault="006A7BA1" w:rsidP="006A7BA1">
      <w:pPr>
        <w:spacing w:after="240"/>
      </w:pPr>
      <w:r>
        <w:t xml:space="preserve">Following Sen, several authors postulate that measuring well-being requires both objective and subjective data; in other words, subjective well-being is just as important to consider as its more objectifiable aspects (health and resources). According to Diener et al. (1999), individuals' subjective well-being is linked to what </w:t>
      </w:r>
      <w:r w:rsidR="008D71B7">
        <w:t>Wilson (1967) describes as the « need satisfaction »</w:t>
      </w:r>
      <w:r>
        <w:t xml:space="preserve"> theory. The majority of empirical research adopts this theoretical approach by showing that desirable events increase subjective well-being, while undesirable events decrease it (Stallings et al. 1997). This theoretical approach is adopted in this article. From the above, we can deduce that if access to ICT is a desirable event, it should increase women's subjective well-being, but if it is undesirable, we can expect a decrease in women's subjective well-being in the DRC</w:t>
      </w:r>
      <w:r w:rsidR="00550658" w:rsidRPr="00550658">
        <w:t>.</w:t>
      </w:r>
    </w:p>
    <w:p w:rsidR="00550658" w:rsidRPr="00125892" w:rsidRDefault="00C80045" w:rsidP="00C80045">
      <w:pPr>
        <w:spacing w:after="240"/>
      </w:pPr>
      <w:r>
        <w:t>Theoretically, there are plausible reasons to describe the use of ICTs as a desirable event, as there is growing evidence of the benefits they bring to women's empowerment. ICTs facilitate their access to health, nutrition, education, and other human development opportunities, such as participating in political and family life, as well as leisure activities (</w:t>
      </w:r>
      <w:proofErr w:type="gramStart"/>
      <w:r>
        <w:t>e.g.,</w:t>
      </w:r>
      <w:proofErr w:type="gramEnd"/>
      <w:r>
        <w:t xml:space="preserve"> watching movies or communicating with friends and family on Facebook) (Franzen 2003). The availability of information and communication technologies plays a decisive role in women's empowerment, particularly by providing them with opportunities to participate in the labor market, access training, and improve their skills. In general, ICTs enable individuals to overcome barriers related to geographical isolation, traditional social roles, and limited access to educational and professional resources</w:t>
      </w:r>
      <w:r w:rsidR="00125892">
        <w:t xml:space="preserve">. </w:t>
      </w:r>
    </w:p>
    <w:p w:rsidR="00E874CF" w:rsidRDefault="00E874CF" w:rsidP="005E369E">
      <w:pPr>
        <w:pStyle w:val="Titre2"/>
        <w:spacing w:after="240"/>
        <w:rPr>
          <w:lang w:val="en-US"/>
        </w:rPr>
      </w:pPr>
      <w:r>
        <w:rPr>
          <w:lang w:val="en-US"/>
        </w:rPr>
        <w:t xml:space="preserve"> Empirical Literature</w:t>
      </w:r>
    </w:p>
    <w:p w:rsidR="00D509DD" w:rsidRDefault="00D509DD" w:rsidP="00D509DD">
      <w:pPr>
        <w:spacing w:after="240"/>
        <w:rPr>
          <w:lang w:val="en-US"/>
        </w:rPr>
      </w:pPr>
      <w:r w:rsidRPr="00D509DD">
        <w:rPr>
          <w:lang w:val="en-US"/>
        </w:rPr>
        <w:t>Empirical research on the relationship between information and communication technologies and subjective well-being has produced consistent findings across various contexts. Graham and Nikolova (2013), using Gallup World Poll data, found that access to ICTs tends to increase well-being, although the benefits diminish with broader usage and may come with increased stress for new users. Castellacci and Tveito (2018) identified four key mechanisms through which internet use affects well-being: time management, new activities, access to information, and communication, highlighting that these effects vary depending on individual and contextual factors.</w:t>
      </w:r>
    </w:p>
    <w:p w:rsidR="008E7852" w:rsidRDefault="00D509DD" w:rsidP="00D509DD">
      <w:pPr>
        <w:spacing w:after="240"/>
        <w:rPr>
          <w:lang w:val="en-US"/>
        </w:rPr>
      </w:pPr>
      <w:r w:rsidRPr="00D509DD">
        <w:rPr>
          <w:lang w:val="en-US"/>
        </w:rPr>
        <w:lastRenderedPageBreak/>
        <w:t>Sen's (1999) capabilities approach provides a theoretical foundation, emphasizing the role of ICTs in expanding individuals’ real freedoms. In the African context, Asongu (2021) demonstrated using system-GMM models that ICTs positively influence human development and life satisfaction, particularly where institutional quality is moderate. Case studies by Donner et al. (2008) showed that community-based ICT initiatives in rural areas enhance inclusion a</w:t>
      </w:r>
      <w:r>
        <w:rPr>
          <w:lang w:val="en-US"/>
        </w:rPr>
        <w:t xml:space="preserve">nd access to vital information. </w:t>
      </w:r>
      <w:r w:rsidRPr="00D509DD">
        <w:rPr>
          <w:lang w:val="en-US"/>
        </w:rPr>
        <w:t>In Europe, Cuñado and De Gracia (2012) found that broadband diffusion significantly improves life satisfaction, especially in lower-income countries. Ostrowska and Włodarczyk (2024), using structural equation modeling, revealed that ICTs promote happiness via social inclusion, particularly when supported by strong social capital. Wu (2014) observed that in developing countries, the impact of ICTs on well-being is stronger where literacy levels are higher. Inkeles (2022) showed that moderate smartphone use boosts social satisfaction, but overuse leads to stress, with age and education playing mediating roles. Kwon (2022) found that gender equality enhances the positive impact of ICTs on happiness, while inequality acts as a limiting factor.</w:t>
      </w:r>
    </w:p>
    <w:p w:rsidR="00AC07BA" w:rsidRPr="00AC07BA" w:rsidRDefault="008E7852" w:rsidP="009726D5">
      <w:pPr>
        <w:spacing w:after="240"/>
        <w:rPr>
          <w:lang w:val="en-US"/>
        </w:rPr>
      </w:pPr>
      <w:r w:rsidRPr="008E7852">
        <w:rPr>
          <w:lang w:val="en-US"/>
        </w:rPr>
        <w:t xml:space="preserve">While these studies offer compelling </w:t>
      </w:r>
      <w:r w:rsidR="00031C15">
        <w:rPr>
          <w:lang w:val="en-US"/>
        </w:rPr>
        <w:t>evidence of the benefits of ICT</w:t>
      </w:r>
      <w:r w:rsidRPr="008E7852">
        <w:rPr>
          <w:lang w:val="en-US"/>
        </w:rPr>
        <w:t>, none have examined their long-term effects on well-being in the Democratic Republic of Congo (DRC). Moreover, the complex interactions between digital access, human capabilities, social inclusion, and institutional contexts in fragile settings like the DRC remain largely unexplored. This study addresses this gap by leveraging high-quality data and a robust econometric approach (FM-OLS) to assess the structural relationship between ICT adoption and subjective well-being in the Congolese context.</w:t>
      </w:r>
    </w:p>
    <w:p w:rsidR="00CB130B" w:rsidRDefault="00E6496E" w:rsidP="00273572">
      <w:pPr>
        <w:pStyle w:val="Titre1"/>
        <w:numPr>
          <w:ilvl w:val="0"/>
          <w:numId w:val="4"/>
        </w:numPr>
        <w:rPr>
          <w:lang w:val="en-US"/>
        </w:rPr>
      </w:pPr>
      <w:r>
        <w:rPr>
          <w:lang w:val="en-US"/>
        </w:rPr>
        <w:t>Methodology</w:t>
      </w:r>
    </w:p>
    <w:p w:rsidR="00E6496E" w:rsidRDefault="00C5271B" w:rsidP="00BE1916">
      <w:pPr>
        <w:pStyle w:val="Titre2"/>
        <w:rPr>
          <w:lang w:val="en-US"/>
        </w:rPr>
      </w:pPr>
      <w:r>
        <w:rPr>
          <w:lang w:val="en-US"/>
        </w:rPr>
        <w:t>Data and source</w:t>
      </w:r>
    </w:p>
    <w:p w:rsidR="00C74F64" w:rsidRDefault="002E610B" w:rsidP="00C251D0">
      <w:pPr>
        <w:widowControl w:val="0"/>
        <w:autoSpaceDE w:val="0"/>
        <w:autoSpaceDN w:val="0"/>
        <w:adjustRightInd w:val="0"/>
      </w:pPr>
      <w:r>
        <w:t>The data used in this study comes from reputable secondary databases, including the World Happiness Report and the World Development Indicators (WDI) published by the World Bank. The dataset focuses on the Democratic Republic of Congo (DRC) and covers the period from 1993 to 2023. The choice of this period is strictly guided by data availability, in order to ensure the consistency and reliability of all variables included in the analysis. The DRC was chosen as the subject of this study because of its unique socioeconomic context and development challenges, particularly its ongoing struggles with political instability, weak institutional capacity, and widespread poverty, all of which can significantly influence the relationship between information and communi</w:t>
      </w:r>
      <w:r w:rsidR="00273572">
        <w:t>cation technologies</w:t>
      </w:r>
      <w:r>
        <w:t xml:space="preserve"> and subjective well-being. Furthermore, the DRC's recent efforts to develop digital infrastructure and improve access to ICT services </w:t>
      </w:r>
      <w:r>
        <w:lastRenderedPageBreak/>
        <w:t xml:space="preserve">make it a relevant case for examining how technological advances can impact happiness in low-income, post-conflict contexts (Roshanaei and Duan, 2021). </w:t>
      </w:r>
    </w:p>
    <w:p w:rsidR="00056D35" w:rsidRPr="00C251D0" w:rsidRDefault="00056D35" w:rsidP="00C251D0">
      <w:pPr>
        <w:widowControl w:val="0"/>
        <w:autoSpaceDE w:val="0"/>
        <w:autoSpaceDN w:val="0"/>
        <w:adjustRightInd w:val="0"/>
        <w:rPr>
          <w:lang w:val="en-US"/>
        </w:rPr>
      </w:pPr>
    </w:p>
    <w:p w:rsidR="00A63D38" w:rsidRPr="00696EA5" w:rsidRDefault="00696EA5" w:rsidP="00BE1916">
      <w:pPr>
        <w:pStyle w:val="Titre2"/>
        <w:rPr>
          <w:lang w:val="en-US"/>
        </w:rPr>
      </w:pPr>
      <w:r w:rsidRPr="00696EA5">
        <w:rPr>
          <w:lang w:val="en-US"/>
        </w:rPr>
        <w:t xml:space="preserve">Definition of Variables </w:t>
      </w:r>
    </w:p>
    <w:p w:rsidR="00A63D38" w:rsidRDefault="00696EA5" w:rsidP="00056D35">
      <w:pPr>
        <w:pStyle w:val="Titre3"/>
        <w:numPr>
          <w:ilvl w:val="2"/>
          <w:numId w:val="4"/>
        </w:numPr>
        <w:spacing w:after="240"/>
        <w:ind w:left="0" w:firstLine="0"/>
        <w:rPr>
          <w:lang w:val="en-US"/>
        </w:rPr>
      </w:pPr>
      <w:r w:rsidRPr="00696EA5">
        <w:rPr>
          <w:lang w:val="en-US"/>
        </w:rPr>
        <w:t>Dependent variable</w:t>
      </w:r>
    </w:p>
    <w:p w:rsidR="00361179" w:rsidRPr="00361179" w:rsidRDefault="00361179" w:rsidP="00056D35">
      <w:pPr>
        <w:spacing w:after="240"/>
      </w:pPr>
      <w:r w:rsidRPr="00361179">
        <w:t>In this study, we use the Cantril scale score as a measure of happiness. This score, developed by Hadley Cantril in 1965, assesses individuals' subjective well-being by asking them to imagine a scale numbered from 0 to 10. The top of the scale, marked 10, represents the best possible life they can imagine for themselves, while the bottom, marked 0, symbolizes the worst possible life. Respondents are asked to evaluate and indicate where they think they currently stand on this scale. This self-assessed position serves as a direct measure of perceived life satisfaction, reflecting an individual's holistic assessment of their well-being at a given point in time.</w:t>
      </w:r>
      <w:r w:rsidR="00DC2BB6">
        <w:t xml:space="preserve"> </w:t>
      </w:r>
      <w:r w:rsidRPr="00361179">
        <w:t xml:space="preserve">Data for this variable comes from the World Happiness Report, which compiles information from the Gallup World Poll and other reliable global surveys. The use of the Cantril scale score is widely supported in the empirical literature as a valid and reliable indicator of subjective well-being (Levin &amp; Currie, 2014; Kelly, 2025; Syahira et </w:t>
      </w:r>
      <w:proofErr w:type="gramStart"/>
      <w:r w:rsidRPr="00361179">
        <w:t>al.,</w:t>
      </w:r>
      <w:proofErr w:type="gramEnd"/>
      <w:r w:rsidRPr="00361179">
        <w:t xml:space="preserve"> 2025). In this context, the variable used corresponds to the national average of individual satisfaction scores, which allows for meaningful comparisons between countries and over time.</w:t>
      </w:r>
      <w:r w:rsidR="00DC2BB6">
        <w:t xml:space="preserve"> </w:t>
      </w:r>
      <w:r w:rsidRPr="00361179">
        <w:t xml:space="preserve">For the DRC, the average happiness score over the period studied is 3.896, with observed values ranging from </w:t>
      </w:r>
      <w:proofErr w:type="gramStart"/>
      <w:r w:rsidRPr="00361179">
        <w:t>a</w:t>
      </w:r>
      <w:proofErr w:type="gramEnd"/>
      <w:r w:rsidRPr="00361179">
        <w:t xml:space="preserve"> minimum of 3.207 to a maximum of 4.57. These figures suggest relatively low but variable levels of satisfaction among the population over the years observed. The simplicity and intuitive appeal of the Cantril scale make it a powerful tool for quantifying happiness, particularly in comparative studies where consistency of measurement across countries and over time is important. Its widespread adoption in global well-being research underscores its usefulness in understanding how individuals perceive their quality of life in various socioeconomic and political contexts. Figure 1 shows the level of happiness by country for the year 2024, as reported by the Well-Being Research Center.</w:t>
      </w:r>
    </w:p>
    <w:p w:rsidR="0013073E" w:rsidRDefault="0013073E" w:rsidP="0013073E">
      <w:pPr>
        <w:rPr>
          <w:lang w:val="en-US"/>
        </w:rPr>
      </w:pPr>
      <w:r w:rsidRPr="0013073E">
        <w:rPr>
          <w:noProof/>
          <w:lang w:eastAsia="fr-FR"/>
        </w:rPr>
        <w:lastRenderedPageBreak/>
        <w:drawing>
          <wp:inline distT="0" distB="0" distL="0" distR="0">
            <wp:extent cx="5760720" cy="3366039"/>
            <wp:effectExtent l="0" t="0" r="0" b="6350"/>
            <wp:docPr id="4" name="Image 4" descr="C:\Users\SIGNAL SYSTEMS\Desktop\Sam\happine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GNAL SYSTEMS\Desktop\Sam\happines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366039"/>
                    </a:xfrm>
                    <a:prstGeom prst="rect">
                      <a:avLst/>
                    </a:prstGeom>
                    <a:noFill/>
                    <a:ln>
                      <a:noFill/>
                    </a:ln>
                  </pic:spPr>
                </pic:pic>
              </a:graphicData>
            </a:graphic>
          </wp:inline>
        </w:drawing>
      </w:r>
    </w:p>
    <w:p w:rsidR="00991E69" w:rsidRDefault="0013073E" w:rsidP="0013073E">
      <w:pPr>
        <w:rPr>
          <w:lang w:val="en-US"/>
        </w:rPr>
      </w:pPr>
      <w:r>
        <w:rPr>
          <w:lang w:val="en-US"/>
        </w:rPr>
        <w:t xml:space="preserve">Figure 1: 2024 cross-country self-reported life satisfaction. </w:t>
      </w:r>
    </w:p>
    <w:p w:rsidR="0013073E" w:rsidRDefault="0013073E" w:rsidP="0013073E">
      <w:pPr>
        <w:rPr>
          <w:lang w:val="en-US"/>
        </w:rPr>
      </w:pPr>
      <w:r>
        <w:rPr>
          <w:lang w:val="en-US"/>
        </w:rPr>
        <w:t xml:space="preserve">Source: </w:t>
      </w:r>
      <w:r w:rsidRPr="00903470">
        <w:rPr>
          <w:i/>
          <w:lang w:val="en-US"/>
        </w:rPr>
        <w:t>Wellbeing research center</w:t>
      </w:r>
    </w:p>
    <w:p w:rsidR="003A1428" w:rsidRDefault="003A1428" w:rsidP="00273572">
      <w:pPr>
        <w:pStyle w:val="Titre3"/>
        <w:numPr>
          <w:ilvl w:val="2"/>
          <w:numId w:val="4"/>
        </w:numPr>
        <w:ind w:left="0" w:firstLine="0"/>
        <w:rPr>
          <w:lang w:val="en-US"/>
        </w:rPr>
      </w:pPr>
      <w:r>
        <w:rPr>
          <w:lang w:val="en-US"/>
        </w:rPr>
        <w:t>Independent variable</w:t>
      </w:r>
    </w:p>
    <w:p w:rsidR="007B4EB7" w:rsidRDefault="007B4EB7" w:rsidP="007B4EB7">
      <w:r>
        <w:t xml:space="preserve">In this study, we employ the Cantril scale score to measure happiness. Developed by Hadley Cantril in 1965, this scale evaluates individuals’ subjective well-being by asking them to envision a ladder numbered from 0 to 10. The top of the ladder, marked 10, represents the best life they can imagine, while the bottom, marked 0, corresponds to the worst possible life. Respondents are then asked to indicate where they currently stand on this scale. Their self-assessed position provides a direct measure of perceived life satisfaction, reflecting an overall evaluation of their well-being at a specific point in time. The data for this variable are sourced from the World Happiness Report, which draws on the Gallup World Poll and other reputable global surveys. The use of the Cantril scale is well-supported in the empirical literature as a valid and reliable indicator of subjective well-being (Levin &amp; Currie, 2014; Kelly, 2025; Syahira et </w:t>
      </w:r>
      <w:proofErr w:type="gramStart"/>
      <w:r>
        <w:t>al.,</w:t>
      </w:r>
      <w:proofErr w:type="gramEnd"/>
      <w:r>
        <w:t xml:space="preserve"> 2025).</w:t>
      </w:r>
    </w:p>
    <w:p w:rsidR="00361179" w:rsidRPr="00361179" w:rsidRDefault="007B4EB7" w:rsidP="007B4EB7">
      <w:r>
        <w:t xml:space="preserve">In this context, the variable represents the national average of individual satisfaction scores, enabling meaningful comparisons across countries and over time. For the Democratic Republic of the Congo, the average happiness score during the study period is 3.896, with values ranging from </w:t>
      </w:r>
      <w:proofErr w:type="gramStart"/>
      <w:r>
        <w:t>a</w:t>
      </w:r>
      <w:proofErr w:type="gramEnd"/>
      <w:r>
        <w:t xml:space="preserve"> minimum of 3.207 to a maximum of 4.57. These figures indicate relatively low but variable levels of satisfaction among the population over the years examined. The simplicity and intuitive nature of the Cantril scale make it a robust tool for quantifying happiness, particularly in comparative studies where measurement consistency across countries and time </w:t>
      </w:r>
      <w:r>
        <w:lastRenderedPageBreak/>
        <w:t>is essential. Its widespread use in global well-being research highlights its value in understanding how individuals perceive their quality of life under different socioeconomic and political conditions. Figure 1 presents the level of happiness by country for 2024, as reported by</w:t>
      </w:r>
      <w:r>
        <w:t xml:space="preserve"> the Well-Being Research Center</w:t>
      </w:r>
      <w:r w:rsidR="00361179" w:rsidRPr="00361179">
        <w:t>.</w:t>
      </w:r>
    </w:p>
    <w:p w:rsidR="0021327C" w:rsidRPr="00725025" w:rsidRDefault="0026086F" w:rsidP="00F06B4D">
      <w:pPr>
        <w:rPr>
          <w:lang w:val="en-US"/>
        </w:rPr>
      </w:pPr>
      <w:r w:rsidRPr="0026086F">
        <w:rPr>
          <w:noProof/>
          <w:lang w:eastAsia="fr-FR"/>
        </w:rPr>
        <w:drawing>
          <wp:inline distT="0" distB="0" distL="0" distR="0" wp14:anchorId="3C2CC3FA" wp14:editId="1C671C33">
            <wp:extent cx="5612859" cy="3892550"/>
            <wp:effectExtent l="0" t="0" r="698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8943" cy="3896769"/>
                    </a:xfrm>
                    <a:prstGeom prst="rect">
                      <a:avLst/>
                    </a:prstGeom>
                    <a:noFill/>
                    <a:ln>
                      <a:noFill/>
                    </a:ln>
                  </pic:spPr>
                </pic:pic>
              </a:graphicData>
            </a:graphic>
          </wp:inline>
        </w:drawing>
      </w:r>
      <w:r>
        <w:rPr>
          <w:lang w:val="en-US"/>
        </w:rPr>
        <w:t xml:space="preserve"> </w:t>
      </w:r>
    </w:p>
    <w:p w:rsidR="0049342B" w:rsidRPr="00991E69" w:rsidRDefault="0013073E" w:rsidP="00C74F64">
      <w:pPr>
        <w:rPr>
          <w:i/>
          <w:lang w:val="en-US"/>
        </w:rPr>
      </w:pPr>
      <w:r>
        <w:rPr>
          <w:lang w:val="en-US"/>
        </w:rPr>
        <w:t>Figure 2</w:t>
      </w:r>
      <w:r w:rsidR="00DB7CFE">
        <w:rPr>
          <w:lang w:val="en-US"/>
        </w:rPr>
        <w:t xml:space="preserve">: Evolutionary trend of ICT and Happiness in the DRC. </w:t>
      </w:r>
      <w:r w:rsidR="0026086F" w:rsidRPr="0026086F">
        <w:rPr>
          <w:lang w:val="en-US"/>
        </w:rPr>
        <w:t>Source:</w:t>
      </w:r>
      <w:r w:rsidR="0026086F">
        <w:rPr>
          <w:b/>
          <w:i/>
          <w:lang w:val="en-US"/>
        </w:rPr>
        <w:t xml:space="preserve"> </w:t>
      </w:r>
      <w:r w:rsidR="0026086F" w:rsidRPr="0026086F">
        <w:rPr>
          <w:i/>
          <w:lang w:val="en-US"/>
        </w:rPr>
        <w:t>Author’s construction</w:t>
      </w:r>
    </w:p>
    <w:p w:rsidR="002C55CC" w:rsidRPr="00BE4D82" w:rsidRDefault="002C55CC" w:rsidP="00273572">
      <w:pPr>
        <w:pStyle w:val="Titre3"/>
        <w:numPr>
          <w:ilvl w:val="2"/>
          <w:numId w:val="4"/>
        </w:numPr>
        <w:ind w:left="0" w:firstLine="0"/>
        <w:rPr>
          <w:lang w:val="en-US" w:eastAsia="fr-FR"/>
        </w:rPr>
      </w:pPr>
      <w:r w:rsidRPr="00BE4D82">
        <w:rPr>
          <w:lang w:val="en-US" w:eastAsia="fr-FR"/>
        </w:rPr>
        <w:t xml:space="preserve">Control Variables </w:t>
      </w:r>
    </w:p>
    <w:p w:rsidR="0058701B" w:rsidRDefault="00361179" w:rsidP="0058701B">
      <w:pPr>
        <w:spacing w:after="240"/>
      </w:pPr>
      <w:r w:rsidRPr="00361179">
        <w:t>In addition to the main independent variable, and in line with the broader literature on the determinants of well-being, we include a set of control variables in the empirical model to account for other socioeconomic and structural factors that may influence happiness. These variables are selected on the basis of theoretical foundations and empirical data, thus ensuring a robust specification that isolates the specific effect of ICT on happiness while recognizing the multifaceted nature of subjective well-being.</w:t>
      </w:r>
      <w:r w:rsidR="0058701B">
        <w:t xml:space="preserve"> </w:t>
      </w:r>
      <w:r w:rsidRPr="00361179">
        <w:t xml:space="preserve">First, education is included as a key control variable because of its well-documented positive relationship with life satisfaction. Education is not only essential for improving individuals' cognitive abilities and employment opportunities, but also for strengthening their ability to make informed life choices, which in turn contributes to higher levels of subjective well-being. Cuñado and De Gracia (2012) find that education significantly improves life satisfaction in both developed and developing countries, suggesting that investment in human capital can be an essential means of improving well-being. Second, financial development is included in the model because of its role in </w:t>
      </w:r>
      <w:r w:rsidRPr="00361179">
        <w:lastRenderedPageBreak/>
        <w:t>facilitating access to credit, encouraging entrepreneurship, and stabilizing consumption, all of which can positively influence happiness. A well-functioning financial system enhances individuals' economic freedom and reduces uncertainty, particularly in low-income settings. Recent empirical work by Ostrowska and Włodarczyk (2024) confirms this link, showing that financial development contributes to individual and national well-being, particularly when it is inclusive and accessible.</w:t>
      </w:r>
      <w:r w:rsidR="0058701B">
        <w:t xml:space="preserve"> </w:t>
      </w:r>
      <w:r w:rsidRPr="00361179">
        <w:t>Third, investment, typically represented by gross capital formation, is considered because of its role in economic growth, job creation, and infrastructure development. Investment expands production capacity and often leads to improved living standards, which can translate into higher levels of happiness. Wu (2014) provides evidence that investment has a positive impact on well-being by promoting macroeconomic stability and job security, which are essential elements of life satisfaction. Fourth, industrialization is included to reflect the structural transformation of the economy. The transition from agricultural to industrial production is often associated with increased productivity, urbanization, and higher wages. However, its effects on happiness are nuanced. Inkeles (2022) notes that while industrialization can improve material conditions, it can also generate social disruption or inequality if not managed inclusively. The inclusion of industrialization allows the model to account for these potential trade-offs. Finally, military spending is introduced as a control variable due to its controversial relationship with well-being. On the one hand, defense spending can contribute to national security, which can enhance citizens' sense of security and stability. On the other hand, excessive military spending can divert resources from social sectors such as health, education, and social protection, which can be detrimental to well-being. Kwon (2022) points out that the impact of military spending on happiness varies depending on the country's stage of development and the nature of regional security threats.</w:t>
      </w:r>
      <w:r w:rsidR="00F9307A">
        <w:t xml:space="preserve"> </w:t>
      </w:r>
    </w:p>
    <w:p w:rsidR="00F9307A" w:rsidRDefault="00F9307A" w:rsidP="0058701B">
      <w:pPr>
        <w:spacing w:after="240"/>
      </w:pPr>
      <w:r>
        <w:t>Descriptive statistics for the data used are presented in Table 1, which provides an overview of the central tendencies and dispersion of the variables. Table 2 presents the correlation matrix, highlighting the relationships between ICT, happiness, and selected control variables.</w:t>
      </w:r>
    </w:p>
    <w:p w:rsidR="00F9307A" w:rsidRDefault="00F9307A"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991E69" w:rsidRDefault="00991E69" w:rsidP="00F9307A">
      <w:pPr>
        <w:widowControl w:val="0"/>
        <w:autoSpaceDE w:val="0"/>
        <w:autoSpaceDN w:val="0"/>
        <w:adjustRightInd w:val="0"/>
      </w:pPr>
    </w:p>
    <w:p w:rsidR="0058701B" w:rsidRDefault="0058701B" w:rsidP="00F9307A">
      <w:pPr>
        <w:widowControl w:val="0"/>
        <w:autoSpaceDE w:val="0"/>
        <w:autoSpaceDN w:val="0"/>
        <w:adjustRightInd w:val="0"/>
      </w:pPr>
    </w:p>
    <w:p w:rsidR="00991E69" w:rsidRDefault="00991E69" w:rsidP="00F9307A">
      <w:pPr>
        <w:widowControl w:val="0"/>
        <w:autoSpaceDE w:val="0"/>
        <w:autoSpaceDN w:val="0"/>
        <w:adjustRightInd w:val="0"/>
      </w:pPr>
    </w:p>
    <w:p w:rsidR="00F9307A" w:rsidRPr="0058701B" w:rsidRDefault="00F9307A" w:rsidP="00F9307A">
      <w:pPr>
        <w:widowControl w:val="0"/>
        <w:autoSpaceDE w:val="0"/>
        <w:autoSpaceDN w:val="0"/>
        <w:adjustRightInd w:val="0"/>
        <w:spacing w:line="240" w:lineRule="auto"/>
        <w:rPr>
          <w:rFonts w:cs="Times New Roman"/>
          <w:b/>
          <w:szCs w:val="24"/>
          <w:lang w:val="en-US"/>
        </w:rPr>
      </w:pPr>
      <w:r w:rsidRPr="0058701B">
        <w:rPr>
          <w:b/>
          <w:lang w:val="en-US"/>
        </w:rPr>
        <w:lastRenderedPageBreak/>
        <w:t>Table 1:</w:t>
      </w:r>
      <w:r w:rsidRPr="0058701B">
        <w:rPr>
          <w:rFonts w:cs="Times New Roman"/>
          <w:b/>
          <w:bCs/>
          <w:szCs w:val="24"/>
          <w:lang w:val="en-US"/>
        </w:rPr>
        <w:t xml:space="preserve"> Descriptive Statistics </w:t>
      </w:r>
    </w:p>
    <w:tbl>
      <w:tblPr>
        <w:tblW w:w="0" w:type="auto"/>
        <w:tblLayout w:type="fixed"/>
        <w:tblLook w:val="0000" w:firstRow="0" w:lastRow="0" w:firstColumn="0" w:lastColumn="0" w:noHBand="0" w:noVBand="0"/>
      </w:tblPr>
      <w:tblGrid>
        <w:gridCol w:w="2508"/>
        <w:gridCol w:w="800"/>
        <w:gridCol w:w="1400"/>
        <w:gridCol w:w="1400"/>
        <w:gridCol w:w="1400"/>
        <w:gridCol w:w="1400"/>
      </w:tblGrid>
      <w:tr w:rsidR="00F9307A" w:rsidTr="005662FE">
        <w:tc>
          <w:tcPr>
            <w:tcW w:w="2508"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Variable</w:t>
            </w:r>
          </w:p>
        </w:tc>
        <w:tc>
          <w:tcPr>
            <w:tcW w:w="8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Obs</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Mean</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Std. Dev.</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Min</w:t>
            </w:r>
          </w:p>
        </w:tc>
        <w:tc>
          <w:tcPr>
            <w:tcW w:w="1400" w:type="dxa"/>
            <w:tcBorders>
              <w:top w:val="single" w:sz="4" w:space="0" w:color="auto"/>
              <w:left w:val="nil"/>
              <w:bottom w:val="single" w:sz="10"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 xml:space="preserve"> Max</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Happiness </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3.896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0.514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3.207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4.578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ICT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-0.45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2.731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Internet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5.544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9.557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30.5</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Telephone</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0.028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0.032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0.088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Fixed Broadband</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0.005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0.032</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Mobile cellular</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19.499</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19.583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0.016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53.189</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Electricity</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11.73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6.333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1.447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22.1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ATM</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0.613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0.767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2.271</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Education</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19.308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1.169</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17.566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20.893</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Financial dev</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3.765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3.015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0.491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11.764</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Investment</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16.138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8.71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31.549</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Industrialization</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15.151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4.422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5.015</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21.217</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Military exp</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1.106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0.897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0.081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5.226</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FDI</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3.17</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3.408</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-1.304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12.716</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GDPPC</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413.741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66.663</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309.912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537.508</w:t>
            </w:r>
          </w:p>
        </w:tc>
      </w:tr>
      <w:tr w:rsidR="00F9307A" w:rsidTr="005662FE">
        <w:tc>
          <w:tcPr>
            <w:tcW w:w="2508" w:type="dxa"/>
            <w:tcBorders>
              <w:top w:val="nil"/>
              <w:left w:val="nil"/>
              <w:bottom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Trade openness</w:t>
            </w:r>
          </w:p>
        </w:tc>
        <w:tc>
          <w:tcPr>
            <w:tcW w:w="8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60.504</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19.886</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25.042</w:t>
            </w:r>
          </w:p>
        </w:tc>
        <w:tc>
          <w:tcPr>
            <w:tcW w:w="1400" w:type="dxa"/>
            <w:tcBorders>
              <w:top w:val="nil"/>
              <w:left w:val="nil"/>
              <w:bottom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93.729</w:t>
            </w:r>
          </w:p>
        </w:tc>
      </w:tr>
      <w:tr w:rsidR="00F9307A" w:rsidTr="005662FE">
        <w:tc>
          <w:tcPr>
            <w:tcW w:w="2508" w:type="dxa"/>
            <w:tcBorders>
              <w:top w:val="nil"/>
              <w:left w:val="nil"/>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Life expectancy</w:t>
            </w:r>
          </w:p>
        </w:tc>
        <w:tc>
          <w:tcPr>
            <w:tcW w:w="8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55.307</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4.003</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49.376</w:t>
            </w:r>
          </w:p>
        </w:tc>
        <w:tc>
          <w:tcPr>
            <w:tcW w:w="1400" w:type="dxa"/>
            <w:tcBorders>
              <w:top w:val="nil"/>
              <w:left w:val="nil"/>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61.895</w:t>
            </w:r>
          </w:p>
        </w:tc>
      </w:tr>
      <w:tr w:rsidR="00F9307A" w:rsidTr="005662FE">
        <w:tc>
          <w:tcPr>
            <w:tcW w:w="2508"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Urbanization</w:t>
            </w:r>
          </w:p>
        </w:tc>
        <w:tc>
          <w:tcPr>
            <w:tcW w:w="8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39.251</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4.682</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31.946</w:t>
            </w:r>
          </w:p>
        </w:tc>
        <w:tc>
          <w:tcPr>
            <w:tcW w:w="1400" w:type="dxa"/>
            <w:tcBorders>
              <w:top w:val="nil"/>
              <w:left w:val="nil"/>
              <w:bottom w:val="single" w:sz="4" w:space="0" w:color="auto"/>
              <w:right w:val="nil"/>
            </w:tcBorders>
          </w:tcPr>
          <w:p w:rsidR="00F9307A"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47.444</w:t>
            </w:r>
          </w:p>
        </w:tc>
      </w:tr>
    </w:tbl>
    <w:p w:rsidR="00F9307A" w:rsidRPr="00F9307A" w:rsidRDefault="00F9307A" w:rsidP="00F9307A">
      <w:pPr>
        <w:rPr>
          <w:i/>
          <w:lang w:val="en-US"/>
        </w:rPr>
      </w:pPr>
      <w:r>
        <w:rPr>
          <w:lang w:val="en-US"/>
        </w:rPr>
        <w:t xml:space="preserve">Source: </w:t>
      </w:r>
      <w:r w:rsidRPr="00667A9E">
        <w:rPr>
          <w:i/>
          <w:lang w:val="en-US"/>
        </w:rPr>
        <w:t>Author’s Construction</w:t>
      </w:r>
    </w:p>
    <w:p w:rsidR="00F9307A" w:rsidRPr="0058701B" w:rsidRDefault="00F9307A" w:rsidP="00F9307A">
      <w:pPr>
        <w:widowControl w:val="0"/>
        <w:autoSpaceDE w:val="0"/>
        <w:autoSpaceDN w:val="0"/>
        <w:adjustRightInd w:val="0"/>
        <w:spacing w:line="240" w:lineRule="auto"/>
        <w:rPr>
          <w:rFonts w:cs="Times New Roman"/>
          <w:b/>
          <w:szCs w:val="24"/>
          <w:lang w:val="en-US"/>
        </w:rPr>
      </w:pPr>
      <w:r w:rsidRPr="0058701B">
        <w:rPr>
          <w:b/>
          <w:lang w:val="en-US"/>
        </w:rPr>
        <w:t xml:space="preserve">Table 2: </w:t>
      </w:r>
      <w:r w:rsidRPr="0058701B">
        <w:rPr>
          <w:b/>
        </w:rPr>
        <w:t>Matrix of correlations</w:t>
      </w:r>
      <w:r w:rsidRPr="0058701B">
        <w:rPr>
          <w:rFonts w:cs="Times New Roman"/>
          <w:b/>
          <w:bCs/>
          <w:sz w:val="20"/>
          <w:szCs w:val="20"/>
          <w:lang w:val="en-US"/>
        </w:rPr>
        <w:t xml:space="preserve"> </w:t>
      </w:r>
    </w:p>
    <w:tbl>
      <w:tblPr>
        <w:tblW w:w="9336" w:type="dxa"/>
        <w:tblLayout w:type="fixed"/>
        <w:tblLook w:val="0000" w:firstRow="0" w:lastRow="0" w:firstColumn="0" w:lastColumn="0" w:noHBand="0" w:noVBand="0"/>
      </w:tblPr>
      <w:tblGrid>
        <w:gridCol w:w="2416"/>
        <w:gridCol w:w="965"/>
        <w:gridCol w:w="966"/>
        <w:gridCol w:w="965"/>
        <w:gridCol w:w="966"/>
        <w:gridCol w:w="965"/>
        <w:gridCol w:w="966"/>
        <w:gridCol w:w="1127"/>
      </w:tblGrid>
      <w:tr w:rsidR="00F9307A" w:rsidRPr="004A1D4F" w:rsidTr="005662FE">
        <w:trPr>
          <w:trHeight w:val="227"/>
        </w:trPr>
        <w:tc>
          <w:tcPr>
            <w:tcW w:w="241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Variables</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(1)</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(2)</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(3)</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(4)</w:t>
            </w:r>
          </w:p>
        </w:tc>
        <w:tc>
          <w:tcPr>
            <w:tcW w:w="965"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(5)</w:t>
            </w:r>
          </w:p>
        </w:tc>
        <w:tc>
          <w:tcPr>
            <w:tcW w:w="966"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(6)</w:t>
            </w:r>
          </w:p>
        </w:tc>
        <w:tc>
          <w:tcPr>
            <w:tcW w:w="1127" w:type="dxa"/>
            <w:tcBorders>
              <w:top w:val="single" w:sz="4" w:space="0" w:color="auto"/>
              <w:left w:val="nil"/>
              <w:bottom w:val="single" w:sz="10"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(7)</w:t>
            </w:r>
          </w:p>
        </w:tc>
      </w:tr>
      <w:tr w:rsidR="00F9307A" w:rsidRPr="004A1D4F" w:rsidTr="005662FE">
        <w:trPr>
          <w:gridAfter w:val="6"/>
          <w:wAfter w:w="5955" w:type="dxa"/>
          <w:trHeight w:val="329"/>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(1) </w:t>
            </w:r>
            <w:r>
              <w:rPr>
                <w:rFonts w:cs="Times New Roman"/>
                <w:szCs w:val="24"/>
                <w:lang w:val="en-US"/>
              </w:rPr>
              <w:t xml:space="preserve">Happiness </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5"/>
          <w:wAfter w:w="4989"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(2) ICT</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0.373</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4"/>
          <w:wAfter w:w="4024"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Pr>
                <w:rFonts w:cs="Times New Roman"/>
                <w:szCs w:val="24"/>
                <w:lang w:val="en-US"/>
              </w:rPr>
              <w:t xml:space="preserve"> (3) E</w:t>
            </w:r>
            <w:r w:rsidRPr="004A1D4F">
              <w:rPr>
                <w:rFonts w:cs="Times New Roman"/>
                <w:szCs w:val="24"/>
                <w:lang w:val="en-US"/>
              </w:rPr>
              <w:t>ducation</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0.038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0.581</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3"/>
          <w:wAfter w:w="3058"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(4) </w:t>
            </w:r>
            <w:r>
              <w:rPr>
                <w:rFonts w:cs="Times New Roman"/>
                <w:szCs w:val="24"/>
                <w:lang w:val="en-US"/>
              </w:rPr>
              <w:t>Financial dev</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0.226</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0.684</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Pr>
                <w:rFonts w:cs="Times New Roman"/>
                <w:szCs w:val="24"/>
                <w:lang w:val="en-US"/>
              </w:rPr>
              <w:t>0.7</w:t>
            </w:r>
            <w:r w:rsidRPr="004A1D4F">
              <w:rPr>
                <w:rFonts w:cs="Times New Roman"/>
                <w:szCs w:val="24"/>
                <w:lang w:val="en-US"/>
              </w:rPr>
              <w:t>01</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2"/>
          <w:wAfter w:w="2093"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(5) Investment</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0.024</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0.576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0.778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0.756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gridAfter w:val="1"/>
          <w:wAfter w:w="1127" w:type="dxa"/>
          <w:trHeight w:val="241"/>
        </w:trPr>
        <w:tc>
          <w:tcPr>
            <w:tcW w:w="241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(6) </w:t>
            </w:r>
            <w:r>
              <w:rPr>
                <w:rFonts w:cs="Times New Roman"/>
                <w:szCs w:val="24"/>
                <w:lang w:val="en-US"/>
              </w:rPr>
              <w:t>Industrialization</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0.367</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0.305</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0.647</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0.496</w:t>
            </w:r>
          </w:p>
        </w:tc>
        <w:tc>
          <w:tcPr>
            <w:tcW w:w="965"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0.448</w:t>
            </w:r>
          </w:p>
        </w:tc>
        <w:tc>
          <w:tcPr>
            <w:tcW w:w="966" w:type="dxa"/>
            <w:tcBorders>
              <w:top w:val="nil"/>
              <w:left w:val="nil"/>
              <w:bottom w:val="nil"/>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r w:rsidR="00F9307A" w:rsidRPr="004A1D4F" w:rsidTr="005662FE">
        <w:trPr>
          <w:trHeight w:val="241"/>
        </w:trPr>
        <w:tc>
          <w:tcPr>
            <w:tcW w:w="241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rPr>
                <w:rFonts w:cs="Times New Roman"/>
                <w:szCs w:val="24"/>
                <w:lang w:val="en-US"/>
              </w:rPr>
            </w:pPr>
            <w:r w:rsidRPr="004A1D4F">
              <w:rPr>
                <w:rFonts w:cs="Times New Roman"/>
                <w:szCs w:val="24"/>
                <w:lang w:val="en-US"/>
              </w:rPr>
              <w:t xml:space="preserve"> (7) Military</w:t>
            </w:r>
            <w:r>
              <w:rPr>
                <w:rFonts w:cs="Times New Roman"/>
                <w:szCs w:val="24"/>
                <w:lang w:val="en-US"/>
              </w:rPr>
              <w:t xml:space="preserve"> </w:t>
            </w:r>
            <w:r w:rsidRPr="004A1D4F">
              <w:rPr>
                <w:rFonts w:cs="Times New Roman"/>
                <w:szCs w:val="24"/>
                <w:lang w:val="en-US"/>
              </w:rPr>
              <w:t>exp</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 xml:space="preserve"> 0.203</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0.194</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0.356</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-0.204</w:t>
            </w:r>
          </w:p>
        </w:tc>
        <w:tc>
          <w:tcPr>
            <w:tcW w:w="965"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-0.234</w:t>
            </w:r>
          </w:p>
        </w:tc>
        <w:tc>
          <w:tcPr>
            <w:tcW w:w="966"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-0.320</w:t>
            </w:r>
          </w:p>
        </w:tc>
        <w:tc>
          <w:tcPr>
            <w:tcW w:w="1127" w:type="dxa"/>
            <w:tcBorders>
              <w:top w:val="nil"/>
              <w:left w:val="nil"/>
              <w:bottom w:val="single" w:sz="4" w:space="0" w:color="auto"/>
              <w:right w:val="nil"/>
            </w:tcBorders>
          </w:tcPr>
          <w:p w:rsidR="00F9307A" w:rsidRPr="004A1D4F" w:rsidRDefault="00F9307A" w:rsidP="005662FE">
            <w:pPr>
              <w:widowControl w:val="0"/>
              <w:autoSpaceDE w:val="0"/>
              <w:autoSpaceDN w:val="0"/>
              <w:adjustRightInd w:val="0"/>
              <w:spacing w:line="240" w:lineRule="auto"/>
              <w:jc w:val="right"/>
              <w:rPr>
                <w:rFonts w:cs="Times New Roman"/>
                <w:szCs w:val="24"/>
                <w:lang w:val="en-US"/>
              </w:rPr>
            </w:pPr>
            <w:r w:rsidRPr="004A1D4F">
              <w:rPr>
                <w:rFonts w:cs="Times New Roman"/>
                <w:szCs w:val="24"/>
                <w:lang w:val="en-US"/>
              </w:rPr>
              <w:t>1.000</w:t>
            </w:r>
          </w:p>
        </w:tc>
      </w:tr>
    </w:tbl>
    <w:p w:rsidR="00497838" w:rsidRPr="00991E69" w:rsidRDefault="00F9307A" w:rsidP="00361179">
      <w:pPr>
        <w:rPr>
          <w:i/>
          <w:lang w:val="en-US"/>
        </w:rPr>
      </w:pPr>
      <w:r>
        <w:rPr>
          <w:lang w:val="en-US"/>
        </w:rPr>
        <w:t xml:space="preserve">Source: </w:t>
      </w:r>
      <w:r w:rsidRPr="00667A9E">
        <w:rPr>
          <w:i/>
          <w:lang w:val="en-US"/>
        </w:rPr>
        <w:t>Author’s Construction</w:t>
      </w:r>
    </w:p>
    <w:p w:rsidR="00497838" w:rsidRDefault="00497838" w:rsidP="00BE1916">
      <w:pPr>
        <w:pStyle w:val="Titre2"/>
        <w:rPr>
          <w:lang w:val="en-US"/>
        </w:rPr>
      </w:pPr>
      <w:r>
        <w:rPr>
          <w:lang w:val="en-US"/>
        </w:rPr>
        <w:t>Model and estimation method</w:t>
      </w:r>
    </w:p>
    <w:p w:rsidR="00361179" w:rsidRPr="00361179" w:rsidRDefault="00361179" w:rsidP="00991E69">
      <w:r w:rsidRPr="00361179">
        <w:t>The objective of this study is to analyze the effect of ICT on happiness in the DRC. To this end, and following on from the work of Mehmood and Hussain (2024), we empirically specify the following model:</w:t>
      </w:r>
    </w:p>
    <w:p w:rsidR="00D104B1" w:rsidRDefault="001E3AA0" w:rsidP="00D104B1">
      <w:pPr>
        <w:ind w:firstLine="567"/>
        <w:rPr>
          <w:rFonts w:eastAsiaTheme="minorEastAsia"/>
          <w:szCs w:val="24"/>
          <w:lang w:val="en-US"/>
        </w:rPr>
      </w:pP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0</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r>
          <w:rPr>
            <w:rFonts w:ascii="Cambria Math" w:hAnsi="Cambria Math" w:cs="Times New Roman"/>
            <w:szCs w:val="24"/>
            <w:lang w:val="en-US"/>
          </w:rPr>
          <m:t>+</m:t>
        </m:r>
        <m:r>
          <w:rPr>
            <w:rFonts w:ascii="Cambria Math" w:hAnsi="Cambria Math" w:cs="Times New Roman"/>
            <w:szCs w:val="24"/>
          </w:rPr>
          <m:t>δ</m:t>
        </m:r>
        <m:sSub>
          <m:sSubPr>
            <m:ctrlPr>
              <w:rPr>
                <w:rFonts w:ascii="Cambria Math" w:hAnsi="Cambria Math" w:cs="Times New Roman"/>
                <w:i/>
                <w:szCs w:val="24"/>
              </w:rPr>
            </m:ctrlPr>
          </m:sSubPr>
          <m:e>
            <m:r>
              <w:rPr>
                <w:rFonts w:ascii="Cambria Math" w:hAnsi="Cambria Math" w:cs="Times New Roman"/>
                <w:szCs w:val="24"/>
              </w:rPr>
              <m:t>X</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lang w:val="en-US"/>
              </w:rPr>
              <m:t>µ</m:t>
            </m:r>
          </m:e>
          <m:sub>
            <m:r>
              <w:rPr>
                <w:rFonts w:ascii="Cambria Math" w:hAnsi="Cambria Math" w:cs="Times New Roman"/>
                <w:szCs w:val="24"/>
              </w:rPr>
              <m:t>t</m:t>
            </m:r>
          </m:sub>
        </m:sSub>
      </m:oMath>
      <w:r w:rsidR="00D104B1" w:rsidRPr="00914B46">
        <w:rPr>
          <w:rFonts w:eastAsiaTheme="minorEastAsia"/>
          <w:szCs w:val="24"/>
          <w:lang w:val="en-US"/>
        </w:rPr>
        <w:t xml:space="preserve"> </w:t>
      </w:r>
      <w:r w:rsidR="00D104B1">
        <w:rPr>
          <w:rFonts w:eastAsiaTheme="minorEastAsia"/>
          <w:szCs w:val="24"/>
          <w:lang w:val="en-US"/>
        </w:rPr>
        <w:t xml:space="preserve">                                </w:t>
      </w:r>
      <w:r w:rsidR="00425999">
        <w:rPr>
          <w:rFonts w:eastAsiaTheme="minorEastAsia"/>
          <w:szCs w:val="24"/>
          <w:lang w:val="en-US"/>
        </w:rPr>
        <w:t xml:space="preserve">                             </w:t>
      </w:r>
      <w:r w:rsidR="00D104B1">
        <w:rPr>
          <w:rFonts w:eastAsiaTheme="minorEastAsia"/>
          <w:szCs w:val="24"/>
          <w:lang w:val="en-US"/>
        </w:rPr>
        <w:t xml:space="preserve">     (1)</w:t>
      </w:r>
    </w:p>
    <w:p w:rsidR="00F06B4D" w:rsidRPr="00361179" w:rsidRDefault="00361179" w:rsidP="00F06B4D">
      <w:r>
        <w:rPr>
          <w:lang w:val="en-US"/>
        </w:rPr>
        <w:t>Where</w:t>
      </w:r>
      <w:r w:rsidR="00F06B4D" w:rsidRPr="00F06B4D">
        <w:rPr>
          <w:lang w:val="en-US"/>
        </w:rPr>
        <w:t xml:space="preserve"> </w:t>
      </w: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oMath>
      <w:r w:rsidR="00F06B4D" w:rsidRPr="00F06B4D">
        <w:rPr>
          <w:lang w:val="en-US"/>
        </w:rPr>
        <w:t xml:space="preserve"> </w:t>
      </w:r>
      <w:r w:rsidRPr="00361179">
        <w:rPr>
          <w:lang w:val="en-US"/>
        </w:rPr>
        <w:t>is the dependent variable representing the Cantril Ladder score at time t</w:t>
      </w:r>
      <w:r w:rsidR="00F06B4D" w:rsidRPr="00F06B4D">
        <w:rPr>
          <w:lang w:val="en-US"/>
        </w:rPr>
        <w:t xml:space="preserve">. </w:t>
      </w:r>
      <m:oMath>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oMath>
      <w:r w:rsidR="00F06B4D" w:rsidRPr="00F06B4D">
        <w:rPr>
          <w:lang w:val="en-US"/>
        </w:rPr>
        <w:t xml:space="preserve"> </w:t>
      </w:r>
      <w:r w:rsidRPr="00361179">
        <w:t>represents the ICT index, the independent variable, X is the vector of control variables, and µ is the stochastic error term. When control variables are taken into account, the complete model is given by</w:t>
      </w:r>
      <w:r>
        <w:t xml:space="preserve"> </w:t>
      </w:r>
      <w:r w:rsidR="00F06B4D" w:rsidRPr="00F06B4D">
        <w:rPr>
          <w:lang w:val="en-US"/>
        </w:rPr>
        <w:t>:</w:t>
      </w:r>
    </w:p>
    <w:p w:rsidR="00D104B1" w:rsidRDefault="001E3AA0" w:rsidP="00425999">
      <w:pPr>
        <w:rPr>
          <w:rFonts w:eastAsiaTheme="minorEastAsia"/>
          <w:szCs w:val="24"/>
          <w:lang w:val="en-US"/>
        </w:rPr>
      </w:pPr>
      <m:oMath>
        <m:sSub>
          <m:sSubPr>
            <m:ctrlPr>
              <w:rPr>
                <w:rFonts w:ascii="Cambria Math" w:hAnsi="Cambria Math" w:cs="Times New Roman"/>
                <w:i/>
                <w:szCs w:val="24"/>
              </w:rPr>
            </m:ctrlPr>
          </m:sSubPr>
          <m:e>
            <m:r>
              <w:rPr>
                <w:rFonts w:ascii="Cambria Math" w:hAnsi="Cambria Math" w:cs="Times New Roman"/>
                <w:szCs w:val="24"/>
              </w:rPr>
              <m:t>Happiness</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0</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ICT</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Educ</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FD</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Inv</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Ind</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rPr>
              <m:t>α</m:t>
            </m:r>
          </m:e>
          <m:sub>
            <m:r>
              <w:rPr>
                <w:rFonts w:ascii="Cambria Math" w:hAnsi="Cambria Math" w:cs="Times New Roman"/>
                <w:szCs w:val="24"/>
                <w:lang w:val="en-US"/>
              </w:rPr>
              <m:t>1</m:t>
            </m:r>
          </m:sub>
        </m:sSub>
        <m:sSub>
          <m:sSubPr>
            <m:ctrlPr>
              <w:rPr>
                <w:rFonts w:ascii="Cambria Math" w:hAnsi="Cambria Math" w:cs="Times New Roman"/>
                <w:i/>
                <w:szCs w:val="24"/>
              </w:rPr>
            </m:ctrlPr>
          </m:sSubPr>
          <m:e>
            <m:r>
              <w:rPr>
                <w:rFonts w:ascii="Cambria Math" w:hAnsi="Cambria Math" w:cs="Times New Roman"/>
                <w:szCs w:val="24"/>
              </w:rPr>
              <m:t>Mil</m:t>
            </m:r>
          </m:e>
          <m:sub>
            <m:r>
              <w:rPr>
                <w:rFonts w:ascii="Cambria Math" w:hAnsi="Cambria Math" w:cs="Times New Roman"/>
                <w:szCs w:val="24"/>
              </w:rPr>
              <m:t>t</m:t>
            </m:r>
          </m:sub>
        </m:sSub>
        <m:r>
          <w:rPr>
            <w:rFonts w:ascii="Cambria Math" w:hAnsi="Cambria Math" w:cs="Times New Roman"/>
            <w:szCs w:val="24"/>
            <w:lang w:val="en-US"/>
          </w:rPr>
          <m:t>+</m:t>
        </m:r>
        <m:sSub>
          <m:sSubPr>
            <m:ctrlPr>
              <w:rPr>
                <w:rFonts w:ascii="Cambria Math" w:hAnsi="Cambria Math" w:cs="Times New Roman"/>
                <w:i/>
                <w:szCs w:val="24"/>
              </w:rPr>
            </m:ctrlPr>
          </m:sSubPr>
          <m:e>
            <m:r>
              <w:rPr>
                <w:rFonts w:ascii="Cambria Math" w:hAnsi="Cambria Math" w:cs="Times New Roman"/>
                <w:szCs w:val="24"/>
                <w:lang w:val="en-US"/>
              </w:rPr>
              <m:t>µ</m:t>
            </m:r>
          </m:e>
          <m:sub>
            <m:r>
              <w:rPr>
                <w:rFonts w:ascii="Cambria Math" w:hAnsi="Cambria Math" w:cs="Times New Roman"/>
                <w:szCs w:val="24"/>
              </w:rPr>
              <m:t>t</m:t>
            </m:r>
          </m:sub>
        </m:sSub>
      </m:oMath>
      <w:r w:rsidR="00D104B1" w:rsidRPr="00914B46">
        <w:rPr>
          <w:rFonts w:eastAsiaTheme="minorEastAsia"/>
          <w:szCs w:val="24"/>
          <w:lang w:val="en-US"/>
        </w:rPr>
        <w:t xml:space="preserve"> </w:t>
      </w:r>
      <w:r w:rsidR="00425999">
        <w:rPr>
          <w:rFonts w:eastAsiaTheme="minorEastAsia"/>
          <w:szCs w:val="24"/>
          <w:lang w:val="en-US"/>
        </w:rPr>
        <w:t xml:space="preserve">    </w:t>
      </w:r>
      <w:r w:rsidR="00D104B1">
        <w:rPr>
          <w:rFonts w:eastAsiaTheme="minorEastAsia"/>
          <w:szCs w:val="24"/>
          <w:lang w:val="en-US"/>
        </w:rPr>
        <w:t>(2)</w:t>
      </w:r>
    </w:p>
    <w:p w:rsidR="00D104B1" w:rsidRDefault="00D104B1" w:rsidP="00D104B1">
      <w:pPr>
        <w:ind w:firstLine="567"/>
        <w:rPr>
          <w:lang w:val="en-US"/>
        </w:rPr>
      </w:pPr>
    </w:p>
    <w:p w:rsidR="00D104B1" w:rsidRDefault="00AB261F" w:rsidP="00361179">
      <w:pPr>
        <w:rPr>
          <w:lang w:val="en-US"/>
        </w:rPr>
      </w:pPr>
      <w:r w:rsidRPr="00AB261F">
        <w:rPr>
          <w:lang w:val="en-US"/>
        </w:rPr>
        <w:lastRenderedPageBreak/>
        <w:t>In examining the effect of ICT on happiness in the DRC, we employ the Fully Modified Ordinary Least Squares (FM-OLS) estimation technique. This method, originally developed by Phillips and Hansen (1990), is particularly appropriate in time-series settings where the variables under study are non-stationary but cointegrated. Given that our analysis covers a relatively long time span (1993–2023) and involves macro-level variables such as ICT infrastructure indicators, education, financial development, and subjective well-being (measured by the Cantril ladder), the likelihood of encountering non-stationary series is high. FM-OLS addresses this issue by correcting for both serial correlation and endogeneity that typically arise in cointegrated systems. It modifies the traditional OLS estimator by making non-parametric corrections to the long-run covariance matrix of the residuals, thereby producing asymptotically unbiased and normally distributed estimators. This is essential in ensuring the validity of statistical inferences drawn from the long-run relationships between ICT and happiness.</w:t>
      </w:r>
      <w:r w:rsidR="0058701B">
        <w:rPr>
          <w:lang w:val="en-US"/>
        </w:rPr>
        <w:t xml:space="preserve"> </w:t>
      </w:r>
      <w:r w:rsidRPr="00AB261F">
        <w:rPr>
          <w:lang w:val="en-US"/>
        </w:rPr>
        <w:t>Moreover, the FM-OLS technique is well-suited for small sample sizes, which is critical in our context given that the DRC’s data availability is limited and spans only 31 observations. Traditional estimators like OLS or even dynamic panel models may suffer from biased coefficient estimates or inefficient standard errors under such conditions. FM-OLS, by contrast, has been shown to perform reliably in small-sample environments, making it a preferred choice in recent studies analyzing long-run equilibrium relationships in developing economies (Narayan &amp; Narayan, 2005; Samargandi et al., 2015). Additionally, given the potential simultaneity b</w:t>
      </w:r>
      <w:r>
        <w:rPr>
          <w:lang w:val="en-US"/>
        </w:rPr>
        <w:t xml:space="preserve">etween ICT access and happiness, </w:t>
      </w:r>
      <w:r w:rsidRPr="00AB261F">
        <w:rPr>
          <w:lang w:val="en-US"/>
        </w:rPr>
        <w:t>where higher happine</w:t>
      </w:r>
      <w:r>
        <w:rPr>
          <w:lang w:val="en-US"/>
        </w:rPr>
        <w:t xml:space="preserve">ss may also foster ICT adoption, </w:t>
      </w:r>
      <w:r w:rsidRPr="00AB261F">
        <w:rPr>
          <w:lang w:val="en-US"/>
        </w:rPr>
        <w:t>FM-OLS provides an appropriate framework by accounting for potential reverse causality through its endogeneity correction. Employing FM-OLS thus not only ensures consistency and efficiency of the estimators but also enhances the robustness of the policy implications derived from the study. Its usage aligns with empirical precedents in development economics and ICT research, where cointegrating relationships among macroeconomic variables are examined in single-country time series analyses.</w:t>
      </w:r>
    </w:p>
    <w:p w:rsidR="00D81F9C" w:rsidRDefault="00D81F9C" w:rsidP="00273572">
      <w:pPr>
        <w:pStyle w:val="Titre1"/>
        <w:numPr>
          <w:ilvl w:val="0"/>
          <w:numId w:val="4"/>
        </w:numPr>
        <w:rPr>
          <w:lang w:val="en-US"/>
        </w:rPr>
      </w:pPr>
      <w:r>
        <w:rPr>
          <w:lang w:val="en-US"/>
        </w:rPr>
        <w:t>Results and Discussion</w:t>
      </w:r>
    </w:p>
    <w:p w:rsidR="00D104B1" w:rsidRDefault="00544D42" w:rsidP="00BE1916">
      <w:pPr>
        <w:pStyle w:val="Titre2"/>
        <w:rPr>
          <w:lang w:val="en-US"/>
        </w:rPr>
      </w:pPr>
      <w:r>
        <w:rPr>
          <w:lang w:val="en-US"/>
        </w:rPr>
        <w:t>Preliminary Results</w:t>
      </w:r>
    </w:p>
    <w:p w:rsidR="00D70F1D" w:rsidRDefault="00113383" w:rsidP="00E16E20">
      <w:pPr>
        <w:rPr>
          <w:lang w:val="en-US"/>
        </w:rPr>
      </w:pPr>
      <w:r w:rsidRPr="00113383">
        <w:rPr>
          <w:lang w:val="en-US"/>
        </w:rPr>
        <w:t xml:space="preserve">Before any econometric analysis, it's crucial to verify the stationarity of variables to avoid biased results. Tests conducted (see Table 3) revealed that variables such as information and communication technologies (ICT), education, investment, industrialization, and military spending are stationary, with </w:t>
      </w:r>
      <w:r>
        <w:rPr>
          <w:lang w:val="en-US"/>
        </w:rPr>
        <w:t>their p-values being below 0.05</w:t>
      </w:r>
      <w:r w:rsidR="00AC07BA" w:rsidRPr="00AC07BA">
        <w:rPr>
          <w:lang w:val="en-US"/>
        </w:rPr>
        <w:t xml:space="preserve">. </w:t>
      </w:r>
    </w:p>
    <w:p w:rsidR="00234F23" w:rsidRDefault="00234F23" w:rsidP="00E16E20">
      <w:pPr>
        <w:rPr>
          <w:lang w:val="en-US"/>
        </w:rPr>
      </w:pPr>
    </w:p>
    <w:p w:rsidR="0058701B" w:rsidRDefault="0058701B" w:rsidP="00E16E20">
      <w:pPr>
        <w:rPr>
          <w:lang w:val="en-US"/>
        </w:rPr>
      </w:pPr>
    </w:p>
    <w:p w:rsidR="00E16E20" w:rsidRPr="0058701B" w:rsidRDefault="00F84B1F" w:rsidP="00E16E20">
      <w:pPr>
        <w:rPr>
          <w:b/>
          <w:lang w:val="en-US"/>
        </w:rPr>
      </w:pPr>
      <w:r w:rsidRPr="0058701B">
        <w:rPr>
          <w:b/>
          <w:lang w:val="en-US"/>
        </w:rPr>
        <w:lastRenderedPageBreak/>
        <w:t>Table 3: Test of Stationarity</w:t>
      </w:r>
    </w:p>
    <w:tbl>
      <w:tblPr>
        <w:tblpPr w:leftFromText="141" w:rightFromText="141" w:vertAnchor="text" w:horzAnchor="margin" w:tblpY="59"/>
        <w:tblW w:w="9010" w:type="dxa"/>
        <w:tblLayout w:type="fixed"/>
        <w:tblLook w:val="04A0" w:firstRow="1" w:lastRow="0" w:firstColumn="1" w:lastColumn="0" w:noHBand="0" w:noVBand="1"/>
      </w:tblPr>
      <w:tblGrid>
        <w:gridCol w:w="3659"/>
        <w:gridCol w:w="1497"/>
        <w:gridCol w:w="1143"/>
        <w:gridCol w:w="277"/>
        <w:gridCol w:w="2434"/>
      </w:tblGrid>
      <w:tr w:rsidR="00F84B1F" w:rsidRPr="0060613D" w:rsidTr="00DE67B7">
        <w:trPr>
          <w:trHeight w:val="164"/>
        </w:trPr>
        <w:tc>
          <w:tcPr>
            <w:tcW w:w="3659" w:type="dxa"/>
            <w:vMerge w:val="restart"/>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Variables</w:t>
            </w:r>
          </w:p>
        </w:tc>
        <w:tc>
          <w:tcPr>
            <w:tcW w:w="2640" w:type="dxa"/>
            <w:gridSpan w:val="2"/>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Test at level</w:t>
            </w:r>
          </w:p>
        </w:tc>
        <w:tc>
          <w:tcPr>
            <w:tcW w:w="277" w:type="dxa"/>
            <w:vMerge w:val="restart"/>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vMerge w:val="restart"/>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60613D">
              <w:rPr>
                <w:rFonts w:eastAsia="Times New Roman" w:cs="Times New Roman"/>
                <w:szCs w:val="24"/>
                <w:lang w:eastAsia="fr-FR"/>
              </w:rPr>
              <w:t>Level of Integration</w:t>
            </w:r>
          </w:p>
        </w:tc>
      </w:tr>
      <w:tr w:rsidR="00F84B1F" w:rsidRPr="0060613D" w:rsidTr="00DE67B7">
        <w:trPr>
          <w:trHeight w:val="342"/>
        </w:trPr>
        <w:tc>
          <w:tcPr>
            <w:tcW w:w="3659" w:type="dxa"/>
            <w:vMerge/>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1497" w:type="dxa"/>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r w:rsidRPr="0060613D">
              <w:rPr>
                <w:rFonts w:eastAsia="Times New Roman" w:cs="Times New Roman"/>
                <w:i/>
                <w:szCs w:val="24"/>
                <w:lang w:eastAsia="fr-FR"/>
              </w:rPr>
              <w:t>Z[t-bar]</w:t>
            </w:r>
          </w:p>
        </w:tc>
        <w:tc>
          <w:tcPr>
            <w:tcW w:w="1143" w:type="dxa"/>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r w:rsidRPr="0060613D">
              <w:rPr>
                <w:rFonts w:eastAsia="Times New Roman" w:cs="Times New Roman"/>
                <w:i/>
                <w:szCs w:val="24"/>
                <w:lang w:eastAsia="fr-FR"/>
              </w:rPr>
              <w:t>P-value</w:t>
            </w:r>
          </w:p>
        </w:tc>
        <w:tc>
          <w:tcPr>
            <w:tcW w:w="277" w:type="dxa"/>
            <w:vMerge/>
            <w:tcBorders>
              <w:top w:val="single" w:sz="4" w:space="0" w:color="auto"/>
              <w:bottom w:val="single" w:sz="4" w:space="0" w:color="auto"/>
            </w:tcBorders>
          </w:tcPr>
          <w:p w:rsidR="00F84B1F" w:rsidRPr="0060613D" w:rsidRDefault="00F84B1F" w:rsidP="00DE67B7">
            <w:pPr>
              <w:spacing w:line="240" w:lineRule="auto"/>
              <w:ind w:right="-284"/>
              <w:jc w:val="left"/>
              <w:rPr>
                <w:rFonts w:eastAsia="Times New Roman" w:cs="Times New Roman"/>
                <w:i/>
                <w:szCs w:val="24"/>
                <w:lang w:eastAsia="fr-FR"/>
              </w:rPr>
            </w:pPr>
          </w:p>
        </w:tc>
        <w:tc>
          <w:tcPr>
            <w:tcW w:w="2434" w:type="dxa"/>
            <w:vMerge/>
            <w:tcBorders>
              <w:top w:val="single" w:sz="4" w:space="0" w:color="auto"/>
              <w:bottom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p>
        </w:tc>
      </w:tr>
      <w:tr w:rsidR="00F84B1F" w:rsidRPr="0060613D" w:rsidTr="00DE67B7">
        <w:trPr>
          <w:trHeight w:val="206"/>
        </w:trPr>
        <w:tc>
          <w:tcPr>
            <w:tcW w:w="3659" w:type="dxa"/>
            <w:tcBorders>
              <w:top w:val="single" w:sz="4" w:space="0" w:color="auto"/>
            </w:tcBorders>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Happiness</w:t>
            </w:r>
          </w:p>
        </w:tc>
        <w:tc>
          <w:tcPr>
            <w:tcW w:w="1497" w:type="dxa"/>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-3.254</w:t>
            </w:r>
          </w:p>
        </w:tc>
        <w:tc>
          <w:tcPr>
            <w:tcW w:w="1143" w:type="dxa"/>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0.0742</w:t>
            </w:r>
          </w:p>
        </w:tc>
        <w:tc>
          <w:tcPr>
            <w:tcW w:w="277" w:type="dxa"/>
            <w:vMerge/>
            <w:tcBorders>
              <w:top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Borders>
              <w:top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DE67B7">
        <w:trPr>
          <w:trHeight w:val="206"/>
        </w:trPr>
        <w:tc>
          <w:tcPr>
            <w:tcW w:w="3659" w:type="dxa"/>
          </w:tcPr>
          <w:p w:rsidR="00F84B1F" w:rsidRPr="00AB02E8" w:rsidRDefault="00F84B1F" w:rsidP="00DE67B7">
            <w:pPr>
              <w:spacing w:line="240" w:lineRule="auto"/>
              <w:ind w:right="-284"/>
              <w:jc w:val="left"/>
              <w:rPr>
                <w:rFonts w:eastAsia="Times New Roman" w:cs="Times New Roman"/>
                <w:szCs w:val="24"/>
                <w:lang w:val="en-US" w:eastAsia="fr-FR"/>
              </w:rPr>
            </w:pPr>
            <w:r w:rsidRPr="00AB02E8">
              <w:rPr>
                <w:rFonts w:cs="Times New Roman"/>
                <w:szCs w:val="24"/>
                <w:lang w:val="en-US"/>
              </w:rPr>
              <w:t>ICT</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021DA3">
              <w:rPr>
                <w:rFonts w:eastAsia="Times New Roman" w:cs="Times New Roman"/>
                <w:szCs w:val="24"/>
                <w:lang w:eastAsia="fr-FR"/>
              </w:rPr>
              <w:t xml:space="preserve">-1.489 </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021DA3">
              <w:rPr>
                <w:rFonts w:eastAsia="Times New Roman" w:cs="Times New Roman"/>
                <w:szCs w:val="24"/>
                <w:lang w:eastAsia="fr-FR"/>
              </w:rPr>
              <w:t>328</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DE67B7">
        <w:trPr>
          <w:trHeight w:val="206"/>
        </w:trPr>
        <w:tc>
          <w:tcPr>
            <w:tcW w:w="3659" w:type="dxa"/>
          </w:tcPr>
          <w:p w:rsidR="00F84B1F" w:rsidRPr="00AB02E8" w:rsidRDefault="00AB02E8" w:rsidP="00DE67B7">
            <w:pPr>
              <w:spacing w:line="240" w:lineRule="auto"/>
              <w:ind w:right="-284"/>
              <w:jc w:val="left"/>
              <w:rPr>
                <w:rFonts w:eastAsia="Times New Roman" w:cs="Times New Roman"/>
                <w:szCs w:val="24"/>
                <w:lang w:val="en-US" w:eastAsia="fr-FR"/>
              </w:rPr>
            </w:pPr>
            <w:r w:rsidRPr="00AB02E8">
              <w:rPr>
                <w:rFonts w:cs="Times New Roman"/>
                <w:szCs w:val="24"/>
                <w:lang w:val="en-US"/>
              </w:rPr>
              <w:t>E</w:t>
            </w:r>
            <w:r w:rsidR="00F84B1F" w:rsidRPr="00AB02E8">
              <w:rPr>
                <w:rFonts w:cs="Times New Roman"/>
                <w:szCs w:val="24"/>
                <w:lang w:val="en-US"/>
              </w:rPr>
              <w:t>ducation</w:t>
            </w:r>
          </w:p>
        </w:tc>
        <w:tc>
          <w:tcPr>
            <w:tcW w:w="1497" w:type="dxa"/>
          </w:tcPr>
          <w:p w:rsidR="00F84B1F" w:rsidRPr="0060613D" w:rsidRDefault="00F84B1F" w:rsidP="00DE67B7">
            <w:pPr>
              <w:spacing w:line="240" w:lineRule="auto"/>
              <w:ind w:right="-284"/>
              <w:jc w:val="left"/>
              <w:rPr>
                <w:rFonts w:eastAsia="Times New Roman" w:cs="Times New Roman"/>
                <w:szCs w:val="24"/>
                <w:lang w:val="en-US" w:eastAsia="fr-FR"/>
              </w:rPr>
            </w:pPr>
            <w:r w:rsidRPr="00947BDC">
              <w:rPr>
                <w:rFonts w:eastAsia="Times New Roman" w:cs="Times New Roman"/>
                <w:szCs w:val="24"/>
                <w:lang w:val="en-US" w:eastAsia="fr-FR"/>
              </w:rPr>
              <w:t xml:space="preserve">-4.998 </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0.0002</w:t>
            </w:r>
          </w:p>
        </w:tc>
        <w:tc>
          <w:tcPr>
            <w:tcW w:w="277" w:type="dxa"/>
            <w:vMerge/>
          </w:tcPr>
          <w:p w:rsidR="00F84B1F" w:rsidRPr="0060613D" w:rsidRDefault="00F84B1F" w:rsidP="00DE67B7">
            <w:pPr>
              <w:spacing w:line="240" w:lineRule="auto"/>
              <w:ind w:right="-284"/>
              <w:jc w:val="left"/>
              <w:rPr>
                <w:rFonts w:eastAsia="Times New Roman" w:cs="Times New Roman"/>
                <w:szCs w:val="24"/>
                <w:lang w:val="en-US"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val="en-US" w:eastAsia="fr-FR"/>
              </w:rPr>
            </w:pPr>
            <w:r w:rsidRPr="0060613D">
              <w:rPr>
                <w:rFonts w:eastAsia="Times New Roman" w:cs="Times New Roman"/>
                <w:szCs w:val="24"/>
                <w:lang w:eastAsia="fr-FR"/>
              </w:rPr>
              <w:t>I(0)</w:t>
            </w:r>
          </w:p>
        </w:tc>
      </w:tr>
      <w:tr w:rsidR="00F84B1F" w:rsidRPr="0060613D" w:rsidTr="00DE67B7">
        <w:trPr>
          <w:trHeight w:val="198"/>
        </w:trPr>
        <w:tc>
          <w:tcPr>
            <w:tcW w:w="3659" w:type="dxa"/>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Financial dev</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-1.358</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947BDC">
              <w:rPr>
                <w:rFonts w:eastAsia="Times New Roman" w:cs="Times New Roman"/>
                <w:szCs w:val="24"/>
                <w:lang w:eastAsia="fr-FR"/>
              </w:rPr>
              <w:t>727</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r w:rsidR="00F84B1F" w:rsidRPr="0060613D" w:rsidTr="00DE67B7">
        <w:trPr>
          <w:trHeight w:val="198"/>
        </w:trPr>
        <w:tc>
          <w:tcPr>
            <w:tcW w:w="3659" w:type="dxa"/>
          </w:tcPr>
          <w:p w:rsidR="00F84B1F" w:rsidRPr="00AB02E8" w:rsidRDefault="00F84B1F" w:rsidP="00DE67B7">
            <w:pPr>
              <w:spacing w:line="240" w:lineRule="auto"/>
              <w:ind w:right="-284"/>
              <w:jc w:val="left"/>
              <w:rPr>
                <w:rFonts w:eastAsia="Times New Roman" w:cs="Times New Roman"/>
                <w:szCs w:val="24"/>
                <w:lang w:eastAsia="fr-FR"/>
              </w:rPr>
            </w:pPr>
            <w:r w:rsidRPr="00AB02E8">
              <w:rPr>
                <w:rFonts w:cs="Times New Roman"/>
                <w:szCs w:val="24"/>
                <w:lang w:val="en-US"/>
              </w:rPr>
              <w:t>Investment</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-4.631</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0.0009</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r w:rsidR="00F84B1F" w:rsidRPr="0060613D" w:rsidTr="00DE67B7">
        <w:trPr>
          <w:trHeight w:val="198"/>
        </w:trPr>
        <w:tc>
          <w:tcPr>
            <w:tcW w:w="3659" w:type="dxa"/>
          </w:tcPr>
          <w:p w:rsidR="00F84B1F" w:rsidRPr="00AB02E8" w:rsidRDefault="00AB02E8" w:rsidP="00DE67B7">
            <w:pPr>
              <w:spacing w:line="240" w:lineRule="auto"/>
              <w:ind w:right="-284"/>
              <w:jc w:val="left"/>
              <w:rPr>
                <w:rFonts w:eastAsia="Times New Roman" w:cs="Times New Roman"/>
                <w:szCs w:val="24"/>
                <w:lang w:eastAsia="fr-FR"/>
              </w:rPr>
            </w:pPr>
            <w:r w:rsidRPr="00AB02E8">
              <w:rPr>
                <w:rFonts w:cs="Times New Roman"/>
                <w:szCs w:val="24"/>
                <w:lang w:val="en-US"/>
              </w:rPr>
              <w:t>Industrialization</w:t>
            </w:r>
          </w:p>
        </w:tc>
        <w:tc>
          <w:tcPr>
            <w:tcW w:w="1497" w:type="dxa"/>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-2.108</w:t>
            </w:r>
          </w:p>
        </w:tc>
        <w:tc>
          <w:tcPr>
            <w:tcW w:w="1143" w:type="dxa"/>
          </w:tcPr>
          <w:p w:rsidR="00F84B1F" w:rsidRPr="0060613D" w:rsidRDefault="00F84B1F" w:rsidP="00DE67B7">
            <w:pPr>
              <w:spacing w:line="240" w:lineRule="auto"/>
              <w:ind w:right="-284"/>
              <w:jc w:val="left"/>
              <w:rPr>
                <w:rFonts w:eastAsia="Times New Roman" w:cs="Times New Roman"/>
                <w:szCs w:val="24"/>
                <w:lang w:eastAsia="fr-FR"/>
              </w:rPr>
            </w:pPr>
            <w:r>
              <w:rPr>
                <w:rFonts w:eastAsia="Times New Roman" w:cs="Times New Roman"/>
                <w:szCs w:val="24"/>
                <w:lang w:eastAsia="fr-FR"/>
              </w:rPr>
              <w:t>0.0</w:t>
            </w:r>
            <w:r w:rsidRPr="00947BDC">
              <w:rPr>
                <w:rFonts w:eastAsia="Times New Roman" w:cs="Times New Roman"/>
                <w:szCs w:val="24"/>
                <w:lang w:eastAsia="fr-FR"/>
              </w:rPr>
              <w:t>416</w:t>
            </w:r>
          </w:p>
        </w:tc>
        <w:tc>
          <w:tcPr>
            <w:tcW w:w="277" w:type="dxa"/>
            <w:vMerge/>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Pr>
          <w:p w:rsidR="00F84B1F" w:rsidRPr="0060613D" w:rsidRDefault="00F84B1F" w:rsidP="00DE67B7">
            <w:pPr>
              <w:spacing w:line="240" w:lineRule="auto"/>
              <w:ind w:right="-284"/>
              <w:jc w:val="center"/>
              <w:rPr>
                <w:rFonts w:eastAsia="Times New Roman" w:cs="Times New Roman"/>
                <w:szCs w:val="24"/>
                <w:lang w:eastAsia="fr-FR"/>
              </w:rPr>
            </w:pPr>
            <w:r w:rsidRPr="0060613D">
              <w:rPr>
                <w:rFonts w:eastAsia="Times New Roman" w:cs="Times New Roman"/>
                <w:szCs w:val="24"/>
                <w:lang w:eastAsia="fr-FR"/>
              </w:rPr>
              <w:t>I(0)</w:t>
            </w:r>
          </w:p>
        </w:tc>
      </w:tr>
      <w:tr w:rsidR="00F84B1F" w:rsidRPr="0060613D" w:rsidTr="00AB02E8">
        <w:trPr>
          <w:trHeight w:val="81"/>
        </w:trPr>
        <w:tc>
          <w:tcPr>
            <w:tcW w:w="3659" w:type="dxa"/>
            <w:tcBorders>
              <w:bottom w:val="single" w:sz="4" w:space="0" w:color="auto"/>
            </w:tcBorders>
          </w:tcPr>
          <w:p w:rsidR="00F84B1F" w:rsidRPr="00AB02E8" w:rsidRDefault="00F84B1F" w:rsidP="00DE67B7">
            <w:pPr>
              <w:spacing w:line="240" w:lineRule="auto"/>
              <w:ind w:right="-284"/>
              <w:jc w:val="left"/>
              <w:rPr>
                <w:rFonts w:eastAsia="Times New Roman" w:cs="Times New Roman"/>
                <w:szCs w:val="24"/>
                <w:lang w:eastAsia="fr-FR"/>
              </w:rPr>
            </w:pPr>
            <w:r w:rsidRPr="00AB02E8">
              <w:rPr>
                <w:rFonts w:cs="Times New Roman"/>
                <w:szCs w:val="24"/>
                <w:lang w:val="en-US"/>
              </w:rPr>
              <w:t>Military</w:t>
            </w:r>
            <w:r w:rsidR="00AB02E8" w:rsidRPr="00AB02E8">
              <w:rPr>
                <w:rFonts w:cs="Times New Roman"/>
                <w:szCs w:val="24"/>
                <w:lang w:val="en-US"/>
              </w:rPr>
              <w:t xml:space="preserve"> </w:t>
            </w:r>
            <w:r w:rsidRPr="00AB02E8">
              <w:rPr>
                <w:rFonts w:cs="Times New Roman"/>
                <w:szCs w:val="24"/>
                <w:lang w:val="en-US"/>
              </w:rPr>
              <w:t>exp</w:t>
            </w:r>
          </w:p>
        </w:tc>
        <w:tc>
          <w:tcPr>
            <w:tcW w:w="1497" w:type="dxa"/>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947BDC">
              <w:rPr>
                <w:rFonts w:eastAsia="Times New Roman" w:cs="Times New Roman"/>
                <w:szCs w:val="24"/>
                <w:lang w:eastAsia="fr-FR"/>
              </w:rPr>
              <w:t>-7.884</w:t>
            </w:r>
          </w:p>
        </w:tc>
        <w:tc>
          <w:tcPr>
            <w:tcW w:w="1143" w:type="dxa"/>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r w:rsidRPr="003519B2">
              <w:rPr>
                <w:rFonts w:eastAsia="Times New Roman" w:cs="Times New Roman"/>
                <w:szCs w:val="24"/>
                <w:lang w:eastAsia="fr-FR"/>
              </w:rPr>
              <w:t>0.0000</w:t>
            </w:r>
          </w:p>
        </w:tc>
        <w:tc>
          <w:tcPr>
            <w:tcW w:w="277" w:type="dxa"/>
            <w:vMerge/>
            <w:tcBorders>
              <w:bottom w:val="single" w:sz="4" w:space="0" w:color="auto"/>
            </w:tcBorders>
          </w:tcPr>
          <w:p w:rsidR="00F84B1F" w:rsidRPr="0060613D" w:rsidRDefault="00F84B1F" w:rsidP="00DE67B7">
            <w:pPr>
              <w:spacing w:line="240" w:lineRule="auto"/>
              <w:ind w:right="-284"/>
              <w:jc w:val="left"/>
              <w:rPr>
                <w:rFonts w:eastAsia="Times New Roman" w:cs="Times New Roman"/>
                <w:szCs w:val="24"/>
                <w:lang w:eastAsia="fr-FR"/>
              </w:rPr>
            </w:pPr>
          </w:p>
        </w:tc>
        <w:tc>
          <w:tcPr>
            <w:tcW w:w="2434" w:type="dxa"/>
            <w:tcBorders>
              <w:bottom w:val="single" w:sz="4" w:space="0" w:color="auto"/>
            </w:tcBorders>
          </w:tcPr>
          <w:p w:rsidR="00F84B1F" w:rsidRPr="0060613D" w:rsidRDefault="00F84B1F" w:rsidP="00DE67B7">
            <w:pPr>
              <w:spacing w:line="240" w:lineRule="auto"/>
              <w:ind w:right="-284"/>
              <w:jc w:val="center"/>
              <w:rPr>
                <w:rFonts w:eastAsia="Times New Roman" w:cs="Times New Roman"/>
                <w:szCs w:val="24"/>
                <w:lang w:eastAsia="fr-FR"/>
              </w:rPr>
            </w:pPr>
            <w:r>
              <w:rPr>
                <w:rFonts w:eastAsia="Times New Roman" w:cs="Times New Roman"/>
                <w:szCs w:val="24"/>
                <w:lang w:eastAsia="fr-FR"/>
              </w:rPr>
              <w:t>I(1</w:t>
            </w:r>
            <w:r w:rsidRPr="0060613D">
              <w:rPr>
                <w:rFonts w:eastAsia="Times New Roman" w:cs="Times New Roman"/>
                <w:szCs w:val="24"/>
                <w:lang w:eastAsia="fr-FR"/>
              </w:rPr>
              <w:t>)</w:t>
            </w:r>
          </w:p>
        </w:tc>
      </w:tr>
    </w:tbl>
    <w:p w:rsidR="00F84B1F" w:rsidRPr="00D70F1D" w:rsidRDefault="00F84B1F" w:rsidP="00E16E20">
      <w:pPr>
        <w:rPr>
          <w:i/>
          <w:lang w:val="en-US"/>
        </w:rPr>
      </w:pPr>
      <w:r>
        <w:rPr>
          <w:lang w:val="en-US"/>
        </w:rPr>
        <w:t xml:space="preserve">Source: </w:t>
      </w:r>
      <w:r w:rsidRPr="00F84B1F">
        <w:rPr>
          <w:i/>
          <w:lang w:val="en-US"/>
        </w:rPr>
        <w:t>Author’s Construction</w:t>
      </w:r>
    </w:p>
    <w:p w:rsidR="00D70F1D" w:rsidRDefault="00113383" w:rsidP="00E16E20">
      <w:pPr>
        <w:rPr>
          <w:lang w:val="en-US"/>
        </w:rPr>
      </w:pPr>
      <w:r w:rsidRPr="00113383">
        <w:rPr>
          <w:lang w:val="en-US"/>
        </w:rPr>
        <w:t xml:space="preserve">Tests show some variables are stationary (p-value &lt; 0.05, </w:t>
      </w:r>
      <w:proofErr w:type="gramStart"/>
      <w:r w:rsidRPr="00113383">
        <w:rPr>
          <w:lang w:val="en-US"/>
        </w:rPr>
        <w:t>I(</w:t>
      </w:r>
      <w:proofErr w:type="gramEnd"/>
      <w:r w:rsidRPr="00113383">
        <w:rPr>
          <w:lang w:val="en-US"/>
        </w:rPr>
        <w:t xml:space="preserve">0)), specifically ICT, education, investment, industrialization, and military spending. Conversely, happiness and financial development are non-stationary (p-value &gt; 0.05, </w:t>
      </w:r>
      <w:proofErr w:type="gramStart"/>
      <w:r w:rsidRPr="00113383">
        <w:rPr>
          <w:lang w:val="en-US"/>
        </w:rPr>
        <w:t>I(</w:t>
      </w:r>
      <w:proofErr w:type="gramEnd"/>
      <w:r w:rsidRPr="00113383">
        <w:rPr>
          <w:lang w:val="en-US"/>
        </w:rPr>
        <w:t>1)), thus requiring differentiation. This distinction is vital for reliable econometric analysis.</w:t>
      </w:r>
    </w:p>
    <w:p w:rsidR="00871832" w:rsidRDefault="00871832" w:rsidP="00BE1916">
      <w:pPr>
        <w:pStyle w:val="Titre2"/>
        <w:rPr>
          <w:lang w:val="en-US"/>
        </w:rPr>
      </w:pPr>
      <w:r>
        <w:rPr>
          <w:lang w:val="en-US"/>
        </w:rPr>
        <w:t>Baseline Results</w:t>
      </w:r>
    </w:p>
    <w:p w:rsidR="00256F6E" w:rsidRDefault="007F0DF1" w:rsidP="0058701B">
      <w:pPr>
        <w:rPr>
          <w:lang w:val="en-US"/>
        </w:rPr>
      </w:pPr>
      <w:r w:rsidRPr="007F0DF1">
        <w:rPr>
          <w:lang w:val="en-US"/>
        </w:rPr>
        <w:t xml:space="preserve">Based on the FM-OLS estimates reported in Table 4, the relationship between the ICT index and happiness (measured by the Cantril ladder score) is positive and statistically significant across all model specifications. In all six regressions, the ICT variable retains its positive sign and achieves statistical significance at either the 1% or 5% level. This </w:t>
      </w:r>
      <w:r>
        <w:rPr>
          <w:lang w:val="en-US"/>
        </w:rPr>
        <w:t>suggests a consistent and strong</w:t>
      </w:r>
      <w:r w:rsidRPr="007F0DF1">
        <w:rPr>
          <w:lang w:val="en-US"/>
        </w:rPr>
        <w:t xml:space="preserve"> association between improvements in ICT infrastructure and increases in reported happiness levels in the </w:t>
      </w:r>
      <w:r>
        <w:rPr>
          <w:lang w:val="en-US"/>
        </w:rPr>
        <w:t>DRC</w:t>
      </w:r>
      <w:r w:rsidRPr="007F0DF1">
        <w:rPr>
          <w:lang w:val="en-US"/>
        </w:rPr>
        <w:t>. Econometrically, for instance, in model (2), a one-unit increase in the ICT index is associated with a 0.288-point increase in the Cantril ladder score, ceteris paribus. This indicates that as ICT access and infrastructure improve, individuals report higher life satisfaction. This finding aligns with the theoretical premise that ICT fosters happiness by enhancing access to information, social connectivity, financial services, and public goods (Graham &amp; Nikolova, 2013; Castellacci &amp; Tveito, 2018). Moreover, according to the capabilities approach developed by Sen (1999), digital connectivity expands individuals' freedoms and opportunities, which are key ingredients of well-being. Empirical studies also support this lin</w:t>
      </w:r>
      <w:r w:rsidR="00C15FE6">
        <w:rPr>
          <w:lang w:val="en-US"/>
        </w:rPr>
        <w:t>kage; for example, Asongu</w:t>
      </w:r>
      <w:r w:rsidRPr="007F0DF1">
        <w:rPr>
          <w:lang w:val="en-US"/>
        </w:rPr>
        <w:t xml:space="preserve"> (2021) find that ICT diffusion improves quality of life in Africa by promoting </w:t>
      </w:r>
      <w:r w:rsidR="00C15FE6">
        <w:rPr>
          <w:lang w:val="en-US"/>
        </w:rPr>
        <w:t>human development</w:t>
      </w:r>
      <w:r w:rsidRPr="007F0DF1">
        <w:rPr>
          <w:lang w:val="en-US"/>
        </w:rPr>
        <w:t xml:space="preserve"> and access to services. Hence, the positive and significant impact of ICT on happiness in the DRC is both theoretically grounded and empirically consi</w:t>
      </w:r>
      <w:r w:rsidR="00D95656">
        <w:rPr>
          <w:lang w:val="en-US"/>
        </w:rPr>
        <w:t>stent with existing literature.</w:t>
      </w:r>
    </w:p>
    <w:p w:rsidR="00234F23" w:rsidRDefault="00234F23" w:rsidP="00234F23">
      <w:pPr>
        <w:ind w:firstLine="567"/>
        <w:rPr>
          <w:lang w:val="en-US"/>
        </w:rPr>
      </w:pPr>
    </w:p>
    <w:p w:rsidR="00234F23" w:rsidRDefault="00234F23" w:rsidP="00234F23">
      <w:pPr>
        <w:ind w:firstLine="567"/>
        <w:rPr>
          <w:lang w:val="en-US"/>
        </w:rPr>
      </w:pPr>
    </w:p>
    <w:p w:rsidR="00234F23" w:rsidRDefault="00234F23" w:rsidP="00234F23">
      <w:pPr>
        <w:ind w:firstLine="567"/>
        <w:rPr>
          <w:lang w:val="en-US"/>
        </w:rPr>
      </w:pPr>
    </w:p>
    <w:p w:rsidR="00871832" w:rsidRPr="0058701B" w:rsidRDefault="00871832" w:rsidP="00871832">
      <w:pPr>
        <w:rPr>
          <w:b/>
          <w:lang w:val="en-US"/>
        </w:rPr>
      </w:pPr>
      <w:r w:rsidRPr="0058701B">
        <w:rPr>
          <w:b/>
          <w:lang w:val="en-US"/>
        </w:rPr>
        <w:lastRenderedPageBreak/>
        <w:t>Table 4: Effect of ICT on Happiness</w:t>
      </w:r>
      <w:r w:rsidR="00EF0842" w:rsidRPr="0058701B">
        <w:rPr>
          <w:b/>
          <w:lang w:val="en-US"/>
        </w:rPr>
        <w:t>-FM-OLS estimates</w:t>
      </w:r>
    </w:p>
    <w:tbl>
      <w:tblPr>
        <w:tblW w:w="10334" w:type="dxa"/>
        <w:jc w:val="center"/>
        <w:tblLayout w:type="fixed"/>
        <w:tblCellMar>
          <w:left w:w="75" w:type="dxa"/>
          <w:right w:w="75" w:type="dxa"/>
        </w:tblCellMar>
        <w:tblLook w:val="0000" w:firstRow="0" w:lastRow="0" w:firstColumn="0" w:lastColumn="0" w:noHBand="0" w:noVBand="0"/>
      </w:tblPr>
      <w:tblGrid>
        <w:gridCol w:w="1947"/>
        <w:gridCol w:w="1299"/>
        <w:gridCol w:w="1418"/>
        <w:gridCol w:w="1417"/>
        <w:gridCol w:w="1418"/>
        <w:gridCol w:w="1417"/>
        <w:gridCol w:w="1418"/>
      </w:tblGrid>
      <w:tr w:rsidR="00AB02E8" w:rsidTr="00AB02E8">
        <w:trPr>
          <w:jc w:val="center"/>
        </w:trPr>
        <w:tc>
          <w:tcPr>
            <w:tcW w:w="1947" w:type="dxa"/>
            <w:tcBorders>
              <w:top w:val="single" w:sz="6" w:space="0" w:color="auto"/>
              <w:left w:val="nil"/>
              <w:bottom w:val="nil"/>
              <w:right w:val="nil"/>
            </w:tcBorders>
          </w:tcPr>
          <w:p w:rsidR="00AB02E8" w:rsidRPr="001327B1" w:rsidRDefault="00AB02E8" w:rsidP="00DE67B7">
            <w:pPr>
              <w:widowControl w:val="0"/>
              <w:autoSpaceDE w:val="0"/>
              <w:autoSpaceDN w:val="0"/>
              <w:adjustRightInd w:val="0"/>
              <w:spacing w:line="240" w:lineRule="auto"/>
              <w:rPr>
                <w:szCs w:val="24"/>
                <w:lang w:val="en-US"/>
              </w:rPr>
            </w:pPr>
          </w:p>
        </w:tc>
        <w:tc>
          <w:tcPr>
            <w:tcW w:w="8387" w:type="dxa"/>
            <w:gridSpan w:val="6"/>
            <w:tcBorders>
              <w:top w:val="single" w:sz="6" w:space="0" w:color="auto"/>
              <w:left w:val="nil"/>
              <w:bottom w:val="single" w:sz="4" w:space="0" w:color="auto"/>
              <w:right w:val="nil"/>
            </w:tcBorders>
          </w:tcPr>
          <w:p w:rsidR="00AB02E8" w:rsidRDefault="00AB02E8" w:rsidP="00DE67B7">
            <w:pPr>
              <w:widowControl w:val="0"/>
              <w:autoSpaceDE w:val="0"/>
              <w:autoSpaceDN w:val="0"/>
              <w:adjustRightInd w:val="0"/>
              <w:spacing w:line="240" w:lineRule="auto"/>
              <w:jc w:val="center"/>
              <w:rPr>
                <w:szCs w:val="24"/>
              </w:rPr>
            </w:pPr>
            <w:r>
              <w:rPr>
                <w:szCs w:val="24"/>
              </w:rPr>
              <w:t>Dependent Variable: Cantril ladder score</w:t>
            </w:r>
          </w:p>
        </w:tc>
      </w:tr>
      <w:tr w:rsidR="00AB02E8" w:rsidTr="00AB02E8">
        <w:trPr>
          <w:jc w:val="center"/>
        </w:trPr>
        <w:tc>
          <w:tcPr>
            <w:tcW w:w="194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rPr>
                <w:szCs w:val="24"/>
              </w:rPr>
            </w:pPr>
            <w:r>
              <w:rPr>
                <w:szCs w:val="24"/>
              </w:rPr>
              <w:t>VARIABLES</w:t>
            </w:r>
          </w:p>
        </w:tc>
        <w:tc>
          <w:tcPr>
            <w:tcW w:w="1299"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(1)</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(2)</w:t>
            </w:r>
          </w:p>
        </w:tc>
        <w:tc>
          <w:tcPr>
            <w:tcW w:w="1417"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(3)</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(4)</w:t>
            </w:r>
          </w:p>
        </w:tc>
        <w:tc>
          <w:tcPr>
            <w:tcW w:w="1417"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(5)</w:t>
            </w:r>
          </w:p>
        </w:tc>
        <w:tc>
          <w:tcPr>
            <w:tcW w:w="1418" w:type="dxa"/>
            <w:tcBorders>
              <w:top w:val="single" w:sz="4" w:space="0" w:color="auto"/>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(6)</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ICT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0.182**</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0.288***</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0.193***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0.189***</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0.165***</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(0.0806)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(0.0689)</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(0.0496)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(0.0474)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(0.0580)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(0.0445)</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Education</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0.124**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0.454***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0.453***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0.186*</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0.300***</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(0.0606)</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(0.0735)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(0.0733)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(0.105)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(0.0810)</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sidRPr="00AB02E8">
              <w:rPr>
                <w:rFonts w:cs="Times New Roman"/>
                <w:szCs w:val="24"/>
                <w:lang w:val="en-US"/>
              </w:rPr>
              <w:t>Financial dev</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0.163***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0.171***</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0.123***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0.157***</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(0.0311)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(0.0295)</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(0.0371)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(0.0286)</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Investment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0.00617</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0.00755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0.00553</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(0.00644)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(0.00789)</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(0.00593)</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0.0554***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0.0572***</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(0.0128)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(0.00958)</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Military exp</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0.169**</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(0.0769)</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Constant</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3.878***</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1.513</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4.231***</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4.296***</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0.155</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 xml:space="preserve"> 2.422*</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(0.0803)</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(1.174)</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(1.324)</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(1.301)</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(1.790)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(1.421)</w:t>
            </w: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p>
        </w:tc>
      </w:tr>
      <w:tr w:rsidR="00AB02E8" w:rsidTr="00DE67B7">
        <w:trPr>
          <w:jc w:val="center"/>
        </w:trPr>
        <w:tc>
          <w:tcPr>
            <w:tcW w:w="1947" w:type="dxa"/>
            <w:tcBorders>
              <w:top w:val="nil"/>
              <w:left w:val="nil"/>
              <w:bottom w:val="nil"/>
              <w:right w:val="nil"/>
            </w:tcBorders>
          </w:tcPr>
          <w:p w:rsidR="00AB02E8" w:rsidRDefault="00AB02E8" w:rsidP="00AB02E8">
            <w:pPr>
              <w:widowControl w:val="0"/>
              <w:autoSpaceDE w:val="0"/>
              <w:autoSpaceDN w:val="0"/>
              <w:adjustRightInd w:val="0"/>
              <w:spacing w:line="240" w:lineRule="auto"/>
              <w:rPr>
                <w:szCs w:val="24"/>
              </w:rPr>
            </w:pPr>
            <w:r>
              <w:rPr>
                <w:szCs w:val="24"/>
              </w:rPr>
              <w:t>Observations</w:t>
            </w:r>
          </w:p>
        </w:tc>
        <w:tc>
          <w:tcPr>
            <w:tcW w:w="1299"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AB02E8" w:rsidRDefault="00AB02E8" w:rsidP="00AB02E8">
            <w:pPr>
              <w:widowControl w:val="0"/>
              <w:autoSpaceDE w:val="0"/>
              <w:autoSpaceDN w:val="0"/>
              <w:adjustRightInd w:val="0"/>
              <w:spacing w:line="240" w:lineRule="auto"/>
              <w:jc w:val="center"/>
              <w:rPr>
                <w:szCs w:val="24"/>
              </w:rPr>
            </w:pPr>
            <w:r>
              <w:rPr>
                <w:szCs w:val="24"/>
              </w:rPr>
              <w:t>30</w:t>
            </w:r>
          </w:p>
        </w:tc>
      </w:tr>
      <w:tr w:rsidR="00AB02E8" w:rsidTr="00DE67B7">
        <w:tblPrEx>
          <w:tblBorders>
            <w:bottom w:val="single" w:sz="6" w:space="0" w:color="auto"/>
          </w:tblBorders>
        </w:tblPrEx>
        <w:trPr>
          <w:jc w:val="center"/>
        </w:trPr>
        <w:tc>
          <w:tcPr>
            <w:tcW w:w="194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rPr>
                <w:szCs w:val="24"/>
              </w:rPr>
            </w:pPr>
            <w:r>
              <w:rPr>
                <w:szCs w:val="24"/>
              </w:rPr>
              <w:t>R-squared</w:t>
            </w:r>
          </w:p>
        </w:tc>
        <w:tc>
          <w:tcPr>
            <w:tcW w:w="1299"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0.219</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0.280</w:t>
            </w:r>
          </w:p>
        </w:tc>
        <w:tc>
          <w:tcPr>
            <w:tcW w:w="141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0.470</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0.537</w:t>
            </w:r>
          </w:p>
        </w:tc>
        <w:tc>
          <w:tcPr>
            <w:tcW w:w="1417"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0.480</w:t>
            </w:r>
          </w:p>
        </w:tc>
        <w:tc>
          <w:tcPr>
            <w:tcW w:w="1418" w:type="dxa"/>
            <w:tcBorders>
              <w:top w:val="nil"/>
              <w:left w:val="nil"/>
              <w:bottom w:val="single" w:sz="6" w:space="0" w:color="auto"/>
              <w:right w:val="nil"/>
            </w:tcBorders>
          </w:tcPr>
          <w:p w:rsidR="00AB02E8" w:rsidRDefault="00AB02E8" w:rsidP="00AB02E8">
            <w:pPr>
              <w:widowControl w:val="0"/>
              <w:autoSpaceDE w:val="0"/>
              <w:autoSpaceDN w:val="0"/>
              <w:adjustRightInd w:val="0"/>
              <w:spacing w:line="240" w:lineRule="auto"/>
              <w:jc w:val="center"/>
              <w:rPr>
                <w:szCs w:val="24"/>
              </w:rPr>
            </w:pPr>
            <w:r>
              <w:rPr>
                <w:szCs w:val="24"/>
              </w:rPr>
              <w:t>0.449</w:t>
            </w:r>
          </w:p>
        </w:tc>
      </w:tr>
    </w:tbl>
    <w:p w:rsidR="00EF0842" w:rsidRPr="004E1059" w:rsidRDefault="00EF0842" w:rsidP="00EF0842">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1327B1" w:rsidRPr="007F0DF1" w:rsidRDefault="001327B1" w:rsidP="0058701B">
      <w:pPr>
        <w:spacing w:after="240"/>
        <w:rPr>
          <w:lang w:val="en-US"/>
        </w:rPr>
      </w:pPr>
      <w:r w:rsidRPr="007F0DF1">
        <w:rPr>
          <w:lang w:val="en-US"/>
        </w:rPr>
        <w:t>From an economic standpoint, these results carry important implications for development policy in the DRC. The positive relationship between ICT and happiness underscores the transformative potential of digital infrastructure in improving the quality of life, particularly in fragile and low-income contexts. The consistent significance of the ICT coefficient across all models suggests that even marginal improvements in digital access can yield substantial well-being dividends. This implies that publi</w:t>
      </w:r>
      <w:r>
        <w:rPr>
          <w:lang w:val="en-US"/>
        </w:rPr>
        <w:t xml:space="preserve">c and private investment in ICT, </w:t>
      </w:r>
      <w:r w:rsidRPr="007F0DF1">
        <w:rPr>
          <w:lang w:val="en-US"/>
        </w:rPr>
        <w:t>such as expanding internet penetration, improving mobile network coverage, and ensur</w:t>
      </w:r>
      <w:r>
        <w:rPr>
          <w:lang w:val="en-US"/>
        </w:rPr>
        <w:t xml:space="preserve">ing reliable electricity supply, </w:t>
      </w:r>
      <w:r w:rsidRPr="007F0DF1">
        <w:rPr>
          <w:lang w:val="en-US"/>
        </w:rPr>
        <w:t>can serve as effective tools for enhancing subjective well-being and promoting inclusive development. Furthermore, ICT facilitates access to education, healthcare, and financial services, which are particularly critical in a post-conflict setting like the DRC where traditional infrastructure remains un</w:t>
      </w:r>
      <w:r>
        <w:rPr>
          <w:lang w:val="en-US"/>
        </w:rPr>
        <w:t>derdeveloped</w:t>
      </w:r>
      <w:r w:rsidRPr="007F0DF1">
        <w:rPr>
          <w:lang w:val="en-US"/>
        </w:rPr>
        <w:t>. Investing in digital inclusion could also reduce regional disparities and support the psychological and social needs of the population by fostering community engagement and reducing isolation (Donner et al., 2008). Therefore, the findings advocate for an integrated digital development strategy that recognizes ICT not merely as a sector, but as a foundational pillar of human development and well-being.</w:t>
      </w:r>
    </w:p>
    <w:p w:rsidR="00EF0842" w:rsidRPr="001327B1" w:rsidRDefault="001327B1" w:rsidP="0058701B">
      <w:pPr>
        <w:spacing w:after="240"/>
        <w:rPr>
          <w:lang w:val="en-US"/>
        </w:rPr>
      </w:pPr>
      <w:r w:rsidRPr="007F0DF1">
        <w:rPr>
          <w:lang w:val="en-US"/>
        </w:rPr>
        <w:t xml:space="preserve">Regarding the control variables, their coefficients reveal insightful patterns consistent with theoretical expectations. </w:t>
      </w:r>
      <w:r>
        <w:rPr>
          <w:lang w:val="en-US"/>
        </w:rPr>
        <w:t xml:space="preserve">Education </w:t>
      </w:r>
      <w:r w:rsidRPr="007F0DF1">
        <w:rPr>
          <w:lang w:val="en-US"/>
        </w:rPr>
        <w:t xml:space="preserve">has a positive and statistically significant effect on </w:t>
      </w:r>
      <w:r w:rsidRPr="007F0DF1">
        <w:rPr>
          <w:lang w:val="en-US"/>
        </w:rPr>
        <w:lastRenderedPageBreak/>
        <w:t xml:space="preserve">happiness in most model specifications, suggesting that increased educational attainment enhances individuals' life satisfaction, possibly by raising income prospects, improving social status, and empowering individuals (Cuñado &amp; De Gracia, 2012). </w:t>
      </w:r>
      <w:r w:rsidR="00AB5CD0">
        <w:rPr>
          <w:lang w:val="en-US"/>
        </w:rPr>
        <w:t xml:space="preserve">Financial development </w:t>
      </w:r>
      <w:r w:rsidRPr="007F0DF1">
        <w:rPr>
          <w:lang w:val="en-US"/>
        </w:rPr>
        <w:t>is also positively and significantly associated with happiness, indicating that broad</w:t>
      </w:r>
      <w:r w:rsidR="00AB5CD0">
        <w:rPr>
          <w:lang w:val="en-US"/>
        </w:rPr>
        <w:t xml:space="preserve">er access to financial services, </w:t>
      </w:r>
      <w:r w:rsidRPr="007F0DF1">
        <w:rPr>
          <w:lang w:val="en-US"/>
        </w:rPr>
        <w:t>such as credit, savings, and insurance</w:t>
      </w:r>
      <w:r w:rsidR="00AB5CD0">
        <w:rPr>
          <w:lang w:val="en-US"/>
        </w:rPr>
        <w:t xml:space="preserve">, </w:t>
      </w:r>
      <w:r w:rsidRPr="007F0DF1">
        <w:rPr>
          <w:lang w:val="en-US"/>
        </w:rPr>
        <w:t>contributes to well-being by reducing vulnerability and enabling better consumption smoothing (Ostrowska &amp; Włodarczyk, 2024). In contrast,</w:t>
      </w:r>
      <w:r w:rsidR="00AB5CD0">
        <w:rPr>
          <w:lang w:val="en-US"/>
        </w:rPr>
        <w:t xml:space="preserve"> investment</w:t>
      </w:r>
      <w:r w:rsidRPr="007F0DF1">
        <w:rPr>
          <w:lang w:val="en-US"/>
        </w:rPr>
        <w:t xml:space="preserve"> appears to have a positive but statistically insignificant effect, which may reflect the time lag between capital formation and its tangible impact on individual well-being, especially in a context where investments may be concentrated in extractive or large-scale sectors with limited social reach (Wu, 2014). </w:t>
      </w:r>
      <w:r w:rsidR="00AB5CD0">
        <w:rPr>
          <w:lang w:val="en-US"/>
        </w:rPr>
        <w:t xml:space="preserve">Industrialization </w:t>
      </w:r>
      <w:r w:rsidRPr="007F0DF1">
        <w:rPr>
          <w:lang w:val="en-US"/>
        </w:rPr>
        <w:t xml:space="preserve">exhibits a positive and highly significant effect, implying that structural transformation toward more productive sectors enhances happiness, potentially through job creation and urban infrastructure (Inkeles, 2022). </w:t>
      </w:r>
      <w:r w:rsidR="00CB4B07">
        <w:rPr>
          <w:lang w:val="en-US"/>
        </w:rPr>
        <w:t xml:space="preserve">Military expenditure </w:t>
      </w:r>
      <w:r w:rsidRPr="007F0DF1">
        <w:rPr>
          <w:lang w:val="en-US"/>
        </w:rPr>
        <w:t xml:space="preserve">is also positively associated with happiness at the 5% level in model (6), possibly reflecting a perceived improvement in national security, which can enhance psychological stability in a fragile state like the </w:t>
      </w:r>
      <w:r w:rsidR="00CB4B07">
        <w:rPr>
          <w:lang w:val="en-US"/>
        </w:rPr>
        <w:t>DRC (Kwon, 2022). These results</w:t>
      </w:r>
      <w:r w:rsidRPr="007F0DF1">
        <w:rPr>
          <w:lang w:val="en-US"/>
        </w:rPr>
        <w:t xml:space="preserve"> affirm that well-being in the DRC is influenced by both economic and institutional factors, and underscore the need for coordinated policies that invest not only in ICT but also in human capital, financial access,</w:t>
      </w:r>
      <w:r w:rsidR="00D95656">
        <w:rPr>
          <w:lang w:val="en-US"/>
        </w:rPr>
        <w:t xml:space="preserve"> and peace-building mechanisms.</w:t>
      </w:r>
    </w:p>
    <w:p w:rsidR="00EF0842" w:rsidRDefault="00EF0842" w:rsidP="00BE1916">
      <w:pPr>
        <w:pStyle w:val="Titre2"/>
        <w:rPr>
          <w:lang w:val="en-GB"/>
        </w:rPr>
      </w:pPr>
      <w:r>
        <w:rPr>
          <w:lang w:val="en-GB"/>
        </w:rPr>
        <w:t>Robustness of the Results</w:t>
      </w:r>
    </w:p>
    <w:p w:rsidR="00486FB9" w:rsidRDefault="007D101A" w:rsidP="00871832">
      <w:pPr>
        <w:rPr>
          <w:lang w:val="en-GB"/>
        </w:rPr>
      </w:pPr>
      <w:r w:rsidRPr="007D101A">
        <w:rPr>
          <w:lang w:val="en-GB"/>
        </w:rPr>
        <w:t>To enhance result reliability, this study performs additional robustness checks. Firstly, the model is re-estimated with extra control variables to confirm result consistency. Secondly, the ICT index is disaggregated to assess its distinct effects on happiness perception in the DRC. We then analyze ICT's effect on per capita income, recognizing its role in economic growth and how income directly influences happiness, as noted by Easterlin (1974); thus, ICT can indirectly boost perceived happiness by raising incomes. Finally, ATM availability is considered as a variable of interest to evaluate its impact on happiness perception in the DRC.</w:t>
      </w:r>
    </w:p>
    <w:p w:rsidR="00DE67B7" w:rsidRDefault="00DE67B7" w:rsidP="00273572">
      <w:pPr>
        <w:pStyle w:val="Titre3"/>
        <w:numPr>
          <w:ilvl w:val="2"/>
          <w:numId w:val="4"/>
        </w:numPr>
        <w:ind w:left="0" w:firstLine="0"/>
        <w:rPr>
          <w:lang w:val="en-GB"/>
        </w:rPr>
      </w:pPr>
      <w:r>
        <w:rPr>
          <w:lang w:val="en-GB"/>
        </w:rPr>
        <w:t>Robustness to additional of control variables</w:t>
      </w:r>
    </w:p>
    <w:p w:rsidR="008E5A60" w:rsidRPr="008E5A60" w:rsidRDefault="007D101A" w:rsidP="008E5A60">
      <w:pPr>
        <w:rPr>
          <w:lang w:val="en-GB"/>
        </w:rPr>
      </w:pPr>
      <w:r w:rsidRPr="007D101A">
        <w:rPr>
          <w:lang w:val="en-GB"/>
        </w:rPr>
        <w:t xml:space="preserve">Table 5 results confirm the robustness of ICT's positive and significant effect on happiness in the DRC. The ICT index consistently shows a positive and 1% significant impact across all four models, with marginal effects ranging from 0.160 to 0.211, indicating a stable link between ICT adoption and higher happiness. Adding control variables doesn't alter this relationship. Education is significant initially but its effect diminishes with life expectancy's inclusion, which becomes highly significant (coefficient: 0.501). Financial development shows a stable positive </w:t>
      </w:r>
      <w:r w:rsidRPr="007D101A">
        <w:rPr>
          <w:lang w:val="en-GB"/>
        </w:rPr>
        <w:lastRenderedPageBreak/>
        <w:t>effect (0.124 to 0.186), and urbanization is 5% significant in Model 4 (</w:t>
      </w:r>
      <w:proofErr w:type="gramStart"/>
      <w:r w:rsidRPr="007D101A">
        <w:rPr>
          <w:lang w:val="en-GB"/>
        </w:rPr>
        <w:t>coef.:</w:t>
      </w:r>
      <w:proofErr w:type="gramEnd"/>
      <w:r w:rsidRPr="007D101A">
        <w:rPr>
          <w:lang w:val="en-GB"/>
        </w:rPr>
        <w:t xml:space="preserve"> 0.111), suggesting a beneficial urban impact on happiness in the DRC. The model remains robust even with additional variables, reinforcing a structural relationship between ICT and happiness. The likelihood of higher happiness categories increases with ICT intensity, even after controlling for socioeconomic factors, aligning with Lu and Hu (2021)'s findings on ICT's positive influence on social life, economic empowerment, and civic participation.</w:t>
      </w:r>
    </w:p>
    <w:p w:rsidR="00DE67B7" w:rsidRPr="0058701B" w:rsidRDefault="00DE67B7" w:rsidP="00DE67B7">
      <w:pPr>
        <w:rPr>
          <w:b/>
          <w:lang w:val="en-GB"/>
        </w:rPr>
      </w:pPr>
      <w:r w:rsidRPr="0058701B">
        <w:rPr>
          <w:b/>
          <w:lang w:val="en-GB"/>
        </w:rPr>
        <w:t>Table 5: Additional control variable</w:t>
      </w:r>
    </w:p>
    <w:tbl>
      <w:tblPr>
        <w:tblW w:w="9298" w:type="dxa"/>
        <w:jc w:val="center"/>
        <w:tblLayout w:type="fixed"/>
        <w:tblCellMar>
          <w:left w:w="75" w:type="dxa"/>
          <w:right w:w="75" w:type="dxa"/>
        </w:tblCellMar>
        <w:tblLook w:val="0000" w:firstRow="0" w:lastRow="0" w:firstColumn="0" w:lastColumn="0" w:noHBand="0" w:noVBand="0"/>
      </w:tblPr>
      <w:tblGrid>
        <w:gridCol w:w="2188"/>
        <w:gridCol w:w="1908"/>
        <w:gridCol w:w="1560"/>
        <w:gridCol w:w="1735"/>
        <w:gridCol w:w="1907"/>
      </w:tblGrid>
      <w:tr w:rsidR="008E5A60" w:rsidTr="008E5A60">
        <w:trPr>
          <w:trHeight w:val="256"/>
          <w:jc w:val="center"/>
        </w:trPr>
        <w:tc>
          <w:tcPr>
            <w:tcW w:w="2188" w:type="dxa"/>
            <w:tcBorders>
              <w:top w:val="single" w:sz="6" w:space="0" w:color="auto"/>
              <w:left w:val="nil"/>
              <w:bottom w:val="nil"/>
              <w:right w:val="nil"/>
            </w:tcBorders>
          </w:tcPr>
          <w:p w:rsidR="008E5A60" w:rsidRDefault="008E5A60" w:rsidP="00DE67B7">
            <w:pPr>
              <w:widowControl w:val="0"/>
              <w:autoSpaceDE w:val="0"/>
              <w:autoSpaceDN w:val="0"/>
              <w:adjustRightInd w:val="0"/>
              <w:spacing w:line="240" w:lineRule="auto"/>
              <w:rPr>
                <w:szCs w:val="24"/>
              </w:rPr>
            </w:pPr>
          </w:p>
        </w:tc>
        <w:tc>
          <w:tcPr>
            <w:tcW w:w="7110" w:type="dxa"/>
            <w:gridSpan w:val="4"/>
            <w:tcBorders>
              <w:top w:val="single" w:sz="6" w:space="0" w:color="auto"/>
              <w:left w:val="nil"/>
              <w:bottom w:val="single" w:sz="4" w:space="0" w:color="auto"/>
              <w:right w:val="nil"/>
            </w:tcBorders>
          </w:tcPr>
          <w:p w:rsidR="008E5A60" w:rsidRDefault="008E5A60" w:rsidP="00DE67B7">
            <w:pPr>
              <w:widowControl w:val="0"/>
              <w:autoSpaceDE w:val="0"/>
              <w:autoSpaceDN w:val="0"/>
              <w:adjustRightInd w:val="0"/>
              <w:spacing w:line="240" w:lineRule="auto"/>
              <w:jc w:val="center"/>
              <w:rPr>
                <w:szCs w:val="24"/>
              </w:rPr>
            </w:pPr>
            <w:r>
              <w:rPr>
                <w:szCs w:val="24"/>
              </w:rPr>
              <w:t>Dependent Variable: Cantril ladder score</w:t>
            </w:r>
          </w:p>
        </w:tc>
      </w:tr>
      <w:tr w:rsidR="008E5A60" w:rsidTr="008E5A60">
        <w:trPr>
          <w:trHeight w:val="176"/>
          <w:jc w:val="center"/>
        </w:trPr>
        <w:tc>
          <w:tcPr>
            <w:tcW w:w="218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190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1560"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c>
          <w:tcPr>
            <w:tcW w:w="1735"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(3)</w:t>
            </w:r>
          </w:p>
        </w:tc>
        <w:tc>
          <w:tcPr>
            <w:tcW w:w="190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(4)</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ICT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0.181***</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0.160***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0.211***</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(0.0404)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(0.0300)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(0.0492)</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(0.0536)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0.348***</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0.296***</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0.296</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0.102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(0.0729)</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(0.0528)</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(0.208)</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(0.142)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0.173***</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0.124***</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0.157***</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0.186***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(0.0252)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(0.0197)</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(0.0359)</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(0.0331)</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0.00971*</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0.0187***</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0.00583</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0.00669</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(0.00527)</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(0.00435)</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(0.00641)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(0.00600)</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0.0584***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0.0499***</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0.0503***</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(0.00844)</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(0.00632)</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(0.0141)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(0.0104)</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0.182***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0.169***</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0.175**</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0.179**</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(0.0675)</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(0.0500)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(0.0876)</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(0.0776)</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FDI</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0.0269***</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(0.00922)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Trade openness</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0.0103***</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(0.00166)</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Life expectancy</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0.501***</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(0.0760)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Urbanization</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0.0782*</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(0.0460)</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3.297**</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1.935**</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2.380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1.488</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(1.282)</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(0.930)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(1.543)</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(1.527)</w:t>
            </w: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56"/>
          <w:jc w:val="center"/>
        </w:trPr>
        <w:tc>
          <w:tcPr>
            <w:tcW w:w="2188"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190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56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735"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90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8E5A60">
        <w:tblPrEx>
          <w:tblBorders>
            <w:bottom w:val="single" w:sz="6" w:space="0" w:color="auto"/>
          </w:tblBorders>
        </w:tblPrEx>
        <w:trPr>
          <w:trHeight w:val="256"/>
          <w:jc w:val="center"/>
        </w:trPr>
        <w:tc>
          <w:tcPr>
            <w:tcW w:w="218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190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0.518</w:t>
            </w:r>
          </w:p>
        </w:tc>
        <w:tc>
          <w:tcPr>
            <w:tcW w:w="1560"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0.601</w:t>
            </w:r>
          </w:p>
        </w:tc>
        <w:tc>
          <w:tcPr>
            <w:tcW w:w="1735"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0.487</w:t>
            </w:r>
          </w:p>
        </w:tc>
        <w:tc>
          <w:tcPr>
            <w:tcW w:w="190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0.469</w:t>
            </w:r>
          </w:p>
        </w:tc>
      </w:tr>
    </w:tbl>
    <w:p w:rsidR="00DE67B7" w:rsidRPr="004E1059" w:rsidRDefault="00DE67B7" w:rsidP="00DE67B7">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486FB9" w:rsidRDefault="007D101A" w:rsidP="00DE67B7">
      <w:pPr>
        <w:rPr>
          <w:lang w:val="en-GB"/>
        </w:rPr>
      </w:pPr>
      <w:r w:rsidRPr="007D101A">
        <w:rPr>
          <w:lang w:val="en-GB"/>
        </w:rPr>
        <w:t>Economically, these findings underscore ICT's crucial role in well-being in the DRC, especially given limited infrastructure. By improving access to information, social communication, and essential services (health, education), ICT helps mitigate exclusion. The effect of life expectancy highlights the importance of health conditions for happiness perception, aligning with Sen's (1999) capability theory and Diener and Chan's (2011) work. Financial development also plays a key role by facilitating consumption, investment, and risk protection, as sho</w:t>
      </w:r>
      <w:r>
        <w:rPr>
          <w:lang w:val="en-GB"/>
        </w:rPr>
        <w:t xml:space="preserve">wn by </w:t>
      </w:r>
      <w:r>
        <w:rPr>
          <w:lang w:val="en-GB"/>
        </w:rPr>
        <w:lastRenderedPageBreak/>
        <w:t xml:space="preserve">Sacks et al. (2012). </w:t>
      </w:r>
      <w:r w:rsidRPr="007D101A">
        <w:rPr>
          <w:lang w:val="en-GB"/>
        </w:rPr>
        <w:t>The positive, albeit moderate, effect of urbanization likely reflects an initial phase where its benefits (ICT access, employment, education) outweigh negative externalities. However, Berry and Okulicz-Kozaryn (2011) caution that beyond a certain threshold, urbanization and happiness can become inversely correlated. These observations resonate with international literature: Aker and Mbiti (2010) demonstrated mobile phones' impact on well-being in Africa; Helsper and Reisdorf (2017) emphasized ICT's role in reducing inequality; and Rojas (2021) highlighted its contribution to ha</w:t>
      </w:r>
      <w:r>
        <w:rPr>
          <w:lang w:val="en-GB"/>
        </w:rPr>
        <w:t xml:space="preserve">ppiness via social integration. </w:t>
      </w:r>
      <w:r w:rsidRPr="007D101A">
        <w:rPr>
          <w:lang w:val="en-GB"/>
        </w:rPr>
        <w:t>Nevertheless, van Deursen and van Dijk (2019) remind us that unequal ICT access can exacerbate well-being disparities, a real risk in the DRC given the significant digital divide between urban and rural areas.</w:t>
      </w:r>
    </w:p>
    <w:p w:rsidR="00D80D82" w:rsidRDefault="00D80D82" w:rsidP="00273572">
      <w:pPr>
        <w:pStyle w:val="Titre3"/>
        <w:numPr>
          <w:ilvl w:val="2"/>
          <w:numId w:val="4"/>
        </w:numPr>
        <w:ind w:left="0" w:firstLine="0"/>
        <w:rPr>
          <w:lang w:val="en-GB"/>
        </w:rPr>
      </w:pPr>
      <w:r>
        <w:rPr>
          <w:lang w:val="en-GB"/>
        </w:rPr>
        <w:t>Robustness to Disaggregated measures of ICT</w:t>
      </w:r>
    </w:p>
    <w:p w:rsidR="00830CAD" w:rsidRDefault="00830CAD" w:rsidP="00D80D82">
      <w:pPr>
        <w:rPr>
          <w:lang w:val="en-GB"/>
        </w:rPr>
      </w:pPr>
    </w:p>
    <w:p w:rsidR="007D101A" w:rsidRDefault="007D101A" w:rsidP="00D80D82">
      <w:pPr>
        <w:rPr>
          <w:lang w:val="en-GB"/>
        </w:rPr>
      </w:pPr>
      <w:r w:rsidRPr="007D101A">
        <w:rPr>
          <w:lang w:val="en-GB"/>
        </w:rPr>
        <w:t>Table 6 presents disaggregated effects of ICT components (Internet, phone, broadband, mobile, electricity) on happiness (Cantril scale score) across five regression models, confirming the robustness of the overall ICT index. Results show high statistical significance and consistency. Internet access strongly increases happiness (coef. = 0.444, p &lt; 0.01). Phone has a moderate but significant effect (coef. = 0.0958, p &lt; 0.01). Broadband shows a dramatic effect (coef. = 16.27, p &lt; 0.01), while mobile telephony (coef. = 0.195, p &lt; 0.01) is significantly positive, confirming its relevance in Africa. Electricity also has a positive effect (coef. = 0.0889, p &lt; 0.01), highlighting its fundamental role in ICT use. All control variables are significant across models, with education between 0.30 and 0.40 (p &lt; 0.01) and financial development between 0.157 and 0.260. Military spending shows a positive effect, possibly due to stabilization. R² values range from 0.416 to 0.584, with Model 4 (mobile telephony) having the best explanatory performance (R² = 0.584), indicating its major role in happiness variance in the DRC.</w:t>
      </w: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234F23" w:rsidRDefault="00234F23" w:rsidP="00D80D82">
      <w:pPr>
        <w:rPr>
          <w:lang w:val="en-GB"/>
        </w:rPr>
      </w:pPr>
    </w:p>
    <w:p w:rsidR="0058701B" w:rsidRDefault="0058701B" w:rsidP="00D80D82">
      <w:pPr>
        <w:rPr>
          <w:lang w:val="en-GB"/>
        </w:rPr>
      </w:pPr>
    </w:p>
    <w:p w:rsidR="00234F23" w:rsidRDefault="00234F23" w:rsidP="00D80D82">
      <w:pPr>
        <w:rPr>
          <w:lang w:val="en-GB"/>
        </w:rPr>
      </w:pPr>
    </w:p>
    <w:p w:rsidR="00D80D82" w:rsidRPr="0058701B" w:rsidRDefault="00D80D82" w:rsidP="00D80D82">
      <w:pPr>
        <w:rPr>
          <w:b/>
          <w:lang w:val="en-GB"/>
        </w:rPr>
      </w:pPr>
      <w:r w:rsidRPr="0058701B">
        <w:rPr>
          <w:b/>
          <w:lang w:val="en-GB"/>
        </w:rPr>
        <w:lastRenderedPageBreak/>
        <w:t>Table 6: Disaggregated ICT variables</w:t>
      </w:r>
    </w:p>
    <w:tbl>
      <w:tblPr>
        <w:tblW w:w="9045" w:type="dxa"/>
        <w:jc w:val="center"/>
        <w:tblLayout w:type="fixed"/>
        <w:tblCellMar>
          <w:left w:w="75" w:type="dxa"/>
          <w:right w:w="75" w:type="dxa"/>
        </w:tblCellMar>
        <w:tblLook w:val="0000" w:firstRow="0" w:lastRow="0" w:firstColumn="0" w:lastColumn="0" w:noHBand="0" w:noVBand="0"/>
      </w:tblPr>
      <w:tblGrid>
        <w:gridCol w:w="2099"/>
        <w:gridCol w:w="1417"/>
        <w:gridCol w:w="1418"/>
        <w:gridCol w:w="1276"/>
        <w:gridCol w:w="1417"/>
        <w:gridCol w:w="1418"/>
      </w:tblGrid>
      <w:tr w:rsidR="008E5A60" w:rsidTr="008E5A60">
        <w:trPr>
          <w:jc w:val="center"/>
        </w:trPr>
        <w:tc>
          <w:tcPr>
            <w:tcW w:w="2099" w:type="dxa"/>
            <w:tcBorders>
              <w:top w:val="single" w:sz="6" w:space="0" w:color="auto"/>
              <w:left w:val="nil"/>
              <w:bottom w:val="nil"/>
              <w:right w:val="nil"/>
            </w:tcBorders>
          </w:tcPr>
          <w:p w:rsidR="008E5A60" w:rsidRDefault="008E5A60" w:rsidP="00F06B4D">
            <w:pPr>
              <w:widowControl w:val="0"/>
              <w:autoSpaceDE w:val="0"/>
              <w:autoSpaceDN w:val="0"/>
              <w:adjustRightInd w:val="0"/>
              <w:spacing w:line="240" w:lineRule="auto"/>
              <w:rPr>
                <w:szCs w:val="24"/>
              </w:rPr>
            </w:pPr>
          </w:p>
        </w:tc>
        <w:tc>
          <w:tcPr>
            <w:tcW w:w="6946" w:type="dxa"/>
            <w:gridSpan w:val="5"/>
            <w:tcBorders>
              <w:top w:val="single" w:sz="6" w:space="0" w:color="auto"/>
              <w:left w:val="nil"/>
              <w:bottom w:val="single" w:sz="4" w:space="0" w:color="auto"/>
              <w:right w:val="nil"/>
            </w:tcBorders>
          </w:tcPr>
          <w:p w:rsidR="008E5A60" w:rsidRDefault="008E5A60" w:rsidP="00F06B4D">
            <w:pPr>
              <w:widowControl w:val="0"/>
              <w:autoSpaceDE w:val="0"/>
              <w:autoSpaceDN w:val="0"/>
              <w:adjustRightInd w:val="0"/>
              <w:spacing w:line="240" w:lineRule="auto"/>
              <w:jc w:val="center"/>
              <w:rPr>
                <w:szCs w:val="24"/>
              </w:rPr>
            </w:pPr>
            <w:r>
              <w:rPr>
                <w:szCs w:val="24"/>
              </w:rPr>
              <w:t>Dependent Variable: Cantril ladder score</w:t>
            </w:r>
          </w:p>
        </w:tc>
      </w:tr>
      <w:tr w:rsidR="008E5A60" w:rsidTr="008E5A60">
        <w:trPr>
          <w:jc w:val="center"/>
        </w:trPr>
        <w:tc>
          <w:tcPr>
            <w:tcW w:w="209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141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141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c>
          <w:tcPr>
            <w:tcW w:w="1276"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(3)</w:t>
            </w:r>
          </w:p>
        </w:tc>
        <w:tc>
          <w:tcPr>
            <w:tcW w:w="1417"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(4)</w:t>
            </w:r>
          </w:p>
        </w:tc>
        <w:tc>
          <w:tcPr>
            <w:tcW w:w="1418"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(5)</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Internet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0.444***</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(0.0528)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Telephone</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0.0958***</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(0.0171)</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Broadband</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16.27***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(4.303)</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Mobile cellular</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0.195***</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(0.0463)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Electricity</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0.0889***</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(0.0204)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0.353***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0.361***</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0.300***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0.157**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0.401***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(0.0713)</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(0.0795)</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(0.0797)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(0.100)</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0.196***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0.213***</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0.157***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0.260***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0.204***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(0.0281)</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(0.0218)</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(0.0280)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(0.0222)</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(0.0277)</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0.00329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0.00216</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0.00572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0.00121</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0.00131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(0.00519)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(0.00520)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(0.00582)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(0.00438)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(0.00552)</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0.0585***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0.0572***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0.0646***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0.0598***</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(0.00840)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(0.00824)</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(0.00940)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(0.00746)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(0.00951)</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0.238***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0.255***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0.167**</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0.207***</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0.232***</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(0.0676)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(0.0647)</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(0.0754)</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(0.0563)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(0.0714)</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3.303***</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3.405***</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2.342*</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0.266</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4.115**</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(1.259)</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(1.260)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(1.398)</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(1.418)</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(1.730)</w:t>
            </w: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F06B4D">
        <w:trPr>
          <w:jc w:val="center"/>
        </w:trPr>
        <w:tc>
          <w:tcPr>
            <w:tcW w:w="2099"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276"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7"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1418"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F06B4D">
        <w:tblPrEx>
          <w:tblBorders>
            <w:bottom w:val="single" w:sz="6" w:space="0" w:color="auto"/>
          </w:tblBorders>
        </w:tblPrEx>
        <w:trPr>
          <w:jc w:val="center"/>
        </w:trPr>
        <w:tc>
          <w:tcPr>
            <w:tcW w:w="209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141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0.431</w:t>
            </w:r>
          </w:p>
        </w:tc>
        <w:tc>
          <w:tcPr>
            <w:tcW w:w="141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0.438</w:t>
            </w:r>
          </w:p>
        </w:tc>
        <w:tc>
          <w:tcPr>
            <w:tcW w:w="1276"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0.455</w:t>
            </w:r>
          </w:p>
        </w:tc>
        <w:tc>
          <w:tcPr>
            <w:tcW w:w="1417"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0.584</w:t>
            </w:r>
          </w:p>
        </w:tc>
        <w:tc>
          <w:tcPr>
            <w:tcW w:w="1418"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0.416</w:t>
            </w:r>
          </w:p>
        </w:tc>
      </w:tr>
    </w:tbl>
    <w:p w:rsidR="0081438A" w:rsidRPr="004E1059" w:rsidRDefault="0081438A" w:rsidP="0081438A">
      <w:pPr>
        <w:spacing w:line="240" w:lineRule="auto"/>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rPr>
          <w:i/>
          <w:lang w:val="en-US"/>
        </w:rPr>
      </w:pPr>
      <w:r>
        <w:rPr>
          <w:lang w:val="en-US"/>
        </w:rPr>
        <w:t xml:space="preserve">Source: </w:t>
      </w:r>
      <w:r w:rsidRPr="00F84B1F">
        <w:rPr>
          <w:i/>
          <w:lang w:val="en-US"/>
        </w:rPr>
        <w:t>Author’s Construction</w:t>
      </w:r>
    </w:p>
    <w:p w:rsidR="00D95656" w:rsidRDefault="007D101A" w:rsidP="00D80D82">
      <w:pPr>
        <w:rPr>
          <w:lang w:val="en-GB"/>
        </w:rPr>
      </w:pPr>
      <w:r w:rsidRPr="007D101A">
        <w:rPr>
          <w:lang w:val="en-GB"/>
        </w:rPr>
        <w:t>These results indicate that each ICT component has a differentiated yet overall positive effect on happiness in the DRC. Broadband Internet emerges as the most powerful factor, facilitating increased access to information, education, and the digital economy (Czernich et al., 2011; Vu, 2011). While less impactful, phone and mobile telephony remain crucial for social connectivity (Frey and Osborne, 2013; Aker and Mbiti, 2010). Education plays a fundamental role by improving strategic ICT use and enhancing autonomy (Helliwell and Putnam, 2004; Sen, 1999), also boosting digital satisfaction (Huang and Leung, 2009). Similarly, financial inclusion fosters personal investment and resilience, contributing to increased happines</w:t>
      </w:r>
      <w:r>
        <w:rPr>
          <w:lang w:val="en-GB"/>
        </w:rPr>
        <w:t>s (Demirgüç-Kunt et al., 2018).</w:t>
      </w:r>
      <w:r w:rsidR="00560191">
        <w:rPr>
          <w:lang w:val="en-GB"/>
        </w:rPr>
        <w:t xml:space="preserve"> </w:t>
      </w:r>
      <w:r w:rsidRPr="007D101A">
        <w:rPr>
          <w:lang w:val="en-GB"/>
        </w:rPr>
        <w:t xml:space="preserve">Empirical literature corroborates these findings: Kuek et al. (2015) show Internet improves well-being for young Africans. Asongu and Odhiambo (2019) confirm ICT's positive effect on quality of life, mediated by education and finance. Graham and Nikolova (2013) even suggest ICT access can surpass income as a predictor of well-being. Theoretically, these results </w:t>
      </w:r>
      <w:r w:rsidRPr="007D101A">
        <w:rPr>
          <w:lang w:val="en-GB"/>
        </w:rPr>
        <w:lastRenderedPageBreak/>
        <w:t>align with social capital (Putnam, 2000) and capability theories (Sen, 1999). ICT expands individual freedom: to inform, learn, communicate, and work. In Africa, it often bypasses institutional limitations. Finally, the positive effect of military spending might be explained by indirect benefits (employment, security) within the Congolese context.</w:t>
      </w:r>
    </w:p>
    <w:p w:rsidR="00F50D3B" w:rsidRDefault="00F50D3B" w:rsidP="00273572">
      <w:pPr>
        <w:pStyle w:val="Titre3"/>
        <w:numPr>
          <w:ilvl w:val="2"/>
          <w:numId w:val="4"/>
        </w:numPr>
        <w:ind w:left="0" w:firstLine="0"/>
        <w:rPr>
          <w:lang w:val="en-GB"/>
        </w:rPr>
      </w:pPr>
      <w:r>
        <w:rPr>
          <w:lang w:val="en-GB"/>
        </w:rPr>
        <w:t>Robustness to the use of an alternative dependent variable</w:t>
      </w:r>
    </w:p>
    <w:p w:rsidR="00F50D3B" w:rsidRDefault="00D95656" w:rsidP="00F50D3B">
      <w:pPr>
        <w:rPr>
          <w:lang w:val="en-GB"/>
        </w:rPr>
      </w:pPr>
      <w:r w:rsidRPr="00D95656">
        <w:rPr>
          <w:lang w:val="en-GB"/>
        </w:rPr>
        <w:t>Table 7, Column 1, shows a strong, positive, and statistically significant relationship between the ICT index and per capita income (coefficient: 39.88, 1% significance). The low R² (0.318) indicates other factors also explain income variability. Column 2's specification confirms this positive effect, with the ICT coefficient at 13.74 (1% significance), even after controlling for other macroeconomic factors. Financial growth and industrialization are also highly significant, highlighting their importance in growth strategy. The R² improvement from 0.318 to 0.594 between models further confirms the robustness, showing that adding macroeconomic variables enhances per capita income prediction by capturing key growth aspects.</w:t>
      </w:r>
    </w:p>
    <w:p w:rsidR="00EB2DC5" w:rsidRPr="00560191" w:rsidRDefault="00EB2DC5" w:rsidP="002C78AC">
      <w:pPr>
        <w:ind w:firstLine="567"/>
        <w:rPr>
          <w:b/>
          <w:lang w:val="en-GB"/>
        </w:rPr>
      </w:pPr>
      <w:r w:rsidRPr="00560191">
        <w:rPr>
          <w:b/>
          <w:lang w:val="en-GB"/>
        </w:rPr>
        <w:t>Table 7: Income per head as dependent variable</w:t>
      </w:r>
    </w:p>
    <w:tbl>
      <w:tblPr>
        <w:tblW w:w="0" w:type="auto"/>
        <w:jc w:val="center"/>
        <w:tblLayout w:type="fixed"/>
        <w:tblCellMar>
          <w:left w:w="75" w:type="dxa"/>
          <w:right w:w="75" w:type="dxa"/>
        </w:tblCellMar>
        <w:tblLook w:val="0000" w:firstRow="0" w:lastRow="0" w:firstColumn="0" w:lastColumn="0" w:noHBand="0" w:noVBand="0"/>
      </w:tblPr>
      <w:tblGrid>
        <w:gridCol w:w="2694"/>
        <w:gridCol w:w="2409"/>
        <w:gridCol w:w="2410"/>
      </w:tblGrid>
      <w:tr w:rsidR="008E5A60" w:rsidRPr="008E5A60" w:rsidTr="008E5A60">
        <w:trPr>
          <w:trHeight w:val="260"/>
          <w:jc w:val="center"/>
        </w:trPr>
        <w:tc>
          <w:tcPr>
            <w:tcW w:w="2694" w:type="dxa"/>
            <w:tcBorders>
              <w:top w:val="single" w:sz="6" w:space="0" w:color="auto"/>
              <w:left w:val="nil"/>
              <w:bottom w:val="nil"/>
              <w:right w:val="nil"/>
            </w:tcBorders>
          </w:tcPr>
          <w:p w:rsidR="008E5A60" w:rsidRDefault="008E5A60" w:rsidP="00F06B4D">
            <w:pPr>
              <w:widowControl w:val="0"/>
              <w:autoSpaceDE w:val="0"/>
              <w:autoSpaceDN w:val="0"/>
              <w:adjustRightInd w:val="0"/>
              <w:spacing w:line="240" w:lineRule="auto"/>
              <w:rPr>
                <w:szCs w:val="24"/>
              </w:rPr>
            </w:pPr>
          </w:p>
        </w:tc>
        <w:tc>
          <w:tcPr>
            <w:tcW w:w="4819" w:type="dxa"/>
            <w:gridSpan w:val="2"/>
            <w:tcBorders>
              <w:top w:val="single" w:sz="6" w:space="0" w:color="auto"/>
              <w:left w:val="nil"/>
              <w:bottom w:val="single" w:sz="4" w:space="0" w:color="auto"/>
              <w:right w:val="nil"/>
            </w:tcBorders>
          </w:tcPr>
          <w:p w:rsidR="008E5A60" w:rsidRPr="008E5A60" w:rsidRDefault="008E5A60" w:rsidP="00F06B4D">
            <w:pPr>
              <w:widowControl w:val="0"/>
              <w:autoSpaceDE w:val="0"/>
              <w:autoSpaceDN w:val="0"/>
              <w:adjustRightInd w:val="0"/>
              <w:spacing w:line="240" w:lineRule="auto"/>
              <w:jc w:val="center"/>
              <w:rPr>
                <w:szCs w:val="24"/>
                <w:lang w:val="en-US"/>
              </w:rPr>
            </w:pPr>
            <w:r w:rsidRPr="008E5A60">
              <w:rPr>
                <w:szCs w:val="24"/>
                <w:lang w:val="en-US"/>
              </w:rPr>
              <w:t xml:space="preserve">Dependent Variable: </w:t>
            </w:r>
            <w:r>
              <w:rPr>
                <w:lang w:val="en-GB"/>
              </w:rPr>
              <w:t xml:space="preserve">Income per head </w:t>
            </w:r>
          </w:p>
        </w:tc>
      </w:tr>
      <w:tr w:rsidR="008E5A60" w:rsidTr="008E5A60">
        <w:trPr>
          <w:trHeight w:val="275"/>
          <w:jc w:val="center"/>
        </w:trPr>
        <w:tc>
          <w:tcPr>
            <w:tcW w:w="2694"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VARIABLES</w:t>
            </w:r>
          </w:p>
        </w:tc>
        <w:tc>
          <w:tcPr>
            <w:tcW w:w="2409"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(1)</w:t>
            </w:r>
          </w:p>
        </w:tc>
        <w:tc>
          <w:tcPr>
            <w:tcW w:w="2410" w:type="dxa"/>
            <w:tcBorders>
              <w:top w:val="single" w:sz="4" w:space="0" w:color="auto"/>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ICT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39.88***</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13.74***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(7.129)</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(2.996)</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Education</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1.017</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(5.454)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Financial dev</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14.95***</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(1.922)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Investment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0.882**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(0.399)</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 xml:space="preserve"> 4.490***</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(0.645)</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Military exp</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37.52***</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(5.174)</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Constant</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408.5***</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350.9***</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(7.105)</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(95.63)</w:t>
            </w: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p>
        </w:tc>
      </w:tr>
      <w:tr w:rsidR="008E5A60" w:rsidTr="008E5A60">
        <w:trPr>
          <w:trHeight w:val="260"/>
          <w:jc w:val="center"/>
        </w:trPr>
        <w:tc>
          <w:tcPr>
            <w:tcW w:w="2694" w:type="dxa"/>
            <w:tcBorders>
              <w:top w:val="nil"/>
              <w:left w:val="nil"/>
              <w:bottom w:val="nil"/>
              <w:right w:val="nil"/>
            </w:tcBorders>
          </w:tcPr>
          <w:p w:rsidR="008E5A60" w:rsidRDefault="008E5A60" w:rsidP="008E5A60">
            <w:pPr>
              <w:widowControl w:val="0"/>
              <w:autoSpaceDE w:val="0"/>
              <w:autoSpaceDN w:val="0"/>
              <w:adjustRightInd w:val="0"/>
              <w:spacing w:line="240" w:lineRule="auto"/>
              <w:rPr>
                <w:szCs w:val="24"/>
              </w:rPr>
            </w:pPr>
            <w:r>
              <w:rPr>
                <w:szCs w:val="24"/>
              </w:rPr>
              <w:t>Observations</w:t>
            </w:r>
          </w:p>
        </w:tc>
        <w:tc>
          <w:tcPr>
            <w:tcW w:w="2409"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c>
          <w:tcPr>
            <w:tcW w:w="2410" w:type="dxa"/>
            <w:tcBorders>
              <w:top w:val="nil"/>
              <w:left w:val="nil"/>
              <w:bottom w:val="nil"/>
              <w:right w:val="nil"/>
            </w:tcBorders>
          </w:tcPr>
          <w:p w:rsidR="008E5A60" w:rsidRDefault="008E5A60" w:rsidP="008E5A60">
            <w:pPr>
              <w:widowControl w:val="0"/>
              <w:autoSpaceDE w:val="0"/>
              <w:autoSpaceDN w:val="0"/>
              <w:adjustRightInd w:val="0"/>
              <w:spacing w:line="240" w:lineRule="auto"/>
              <w:jc w:val="center"/>
              <w:rPr>
                <w:szCs w:val="24"/>
              </w:rPr>
            </w:pPr>
            <w:r>
              <w:rPr>
                <w:szCs w:val="24"/>
              </w:rPr>
              <w:t>30</w:t>
            </w:r>
          </w:p>
        </w:tc>
      </w:tr>
      <w:tr w:rsidR="008E5A60" w:rsidTr="008E5A60">
        <w:tblPrEx>
          <w:tblBorders>
            <w:bottom w:val="single" w:sz="6" w:space="0" w:color="auto"/>
          </w:tblBorders>
        </w:tblPrEx>
        <w:trPr>
          <w:trHeight w:val="275"/>
          <w:jc w:val="center"/>
        </w:trPr>
        <w:tc>
          <w:tcPr>
            <w:tcW w:w="2694"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rPr>
                <w:szCs w:val="24"/>
              </w:rPr>
            </w:pPr>
            <w:r>
              <w:rPr>
                <w:szCs w:val="24"/>
              </w:rPr>
              <w:t>R-squared</w:t>
            </w:r>
          </w:p>
        </w:tc>
        <w:tc>
          <w:tcPr>
            <w:tcW w:w="2409"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0.318</w:t>
            </w:r>
          </w:p>
        </w:tc>
        <w:tc>
          <w:tcPr>
            <w:tcW w:w="2410" w:type="dxa"/>
            <w:tcBorders>
              <w:top w:val="nil"/>
              <w:left w:val="nil"/>
              <w:bottom w:val="single" w:sz="6" w:space="0" w:color="auto"/>
              <w:right w:val="nil"/>
            </w:tcBorders>
          </w:tcPr>
          <w:p w:rsidR="008E5A60" w:rsidRDefault="008E5A60" w:rsidP="008E5A60">
            <w:pPr>
              <w:widowControl w:val="0"/>
              <w:autoSpaceDE w:val="0"/>
              <w:autoSpaceDN w:val="0"/>
              <w:adjustRightInd w:val="0"/>
              <w:spacing w:line="240" w:lineRule="auto"/>
              <w:jc w:val="center"/>
              <w:rPr>
                <w:szCs w:val="24"/>
              </w:rPr>
            </w:pPr>
            <w:r>
              <w:rPr>
                <w:szCs w:val="24"/>
              </w:rPr>
              <w:t>0.594</w:t>
            </w:r>
          </w:p>
        </w:tc>
      </w:tr>
    </w:tbl>
    <w:p w:rsidR="00EB2DC5" w:rsidRPr="004E1059" w:rsidRDefault="00EB2DC5" w:rsidP="002C78AC">
      <w:pPr>
        <w:spacing w:line="240" w:lineRule="auto"/>
        <w:ind w:firstLine="567"/>
        <w:rPr>
          <w:rFonts w:cs="Times New Roman"/>
          <w:i/>
          <w:sz w:val="20"/>
          <w:szCs w:val="20"/>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Pr="00D70F1D" w:rsidRDefault="00256F6E" w:rsidP="00256F6E">
      <w:pPr>
        <w:ind w:firstLine="567"/>
        <w:rPr>
          <w:i/>
          <w:lang w:val="en-US"/>
        </w:rPr>
      </w:pPr>
      <w:r>
        <w:rPr>
          <w:lang w:val="en-US"/>
        </w:rPr>
        <w:t xml:space="preserve">Source: </w:t>
      </w:r>
      <w:r w:rsidRPr="00F84B1F">
        <w:rPr>
          <w:i/>
          <w:lang w:val="en-US"/>
        </w:rPr>
        <w:t>Author’s Construction</w:t>
      </w:r>
    </w:p>
    <w:p w:rsidR="00D301B0" w:rsidRDefault="00D95656" w:rsidP="00F50D3B">
      <w:pPr>
        <w:rPr>
          <w:lang w:val="en-GB"/>
        </w:rPr>
      </w:pPr>
      <w:r w:rsidRPr="00D95656">
        <w:rPr>
          <w:lang w:val="en-GB"/>
        </w:rPr>
        <w:t xml:space="preserve">This finding aligns with most prior studies (e.g., Kim &amp; Lee, 2014; Czernich et al., 2011), underscoring ICT development as a key driver of economic growth through enhanced productivity, innovation, and trade facilitation. This dynamic resonates with Badera et al. (2019) and Hong and Tang (2021), who highlight ICT's catalytic role in the structural transformation of developing economies, particularly in knowledge transfer and innovative </w:t>
      </w:r>
      <w:r w:rsidRPr="00D95656">
        <w:rPr>
          <w:lang w:val="en-GB"/>
        </w:rPr>
        <w:lastRenderedPageBreak/>
        <w:t>sector integration. Therefore, these results emphasize that ICT development is central to increasing per capita income in the DRC, consistent with literature stressing its capacity to boost productivity, encourage investment, and stimulate innovation. This study thus joins a body of work advocating for greater ICT integration into development strategies to maximize economic gains, while also noting the fundamental role of research and development in sustaining this growth.</w:t>
      </w:r>
    </w:p>
    <w:p w:rsidR="00EB2DC5" w:rsidRDefault="00EB2DC5" w:rsidP="00273572">
      <w:pPr>
        <w:pStyle w:val="Titre3"/>
        <w:numPr>
          <w:ilvl w:val="2"/>
          <w:numId w:val="4"/>
        </w:numPr>
        <w:ind w:left="0" w:firstLine="0"/>
        <w:rPr>
          <w:lang w:val="en-GB"/>
        </w:rPr>
      </w:pPr>
      <w:r>
        <w:rPr>
          <w:lang w:val="en-GB"/>
        </w:rPr>
        <w:t>Robustness to the use of an alternative independent variable</w:t>
      </w:r>
    </w:p>
    <w:p w:rsidR="005921E3" w:rsidRDefault="00256F6E" w:rsidP="00D95656">
      <w:pPr>
        <w:rPr>
          <w:lang w:val="en-GB"/>
        </w:rPr>
      </w:pPr>
      <w:r>
        <w:rPr>
          <w:lang w:val="en-GB"/>
        </w:rPr>
        <w:t>Table 8</w:t>
      </w:r>
      <w:r w:rsidR="00D95656" w:rsidRPr="00D95656">
        <w:rPr>
          <w:lang w:val="en-GB"/>
        </w:rPr>
        <w:t xml:space="preserve"> presents two regressions assessing the robustness of ATM count as a predictor of happiness in the DRC. Model 1, using only ATMs, shows a positive and 1% statistically significant coefficient of 0.231, explaining 14.7% of Cantril scal</w:t>
      </w:r>
      <w:r w:rsidR="00D95656">
        <w:rPr>
          <w:lang w:val="en-GB"/>
        </w:rPr>
        <w:t xml:space="preserve">e score variation (R² = 0.147). </w:t>
      </w:r>
      <w:r w:rsidR="00D95656" w:rsidRPr="00D95656">
        <w:rPr>
          <w:lang w:val="en-GB"/>
        </w:rPr>
        <w:t>Model 2, including control variables (education, financial development, investment, industrialization, military spending), maintains the ATM coefficient at 0.243, remaining 1% significant. Education (0.335), financial development (0.252), industrialization (0.0618), and military spending (0.269) are also 1% significant predictors, while investment is not. The R² increases to 0.424, indicating that adding control variables significantly improves the model's explanatory power.</w:t>
      </w:r>
    </w:p>
    <w:p w:rsidR="00EB2DC5" w:rsidRPr="00560191" w:rsidRDefault="00EB2DC5" w:rsidP="00EB2DC5">
      <w:pPr>
        <w:rPr>
          <w:b/>
          <w:lang w:val="en-GB"/>
        </w:rPr>
      </w:pPr>
      <w:r w:rsidRPr="00560191">
        <w:rPr>
          <w:b/>
          <w:lang w:val="en-GB"/>
        </w:rPr>
        <w:t>Table 8: ATM as alternative independent variable</w:t>
      </w:r>
    </w:p>
    <w:tbl>
      <w:tblPr>
        <w:tblW w:w="7419" w:type="dxa"/>
        <w:jc w:val="center"/>
        <w:tblLayout w:type="fixed"/>
        <w:tblCellMar>
          <w:left w:w="75" w:type="dxa"/>
          <w:right w:w="75" w:type="dxa"/>
        </w:tblCellMar>
        <w:tblLook w:val="0000" w:firstRow="0" w:lastRow="0" w:firstColumn="0" w:lastColumn="0" w:noHBand="0" w:noVBand="0"/>
      </w:tblPr>
      <w:tblGrid>
        <w:gridCol w:w="1947"/>
        <w:gridCol w:w="2736"/>
        <w:gridCol w:w="2736"/>
      </w:tblGrid>
      <w:tr w:rsidR="002C78AC" w:rsidTr="002C78AC">
        <w:trPr>
          <w:jc w:val="center"/>
        </w:trPr>
        <w:tc>
          <w:tcPr>
            <w:tcW w:w="1947" w:type="dxa"/>
            <w:tcBorders>
              <w:top w:val="single" w:sz="6" w:space="0" w:color="auto"/>
              <w:left w:val="nil"/>
              <w:bottom w:val="nil"/>
              <w:right w:val="nil"/>
            </w:tcBorders>
          </w:tcPr>
          <w:p w:rsidR="002C78AC" w:rsidRPr="00D301B0" w:rsidRDefault="002C78AC" w:rsidP="00F06B4D">
            <w:pPr>
              <w:widowControl w:val="0"/>
              <w:autoSpaceDE w:val="0"/>
              <w:autoSpaceDN w:val="0"/>
              <w:adjustRightInd w:val="0"/>
              <w:spacing w:line="240" w:lineRule="auto"/>
              <w:rPr>
                <w:szCs w:val="24"/>
                <w:lang w:val="en-US"/>
              </w:rPr>
            </w:pPr>
          </w:p>
        </w:tc>
        <w:tc>
          <w:tcPr>
            <w:tcW w:w="5472" w:type="dxa"/>
            <w:gridSpan w:val="2"/>
            <w:tcBorders>
              <w:top w:val="single" w:sz="6" w:space="0" w:color="auto"/>
              <w:left w:val="nil"/>
              <w:bottom w:val="single" w:sz="4" w:space="0" w:color="auto"/>
              <w:right w:val="nil"/>
            </w:tcBorders>
          </w:tcPr>
          <w:p w:rsidR="002C78AC" w:rsidRDefault="002C78AC" w:rsidP="00F06B4D">
            <w:pPr>
              <w:widowControl w:val="0"/>
              <w:autoSpaceDE w:val="0"/>
              <w:autoSpaceDN w:val="0"/>
              <w:adjustRightInd w:val="0"/>
              <w:spacing w:line="240" w:lineRule="auto"/>
              <w:jc w:val="center"/>
              <w:rPr>
                <w:szCs w:val="24"/>
              </w:rPr>
            </w:pPr>
            <w:r>
              <w:rPr>
                <w:szCs w:val="24"/>
              </w:rPr>
              <w:t>Dependent Variable: Cantril ladder score</w:t>
            </w:r>
          </w:p>
        </w:tc>
      </w:tr>
      <w:tr w:rsidR="002C78AC" w:rsidTr="002C78AC">
        <w:trPr>
          <w:jc w:val="center"/>
        </w:trPr>
        <w:tc>
          <w:tcPr>
            <w:tcW w:w="1947"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rPr>
                <w:szCs w:val="24"/>
              </w:rPr>
            </w:pPr>
            <w:r>
              <w:rPr>
                <w:szCs w:val="24"/>
              </w:rPr>
              <w:t>VARIABLES</w:t>
            </w:r>
          </w:p>
        </w:tc>
        <w:tc>
          <w:tcPr>
            <w:tcW w:w="2736" w:type="dxa"/>
            <w:tcBorders>
              <w:top w:val="single" w:sz="4" w:space="0" w:color="auto"/>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(1)</w:t>
            </w:r>
          </w:p>
        </w:tc>
        <w:tc>
          <w:tcPr>
            <w:tcW w:w="2736" w:type="dxa"/>
            <w:tcBorders>
              <w:top w:val="single" w:sz="4" w:space="0" w:color="auto"/>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ATM</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0.231***</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0.243***</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(0.0717)</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(0.0852)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Education</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0.335***</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(0.0657)</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sidRPr="00AB02E8">
              <w:rPr>
                <w:rFonts w:cs="Times New Roman"/>
                <w:szCs w:val="24"/>
                <w:lang w:val="en-US"/>
              </w:rPr>
              <w:t>Financial dev</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0.252***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(0.0245)</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Investment</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0.00151</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(0.00472)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sidRPr="00AB02E8">
              <w:rPr>
                <w:rFonts w:cs="Times New Roman"/>
                <w:szCs w:val="24"/>
                <w:lang w:val="en-US"/>
              </w:rPr>
              <w:t>Industrialization</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0.0618***</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(0.00782)</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Military exp</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0.269***</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(0.0597)</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Constant</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3.958***</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 xml:space="preserve"> 2.929**</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(0.0808)</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(1.158)</w:t>
            </w: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p>
        </w:tc>
      </w:tr>
      <w:tr w:rsidR="002C78AC" w:rsidTr="00F06B4D">
        <w:trPr>
          <w:jc w:val="center"/>
        </w:trPr>
        <w:tc>
          <w:tcPr>
            <w:tcW w:w="1947" w:type="dxa"/>
            <w:tcBorders>
              <w:top w:val="nil"/>
              <w:left w:val="nil"/>
              <w:bottom w:val="nil"/>
              <w:right w:val="nil"/>
            </w:tcBorders>
          </w:tcPr>
          <w:p w:rsidR="002C78AC" w:rsidRDefault="002C78AC" w:rsidP="002C78AC">
            <w:pPr>
              <w:widowControl w:val="0"/>
              <w:autoSpaceDE w:val="0"/>
              <w:autoSpaceDN w:val="0"/>
              <w:adjustRightInd w:val="0"/>
              <w:spacing w:line="240" w:lineRule="auto"/>
              <w:rPr>
                <w:szCs w:val="24"/>
              </w:rPr>
            </w:pPr>
            <w:r>
              <w:rPr>
                <w:szCs w:val="24"/>
              </w:rPr>
              <w:t>Observations</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30</w:t>
            </w:r>
          </w:p>
        </w:tc>
        <w:tc>
          <w:tcPr>
            <w:tcW w:w="2736" w:type="dxa"/>
            <w:tcBorders>
              <w:top w:val="nil"/>
              <w:left w:val="nil"/>
              <w:bottom w:val="nil"/>
              <w:right w:val="nil"/>
            </w:tcBorders>
          </w:tcPr>
          <w:p w:rsidR="002C78AC" w:rsidRDefault="002C78AC" w:rsidP="002C78AC">
            <w:pPr>
              <w:widowControl w:val="0"/>
              <w:autoSpaceDE w:val="0"/>
              <w:autoSpaceDN w:val="0"/>
              <w:adjustRightInd w:val="0"/>
              <w:spacing w:line="240" w:lineRule="auto"/>
              <w:jc w:val="center"/>
              <w:rPr>
                <w:szCs w:val="24"/>
              </w:rPr>
            </w:pPr>
            <w:r>
              <w:rPr>
                <w:szCs w:val="24"/>
              </w:rPr>
              <w:t>30</w:t>
            </w:r>
          </w:p>
        </w:tc>
      </w:tr>
      <w:tr w:rsidR="002C78AC" w:rsidTr="00F06B4D">
        <w:tblPrEx>
          <w:tblBorders>
            <w:bottom w:val="single" w:sz="6" w:space="0" w:color="auto"/>
          </w:tblBorders>
        </w:tblPrEx>
        <w:trPr>
          <w:jc w:val="center"/>
        </w:trPr>
        <w:tc>
          <w:tcPr>
            <w:tcW w:w="1947"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rPr>
                <w:szCs w:val="24"/>
              </w:rPr>
            </w:pPr>
            <w:r>
              <w:rPr>
                <w:szCs w:val="24"/>
              </w:rPr>
              <w:t>R-squared</w:t>
            </w:r>
          </w:p>
        </w:tc>
        <w:tc>
          <w:tcPr>
            <w:tcW w:w="2736"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0.147</w:t>
            </w:r>
          </w:p>
        </w:tc>
        <w:tc>
          <w:tcPr>
            <w:tcW w:w="2736" w:type="dxa"/>
            <w:tcBorders>
              <w:top w:val="nil"/>
              <w:left w:val="nil"/>
              <w:bottom w:val="single" w:sz="6" w:space="0" w:color="auto"/>
              <w:right w:val="nil"/>
            </w:tcBorders>
          </w:tcPr>
          <w:p w:rsidR="002C78AC" w:rsidRDefault="002C78AC" w:rsidP="002C78AC">
            <w:pPr>
              <w:widowControl w:val="0"/>
              <w:autoSpaceDE w:val="0"/>
              <w:autoSpaceDN w:val="0"/>
              <w:adjustRightInd w:val="0"/>
              <w:spacing w:line="240" w:lineRule="auto"/>
              <w:jc w:val="center"/>
              <w:rPr>
                <w:szCs w:val="24"/>
              </w:rPr>
            </w:pPr>
            <w:r>
              <w:rPr>
                <w:szCs w:val="24"/>
              </w:rPr>
              <w:t>0.424</w:t>
            </w:r>
          </w:p>
        </w:tc>
      </w:tr>
    </w:tbl>
    <w:p w:rsidR="00EB2DC5" w:rsidRPr="00EB2DC5" w:rsidRDefault="00EB2DC5" w:rsidP="00256F6E">
      <w:pPr>
        <w:spacing w:line="240" w:lineRule="auto"/>
        <w:ind w:firstLine="567"/>
        <w:rPr>
          <w:lang w:val="en-GB"/>
        </w:rPr>
      </w:pPr>
      <w:r>
        <w:rPr>
          <w:rFonts w:cs="Times New Roman"/>
          <w:i/>
          <w:sz w:val="20"/>
          <w:szCs w:val="20"/>
          <w:lang w:val="en-GB"/>
        </w:rPr>
        <w:t xml:space="preserve">Standard errors in parentheses; </w:t>
      </w:r>
      <w:r w:rsidRPr="000929D6">
        <w:rPr>
          <w:rFonts w:eastAsia="Times New Roman" w:cs="Times New Roman"/>
          <w:sz w:val="20"/>
          <w:szCs w:val="20"/>
          <w:lang w:val="en-US" w:eastAsia="fr-FR"/>
        </w:rPr>
        <w:t>***, **, and * for 1%, 5%, and 10% significance levels, respectively</w:t>
      </w:r>
      <w:r>
        <w:rPr>
          <w:rFonts w:cs="Times New Roman"/>
          <w:i/>
          <w:sz w:val="20"/>
          <w:szCs w:val="20"/>
          <w:lang w:val="en-GB"/>
        </w:rPr>
        <w:t xml:space="preserve">. </w:t>
      </w:r>
    </w:p>
    <w:p w:rsidR="00256F6E" w:rsidRDefault="00256F6E" w:rsidP="00256F6E">
      <w:pPr>
        <w:spacing w:line="240" w:lineRule="auto"/>
        <w:ind w:firstLine="567"/>
        <w:rPr>
          <w:i/>
          <w:lang w:val="en-US"/>
        </w:rPr>
      </w:pPr>
      <w:r>
        <w:rPr>
          <w:lang w:val="en-US"/>
        </w:rPr>
        <w:t xml:space="preserve">Source: </w:t>
      </w:r>
      <w:r w:rsidRPr="00F84B1F">
        <w:rPr>
          <w:i/>
          <w:lang w:val="en-US"/>
        </w:rPr>
        <w:t>Author’s Construction</w:t>
      </w:r>
    </w:p>
    <w:p w:rsidR="00D95656" w:rsidRDefault="00D95656" w:rsidP="00F72E18">
      <w:pPr>
        <w:rPr>
          <w:lang w:val="en-US"/>
        </w:rPr>
      </w:pPr>
      <w:r w:rsidRPr="00D95656">
        <w:rPr>
          <w:lang w:val="en-US"/>
        </w:rPr>
        <w:t xml:space="preserve">The positive relationship between ATM count and Cantril scale score suggests that easier ATM access correlates with higher happiness levels. This is likely due to ATMs providing convenient </w:t>
      </w:r>
      <w:r w:rsidRPr="00D95656">
        <w:rPr>
          <w:lang w:val="en-US"/>
        </w:rPr>
        <w:lastRenderedPageBreak/>
        <w:t>cash access, reducing transaction costs, and enhancing economic efficiency. Increased access to financial services, as represented by ATM availability, can also empower individuals and improve their financial security, leading to greater happiness. Existing research links financial development to overall life satisfaction, and ATM presence indirectly reflects improved financial service infrastructure in a region.</w:t>
      </w:r>
    </w:p>
    <w:p w:rsidR="00056D35" w:rsidRDefault="00056D35" w:rsidP="00F72E18">
      <w:pPr>
        <w:rPr>
          <w:lang w:val="en-US"/>
        </w:rPr>
      </w:pPr>
    </w:p>
    <w:p w:rsidR="00D95656" w:rsidRDefault="00D95656" w:rsidP="00273572">
      <w:pPr>
        <w:pStyle w:val="Titre1"/>
        <w:numPr>
          <w:ilvl w:val="0"/>
          <w:numId w:val="4"/>
        </w:numPr>
        <w:rPr>
          <w:lang w:val="en-US"/>
        </w:rPr>
      </w:pPr>
      <w:r>
        <w:rPr>
          <w:lang w:val="en-US"/>
        </w:rPr>
        <w:t>Conclusion and Policy Recommendations</w:t>
      </w:r>
    </w:p>
    <w:p w:rsidR="00056D35" w:rsidRPr="00056D35" w:rsidRDefault="00056D35" w:rsidP="00056D35">
      <w:pPr>
        <w:rPr>
          <w:lang w:val="en-US"/>
        </w:rPr>
      </w:pPr>
    </w:p>
    <w:p w:rsidR="00D95656" w:rsidRDefault="00D95656" w:rsidP="00D95656">
      <w:pPr>
        <w:rPr>
          <w:lang w:val="en-US"/>
        </w:rPr>
      </w:pPr>
      <w:r w:rsidRPr="00D95656">
        <w:rPr>
          <w:lang w:val="en-US"/>
        </w:rPr>
        <w:t xml:space="preserve">This article </w:t>
      </w:r>
      <w:r w:rsidR="0032252D" w:rsidRPr="0032252D">
        <w:rPr>
          <w:lang w:val="en-US"/>
        </w:rPr>
        <w:t>axamines the effect of ICT adoption on subjective well-being in Democratic Republic of Congo (DRC)</w:t>
      </w:r>
      <w:r w:rsidRPr="00D95656">
        <w:rPr>
          <w:lang w:val="en-US"/>
        </w:rPr>
        <w:t xml:space="preserve"> from 1993 to 2023. Using fully modified ordinary least squares, </w:t>
      </w:r>
      <w:r w:rsidR="00A63EF7">
        <w:rPr>
          <w:lang w:val="en-US"/>
        </w:rPr>
        <w:t>t</w:t>
      </w:r>
      <w:r w:rsidR="00A63EF7" w:rsidRPr="00A63EF7">
        <w:rPr>
          <w:lang w:val="en-US"/>
        </w:rPr>
        <w:t>he analysis of the data clearly reveals a positive and significant relationship between the adoption of information and c</w:t>
      </w:r>
      <w:r w:rsidR="00A63EF7">
        <w:rPr>
          <w:lang w:val="en-US"/>
        </w:rPr>
        <w:t>ommunication technologies</w:t>
      </w:r>
      <w:r w:rsidR="00A63EF7" w:rsidRPr="00A63EF7">
        <w:rPr>
          <w:lang w:val="en-US"/>
        </w:rPr>
        <w:t>, improvements in educational attainment, the expansion of the financial sector, increased investments, advances in industrialization, military expenditure, and the overall perception of happiness in the Democratic Republic of Congo. This configuration suggests that citizens’ well-being is not solely the result of sociocultural factors but also depends on the country’s ability to coherently coordinate technological, economic, and institutional drivers. The growth of ICTs promotes widespread access to information, facilitates communication, and stimulates innovation, while higher educational levels broaden economic opportunities and strengthen individual autonomy. At the same time, the development of the financial sector expands access to credit, supports entrepreneurship, and fosters integration into the formal economy, whereas well-directed industrialization and investment generate sustainable jobs and reinforce the nation’s productive base. Even military expenditures, when aimed at security and stability, can indirectly help create a climate conducive to development and collective well-being. Therefore, it is essential that public policies adopt an integrated strategy combining the expansion of digital infrastructure, the enhancement of human capital, the strengthening of financial inclusion, and the targeted allocation of resources toward high social-value secto</w:t>
      </w:r>
      <w:r w:rsidR="00A63EF7">
        <w:rPr>
          <w:lang w:val="en-US"/>
        </w:rPr>
        <w:t xml:space="preserve">rs. Such a coordinated approach </w:t>
      </w:r>
      <w:r w:rsidR="00A63EF7" w:rsidRPr="00A63EF7">
        <w:rPr>
          <w:lang w:val="en-US"/>
        </w:rPr>
        <w:t>linking technological progress, economic dynami</w:t>
      </w:r>
      <w:r w:rsidR="00A63EF7">
        <w:rPr>
          <w:lang w:val="en-US"/>
        </w:rPr>
        <w:t xml:space="preserve">sm, and institutional stability </w:t>
      </w:r>
      <w:r w:rsidR="00A63EF7" w:rsidRPr="00A63EF7">
        <w:rPr>
          <w:lang w:val="en-US"/>
        </w:rPr>
        <w:t>could become a key driver for the sustainable improvement of happiness in the DRC, transforming growth into tangible social progress for the entire population.</w:t>
      </w:r>
    </w:p>
    <w:p w:rsidR="00D95656" w:rsidRDefault="00D95656" w:rsidP="00D95656">
      <w:pPr>
        <w:rPr>
          <w:lang w:val="en-US"/>
        </w:rPr>
      </w:pPr>
    </w:p>
    <w:p w:rsidR="00D95656" w:rsidRDefault="00D95656" w:rsidP="00D95656">
      <w:pPr>
        <w:rPr>
          <w:lang w:val="en-US"/>
        </w:rPr>
      </w:pPr>
    </w:p>
    <w:p w:rsidR="00467B85" w:rsidRPr="00740879" w:rsidRDefault="00467B85" w:rsidP="00467B85">
      <w:pPr>
        <w:rPr>
          <w:highlight w:val="yellow"/>
        </w:rPr>
      </w:pPr>
      <w:r w:rsidRPr="00740879">
        <w:rPr>
          <w:highlight w:val="yellow"/>
        </w:rPr>
        <w:t>Disclaimer (Artificial intelligence)</w:t>
      </w:r>
    </w:p>
    <w:p w:rsidR="00467B85" w:rsidRPr="00740879" w:rsidRDefault="00467B85" w:rsidP="00467B85">
      <w:pPr>
        <w:rPr>
          <w:highlight w:val="yellow"/>
        </w:rPr>
      </w:pPr>
      <w:r w:rsidRPr="00740879">
        <w:rPr>
          <w:highlight w:val="yellow"/>
        </w:rPr>
        <w:lastRenderedPageBreak/>
        <w:t>Option 1</w:t>
      </w:r>
      <w:proofErr w:type="gramStart"/>
      <w:r w:rsidRPr="00740879">
        <w:rPr>
          <w:highlight w:val="yellow"/>
        </w:rPr>
        <w:t>:</w:t>
      </w:r>
      <w:r w:rsidR="00920A5B">
        <w:rPr>
          <w:highlight w:val="yellow"/>
        </w:rPr>
        <w:t xml:space="preserve">  </w:t>
      </w:r>
      <w:r w:rsidR="00920A5B" w:rsidRPr="00920A5B">
        <w:t>We</w:t>
      </w:r>
      <w:proofErr w:type="gramEnd"/>
      <w:r w:rsidR="00920A5B" w:rsidRPr="00920A5B">
        <w:t xml:space="preserve"> confirm that no artificial intelligence tools were used in the preparation of this manuscript</w:t>
      </w:r>
      <w:r w:rsidR="00920A5B">
        <w:rPr>
          <w:highlight w:val="yellow"/>
        </w:rPr>
        <w:t xml:space="preserve"> </w:t>
      </w:r>
      <w:r w:rsidRPr="00740879">
        <w:rPr>
          <w:highlight w:val="yellow"/>
        </w:rPr>
        <w:t xml:space="preserve"> </w:t>
      </w:r>
    </w:p>
    <w:p w:rsidR="00467B85" w:rsidRPr="00740879" w:rsidRDefault="00467B85" w:rsidP="00467B85">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rsidR="00467B85" w:rsidRPr="00740879" w:rsidRDefault="00467B85" w:rsidP="00467B85">
      <w:pPr>
        <w:rPr>
          <w:highlight w:val="yellow"/>
        </w:rPr>
      </w:pPr>
      <w:r w:rsidRPr="00740879">
        <w:rPr>
          <w:highlight w:val="yellow"/>
        </w:rPr>
        <w:t xml:space="preserve">Option 2: </w:t>
      </w:r>
    </w:p>
    <w:p w:rsidR="00467B85" w:rsidRPr="00740879" w:rsidRDefault="00467B85" w:rsidP="00467B85">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67B85" w:rsidRPr="00740879" w:rsidRDefault="00467B85" w:rsidP="00467B85">
      <w:pPr>
        <w:rPr>
          <w:highlight w:val="yellow"/>
        </w:rPr>
      </w:pPr>
      <w:r w:rsidRPr="00740879">
        <w:rPr>
          <w:highlight w:val="yellow"/>
        </w:rPr>
        <w:t>Details of the AI usage are given below:</w:t>
      </w:r>
    </w:p>
    <w:p w:rsidR="00467B85" w:rsidRPr="00740879" w:rsidRDefault="00467B85" w:rsidP="00467B85">
      <w:pPr>
        <w:rPr>
          <w:highlight w:val="yellow"/>
        </w:rPr>
      </w:pPr>
      <w:r w:rsidRPr="00740879">
        <w:rPr>
          <w:highlight w:val="yellow"/>
        </w:rPr>
        <w:t>1.</w:t>
      </w:r>
    </w:p>
    <w:p w:rsidR="00467B85" w:rsidRPr="00740879" w:rsidRDefault="00467B85" w:rsidP="00467B85">
      <w:pPr>
        <w:rPr>
          <w:highlight w:val="yellow"/>
        </w:rPr>
      </w:pPr>
      <w:r w:rsidRPr="00740879">
        <w:rPr>
          <w:highlight w:val="yellow"/>
        </w:rPr>
        <w:t>2.</w:t>
      </w:r>
    </w:p>
    <w:p w:rsidR="00467B85" w:rsidRPr="00D047BB" w:rsidRDefault="00467B85" w:rsidP="00467B85">
      <w:r w:rsidRPr="00740879">
        <w:rPr>
          <w:highlight w:val="yellow"/>
        </w:rPr>
        <w:t>3.</w:t>
      </w:r>
    </w:p>
    <w:p w:rsidR="00D95656" w:rsidRDefault="00D95656" w:rsidP="00D95656">
      <w:pPr>
        <w:rPr>
          <w:lang w:val="en-US"/>
        </w:rPr>
      </w:pPr>
    </w:p>
    <w:p w:rsidR="00D95656" w:rsidRDefault="00D95656" w:rsidP="00D95656">
      <w:pPr>
        <w:rPr>
          <w:lang w:val="en-US"/>
        </w:rPr>
      </w:pPr>
    </w:p>
    <w:p w:rsidR="00D95656" w:rsidRDefault="00D95656" w:rsidP="00D95656">
      <w:pPr>
        <w:rPr>
          <w:lang w:val="en-US"/>
        </w:rPr>
      </w:pPr>
    </w:p>
    <w:p w:rsidR="00D95656" w:rsidRPr="00D95656" w:rsidRDefault="00D95656" w:rsidP="00D95656">
      <w:pPr>
        <w:rPr>
          <w:lang w:val="en-US"/>
        </w:rPr>
      </w:pPr>
    </w:p>
    <w:p w:rsidR="00A63D38" w:rsidRPr="00A63D38" w:rsidRDefault="00A63D38" w:rsidP="008B3C7F">
      <w:pPr>
        <w:pStyle w:val="Titre1"/>
        <w:rPr>
          <w:lang w:val="en-US"/>
        </w:rPr>
      </w:pPr>
      <w:r w:rsidRPr="00A63D38">
        <w:rPr>
          <w:lang w:val="en-US"/>
        </w:rPr>
        <w:t xml:space="preserve">References </w:t>
      </w:r>
    </w:p>
    <w:p w:rsidR="00996A6B" w:rsidRPr="00996A6B" w:rsidRDefault="00996A6B" w:rsidP="00996A6B">
      <w:pPr>
        <w:spacing w:line="276" w:lineRule="auto"/>
        <w:ind w:left="567" w:hanging="567"/>
        <w:rPr>
          <w:rFonts w:cs="Times New Roman"/>
          <w:lang w:val="en-US" w:eastAsia="fr-FR"/>
        </w:rPr>
      </w:pP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Aker, J. C., &amp; Mbiti, I. M. (2010). Mobile phones and economic development in Africa. </w:t>
      </w:r>
      <w:r w:rsidRPr="005D588A">
        <w:rPr>
          <w:rFonts w:cs="Times New Roman"/>
          <w:iCs/>
          <w:szCs w:val="24"/>
          <w:lang w:val="en-US"/>
        </w:rPr>
        <w:t>Journal of Economic Perspectives</w:t>
      </w:r>
      <w:r w:rsidRPr="005D588A">
        <w:rPr>
          <w:rFonts w:cs="Times New Roman"/>
          <w:szCs w:val="24"/>
          <w:lang w:val="en-US"/>
        </w:rPr>
        <w:t xml:space="preserve">, </w:t>
      </w:r>
      <w:r w:rsidRPr="005D588A">
        <w:rPr>
          <w:rFonts w:cs="Times New Roman"/>
          <w:iCs/>
          <w:szCs w:val="24"/>
          <w:lang w:val="en-US"/>
        </w:rPr>
        <w:t>24</w:t>
      </w:r>
      <w:r w:rsidRPr="005D588A">
        <w:rPr>
          <w:rFonts w:cs="Times New Roman"/>
          <w:szCs w:val="24"/>
          <w:lang w:val="en-US"/>
        </w:rPr>
        <w:t>(3), 207-232.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Araki, K. (2022). ICT adoption and well-being: Empirical insights. Journal of Technology and Society, 45(2), 150–172.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Asongu, S. A. (2021). The effects of mobile phone technology, knowledge creation and diffusion on inclusive human development in sub-Saharan Africa. </w:t>
      </w:r>
      <w:r w:rsidRPr="005D588A">
        <w:rPr>
          <w:rFonts w:cs="Times New Roman"/>
          <w:iCs/>
          <w:szCs w:val="24"/>
          <w:lang w:val="en-US" w:eastAsia="fr-FR"/>
        </w:rPr>
        <w:t>Journal of the Knowledge Economy</w:t>
      </w:r>
      <w:r w:rsidRPr="005D588A">
        <w:rPr>
          <w:rFonts w:cs="Times New Roman"/>
          <w:szCs w:val="24"/>
          <w:lang w:val="en-US" w:eastAsia="fr-FR"/>
        </w:rPr>
        <w:t xml:space="preserve">, </w:t>
      </w:r>
      <w:r w:rsidRPr="005D588A">
        <w:rPr>
          <w:rFonts w:cs="Times New Roman"/>
          <w:iCs/>
          <w:szCs w:val="24"/>
          <w:lang w:val="en-US" w:eastAsia="fr-FR"/>
        </w:rPr>
        <w:t>12</w:t>
      </w:r>
      <w:r w:rsidRPr="005D588A">
        <w:rPr>
          <w:rFonts w:cs="Times New Roman"/>
          <w:szCs w:val="24"/>
          <w:lang w:val="en-US" w:eastAsia="fr-FR"/>
        </w:rPr>
        <w:t>(3), 1367-1398.</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rPr>
        <w:t xml:space="preserve">Asongu, S. A., &amp; Moulin, B. (2016). </w:t>
      </w:r>
      <w:r w:rsidRPr="005D588A">
        <w:rPr>
          <w:rFonts w:cs="Times New Roman"/>
          <w:szCs w:val="24"/>
          <w:lang w:val="en-US"/>
        </w:rPr>
        <w:t xml:space="preserve">The role of ICT in reducing information asymmetry for financial access. </w:t>
      </w:r>
      <w:r w:rsidRPr="005D588A">
        <w:rPr>
          <w:rFonts w:cs="Times New Roman"/>
          <w:iCs/>
          <w:szCs w:val="24"/>
          <w:lang w:val="en-US"/>
        </w:rPr>
        <w:t>Research in International Business and Finance</w:t>
      </w:r>
      <w:r w:rsidRPr="005D588A">
        <w:rPr>
          <w:rFonts w:cs="Times New Roman"/>
          <w:szCs w:val="24"/>
          <w:lang w:val="en-US"/>
        </w:rPr>
        <w:t xml:space="preserve">, </w:t>
      </w:r>
      <w:r w:rsidRPr="005D588A">
        <w:rPr>
          <w:rFonts w:cs="Times New Roman"/>
          <w:iCs/>
          <w:szCs w:val="24"/>
          <w:lang w:val="en-US"/>
        </w:rPr>
        <w:t>38</w:t>
      </w:r>
      <w:r w:rsidRPr="005D588A">
        <w:rPr>
          <w:rFonts w:cs="Times New Roman"/>
          <w:szCs w:val="24"/>
          <w:lang w:val="en-US"/>
        </w:rPr>
        <w:t>, 202-213.</w:t>
      </w:r>
    </w:p>
    <w:p w:rsidR="00996A6B" w:rsidRPr="005D588A" w:rsidRDefault="00996A6B" w:rsidP="00996A6B">
      <w:pPr>
        <w:spacing w:line="276" w:lineRule="auto"/>
        <w:ind w:left="567" w:hanging="567"/>
        <w:rPr>
          <w:rFonts w:cs="Times New Roman"/>
          <w:szCs w:val="24"/>
          <w:lang w:eastAsia="fr-FR"/>
        </w:rPr>
      </w:pPr>
      <w:r w:rsidRPr="005D588A">
        <w:rPr>
          <w:rFonts w:cs="Times New Roman"/>
          <w:szCs w:val="24"/>
          <w:lang w:eastAsia="fr-FR"/>
        </w:rPr>
        <w:t xml:space="preserve">Baccini, A. (2010). Statistique Descriptive Multidimensionnelle (pour les nuls). </w:t>
      </w:r>
      <w:r w:rsidRPr="005D588A">
        <w:rPr>
          <w:rFonts w:cs="Times New Roman"/>
          <w:iCs/>
          <w:szCs w:val="24"/>
          <w:lang w:eastAsia="fr-FR"/>
        </w:rPr>
        <w:t>Institut de Mathématiques de Toulouse-UMR CNRS</w:t>
      </w:r>
      <w:r w:rsidRPr="005D588A">
        <w:rPr>
          <w:rFonts w:cs="Times New Roman"/>
          <w:szCs w:val="24"/>
          <w:lang w:eastAsia="fr-FR"/>
        </w:rPr>
        <w:t xml:space="preserve">, </w:t>
      </w:r>
      <w:r w:rsidRPr="005D588A">
        <w:rPr>
          <w:rFonts w:cs="Times New Roman"/>
          <w:iCs/>
          <w:szCs w:val="24"/>
          <w:lang w:eastAsia="fr-FR"/>
        </w:rPr>
        <w:t>5219</w:t>
      </w:r>
      <w:r w:rsidRPr="005D588A">
        <w:rPr>
          <w:rFonts w:cs="Times New Roman"/>
          <w:szCs w:val="24"/>
          <w:lang w:eastAsia="fr-FR"/>
        </w:rPr>
        <w:t>.</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Badera, J., et al. (2019). The role of ICT in social development: A systematic review. International Journal of Information Management, 47, 101–112.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Baumeister, V. M., Kuen, L. P., Bruckes, M., &amp; Schewe, G. (2024). The relationship of work-related ICT use with well-being: A meta-analysis using the job demands-resources model. SAGE Open. Advance online publication.</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Berry, C., &amp; Okulicz-Kozaryn, A. (2011). Does happiness promote career success? Journal of Happiness Studies, 12(4), 669–683.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Borooah, V. K. (2006). Social capital and subjective well-being in Britain. Journal of Socio-Economics, 35(5), 889–912.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Castellacci, F., &amp; Tveito, V. (2018). ICT adoption and subjective well-being. Research Policy, 47(1), 186–199.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Cuñado, J., &amp; De Gracia, F. P. (2012). </w:t>
      </w:r>
      <w:r w:rsidRPr="005D588A">
        <w:rPr>
          <w:rFonts w:cs="Times New Roman"/>
          <w:szCs w:val="24"/>
          <w:lang w:val="en-US" w:eastAsia="fr-FR"/>
        </w:rPr>
        <w:t xml:space="preserve">Does education affect happiness? Evidence for Spain. </w:t>
      </w:r>
      <w:r w:rsidRPr="005D588A">
        <w:rPr>
          <w:rFonts w:cs="Times New Roman"/>
          <w:iCs/>
          <w:szCs w:val="24"/>
          <w:lang w:val="en-US" w:eastAsia="fr-FR"/>
        </w:rPr>
        <w:t>Social indicators research</w:t>
      </w:r>
      <w:r w:rsidRPr="005D588A">
        <w:rPr>
          <w:rFonts w:cs="Times New Roman"/>
          <w:szCs w:val="24"/>
          <w:lang w:val="en-US" w:eastAsia="fr-FR"/>
        </w:rPr>
        <w:t xml:space="preserve">, </w:t>
      </w:r>
      <w:r w:rsidRPr="005D588A">
        <w:rPr>
          <w:rFonts w:cs="Times New Roman"/>
          <w:iCs/>
          <w:szCs w:val="24"/>
          <w:lang w:val="en-US" w:eastAsia="fr-FR"/>
        </w:rPr>
        <w:t>108</w:t>
      </w:r>
      <w:r w:rsidRPr="005D588A">
        <w:rPr>
          <w:rFonts w:cs="Times New Roman"/>
          <w:szCs w:val="24"/>
          <w:lang w:val="en-US" w:eastAsia="fr-FR"/>
        </w:rPr>
        <w:t>(1), 185-196.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Czernich, N., Falck, O., Kretschmer, T., &amp; Woessmann, L. (2011). Broadband infrastructure and economic growth. The Economic Journal, 121(552), 505–532.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Demirgüç-Kunt, A., Klapper, L., Singer, D., Ansar, S., &amp; Hess, J. (2018). The global findex database 2017: Measuring financial inclusion and the fintech revolution. World Bank Economic Review, 32(Suppl_1), S135–S158.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Diener, E., &amp; Chan, M. Y. (2011). Happy people live longer: Subjective well-being and health. Applied Psychology: Health and Well-Being, 3(1), 1–43.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Diener, E., Suh, E., Lucas, R., &amp; Smith, H. (1999). Subjective well-being: Three decades of progress. Psychological Bulletin, 125(2), 276–302.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Donner, J., Verclas, K., &amp; Toyama, K. (2008). </w:t>
      </w:r>
      <w:r w:rsidRPr="005D588A">
        <w:rPr>
          <w:rFonts w:cs="Times New Roman"/>
          <w:szCs w:val="24"/>
          <w:lang w:val="en-US" w:eastAsia="fr-FR"/>
        </w:rPr>
        <w:t>Reflections on MobileActive08 and the M4D Landscape.</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Easterlin, R. A. (1974). Does economic growth improve the human lot? Some empirical evidence. Nations and Households in Economic Growth, 89–125.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Feuzeu, D. H. D., &amp; Kelly, A. M. (2025). Does Financial Technology Fuel Economic Complexity? Empirical Insights from Africa. </w:t>
      </w:r>
      <w:r w:rsidRPr="005D588A">
        <w:rPr>
          <w:rFonts w:cs="Times New Roman"/>
          <w:iCs/>
          <w:szCs w:val="24"/>
          <w:lang w:val="en-US" w:eastAsia="fr-FR"/>
        </w:rPr>
        <w:t>Next Research</w:t>
      </w:r>
      <w:r w:rsidRPr="005D588A">
        <w:rPr>
          <w:rFonts w:cs="Times New Roman"/>
          <w:szCs w:val="24"/>
          <w:lang w:val="en-US" w:eastAsia="fr-FR"/>
        </w:rPr>
        <w:t>, 100360.</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Fischer, J. A. V. (2010). Digital technology use and well-being: A meta-analysis. Computers in Human Behavior, 26(6), 1629–1635.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Franzen, A. (2003). Environmental attitudes in international comparison: An analysis of the ISSP surveys 1993 and 2000. Social Science Quarterly, 84(2), 297–308.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Frey, C. B., &amp; Osborne, M. A. (2013). The future of employment: How susceptible are jobs to computerisation? Technological Forecasting and Social Change, 114, 254–280.</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Galperin, H., &amp; Fernanda Viecens, M. (2017). Connected for development? Theory and evidence about the impact of internet technologies on poverty alleviation. </w:t>
      </w:r>
      <w:r w:rsidRPr="005D588A">
        <w:rPr>
          <w:rFonts w:cs="Times New Roman"/>
          <w:iCs/>
          <w:szCs w:val="24"/>
          <w:lang w:val="en-US"/>
        </w:rPr>
        <w:t>Development Policy Review</w:t>
      </w:r>
      <w:r w:rsidRPr="005D588A">
        <w:rPr>
          <w:rFonts w:cs="Times New Roman"/>
          <w:szCs w:val="24"/>
          <w:lang w:val="en-US"/>
        </w:rPr>
        <w:t xml:space="preserve">, </w:t>
      </w:r>
      <w:r w:rsidRPr="005D588A">
        <w:rPr>
          <w:rFonts w:cs="Times New Roman"/>
          <w:iCs/>
          <w:szCs w:val="24"/>
          <w:lang w:val="en-US"/>
        </w:rPr>
        <w:t>35</w:t>
      </w:r>
      <w:r w:rsidRPr="005D588A">
        <w:rPr>
          <w:rFonts w:cs="Times New Roman"/>
          <w:szCs w:val="24"/>
          <w:lang w:val="en-US"/>
        </w:rPr>
        <w:t>(3), 315-336.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Graham, C., &amp; Nikolova, M. (2013). Does access to information technology make people happier? Insights from well-being surveys from around the world. </w:t>
      </w:r>
      <w:r w:rsidRPr="005D588A">
        <w:rPr>
          <w:rFonts w:cs="Times New Roman"/>
          <w:iCs/>
          <w:szCs w:val="24"/>
          <w:lang w:val="en-US" w:eastAsia="fr-FR"/>
        </w:rPr>
        <w:t>The Journal of Socio-Economics</w:t>
      </w:r>
      <w:r w:rsidRPr="005D588A">
        <w:rPr>
          <w:rFonts w:cs="Times New Roman"/>
          <w:szCs w:val="24"/>
          <w:lang w:val="en-US" w:eastAsia="fr-FR"/>
        </w:rPr>
        <w:t xml:space="preserve">, </w:t>
      </w:r>
      <w:r w:rsidRPr="005D588A">
        <w:rPr>
          <w:rFonts w:cs="Times New Roman"/>
          <w:iCs/>
          <w:szCs w:val="24"/>
          <w:lang w:val="en-US" w:eastAsia="fr-FR"/>
        </w:rPr>
        <w:t>44</w:t>
      </w:r>
      <w:r w:rsidRPr="005D588A">
        <w:rPr>
          <w:rFonts w:cs="Times New Roman"/>
          <w:szCs w:val="24"/>
          <w:lang w:val="en-US" w:eastAsia="fr-FR"/>
        </w:rPr>
        <w:t>, 126-139.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Greyling, T. (2018). Happiness and economic development in South Africa. Social Indicators Research, 137(3), 1017–1034.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Helliwell, J. F., &amp; Putnam, R. D. (2004). The social context of well-being. Philosophical Transactions of the Royal Society B: Biological Sciences, 359(1449), 1435–1446.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Helsper, E. J., &amp; Reisdorf, B. C. (2017). The emergence of a “digital underclass” in Great Britain and Sweden: Changing reasons for digital exclusion. New Media &amp; Society, 19(8), 1253–1270.</w:t>
      </w:r>
    </w:p>
    <w:p w:rsidR="00996A6B" w:rsidRPr="005D588A" w:rsidRDefault="00996A6B" w:rsidP="00996A6B">
      <w:pPr>
        <w:spacing w:line="276" w:lineRule="auto"/>
        <w:ind w:left="567" w:hanging="567"/>
        <w:rPr>
          <w:rFonts w:cs="Times New Roman"/>
          <w:szCs w:val="24"/>
        </w:rPr>
      </w:pPr>
      <w:r w:rsidRPr="005D588A">
        <w:rPr>
          <w:rFonts w:cs="Times New Roman"/>
          <w:szCs w:val="24"/>
          <w:lang w:val="en-US"/>
        </w:rPr>
        <w:t xml:space="preserve">Hjort, J., &amp; Poulsen, J. (2019). The arrival of fast internet and employment in Africa. </w:t>
      </w:r>
      <w:r w:rsidRPr="005D588A">
        <w:rPr>
          <w:rFonts w:cs="Times New Roman"/>
          <w:iCs/>
          <w:szCs w:val="24"/>
        </w:rPr>
        <w:t>American Economic Review</w:t>
      </w:r>
      <w:r w:rsidRPr="005D588A">
        <w:rPr>
          <w:rFonts w:cs="Times New Roman"/>
          <w:szCs w:val="24"/>
        </w:rPr>
        <w:t xml:space="preserve">, </w:t>
      </w:r>
      <w:r w:rsidRPr="005D588A">
        <w:rPr>
          <w:rFonts w:cs="Times New Roman"/>
          <w:iCs/>
          <w:szCs w:val="24"/>
        </w:rPr>
        <w:t>109</w:t>
      </w:r>
      <w:r w:rsidRPr="005D588A">
        <w:rPr>
          <w:rFonts w:cs="Times New Roman"/>
          <w:szCs w:val="24"/>
        </w:rPr>
        <w:t>(3), 1032-1079.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Hong, J., &amp; Tang, Y. (2021). ICT empowerment in educational innovation and teacher well-being. Computers &amp; Education, 161, 104058.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Huang, J., &amp; Leung, L. (2009). Instant messaging and social capital among college students. New Media &amp; Society, 11(3), 417–436.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Inkeles, A. (2022). Industrialization, modernization and the quality of life. In </w:t>
      </w:r>
      <w:r w:rsidRPr="005D588A">
        <w:rPr>
          <w:rFonts w:cs="Times New Roman"/>
          <w:iCs/>
          <w:szCs w:val="24"/>
          <w:lang w:val="en-US" w:eastAsia="fr-FR"/>
        </w:rPr>
        <w:t>Ecology, World Resources and the Quality of Social Life</w:t>
      </w:r>
      <w:r w:rsidRPr="005D588A">
        <w:rPr>
          <w:rFonts w:cs="Times New Roman"/>
          <w:szCs w:val="24"/>
          <w:lang w:val="en-US" w:eastAsia="fr-FR"/>
        </w:rPr>
        <w:t xml:space="preserve"> (pp. 51-79). Routledge.</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Islam, M., &amp; Goldwasser, D. (2020). Digital technologies and happiness: Evidence from the pandemic. Journal of Happiness Studies, 22(6), 2533–2555.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ITU. (2018). </w:t>
      </w:r>
      <w:proofErr w:type="gramStart"/>
      <w:r w:rsidRPr="005D588A">
        <w:rPr>
          <w:rFonts w:cs="Times New Roman"/>
          <w:szCs w:val="24"/>
          <w:lang w:val="en-US" w:eastAsia="fr-FR"/>
        </w:rPr>
        <w:t>Measuring</w:t>
      </w:r>
      <w:proofErr w:type="gramEnd"/>
      <w:r w:rsidRPr="005D588A">
        <w:rPr>
          <w:rFonts w:cs="Times New Roman"/>
          <w:szCs w:val="24"/>
          <w:lang w:val="en-US" w:eastAsia="fr-FR"/>
        </w:rPr>
        <w:t xml:space="preserve"> digital development: Facts and figures 2018. International Telecommunication Union.</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Kavetsos, G., &amp; Koutroumpis, P. (2011). Health and happiness: The role of ICT. Information Economics and Policy, 23(3), 284–295.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Kelly, A. M. (2025). Does climate finance Foster happiness in African economies? Assessing the Direct and Indirect Pathways. </w:t>
      </w:r>
      <w:r w:rsidRPr="005D588A">
        <w:rPr>
          <w:rFonts w:cs="Times New Roman"/>
          <w:iCs/>
          <w:szCs w:val="24"/>
          <w:lang w:val="en-US" w:eastAsia="fr-FR"/>
        </w:rPr>
        <w:t>Global Transitions</w:t>
      </w:r>
      <w:r w:rsidRPr="005D588A">
        <w:rPr>
          <w:rFonts w:cs="Times New Roman"/>
          <w:szCs w:val="24"/>
          <w:lang w:val="en-US" w:eastAsia="fr-FR"/>
        </w:rPr>
        <w:t>.</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Kelly, A. M., &amp; Rutazihana, P. N. (2024). Digital Divide and its Implications for Education in the Post-covid-19 Era in Sub-Saharan Africa. </w:t>
      </w:r>
      <w:r w:rsidRPr="005D588A">
        <w:rPr>
          <w:rFonts w:cs="Times New Roman"/>
          <w:iCs/>
          <w:szCs w:val="24"/>
          <w:lang w:val="en-US"/>
        </w:rPr>
        <w:t>Innovation and Education</w:t>
      </w:r>
      <w:r w:rsidRPr="005D588A">
        <w:rPr>
          <w:rFonts w:cs="Times New Roman"/>
          <w:szCs w:val="24"/>
          <w:lang w:val="en-US"/>
        </w:rPr>
        <w:t xml:space="preserve">, </w:t>
      </w:r>
      <w:r w:rsidRPr="005D588A">
        <w:rPr>
          <w:rFonts w:cs="Times New Roman"/>
          <w:iCs/>
          <w:szCs w:val="24"/>
          <w:lang w:val="en-US"/>
        </w:rPr>
        <w:t>6</w:t>
      </w:r>
      <w:r w:rsidRPr="005D588A">
        <w:rPr>
          <w:rFonts w:cs="Times New Roman"/>
          <w:szCs w:val="24"/>
          <w:lang w:val="en-US"/>
        </w:rPr>
        <w:t>(2), 108-132.</w:t>
      </w:r>
    </w:p>
    <w:p w:rsidR="00996A6B" w:rsidRPr="005D588A" w:rsidRDefault="00996A6B" w:rsidP="00996A6B">
      <w:pPr>
        <w:spacing w:line="276" w:lineRule="auto"/>
        <w:ind w:left="567" w:hanging="567"/>
        <w:rPr>
          <w:rFonts w:cs="Times New Roman"/>
          <w:szCs w:val="24"/>
          <w:lang w:val="en-US"/>
        </w:rPr>
      </w:pPr>
      <w:r w:rsidRPr="005D588A">
        <w:rPr>
          <w:rFonts w:cs="Times New Roman"/>
          <w:szCs w:val="24"/>
          <w:lang w:val="en-US"/>
        </w:rPr>
        <w:t xml:space="preserve">Kelly, A. M., Yimele, B. L. T., Tchieu, N. L. W., &amp; Rutazihana, P. N. (2023). Access to electricity and primary education nexus in central Africa. </w:t>
      </w:r>
      <w:r w:rsidRPr="005D588A">
        <w:rPr>
          <w:rFonts w:cs="Times New Roman"/>
          <w:iCs/>
          <w:szCs w:val="24"/>
          <w:lang w:val="en-US"/>
        </w:rPr>
        <w:t>Journal of Regional Economics</w:t>
      </w:r>
      <w:r w:rsidRPr="005D588A">
        <w:rPr>
          <w:rFonts w:cs="Times New Roman"/>
          <w:szCs w:val="24"/>
          <w:lang w:val="en-US"/>
        </w:rPr>
        <w:t xml:space="preserve">, </w:t>
      </w:r>
      <w:r w:rsidRPr="005D588A">
        <w:rPr>
          <w:rFonts w:cs="Times New Roman"/>
          <w:iCs/>
          <w:szCs w:val="24"/>
          <w:lang w:val="en-US"/>
        </w:rPr>
        <w:t>2</w:t>
      </w:r>
      <w:r w:rsidRPr="005D588A">
        <w:rPr>
          <w:rFonts w:cs="Times New Roman"/>
          <w:szCs w:val="24"/>
          <w:lang w:val="en-US"/>
        </w:rPr>
        <w:t>(1), 26-41.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Kim, J., et al. (2012). Digital inequality and health outcomes: A review. Health Informatics Journal, 18(1), 14–28.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Kim, S., &amp; Lee, J. (2014). The relationship between ICT use and subjective well-being. Computers in Human Behavior, 36, 150–157.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Koukoulis, K., et al. (2023). Digital inclusion and mental health outcomes in Cameroon. African Journal of Information Systems, 15(1), 35–54.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Kuek, S. C., et al. (2015). ICT for development: Status, trends, and challenges. Information Technology for Development, 21(4), 579–599.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Kwon, C. B. (2022). The effect of defense spending on subjective well-being: Cross-country evidence. </w:t>
      </w:r>
      <w:r w:rsidRPr="005D588A">
        <w:rPr>
          <w:rFonts w:cs="Times New Roman"/>
          <w:iCs/>
          <w:szCs w:val="24"/>
          <w:lang w:val="en-US" w:eastAsia="fr-FR"/>
        </w:rPr>
        <w:t>Applied Research in Quality of Life</w:t>
      </w:r>
      <w:r w:rsidRPr="005D588A">
        <w:rPr>
          <w:rFonts w:cs="Times New Roman"/>
          <w:szCs w:val="24"/>
          <w:lang w:val="en-US" w:eastAsia="fr-FR"/>
        </w:rPr>
        <w:t xml:space="preserve">, </w:t>
      </w:r>
      <w:r w:rsidRPr="005D588A">
        <w:rPr>
          <w:rFonts w:cs="Times New Roman"/>
          <w:iCs/>
          <w:szCs w:val="24"/>
          <w:lang w:val="en-US" w:eastAsia="fr-FR"/>
        </w:rPr>
        <w:t>17</w:t>
      </w:r>
      <w:r w:rsidRPr="005D588A">
        <w:rPr>
          <w:rFonts w:cs="Times New Roman"/>
          <w:szCs w:val="24"/>
          <w:lang w:val="en-US" w:eastAsia="fr-FR"/>
        </w:rPr>
        <w:t>(4), 1961-1989.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Kyoghero, S. M., Wendji, C. M., &amp; Yokono, D. B. (2025). Does ICT Adoption Promote Food Security? Empirical Evidence from the Democratic Republic of Congo. </w:t>
      </w:r>
      <w:r w:rsidRPr="005D588A">
        <w:rPr>
          <w:rFonts w:cs="Times New Roman"/>
          <w:iCs/>
          <w:szCs w:val="24"/>
          <w:lang w:val="en-US" w:eastAsia="fr-FR"/>
        </w:rPr>
        <w:t>Environment, Innovation and Management</w:t>
      </w:r>
      <w:r w:rsidRPr="005D588A">
        <w:rPr>
          <w:rFonts w:cs="Times New Roman"/>
          <w:szCs w:val="24"/>
          <w:lang w:val="en-US" w:eastAsia="fr-FR"/>
        </w:rPr>
        <w:t xml:space="preserve">, </w:t>
      </w:r>
      <w:r w:rsidRPr="005D588A">
        <w:rPr>
          <w:rFonts w:cs="Times New Roman"/>
          <w:iCs/>
          <w:szCs w:val="24"/>
          <w:lang w:val="en-US" w:eastAsia="fr-FR"/>
        </w:rPr>
        <w:t>1</w:t>
      </w:r>
      <w:r w:rsidRPr="005D588A">
        <w:rPr>
          <w:rFonts w:cs="Times New Roman"/>
          <w:szCs w:val="24"/>
          <w:lang w:val="en-US" w:eastAsia="fr-FR"/>
        </w:rPr>
        <w:t>, 2550018.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Levin, K. A., &amp; Currie, C. (2014). Reliability and validity of an adapted version of the Cantril Ladder for use with adolescent samples. </w:t>
      </w:r>
      <w:r w:rsidRPr="005D588A">
        <w:rPr>
          <w:rFonts w:cs="Times New Roman"/>
          <w:iCs/>
          <w:szCs w:val="24"/>
          <w:lang w:val="en-US" w:eastAsia="fr-FR"/>
        </w:rPr>
        <w:t>Social Indicators Research</w:t>
      </w:r>
      <w:r w:rsidRPr="005D588A">
        <w:rPr>
          <w:rFonts w:cs="Times New Roman"/>
          <w:szCs w:val="24"/>
          <w:lang w:val="en-US" w:eastAsia="fr-FR"/>
        </w:rPr>
        <w:t xml:space="preserve">, </w:t>
      </w:r>
      <w:r w:rsidRPr="005D588A">
        <w:rPr>
          <w:rFonts w:cs="Times New Roman"/>
          <w:iCs/>
          <w:szCs w:val="24"/>
          <w:lang w:val="en-US" w:eastAsia="fr-FR"/>
        </w:rPr>
        <w:t>119</w:t>
      </w:r>
      <w:r w:rsidRPr="005D588A">
        <w:rPr>
          <w:rFonts w:cs="Times New Roman"/>
          <w:szCs w:val="24"/>
          <w:lang w:val="en-US" w:eastAsia="fr-FR"/>
        </w:rPr>
        <w:t>, 1047-1063.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Lohmann, S. (2015). The impact of internet access on social capital and subjective well-being in Europe. Information Economics and Policy, 30, 30–41.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Lu, C., &amp; Hu, Z. (2021). ICT usage and life satisfaction: A cross-country study. Telecommunications Policy, 45(3), 102–114.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Malah, B., et al. (2021). Impact of digital technologies on well-being in emerging economies. Technology in Society, 67, 101712.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Mehmood, B., &amp; Hussain, A. (2024). ICT as a determinant of happiness: cross-country evidence. </w:t>
      </w:r>
      <w:r w:rsidRPr="005D588A">
        <w:rPr>
          <w:rFonts w:cs="Times New Roman"/>
          <w:iCs/>
          <w:szCs w:val="24"/>
          <w:lang w:val="en-US" w:eastAsia="fr-FR"/>
        </w:rPr>
        <w:t>Journal of Telecommunications and the Digital Economy</w:t>
      </w:r>
      <w:r w:rsidRPr="005D588A">
        <w:rPr>
          <w:rFonts w:cs="Times New Roman"/>
          <w:szCs w:val="24"/>
          <w:lang w:val="en-US" w:eastAsia="fr-FR"/>
        </w:rPr>
        <w:t xml:space="preserve">, </w:t>
      </w:r>
      <w:r w:rsidRPr="005D588A">
        <w:rPr>
          <w:rFonts w:cs="Times New Roman"/>
          <w:iCs/>
          <w:szCs w:val="24"/>
          <w:lang w:val="en-US" w:eastAsia="fr-FR"/>
        </w:rPr>
        <w:t>12</w:t>
      </w:r>
      <w:r w:rsidRPr="005D588A">
        <w:rPr>
          <w:rFonts w:cs="Times New Roman"/>
          <w:szCs w:val="24"/>
          <w:lang w:val="en-US" w:eastAsia="fr-FR"/>
        </w:rPr>
        <w:t>(1), 196-221.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Mignamissi, F., &amp; Kuete, M. (2021). TIC </w:t>
      </w:r>
      <w:proofErr w:type="gramStart"/>
      <w:r w:rsidRPr="005D588A">
        <w:rPr>
          <w:rFonts w:cs="Times New Roman"/>
          <w:szCs w:val="24"/>
          <w:lang w:val="en-US" w:eastAsia="fr-FR"/>
        </w:rPr>
        <w:t>et</w:t>
      </w:r>
      <w:proofErr w:type="gramEnd"/>
      <w:r w:rsidRPr="005D588A">
        <w:rPr>
          <w:rFonts w:cs="Times New Roman"/>
          <w:szCs w:val="24"/>
          <w:lang w:val="en-US" w:eastAsia="fr-FR"/>
        </w:rPr>
        <w:t xml:space="preserve"> développement communautaire en Afrique centrale. Revue Africaine des Sciences de l'Information </w:t>
      </w:r>
      <w:proofErr w:type="gramStart"/>
      <w:r w:rsidRPr="005D588A">
        <w:rPr>
          <w:rFonts w:cs="Times New Roman"/>
          <w:szCs w:val="24"/>
          <w:lang w:val="en-US" w:eastAsia="fr-FR"/>
        </w:rPr>
        <w:t>et</w:t>
      </w:r>
      <w:proofErr w:type="gramEnd"/>
      <w:r w:rsidRPr="005D588A">
        <w:rPr>
          <w:rFonts w:cs="Times New Roman"/>
          <w:szCs w:val="24"/>
          <w:lang w:val="en-US" w:eastAsia="fr-FR"/>
        </w:rPr>
        <w:t xml:space="preserve"> de la Communication, 5(2), 57–73.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Myovella, G., et al. (2020). ICT access and subjective well-being in East Africa. Information Technology for Development, 26(1), 68–85.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eastAsia="fr-FR"/>
        </w:rPr>
        <w:t xml:space="preserve">Narayan, P. K., &amp; Narayan, S. (2005). </w:t>
      </w:r>
      <w:r w:rsidRPr="005D588A">
        <w:rPr>
          <w:rFonts w:cs="Times New Roman"/>
          <w:szCs w:val="24"/>
          <w:lang w:val="en-US" w:eastAsia="fr-FR"/>
        </w:rPr>
        <w:t xml:space="preserve">Estimating income and price elasticities of imports for Fiji in a cointegration framework. </w:t>
      </w:r>
      <w:r w:rsidRPr="005D588A">
        <w:rPr>
          <w:rFonts w:cs="Times New Roman"/>
          <w:iCs/>
          <w:szCs w:val="24"/>
          <w:lang w:val="en-US" w:eastAsia="fr-FR"/>
        </w:rPr>
        <w:t>Economic Modelling</w:t>
      </w:r>
      <w:r w:rsidRPr="005D588A">
        <w:rPr>
          <w:rFonts w:cs="Times New Roman"/>
          <w:szCs w:val="24"/>
          <w:lang w:val="en-US" w:eastAsia="fr-FR"/>
        </w:rPr>
        <w:t xml:space="preserve">, </w:t>
      </w:r>
      <w:r w:rsidRPr="005D588A">
        <w:rPr>
          <w:rFonts w:cs="Times New Roman"/>
          <w:iCs/>
          <w:szCs w:val="24"/>
          <w:lang w:val="en-US" w:eastAsia="fr-FR"/>
        </w:rPr>
        <w:t>22</w:t>
      </w:r>
      <w:r w:rsidRPr="005D588A">
        <w:rPr>
          <w:rFonts w:cs="Times New Roman"/>
          <w:szCs w:val="24"/>
          <w:lang w:val="en-US" w:eastAsia="fr-FR"/>
        </w:rPr>
        <w:t>(3), 423-438.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Ostrowska, A., &amp; Włodarczyk, B. (2024). Financialization and Level of Happiness in the Context of Sustainable Development. The Case of Central and Eastern European Countries. </w:t>
      </w:r>
      <w:r w:rsidRPr="005D588A">
        <w:rPr>
          <w:rFonts w:cs="Times New Roman"/>
          <w:iCs/>
          <w:szCs w:val="24"/>
          <w:lang w:val="en-US" w:eastAsia="fr-FR"/>
        </w:rPr>
        <w:t>Journal of Finance and Financial Law</w:t>
      </w:r>
      <w:r w:rsidRPr="005D588A">
        <w:rPr>
          <w:rFonts w:cs="Times New Roman"/>
          <w:szCs w:val="24"/>
          <w:lang w:val="en-US" w:eastAsia="fr-FR"/>
        </w:rPr>
        <w:t xml:space="preserve">, </w:t>
      </w:r>
      <w:r w:rsidRPr="005D588A">
        <w:rPr>
          <w:rFonts w:cs="Times New Roman"/>
          <w:iCs/>
          <w:szCs w:val="24"/>
          <w:lang w:val="en-US" w:eastAsia="fr-FR"/>
        </w:rPr>
        <w:t>4</w:t>
      </w:r>
      <w:r w:rsidRPr="005D588A">
        <w:rPr>
          <w:rFonts w:cs="Times New Roman"/>
          <w:szCs w:val="24"/>
          <w:lang w:val="en-US" w:eastAsia="fr-FR"/>
        </w:rPr>
        <w:t>(44), 7-22.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Phillips, P. C., &amp; Hansen, B. E. (1990). Statistical inference in instrumental variables regression with </w:t>
      </w:r>
      <w:proofErr w:type="gramStart"/>
      <w:r w:rsidRPr="005D588A">
        <w:rPr>
          <w:rFonts w:cs="Times New Roman"/>
          <w:szCs w:val="24"/>
          <w:lang w:val="en-US" w:eastAsia="fr-FR"/>
        </w:rPr>
        <w:t>I</w:t>
      </w:r>
      <w:proofErr w:type="gramEnd"/>
      <w:r w:rsidRPr="005D588A">
        <w:rPr>
          <w:rFonts w:cs="Times New Roman"/>
          <w:szCs w:val="24"/>
          <w:lang w:val="en-US" w:eastAsia="fr-FR"/>
        </w:rPr>
        <w:t xml:space="preserve"> (1) processes. </w:t>
      </w:r>
      <w:r w:rsidRPr="005D588A">
        <w:rPr>
          <w:rFonts w:cs="Times New Roman"/>
          <w:iCs/>
          <w:szCs w:val="24"/>
          <w:lang w:val="en-US" w:eastAsia="fr-FR"/>
        </w:rPr>
        <w:t>The review of economic studies</w:t>
      </w:r>
      <w:r w:rsidRPr="005D588A">
        <w:rPr>
          <w:rFonts w:cs="Times New Roman"/>
          <w:szCs w:val="24"/>
          <w:lang w:val="en-US" w:eastAsia="fr-FR"/>
        </w:rPr>
        <w:t xml:space="preserve">, </w:t>
      </w:r>
      <w:r w:rsidRPr="005D588A">
        <w:rPr>
          <w:rFonts w:cs="Times New Roman"/>
          <w:iCs/>
          <w:szCs w:val="24"/>
          <w:lang w:val="en-US" w:eastAsia="fr-FR"/>
        </w:rPr>
        <w:t>57</w:t>
      </w:r>
      <w:r w:rsidRPr="005D588A">
        <w:rPr>
          <w:rFonts w:cs="Times New Roman"/>
          <w:szCs w:val="24"/>
          <w:lang w:val="en-US" w:eastAsia="fr-FR"/>
        </w:rPr>
        <w:t>(1), 99-125.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Pinquart, M., &amp; Sorensen, S. (2000). Influences on loneliness in older adults: A meta-analysis. Basic and Applied Social Psychology, 22(4), 245–266.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Putnam, R. D. (2000). Bowling alone: The collapse and revival of American community. Simon &amp; Schuster.</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Rival, L. (2020). ICT, social capital, and subjective well-being: A review. Journal of Happiness Studies, 21(7), 2711–2733.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Rojas, C. (2021). ICT usage during COVID-19 and life satisfaction: A longitudinal analysis. Telecommunications Policy, 45(10), 102222.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Roshanaei, M., &amp; Duan, Q. (2021). International Telecommunication Union Standardization for Trust Provisioning in Information, Communication and Technology Infrastructure toward Achieving United Nation’s Sustainable Development Goals. </w:t>
      </w:r>
      <w:r w:rsidRPr="005D588A">
        <w:rPr>
          <w:rFonts w:cs="Times New Roman"/>
          <w:iCs/>
          <w:szCs w:val="24"/>
          <w:lang w:val="en-US" w:eastAsia="fr-FR"/>
        </w:rPr>
        <w:t>Journal of Computer and Communications</w:t>
      </w:r>
      <w:r w:rsidRPr="005D588A">
        <w:rPr>
          <w:rFonts w:cs="Times New Roman"/>
          <w:szCs w:val="24"/>
          <w:lang w:val="en-US" w:eastAsia="fr-FR"/>
        </w:rPr>
        <w:t xml:space="preserve">, </w:t>
      </w:r>
      <w:r w:rsidRPr="005D588A">
        <w:rPr>
          <w:rFonts w:cs="Times New Roman"/>
          <w:iCs/>
          <w:szCs w:val="24"/>
          <w:lang w:val="en-US" w:eastAsia="fr-FR"/>
        </w:rPr>
        <w:t>9</w:t>
      </w:r>
      <w:r w:rsidRPr="005D588A">
        <w:rPr>
          <w:rFonts w:cs="Times New Roman"/>
          <w:szCs w:val="24"/>
          <w:lang w:val="en-US" w:eastAsia="fr-FR"/>
        </w:rPr>
        <w:t>(10), 44-59.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Sacks, D. W., Stevenson, B., &amp; Wolfers, J. (2012). Subjective well-being, income, and health. Journal of Economic Perspectives, 26(4), 3–24.</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Salanova, M., &amp; Cifre, E. (2004). The impact of ICT use on workers’ well-being. Work &amp; Stress, 18(3), 267–279.</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Samargandi, N., Fidrmuc, J., &amp; Ghosh, S. (2015). Is the relationship between financial development and economic growth monotonic? Evidence from a sample of middle-income countries. </w:t>
      </w:r>
      <w:r w:rsidRPr="005D588A">
        <w:rPr>
          <w:rFonts w:cs="Times New Roman"/>
          <w:iCs/>
          <w:szCs w:val="24"/>
          <w:lang w:val="en-US" w:eastAsia="fr-FR"/>
        </w:rPr>
        <w:t>World development</w:t>
      </w:r>
      <w:r w:rsidRPr="005D588A">
        <w:rPr>
          <w:rFonts w:cs="Times New Roman"/>
          <w:szCs w:val="24"/>
          <w:lang w:val="en-US" w:eastAsia="fr-FR"/>
        </w:rPr>
        <w:t xml:space="preserve">, </w:t>
      </w:r>
      <w:r w:rsidRPr="005D588A">
        <w:rPr>
          <w:rFonts w:cs="Times New Roman"/>
          <w:iCs/>
          <w:szCs w:val="24"/>
          <w:lang w:val="en-US" w:eastAsia="fr-FR"/>
        </w:rPr>
        <w:t>68</w:t>
      </w:r>
      <w:r w:rsidRPr="005D588A">
        <w:rPr>
          <w:rFonts w:cs="Times New Roman"/>
          <w:szCs w:val="24"/>
          <w:lang w:val="en-US" w:eastAsia="fr-FR"/>
        </w:rPr>
        <w:t>, 66-81.</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Scherer, S., et al. (2011). ICT use and stress: The mediating role of emotional demands. Computers in Human Behavior, 27(2), 491–498.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Schkade, D., &amp; Kahneman, D. (1998). Does living in California make people happy? A focusing illusion in judgments of life satisfaction. Psychological Science, 9(5), 340–346.</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Sen, A. (1999). Development as Freedom. Oxford: Oxford University Press and Sen, Amartya. </w:t>
      </w:r>
      <w:r w:rsidRPr="005D588A">
        <w:rPr>
          <w:rFonts w:cs="Times New Roman"/>
          <w:iCs/>
          <w:szCs w:val="24"/>
          <w:lang w:val="en-US" w:eastAsia="fr-FR"/>
        </w:rPr>
        <w:t>Work and rights. International Labour review</w:t>
      </w:r>
      <w:r w:rsidRPr="005D588A">
        <w:rPr>
          <w:rFonts w:cs="Times New Roman"/>
          <w:szCs w:val="24"/>
          <w:lang w:val="en-US" w:eastAsia="fr-FR"/>
        </w:rPr>
        <w:t xml:space="preserve">, </w:t>
      </w:r>
      <w:r w:rsidRPr="005D588A">
        <w:rPr>
          <w:rFonts w:cs="Times New Roman"/>
          <w:iCs/>
          <w:szCs w:val="24"/>
          <w:lang w:val="en-US" w:eastAsia="fr-FR"/>
        </w:rPr>
        <w:t>139</w:t>
      </w:r>
      <w:r w:rsidRPr="005D588A">
        <w:rPr>
          <w:rFonts w:cs="Times New Roman"/>
          <w:szCs w:val="24"/>
          <w:lang w:val="en-US" w:eastAsia="fr-FR"/>
        </w:rPr>
        <w:t>(2), 119-128.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Stallings, R. A., et al. (1997). Technological diffusion and its impact on society. Technological Forecasting and Social Change, 56(1), 15–32.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Stutzer, A., &amp; Frey, B. S. (2006). Does marriage make people happy, or do happy people get married? Journal of Socio-Economics, 35(2), 326–347.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Sulemana, I., et al. (2016). ICT and poverty reduction in rural Africa. Information Technology for Development, 22(4), 664–683.</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Syahira, J. M., Kyoghero, S. M., &amp; Kilumbi, C. N. (2025). Investigating Electricity Access Effect on Happiness: Empirical Evidence from African Great Lakes Countries. </w:t>
      </w:r>
      <w:r w:rsidRPr="005D588A">
        <w:rPr>
          <w:rFonts w:cs="Times New Roman"/>
          <w:iCs/>
          <w:szCs w:val="24"/>
          <w:lang w:val="en-US" w:eastAsia="fr-FR"/>
        </w:rPr>
        <w:t>South Asian Journal of Social Studies and Economics</w:t>
      </w:r>
      <w:r w:rsidRPr="005D588A">
        <w:rPr>
          <w:rFonts w:cs="Times New Roman"/>
          <w:szCs w:val="24"/>
          <w:lang w:val="en-US" w:eastAsia="fr-FR"/>
        </w:rPr>
        <w:t xml:space="preserve">, </w:t>
      </w:r>
      <w:r w:rsidRPr="005D588A">
        <w:rPr>
          <w:rFonts w:cs="Times New Roman"/>
          <w:iCs/>
          <w:szCs w:val="24"/>
          <w:lang w:val="en-US" w:eastAsia="fr-FR"/>
        </w:rPr>
        <w:t>22</w:t>
      </w:r>
      <w:r w:rsidRPr="005D588A">
        <w:rPr>
          <w:rFonts w:cs="Times New Roman"/>
          <w:szCs w:val="24"/>
          <w:lang w:val="en-US" w:eastAsia="fr-FR"/>
        </w:rPr>
        <w:t>(6), 57-67.</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lastRenderedPageBreak/>
        <w:t>Tan, Q., &amp; Kraus, S. (2020). Digital media and well-being: A systematic review. Computers in Human Behavior, 112, 106458.</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Van Deursen, A. J., &amp; van Dijk, J. A. (2019). The first-level digital divide shifts from inequalities in physical access to inequalities in material access. New Media &amp; Society, 21(2), 354–375.</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Vu, T. B. (2011). ICT and social cohesion: Evidence from Vietnam. Telecommunications Policy, 35(3), 218–232.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Wilson, W. J. (1967). The truly disadvantaged: The inner city, the underclass, and public policy. University of Chicago Press.</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World Bank. (2023). World Development Report 2023: Data, digitalization and development. The World Bank Group.</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 xml:space="preserve">Wu, W. (2014). Does public investment improve homeowners’ happiness? New evidence based on micro surveys in Beijing. </w:t>
      </w:r>
      <w:r w:rsidRPr="005D588A">
        <w:rPr>
          <w:rFonts w:cs="Times New Roman"/>
          <w:iCs/>
          <w:szCs w:val="24"/>
          <w:lang w:val="en-US" w:eastAsia="fr-FR"/>
        </w:rPr>
        <w:t>Urban Studies</w:t>
      </w:r>
      <w:r w:rsidRPr="005D588A">
        <w:rPr>
          <w:rFonts w:cs="Times New Roman"/>
          <w:szCs w:val="24"/>
          <w:lang w:val="en-US" w:eastAsia="fr-FR"/>
        </w:rPr>
        <w:t xml:space="preserve">, </w:t>
      </w:r>
      <w:r w:rsidRPr="005D588A">
        <w:rPr>
          <w:rFonts w:cs="Times New Roman"/>
          <w:iCs/>
          <w:szCs w:val="24"/>
          <w:lang w:val="en-US" w:eastAsia="fr-FR"/>
        </w:rPr>
        <w:t>51</w:t>
      </w:r>
      <w:r w:rsidRPr="005D588A">
        <w:rPr>
          <w:rFonts w:cs="Times New Roman"/>
          <w:szCs w:val="24"/>
          <w:lang w:val="en-US" w:eastAsia="fr-FR"/>
        </w:rPr>
        <w:t>(1), 75-92.</w:t>
      </w:r>
    </w:p>
    <w:p w:rsidR="00996A6B" w:rsidRPr="005D588A" w:rsidRDefault="00996A6B" w:rsidP="00996A6B">
      <w:pPr>
        <w:spacing w:line="276" w:lineRule="auto"/>
        <w:ind w:left="567" w:hanging="567"/>
        <w:rPr>
          <w:rFonts w:cs="Times New Roman"/>
          <w:szCs w:val="24"/>
          <w:lang w:val="en-US" w:eastAsia="fr-FR"/>
        </w:rPr>
      </w:pPr>
      <w:r w:rsidRPr="005D588A">
        <w:rPr>
          <w:rFonts w:cs="Times New Roman"/>
          <w:szCs w:val="24"/>
          <w:lang w:val="en-US" w:eastAsia="fr-FR"/>
        </w:rPr>
        <w:t>Zhou, Y., et al. (2015). ICT adoption and social well-being in China. Information Development, 31(3), 271–281.</w:t>
      </w:r>
    </w:p>
    <w:p w:rsidR="005662FE" w:rsidRDefault="005662FE" w:rsidP="00D01EB4">
      <w:pPr>
        <w:ind w:left="567" w:hanging="567"/>
        <w:rPr>
          <w:lang w:val="en-US" w:eastAsia="fr-FR"/>
        </w:rPr>
      </w:pPr>
    </w:p>
    <w:p w:rsidR="00A63D38" w:rsidRDefault="00D125D7" w:rsidP="008B3C7F">
      <w:pPr>
        <w:pStyle w:val="Titre1"/>
        <w:rPr>
          <w:lang w:val="en-US"/>
        </w:rPr>
      </w:pPr>
      <w:r>
        <w:rPr>
          <w:lang w:val="en-US"/>
        </w:rPr>
        <w:t>Appendix</w:t>
      </w:r>
    </w:p>
    <w:p w:rsidR="00D125D7" w:rsidRDefault="007359E6" w:rsidP="00D125D7">
      <w:pPr>
        <w:rPr>
          <w:lang w:val="en-US"/>
        </w:rPr>
      </w:pPr>
      <w:r w:rsidRPr="00266879">
        <w:rPr>
          <w:noProof/>
          <w:lang w:eastAsia="fr-FR"/>
        </w:rPr>
        <w:drawing>
          <wp:inline distT="0" distB="0" distL="0" distR="0" wp14:anchorId="2E9FC2F9" wp14:editId="42079862">
            <wp:extent cx="5395913" cy="39243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1667" cy="3928485"/>
                    </a:xfrm>
                    <a:prstGeom prst="rect">
                      <a:avLst/>
                    </a:prstGeom>
                    <a:noFill/>
                    <a:ln>
                      <a:noFill/>
                    </a:ln>
                  </pic:spPr>
                </pic:pic>
              </a:graphicData>
            </a:graphic>
          </wp:inline>
        </w:drawing>
      </w:r>
    </w:p>
    <w:p w:rsidR="007359E6" w:rsidRDefault="007359E6" w:rsidP="00D125D7">
      <w:pPr>
        <w:rPr>
          <w:lang w:val="en-US"/>
        </w:rPr>
      </w:pPr>
    </w:p>
    <w:p w:rsidR="007359E6" w:rsidRDefault="007359E6" w:rsidP="00D125D7">
      <w:pPr>
        <w:rPr>
          <w:lang w:val="en-US"/>
        </w:rPr>
      </w:pPr>
    </w:p>
    <w:p w:rsidR="007359E6" w:rsidRPr="00D125D7" w:rsidRDefault="007359E6" w:rsidP="00D125D7">
      <w:pPr>
        <w:rPr>
          <w:lang w:val="en-US"/>
        </w:rPr>
      </w:pPr>
      <w:r w:rsidRPr="00515092">
        <w:rPr>
          <w:noProof/>
          <w:lang w:eastAsia="fr-FR"/>
        </w:rPr>
        <w:lastRenderedPageBreak/>
        <w:drawing>
          <wp:inline distT="0" distB="0" distL="0" distR="0" wp14:anchorId="06ED00D9" wp14:editId="4D464113">
            <wp:extent cx="5334000" cy="2590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590800"/>
                    </a:xfrm>
                    <a:prstGeom prst="rect">
                      <a:avLst/>
                    </a:prstGeom>
                    <a:noFill/>
                    <a:ln>
                      <a:noFill/>
                    </a:ln>
                  </pic:spPr>
                </pic:pic>
              </a:graphicData>
            </a:graphic>
          </wp:inline>
        </w:drawing>
      </w:r>
    </w:p>
    <w:p w:rsidR="00C74F64" w:rsidRDefault="00C74F64" w:rsidP="003F2682">
      <w:pPr>
        <w:ind w:firstLine="567"/>
        <w:rPr>
          <w:lang w:val="en-US"/>
        </w:rPr>
      </w:pPr>
    </w:p>
    <w:p w:rsidR="004C2644" w:rsidRDefault="004C2644" w:rsidP="003F2682">
      <w:pPr>
        <w:ind w:firstLine="567"/>
        <w:rPr>
          <w:lang w:val="en-US"/>
        </w:rPr>
      </w:pPr>
    </w:p>
    <w:p w:rsidR="004C2644" w:rsidRDefault="004C2644" w:rsidP="003F2682">
      <w:pPr>
        <w:ind w:firstLine="567"/>
        <w:rPr>
          <w:lang w:val="en-US"/>
        </w:rPr>
      </w:pPr>
    </w:p>
    <w:p w:rsidR="004C2644" w:rsidRDefault="004C2644" w:rsidP="003F2682">
      <w:pPr>
        <w:ind w:firstLine="567"/>
        <w:rPr>
          <w:lang w:val="en-US"/>
        </w:rPr>
      </w:pPr>
    </w:p>
    <w:p w:rsidR="004C2644" w:rsidRPr="00CB6B55" w:rsidRDefault="004C2644" w:rsidP="00AC07BA">
      <w:pPr>
        <w:rPr>
          <w:lang w:val="en-US"/>
        </w:rPr>
      </w:pPr>
    </w:p>
    <w:sectPr w:rsidR="004C2644" w:rsidRPr="00CB6B5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AA0" w:rsidRDefault="001E3AA0" w:rsidP="009804CD">
      <w:pPr>
        <w:spacing w:line="240" w:lineRule="auto"/>
      </w:pPr>
      <w:r>
        <w:separator/>
      </w:r>
    </w:p>
  </w:endnote>
  <w:endnote w:type="continuationSeparator" w:id="0">
    <w:p w:rsidR="001E3AA0" w:rsidRDefault="001E3AA0" w:rsidP="009804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A6" w:rsidRDefault="00B649A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603042"/>
      <w:docPartObj>
        <w:docPartGallery w:val="Page Numbers (Bottom of Page)"/>
        <w:docPartUnique/>
      </w:docPartObj>
    </w:sdtPr>
    <w:sdtEndPr/>
    <w:sdtContent>
      <w:p w:rsidR="00EC3676" w:rsidRDefault="00EC3676">
        <w:pPr>
          <w:pStyle w:val="Pieddepage"/>
          <w:jc w:val="right"/>
        </w:pPr>
        <w:r>
          <w:fldChar w:fldCharType="begin"/>
        </w:r>
        <w:r>
          <w:instrText>PAGE   \* MERGEFORMAT</w:instrText>
        </w:r>
        <w:r>
          <w:fldChar w:fldCharType="separate"/>
        </w:r>
        <w:r w:rsidR="00EB50EE">
          <w:rPr>
            <w:noProof/>
          </w:rPr>
          <w:t>20</w:t>
        </w:r>
        <w:r>
          <w:fldChar w:fldCharType="end"/>
        </w:r>
      </w:p>
    </w:sdtContent>
  </w:sdt>
  <w:p w:rsidR="00EC3676" w:rsidRDefault="00EC367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A6" w:rsidRDefault="00B649A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AA0" w:rsidRDefault="001E3AA0" w:rsidP="009804CD">
      <w:pPr>
        <w:spacing w:line="240" w:lineRule="auto"/>
      </w:pPr>
      <w:r>
        <w:separator/>
      </w:r>
    </w:p>
  </w:footnote>
  <w:footnote w:type="continuationSeparator" w:id="0">
    <w:p w:rsidR="001E3AA0" w:rsidRDefault="001E3AA0" w:rsidP="009804CD">
      <w:pPr>
        <w:spacing w:line="240" w:lineRule="auto"/>
      </w:pPr>
      <w:r>
        <w:continuationSeparator/>
      </w:r>
    </w:p>
  </w:footnote>
  <w:footnote w:id="1">
    <w:p w:rsidR="004C6325" w:rsidRPr="003F53CF" w:rsidRDefault="004C6325">
      <w:pPr>
        <w:pStyle w:val="Notedebasdepage"/>
        <w:rPr>
          <w:lang w:val="fr-FR"/>
        </w:rPr>
      </w:pPr>
      <w:r>
        <w:rPr>
          <w:rStyle w:val="Appelnotedebasdep"/>
        </w:rPr>
        <w:footnoteRef/>
      </w:r>
      <w:r>
        <w:t xml:space="preserve"> </w:t>
      </w:r>
      <w:hyperlink r:id="rId1" w:history="1">
        <w:r w:rsidRPr="009D7274">
          <w:rPr>
            <w:rStyle w:val="Lienhypertexte"/>
            <w:rFonts w:ascii="Times New Roman" w:hAnsi="Times New Roman" w:cs="Times New Roman"/>
            <w:lang w:val="en"/>
          </w:rPr>
          <w:t xml:space="preserve">Internet </w:t>
        </w:r>
      </w:hyperlink>
      <w:hyperlink r:id="rId2" w:history="1"/>
      <w:hyperlink r:id="rId3" w:history="1">
        <w:r w:rsidRPr="009D7274">
          <w:rPr>
            <w:rStyle w:val="Lienhypertexte"/>
            <w:rFonts w:ascii="Times New Roman" w:hAnsi="Times New Roman" w:cs="Times New Roman"/>
            <w:lang w:val="en"/>
          </w:rPr>
          <w:t xml:space="preserve">users </w:t>
        </w:r>
      </w:hyperlink>
      <w:hyperlink r:id="rId4" w:history="1"/>
      <w:hyperlink r:id="rId5" w:history="1">
        <w:r w:rsidRPr="009D7274">
          <w:rPr>
            <w:rStyle w:val="Lienhypertexte"/>
            <w:rFonts w:ascii="Times New Roman" w:hAnsi="Times New Roman" w:cs="Times New Roman"/>
            <w:lang w:val="en"/>
          </w:rPr>
          <w:t xml:space="preserve">(% of population) - Congo, </w:t>
        </w:r>
      </w:hyperlink>
      <w:hyperlink r:id="rId6" w:history="1"/>
      <w:hyperlink r:id="rId7" w:history="1">
        <w:r w:rsidRPr="009D7274">
          <w:rPr>
            <w:rStyle w:val="Lienhypertexte"/>
            <w:rFonts w:ascii="Times New Roman" w:hAnsi="Times New Roman" w:cs="Times New Roman"/>
            <w:lang w:val="en"/>
          </w:rPr>
          <w:t xml:space="preserve">Dem </w:t>
        </w:r>
      </w:hyperlink>
      <w:hyperlink r:id="rId8" w:history="1"/>
      <w:hyperlink r:id="rId9" w:history="1">
        <w:r w:rsidRPr="009D7274">
          <w:rPr>
            <w:rStyle w:val="Lienhypertexte"/>
            <w:rFonts w:ascii="Times New Roman" w:hAnsi="Times New Roman" w:cs="Times New Roman"/>
            <w:lang w:val="en"/>
          </w:rPr>
          <w:t xml:space="preserve">. </w:t>
        </w:r>
      </w:hyperlink>
      <w:hyperlink r:id="rId10" w:history="1">
        <w:r w:rsidRPr="009D7274">
          <w:rPr>
            <w:rStyle w:val="Lienhypertexte"/>
            <w:rFonts w:ascii="Times New Roman" w:hAnsi="Times New Roman" w:cs="Times New Roman"/>
            <w:lang w:val="en-US"/>
          </w:rPr>
          <w:t>Rep. | Data (worldbank.org)</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A6" w:rsidRDefault="001E3AA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19" o:spid="_x0000_s2050" type="#_x0000_t136" style="position:absolute;left:0;text-align:left;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A6" w:rsidRDefault="001E3AA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20" o:spid="_x0000_s2051" type="#_x0000_t136" style="position:absolute;left:0;text-align:left;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9A6" w:rsidRDefault="001E3AA0">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1718" o:spid="_x0000_s2049" type="#_x0000_t136" style="position:absolute;left:0;text-align:left;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A32F02"/>
    <w:multiLevelType w:val="multilevel"/>
    <w:tmpl w:val="009CBC96"/>
    <w:lvl w:ilvl="0">
      <w:start w:val="2"/>
      <w:numFmt w:val="decimal"/>
      <w:lvlText w:val="%1."/>
      <w:lvlJc w:val="left"/>
      <w:pPr>
        <w:ind w:left="360" w:hanging="360"/>
      </w:pPr>
      <w:rPr>
        <w:rFonts w:hint="default"/>
      </w:rPr>
    </w:lvl>
    <w:lvl w:ilvl="1">
      <w:start w:val="1"/>
      <w:numFmt w:val="decimal"/>
      <w:pStyle w:val="Titre2"/>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7717D68"/>
    <w:multiLevelType w:val="multilevel"/>
    <w:tmpl w:val="589260A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1F31876"/>
    <w:multiLevelType w:val="multilevel"/>
    <w:tmpl w:val="430A34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F094B5A"/>
    <w:multiLevelType w:val="multilevel"/>
    <w:tmpl w:val="227EAD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itre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1F"/>
    <w:rsid w:val="0000318D"/>
    <w:rsid w:val="00024BE8"/>
    <w:rsid w:val="00031C15"/>
    <w:rsid w:val="000527AA"/>
    <w:rsid w:val="00056D35"/>
    <w:rsid w:val="00071A12"/>
    <w:rsid w:val="00084BDE"/>
    <w:rsid w:val="000C15EC"/>
    <w:rsid w:val="000C3AF3"/>
    <w:rsid w:val="000D44DC"/>
    <w:rsid w:val="000F7134"/>
    <w:rsid w:val="00113383"/>
    <w:rsid w:val="0012457D"/>
    <w:rsid w:val="00125892"/>
    <w:rsid w:val="0013073E"/>
    <w:rsid w:val="00132283"/>
    <w:rsid w:val="001327B1"/>
    <w:rsid w:val="00147A7E"/>
    <w:rsid w:val="001E3A16"/>
    <w:rsid w:val="001E3AA0"/>
    <w:rsid w:val="00205A35"/>
    <w:rsid w:val="0021327C"/>
    <w:rsid w:val="00224D7A"/>
    <w:rsid w:val="00234F23"/>
    <w:rsid w:val="002550F3"/>
    <w:rsid w:val="00256F6E"/>
    <w:rsid w:val="0026086F"/>
    <w:rsid w:val="00262594"/>
    <w:rsid w:val="00273572"/>
    <w:rsid w:val="00296C16"/>
    <w:rsid w:val="002C55CC"/>
    <w:rsid w:val="002C78AC"/>
    <w:rsid w:val="002E610B"/>
    <w:rsid w:val="00305B36"/>
    <w:rsid w:val="00314073"/>
    <w:rsid w:val="0032252D"/>
    <w:rsid w:val="00331057"/>
    <w:rsid w:val="0035213C"/>
    <w:rsid w:val="00354A14"/>
    <w:rsid w:val="00361179"/>
    <w:rsid w:val="003A1428"/>
    <w:rsid w:val="003A6341"/>
    <w:rsid w:val="003F1C65"/>
    <w:rsid w:val="003F2682"/>
    <w:rsid w:val="003F53CF"/>
    <w:rsid w:val="00425999"/>
    <w:rsid w:val="00437294"/>
    <w:rsid w:val="00467B85"/>
    <w:rsid w:val="0047330E"/>
    <w:rsid w:val="00486FB9"/>
    <w:rsid w:val="0049342B"/>
    <w:rsid w:val="00497838"/>
    <w:rsid w:val="004A6C5A"/>
    <w:rsid w:val="004C2644"/>
    <w:rsid w:val="004C6325"/>
    <w:rsid w:val="004F4818"/>
    <w:rsid w:val="0051628B"/>
    <w:rsid w:val="00544D42"/>
    <w:rsid w:val="00550658"/>
    <w:rsid w:val="00554A26"/>
    <w:rsid w:val="0055546B"/>
    <w:rsid w:val="00560191"/>
    <w:rsid w:val="00564656"/>
    <w:rsid w:val="00565439"/>
    <w:rsid w:val="005662FE"/>
    <w:rsid w:val="00585C8D"/>
    <w:rsid w:val="0058701B"/>
    <w:rsid w:val="005921E3"/>
    <w:rsid w:val="00595905"/>
    <w:rsid w:val="005C5F8A"/>
    <w:rsid w:val="005D5794"/>
    <w:rsid w:val="005D588A"/>
    <w:rsid w:val="005E369E"/>
    <w:rsid w:val="005E7B94"/>
    <w:rsid w:val="005F66A2"/>
    <w:rsid w:val="00600CC7"/>
    <w:rsid w:val="00612380"/>
    <w:rsid w:val="00614B7E"/>
    <w:rsid w:val="0061684D"/>
    <w:rsid w:val="00631DBD"/>
    <w:rsid w:val="006441C7"/>
    <w:rsid w:val="00667A9E"/>
    <w:rsid w:val="00696EA5"/>
    <w:rsid w:val="006A1FD1"/>
    <w:rsid w:val="006A7BA1"/>
    <w:rsid w:val="006D3188"/>
    <w:rsid w:val="006F5139"/>
    <w:rsid w:val="00725025"/>
    <w:rsid w:val="007359E6"/>
    <w:rsid w:val="00741666"/>
    <w:rsid w:val="00745FA2"/>
    <w:rsid w:val="0079070B"/>
    <w:rsid w:val="007A21F4"/>
    <w:rsid w:val="007B3AF1"/>
    <w:rsid w:val="007B4EB7"/>
    <w:rsid w:val="007B7D06"/>
    <w:rsid w:val="007C3A38"/>
    <w:rsid w:val="007D101A"/>
    <w:rsid w:val="007F0DF1"/>
    <w:rsid w:val="007F5775"/>
    <w:rsid w:val="0081438A"/>
    <w:rsid w:val="00814736"/>
    <w:rsid w:val="00830CAD"/>
    <w:rsid w:val="00857EA2"/>
    <w:rsid w:val="00871832"/>
    <w:rsid w:val="008863DB"/>
    <w:rsid w:val="008B3C7F"/>
    <w:rsid w:val="008C5377"/>
    <w:rsid w:val="008D3D8F"/>
    <w:rsid w:val="008D71B7"/>
    <w:rsid w:val="008E0551"/>
    <w:rsid w:val="008E5A60"/>
    <w:rsid w:val="008E7852"/>
    <w:rsid w:val="00903470"/>
    <w:rsid w:val="00917FF3"/>
    <w:rsid w:val="00920A5B"/>
    <w:rsid w:val="0095169D"/>
    <w:rsid w:val="009726D5"/>
    <w:rsid w:val="009804CD"/>
    <w:rsid w:val="0098677B"/>
    <w:rsid w:val="00991E69"/>
    <w:rsid w:val="00996A6B"/>
    <w:rsid w:val="009D7274"/>
    <w:rsid w:val="00A34C44"/>
    <w:rsid w:val="00A63D38"/>
    <w:rsid w:val="00A63EF7"/>
    <w:rsid w:val="00A84E94"/>
    <w:rsid w:val="00A93AC6"/>
    <w:rsid w:val="00AB02E8"/>
    <w:rsid w:val="00AB261F"/>
    <w:rsid w:val="00AB5CD0"/>
    <w:rsid w:val="00AC07BA"/>
    <w:rsid w:val="00AC2EEF"/>
    <w:rsid w:val="00AD44AF"/>
    <w:rsid w:val="00AF2990"/>
    <w:rsid w:val="00B062EC"/>
    <w:rsid w:val="00B1029F"/>
    <w:rsid w:val="00B34F34"/>
    <w:rsid w:val="00B649A6"/>
    <w:rsid w:val="00B66CA1"/>
    <w:rsid w:val="00B8655A"/>
    <w:rsid w:val="00B9336C"/>
    <w:rsid w:val="00BB0652"/>
    <w:rsid w:val="00BE1916"/>
    <w:rsid w:val="00C15FE6"/>
    <w:rsid w:val="00C16C9E"/>
    <w:rsid w:val="00C251D0"/>
    <w:rsid w:val="00C5271B"/>
    <w:rsid w:val="00C74F64"/>
    <w:rsid w:val="00C80045"/>
    <w:rsid w:val="00C873E2"/>
    <w:rsid w:val="00CB130B"/>
    <w:rsid w:val="00CB4B07"/>
    <w:rsid w:val="00CB6B55"/>
    <w:rsid w:val="00CD351F"/>
    <w:rsid w:val="00CD794A"/>
    <w:rsid w:val="00CF5960"/>
    <w:rsid w:val="00D01EB4"/>
    <w:rsid w:val="00D02EEA"/>
    <w:rsid w:val="00D104B1"/>
    <w:rsid w:val="00D125D7"/>
    <w:rsid w:val="00D129DE"/>
    <w:rsid w:val="00D301B0"/>
    <w:rsid w:val="00D509DD"/>
    <w:rsid w:val="00D5145B"/>
    <w:rsid w:val="00D70F1D"/>
    <w:rsid w:val="00D80D82"/>
    <w:rsid w:val="00D81F9C"/>
    <w:rsid w:val="00D87ABD"/>
    <w:rsid w:val="00D95656"/>
    <w:rsid w:val="00DB7CFE"/>
    <w:rsid w:val="00DC2BB6"/>
    <w:rsid w:val="00DE2CC0"/>
    <w:rsid w:val="00DE5E0E"/>
    <w:rsid w:val="00DE67B7"/>
    <w:rsid w:val="00E15D0C"/>
    <w:rsid w:val="00E16E20"/>
    <w:rsid w:val="00E62946"/>
    <w:rsid w:val="00E6496E"/>
    <w:rsid w:val="00E86B82"/>
    <w:rsid w:val="00E874CF"/>
    <w:rsid w:val="00E926F8"/>
    <w:rsid w:val="00EA69B2"/>
    <w:rsid w:val="00EB2DC5"/>
    <w:rsid w:val="00EB50EE"/>
    <w:rsid w:val="00EC3676"/>
    <w:rsid w:val="00EF0842"/>
    <w:rsid w:val="00F06B4D"/>
    <w:rsid w:val="00F41792"/>
    <w:rsid w:val="00F50D3B"/>
    <w:rsid w:val="00F72E18"/>
    <w:rsid w:val="00F81781"/>
    <w:rsid w:val="00F84B1F"/>
    <w:rsid w:val="00F87F18"/>
    <w:rsid w:val="00F9307A"/>
    <w:rsid w:val="00FA09E1"/>
    <w:rsid w:val="00FC7ED1"/>
    <w:rsid w:val="00FD4A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469B6F7-46ED-418D-A1C9-0AF43371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2EC"/>
    <w:pPr>
      <w:spacing w:after="0" w:line="360" w:lineRule="auto"/>
      <w:jc w:val="both"/>
    </w:pPr>
    <w:rPr>
      <w:rFonts w:ascii="Times New Roman" w:hAnsi="Times New Roman"/>
      <w:sz w:val="24"/>
    </w:rPr>
  </w:style>
  <w:style w:type="paragraph" w:styleId="Titre1">
    <w:name w:val="heading 1"/>
    <w:basedOn w:val="Normal"/>
    <w:next w:val="Normal"/>
    <w:link w:val="Titre1Car"/>
    <w:autoRedefine/>
    <w:uiPriority w:val="9"/>
    <w:qFormat/>
    <w:rsid w:val="008B3C7F"/>
    <w:pPr>
      <w:keepNext/>
      <w:keepLines/>
      <w:outlineLvl w:val="0"/>
    </w:pPr>
    <w:rPr>
      <w:rFonts w:eastAsiaTheme="majorEastAsia" w:cstheme="majorBidi"/>
      <w:b/>
      <w:szCs w:val="32"/>
    </w:rPr>
  </w:style>
  <w:style w:type="paragraph" w:styleId="Titre2">
    <w:name w:val="heading 2"/>
    <w:basedOn w:val="Normal"/>
    <w:next w:val="Normal"/>
    <w:link w:val="Titre2Car"/>
    <w:autoRedefine/>
    <w:uiPriority w:val="9"/>
    <w:unhideWhenUsed/>
    <w:qFormat/>
    <w:rsid w:val="00BE1916"/>
    <w:pPr>
      <w:keepNext/>
      <w:keepLines/>
      <w:numPr>
        <w:ilvl w:val="1"/>
        <w:numId w:val="4"/>
      </w:numPr>
      <w:ind w:left="567" w:hanging="567"/>
      <w:outlineLvl w:val="1"/>
    </w:pPr>
    <w:rPr>
      <w:rFonts w:eastAsiaTheme="majorEastAsia" w:cstheme="majorBidi"/>
      <w:b/>
      <w:szCs w:val="26"/>
    </w:rPr>
  </w:style>
  <w:style w:type="paragraph" w:styleId="Titre3">
    <w:name w:val="heading 3"/>
    <w:basedOn w:val="Normal"/>
    <w:next w:val="Normal"/>
    <w:link w:val="Titre3Car"/>
    <w:autoRedefine/>
    <w:uiPriority w:val="9"/>
    <w:unhideWhenUsed/>
    <w:qFormat/>
    <w:rsid w:val="00AC07BA"/>
    <w:pPr>
      <w:keepNext/>
      <w:keepLines/>
      <w:numPr>
        <w:ilvl w:val="2"/>
        <w:numId w:val="1"/>
      </w:numPr>
      <w:ind w:left="0" w:firstLine="0"/>
      <w:outlineLvl w:val="2"/>
    </w:pPr>
    <w:rPr>
      <w:rFonts w:eastAsiaTheme="majorEastAsia" w:cstheme="majorBidi"/>
      <w:b/>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3C7F"/>
    <w:rPr>
      <w:rFonts w:ascii="Times New Roman" w:eastAsiaTheme="majorEastAsia" w:hAnsi="Times New Roman" w:cstheme="majorBidi"/>
      <w:b/>
      <w:sz w:val="24"/>
      <w:szCs w:val="32"/>
    </w:rPr>
  </w:style>
  <w:style w:type="character" w:customStyle="1" w:styleId="Titre2Car">
    <w:name w:val="Titre 2 Car"/>
    <w:basedOn w:val="Policepardfaut"/>
    <w:link w:val="Titre2"/>
    <w:uiPriority w:val="9"/>
    <w:rsid w:val="00BE1916"/>
    <w:rPr>
      <w:rFonts w:ascii="Times New Roman" w:eastAsiaTheme="majorEastAsia" w:hAnsi="Times New Roman" w:cstheme="majorBidi"/>
      <w:b/>
      <w:sz w:val="24"/>
      <w:szCs w:val="26"/>
    </w:rPr>
  </w:style>
  <w:style w:type="paragraph" w:styleId="Titre">
    <w:name w:val="Title"/>
    <w:aliases w:val="Titre atrois"/>
    <w:basedOn w:val="Normal"/>
    <w:next w:val="Normal"/>
    <w:link w:val="TitreCar"/>
    <w:autoRedefine/>
    <w:uiPriority w:val="10"/>
    <w:qFormat/>
    <w:rsid w:val="00B062EC"/>
    <w:pPr>
      <w:contextualSpacing/>
    </w:pPr>
    <w:rPr>
      <w:rFonts w:eastAsiaTheme="majorEastAsia" w:cstheme="majorBidi"/>
      <w:b/>
      <w:spacing w:val="-10"/>
      <w:kern w:val="28"/>
      <w:szCs w:val="56"/>
    </w:rPr>
  </w:style>
  <w:style w:type="character" w:customStyle="1" w:styleId="TitreCar">
    <w:name w:val="Titre Car"/>
    <w:aliases w:val="Titre atrois Car"/>
    <w:basedOn w:val="Policepardfaut"/>
    <w:link w:val="Titre"/>
    <w:uiPriority w:val="10"/>
    <w:rsid w:val="00B062EC"/>
    <w:rPr>
      <w:rFonts w:ascii="Times New Roman" w:eastAsiaTheme="majorEastAsia" w:hAnsi="Times New Roman" w:cstheme="majorBidi"/>
      <w:b/>
      <w:spacing w:val="-10"/>
      <w:kern w:val="28"/>
      <w:sz w:val="24"/>
      <w:szCs w:val="56"/>
    </w:rPr>
  </w:style>
  <w:style w:type="character" w:customStyle="1" w:styleId="Titre3Car">
    <w:name w:val="Titre 3 Car"/>
    <w:basedOn w:val="Policepardfaut"/>
    <w:link w:val="Titre3"/>
    <w:uiPriority w:val="9"/>
    <w:rsid w:val="00AC07BA"/>
    <w:rPr>
      <w:rFonts w:ascii="Times New Roman" w:eastAsiaTheme="majorEastAsia" w:hAnsi="Times New Roman" w:cstheme="majorBidi"/>
      <w:b/>
      <w:sz w:val="24"/>
      <w:szCs w:val="24"/>
    </w:rPr>
  </w:style>
  <w:style w:type="paragraph" w:styleId="Notedebasdepage">
    <w:name w:val="footnote text"/>
    <w:basedOn w:val="Normal"/>
    <w:link w:val="NotedebasdepageCar"/>
    <w:uiPriority w:val="99"/>
    <w:unhideWhenUsed/>
    <w:rsid w:val="009804CD"/>
    <w:pPr>
      <w:spacing w:line="240" w:lineRule="auto"/>
      <w:jc w:val="left"/>
    </w:pPr>
    <w:rPr>
      <w:rFonts w:asciiTheme="minorHAnsi" w:hAnsiTheme="minorHAnsi"/>
      <w:sz w:val="20"/>
      <w:szCs w:val="20"/>
      <w:lang w:val="en-GB"/>
    </w:rPr>
  </w:style>
  <w:style w:type="character" w:customStyle="1" w:styleId="NotedebasdepageCar">
    <w:name w:val="Note de bas de page Car"/>
    <w:basedOn w:val="Policepardfaut"/>
    <w:link w:val="Notedebasdepage"/>
    <w:uiPriority w:val="99"/>
    <w:rsid w:val="009804CD"/>
    <w:rPr>
      <w:sz w:val="20"/>
      <w:szCs w:val="20"/>
      <w:lang w:val="en-GB"/>
    </w:rPr>
  </w:style>
  <w:style w:type="character" w:styleId="Appelnotedebasdep">
    <w:name w:val="footnote reference"/>
    <w:basedOn w:val="Policepardfaut"/>
    <w:uiPriority w:val="99"/>
    <w:unhideWhenUsed/>
    <w:rsid w:val="009804CD"/>
    <w:rPr>
      <w:vertAlign w:val="superscript"/>
    </w:rPr>
  </w:style>
  <w:style w:type="character" w:styleId="Lienhypertexte">
    <w:name w:val="Hyperlink"/>
    <w:basedOn w:val="Policepardfaut"/>
    <w:uiPriority w:val="99"/>
    <w:unhideWhenUsed/>
    <w:rsid w:val="009804CD"/>
    <w:rPr>
      <w:color w:val="0563C1" w:themeColor="hyperlink"/>
      <w:u w:val="single"/>
    </w:rPr>
  </w:style>
  <w:style w:type="character" w:styleId="lev">
    <w:name w:val="Strong"/>
    <w:basedOn w:val="Policepardfaut"/>
    <w:uiPriority w:val="22"/>
    <w:qFormat/>
    <w:rsid w:val="00725025"/>
    <w:rPr>
      <w:b/>
      <w:bCs/>
    </w:rPr>
  </w:style>
  <w:style w:type="paragraph" w:styleId="NormalWeb">
    <w:name w:val="Normal (Web)"/>
    <w:basedOn w:val="Normal"/>
    <w:uiPriority w:val="99"/>
    <w:semiHidden/>
    <w:unhideWhenUsed/>
    <w:rsid w:val="00725025"/>
    <w:pPr>
      <w:spacing w:before="100" w:beforeAutospacing="1" w:after="100" w:afterAutospacing="1" w:line="240" w:lineRule="auto"/>
      <w:jc w:val="left"/>
    </w:pPr>
    <w:rPr>
      <w:rFonts w:eastAsia="Times New Roman" w:cs="Times New Roman"/>
      <w:szCs w:val="24"/>
      <w:lang w:eastAsia="fr-FR"/>
    </w:rPr>
  </w:style>
  <w:style w:type="character" w:styleId="Accentuation">
    <w:name w:val="Emphasis"/>
    <w:basedOn w:val="Policepardfaut"/>
    <w:uiPriority w:val="20"/>
    <w:qFormat/>
    <w:rsid w:val="00725025"/>
    <w:rPr>
      <w:i/>
      <w:iCs/>
    </w:rPr>
  </w:style>
  <w:style w:type="paragraph" w:styleId="En-tte">
    <w:name w:val="header"/>
    <w:basedOn w:val="Normal"/>
    <w:link w:val="En-tteCar"/>
    <w:uiPriority w:val="99"/>
    <w:unhideWhenUsed/>
    <w:rsid w:val="00EC3676"/>
    <w:pPr>
      <w:tabs>
        <w:tab w:val="center" w:pos="4536"/>
        <w:tab w:val="right" w:pos="9072"/>
      </w:tabs>
      <w:spacing w:line="240" w:lineRule="auto"/>
    </w:pPr>
  </w:style>
  <w:style w:type="character" w:customStyle="1" w:styleId="En-tteCar">
    <w:name w:val="En-tête Car"/>
    <w:basedOn w:val="Policepardfaut"/>
    <w:link w:val="En-tte"/>
    <w:uiPriority w:val="99"/>
    <w:rsid w:val="00EC3676"/>
    <w:rPr>
      <w:rFonts w:ascii="Times New Roman" w:hAnsi="Times New Roman"/>
      <w:sz w:val="24"/>
    </w:rPr>
  </w:style>
  <w:style w:type="paragraph" w:styleId="Pieddepage">
    <w:name w:val="footer"/>
    <w:basedOn w:val="Normal"/>
    <w:link w:val="PieddepageCar"/>
    <w:uiPriority w:val="99"/>
    <w:unhideWhenUsed/>
    <w:rsid w:val="00EC3676"/>
    <w:pPr>
      <w:tabs>
        <w:tab w:val="center" w:pos="4536"/>
        <w:tab w:val="right" w:pos="9072"/>
      </w:tabs>
      <w:spacing w:line="240" w:lineRule="auto"/>
    </w:pPr>
  </w:style>
  <w:style w:type="character" w:customStyle="1" w:styleId="PieddepageCar">
    <w:name w:val="Pied de page Car"/>
    <w:basedOn w:val="Policepardfaut"/>
    <w:link w:val="Pieddepage"/>
    <w:uiPriority w:val="99"/>
    <w:rsid w:val="00EC3676"/>
    <w:rPr>
      <w:rFonts w:ascii="Times New Roman" w:hAnsi="Times New Roman"/>
      <w:sz w:val="24"/>
    </w:rPr>
  </w:style>
  <w:style w:type="character" w:customStyle="1" w:styleId="UnresolvedMention">
    <w:name w:val="Unresolved Mention"/>
    <w:basedOn w:val="Policepardfaut"/>
    <w:uiPriority w:val="99"/>
    <w:semiHidden/>
    <w:unhideWhenUsed/>
    <w:rsid w:val="005554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334">
      <w:bodyDiv w:val="1"/>
      <w:marLeft w:val="0"/>
      <w:marRight w:val="0"/>
      <w:marTop w:val="0"/>
      <w:marBottom w:val="0"/>
      <w:divBdr>
        <w:top w:val="none" w:sz="0" w:space="0" w:color="auto"/>
        <w:left w:val="none" w:sz="0" w:space="0" w:color="auto"/>
        <w:bottom w:val="none" w:sz="0" w:space="0" w:color="auto"/>
        <w:right w:val="none" w:sz="0" w:space="0" w:color="auto"/>
      </w:divBdr>
    </w:div>
    <w:div w:id="187641299">
      <w:bodyDiv w:val="1"/>
      <w:marLeft w:val="0"/>
      <w:marRight w:val="0"/>
      <w:marTop w:val="0"/>
      <w:marBottom w:val="0"/>
      <w:divBdr>
        <w:top w:val="none" w:sz="0" w:space="0" w:color="auto"/>
        <w:left w:val="none" w:sz="0" w:space="0" w:color="auto"/>
        <w:bottom w:val="none" w:sz="0" w:space="0" w:color="auto"/>
        <w:right w:val="none" w:sz="0" w:space="0" w:color="auto"/>
      </w:divBdr>
    </w:div>
    <w:div w:id="329673888">
      <w:bodyDiv w:val="1"/>
      <w:marLeft w:val="0"/>
      <w:marRight w:val="0"/>
      <w:marTop w:val="0"/>
      <w:marBottom w:val="0"/>
      <w:divBdr>
        <w:top w:val="none" w:sz="0" w:space="0" w:color="auto"/>
        <w:left w:val="none" w:sz="0" w:space="0" w:color="auto"/>
        <w:bottom w:val="none" w:sz="0" w:space="0" w:color="auto"/>
        <w:right w:val="none" w:sz="0" w:space="0" w:color="auto"/>
      </w:divBdr>
    </w:div>
    <w:div w:id="340745609">
      <w:bodyDiv w:val="1"/>
      <w:marLeft w:val="0"/>
      <w:marRight w:val="0"/>
      <w:marTop w:val="0"/>
      <w:marBottom w:val="0"/>
      <w:divBdr>
        <w:top w:val="none" w:sz="0" w:space="0" w:color="auto"/>
        <w:left w:val="none" w:sz="0" w:space="0" w:color="auto"/>
        <w:bottom w:val="none" w:sz="0" w:space="0" w:color="auto"/>
        <w:right w:val="none" w:sz="0" w:space="0" w:color="auto"/>
      </w:divBdr>
    </w:div>
    <w:div w:id="491140884">
      <w:bodyDiv w:val="1"/>
      <w:marLeft w:val="0"/>
      <w:marRight w:val="0"/>
      <w:marTop w:val="0"/>
      <w:marBottom w:val="0"/>
      <w:divBdr>
        <w:top w:val="none" w:sz="0" w:space="0" w:color="auto"/>
        <w:left w:val="none" w:sz="0" w:space="0" w:color="auto"/>
        <w:bottom w:val="none" w:sz="0" w:space="0" w:color="auto"/>
        <w:right w:val="none" w:sz="0" w:space="0" w:color="auto"/>
      </w:divBdr>
    </w:div>
    <w:div w:id="518743265">
      <w:bodyDiv w:val="1"/>
      <w:marLeft w:val="0"/>
      <w:marRight w:val="0"/>
      <w:marTop w:val="0"/>
      <w:marBottom w:val="0"/>
      <w:divBdr>
        <w:top w:val="none" w:sz="0" w:space="0" w:color="auto"/>
        <w:left w:val="none" w:sz="0" w:space="0" w:color="auto"/>
        <w:bottom w:val="none" w:sz="0" w:space="0" w:color="auto"/>
        <w:right w:val="none" w:sz="0" w:space="0" w:color="auto"/>
      </w:divBdr>
    </w:div>
    <w:div w:id="739715951">
      <w:bodyDiv w:val="1"/>
      <w:marLeft w:val="0"/>
      <w:marRight w:val="0"/>
      <w:marTop w:val="0"/>
      <w:marBottom w:val="0"/>
      <w:divBdr>
        <w:top w:val="none" w:sz="0" w:space="0" w:color="auto"/>
        <w:left w:val="none" w:sz="0" w:space="0" w:color="auto"/>
        <w:bottom w:val="none" w:sz="0" w:space="0" w:color="auto"/>
        <w:right w:val="none" w:sz="0" w:space="0" w:color="auto"/>
      </w:divBdr>
    </w:div>
    <w:div w:id="758797030">
      <w:bodyDiv w:val="1"/>
      <w:marLeft w:val="0"/>
      <w:marRight w:val="0"/>
      <w:marTop w:val="0"/>
      <w:marBottom w:val="0"/>
      <w:divBdr>
        <w:top w:val="none" w:sz="0" w:space="0" w:color="auto"/>
        <w:left w:val="none" w:sz="0" w:space="0" w:color="auto"/>
        <w:bottom w:val="none" w:sz="0" w:space="0" w:color="auto"/>
        <w:right w:val="none" w:sz="0" w:space="0" w:color="auto"/>
      </w:divBdr>
    </w:div>
    <w:div w:id="799760024">
      <w:bodyDiv w:val="1"/>
      <w:marLeft w:val="0"/>
      <w:marRight w:val="0"/>
      <w:marTop w:val="0"/>
      <w:marBottom w:val="0"/>
      <w:divBdr>
        <w:top w:val="none" w:sz="0" w:space="0" w:color="auto"/>
        <w:left w:val="none" w:sz="0" w:space="0" w:color="auto"/>
        <w:bottom w:val="none" w:sz="0" w:space="0" w:color="auto"/>
        <w:right w:val="none" w:sz="0" w:space="0" w:color="auto"/>
      </w:divBdr>
      <w:divsChild>
        <w:div w:id="2030334378">
          <w:marLeft w:val="0"/>
          <w:marRight w:val="0"/>
          <w:marTop w:val="0"/>
          <w:marBottom w:val="0"/>
          <w:divBdr>
            <w:top w:val="none" w:sz="0" w:space="0" w:color="auto"/>
            <w:left w:val="none" w:sz="0" w:space="0" w:color="auto"/>
            <w:bottom w:val="none" w:sz="0" w:space="0" w:color="auto"/>
            <w:right w:val="none" w:sz="0" w:space="0" w:color="auto"/>
          </w:divBdr>
          <w:divsChild>
            <w:div w:id="167989914">
              <w:marLeft w:val="0"/>
              <w:marRight w:val="0"/>
              <w:marTop w:val="0"/>
              <w:marBottom w:val="0"/>
              <w:divBdr>
                <w:top w:val="none" w:sz="0" w:space="0" w:color="auto"/>
                <w:left w:val="none" w:sz="0" w:space="0" w:color="auto"/>
                <w:bottom w:val="none" w:sz="0" w:space="0" w:color="auto"/>
                <w:right w:val="none" w:sz="0" w:space="0" w:color="auto"/>
              </w:divBdr>
              <w:divsChild>
                <w:div w:id="930355565">
                  <w:marLeft w:val="0"/>
                  <w:marRight w:val="0"/>
                  <w:marTop w:val="0"/>
                  <w:marBottom w:val="0"/>
                  <w:divBdr>
                    <w:top w:val="none" w:sz="0" w:space="0" w:color="auto"/>
                    <w:left w:val="none" w:sz="0" w:space="0" w:color="auto"/>
                    <w:bottom w:val="none" w:sz="0" w:space="0" w:color="auto"/>
                    <w:right w:val="none" w:sz="0" w:space="0" w:color="auto"/>
                  </w:divBdr>
                  <w:divsChild>
                    <w:div w:id="15393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258006">
      <w:bodyDiv w:val="1"/>
      <w:marLeft w:val="0"/>
      <w:marRight w:val="0"/>
      <w:marTop w:val="0"/>
      <w:marBottom w:val="0"/>
      <w:divBdr>
        <w:top w:val="none" w:sz="0" w:space="0" w:color="auto"/>
        <w:left w:val="none" w:sz="0" w:space="0" w:color="auto"/>
        <w:bottom w:val="none" w:sz="0" w:space="0" w:color="auto"/>
        <w:right w:val="none" w:sz="0" w:space="0" w:color="auto"/>
      </w:divBdr>
    </w:div>
    <w:div w:id="1075787422">
      <w:bodyDiv w:val="1"/>
      <w:marLeft w:val="0"/>
      <w:marRight w:val="0"/>
      <w:marTop w:val="0"/>
      <w:marBottom w:val="0"/>
      <w:divBdr>
        <w:top w:val="none" w:sz="0" w:space="0" w:color="auto"/>
        <w:left w:val="none" w:sz="0" w:space="0" w:color="auto"/>
        <w:bottom w:val="none" w:sz="0" w:space="0" w:color="auto"/>
        <w:right w:val="none" w:sz="0" w:space="0" w:color="auto"/>
      </w:divBdr>
    </w:div>
    <w:div w:id="1158763393">
      <w:bodyDiv w:val="1"/>
      <w:marLeft w:val="0"/>
      <w:marRight w:val="0"/>
      <w:marTop w:val="0"/>
      <w:marBottom w:val="0"/>
      <w:divBdr>
        <w:top w:val="none" w:sz="0" w:space="0" w:color="auto"/>
        <w:left w:val="none" w:sz="0" w:space="0" w:color="auto"/>
        <w:bottom w:val="none" w:sz="0" w:space="0" w:color="auto"/>
        <w:right w:val="none" w:sz="0" w:space="0" w:color="auto"/>
      </w:divBdr>
    </w:div>
    <w:div w:id="1343314591">
      <w:bodyDiv w:val="1"/>
      <w:marLeft w:val="0"/>
      <w:marRight w:val="0"/>
      <w:marTop w:val="0"/>
      <w:marBottom w:val="0"/>
      <w:divBdr>
        <w:top w:val="none" w:sz="0" w:space="0" w:color="auto"/>
        <w:left w:val="none" w:sz="0" w:space="0" w:color="auto"/>
        <w:bottom w:val="none" w:sz="0" w:space="0" w:color="auto"/>
        <w:right w:val="none" w:sz="0" w:space="0" w:color="auto"/>
      </w:divBdr>
    </w:div>
    <w:div w:id="1450204731">
      <w:bodyDiv w:val="1"/>
      <w:marLeft w:val="0"/>
      <w:marRight w:val="0"/>
      <w:marTop w:val="0"/>
      <w:marBottom w:val="0"/>
      <w:divBdr>
        <w:top w:val="none" w:sz="0" w:space="0" w:color="auto"/>
        <w:left w:val="none" w:sz="0" w:space="0" w:color="auto"/>
        <w:bottom w:val="none" w:sz="0" w:space="0" w:color="auto"/>
        <w:right w:val="none" w:sz="0" w:space="0" w:color="auto"/>
      </w:divBdr>
    </w:div>
    <w:div w:id="1654992628">
      <w:bodyDiv w:val="1"/>
      <w:marLeft w:val="0"/>
      <w:marRight w:val="0"/>
      <w:marTop w:val="0"/>
      <w:marBottom w:val="0"/>
      <w:divBdr>
        <w:top w:val="none" w:sz="0" w:space="0" w:color="auto"/>
        <w:left w:val="none" w:sz="0" w:space="0" w:color="auto"/>
        <w:bottom w:val="none" w:sz="0" w:space="0" w:color="auto"/>
        <w:right w:val="none" w:sz="0" w:space="0" w:color="auto"/>
      </w:divBdr>
    </w:div>
    <w:div w:id="1861043479">
      <w:bodyDiv w:val="1"/>
      <w:marLeft w:val="0"/>
      <w:marRight w:val="0"/>
      <w:marTop w:val="0"/>
      <w:marBottom w:val="0"/>
      <w:divBdr>
        <w:top w:val="none" w:sz="0" w:space="0" w:color="auto"/>
        <w:left w:val="none" w:sz="0" w:space="0" w:color="auto"/>
        <w:bottom w:val="none" w:sz="0" w:space="0" w:color="auto"/>
        <w:right w:val="none" w:sz="0" w:space="0" w:color="auto"/>
      </w:divBdr>
    </w:div>
    <w:div w:id="205148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onnees.banquemondiale.org/indicator/IT.NET.USER.ZS?locations=CD" TargetMode="External"/><Relationship Id="rId3" Type="http://schemas.openxmlformats.org/officeDocument/2006/relationships/hyperlink" Target="https://donnees.banquemondiale.org/indicator/IT.NET.USER.ZS?locations=CD" TargetMode="External"/><Relationship Id="rId7" Type="http://schemas.openxmlformats.org/officeDocument/2006/relationships/hyperlink" Target="https://donnees.banquemondiale.org/indicator/IT.NET.USER.ZS?locations=CD" TargetMode="External"/><Relationship Id="rId2" Type="http://schemas.openxmlformats.org/officeDocument/2006/relationships/hyperlink" Target="https://donnees.banquemondiale.org/indicator/IT.NET.USER.ZS?locations=CD" TargetMode="External"/><Relationship Id="rId1" Type="http://schemas.openxmlformats.org/officeDocument/2006/relationships/hyperlink" Target="https://donnees.banquemondiale.org/indicator/IT.NET.USER.ZS?locations=CD" TargetMode="External"/><Relationship Id="rId6" Type="http://schemas.openxmlformats.org/officeDocument/2006/relationships/hyperlink" Target="https://donnees.banquemondiale.org/indicator/IT.NET.USER.ZS?locations=CD" TargetMode="External"/><Relationship Id="rId5" Type="http://schemas.openxmlformats.org/officeDocument/2006/relationships/hyperlink" Target="https://donnees.banquemondiale.org/indicator/IT.NET.USER.ZS?locations=CD" TargetMode="External"/><Relationship Id="rId10" Type="http://schemas.openxmlformats.org/officeDocument/2006/relationships/hyperlink" Target="https://donnees.banquemondiale.org/indicator/IT.NET.USER.ZS?locations=CD" TargetMode="External"/><Relationship Id="rId4" Type="http://schemas.openxmlformats.org/officeDocument/2006/relationships/hyperlink" Target="https://donnees.banquemondiale.org/indicator/IT.NET.USER.ZS?locations=CD" TargetMode="External"/><Relationship Id="rId9" Type="http://schemas.openxmlformats.org/officeDocument/2006/relationships/hyperlink" Target="https://donnees.banquemondiale.org/indicator/IT.NET.USER.ZS?locations=C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6DA93-EDCA-473E-A02E-47AEDECDF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27</Pages>
  <Words>9456</Words>
  <Characters>52009</Characters>
  <Application>Microsoft Office Word</Application>
  <DocSecurity>0</DocSecurity>
  <Lines>433</Lines>
  <Paragraphs>122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 Mk</dc:creator>
  <cp:keywords/>
  <dc:description/>
  <cp:lastModifiedBy>NF</cp:lastModifiedBy>
  <cp:revision>14</cp:revision>
  <dcterms:created xsi:type="dcterms:W3CDTF">2025-12-05T11:25:00Z</dcterms:created>
  <dcterms:modified xsi:type="dcterms:W3CDTF">2025-12-05T14:50:00Z</dcterms:modified>
</cp:coreProperties>
</file>