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E8" w:rsidRPr="00554850" w:rsidRDefault="006064E8" w:rsidP="007777AC">
      <w:pPr>
        <w:spacing w:after="0"/>
        <w:jc w:val="center"/>
        <w:rPr>
          <w:rFonts w:ascii="Times New Roman" w:hAnsi="Times New Roman" w:cs="Times New Roman"/>
          <w:b/>
          <w:sz w:val="24"/>
          <w:szCs w:val="24"/>
        </w:rPr>
      </w:pPr>
      <w:r w:rsidRPr="00554850">
        <w:rPr>
          <w:rFonts w:ascii="Times New Roman" w:hAnsi="Times New Roman" w:cs="Times New Roman"/>
          <w:b/>
          <w:sz w:val="24"/>
          <w:szCs w:val="24"/>
        </w:rPr>
        <w:t>Microbiology and Biotechnology Research as Drivers of Nigeria’s Manufacturing Development</w:t>
      </w:r>
    </w:p>
    <w:p w:rsidR="007777AC" w:rsidRPr="00554850" w:rsidRDefault="007777AC" w:rsidP="007777AC">
      <w:pPr>
        <w:spacing w:after="0"/>
        <w:jc w:val="center"/>
        <w:rPr>
          <w:rFonts w:ascii="Times New Roman" w:hAnsi="Times New Roman" w:cs="Times New Roman"/>
          <w:b/>
          <w:sz w:val="24"/>
          <w:szCs w:val="24"/>
        </w:rPr>
      </w:pPr>
    </w:p>
    <w:p w:rsidR="007777AC" w:rsidRPr="00554850" w:rsidRDefault="007777AC" w:rsidP="007777AC">
      <w:pPr>
        <w:spacing w:after="0"/>
        <w:jc w:val="center"/>
        <w:rPr>
          <w:rFonts w:ascii="Times New Roman" w:hAnsi="Times New Roman" w:cs="Times New Roman"/>
          <w:b/>
          <w:sz w:val="24"/>
          <w:szCs w:val="24"/>
        </w:rPr>
      </w:pPr>
    </w:p>
    <w:p w:rsidR="007777AC" w:rsidRPr="00554850" w:rsidRDefault="007777AC" w:rsidP="007777AC">
      <w:pPr>
        <w:spacing w:after="0"/>
        <w:rPr>
          <w:rFonts w:ascii="Times New Roman" w:hAnsi="Times New Roman" w:cs="Times New Roman"/>
          <w:b/>
          <w:sz w:val="24"/>
          <w:szCs w:val="24"/>
        </w:rPr>
      </w:pPr>
      <w:r w:rsidRPr="00554850">
        <w:rPr>
          <w:rFonts w:ascii="Times New Roman" w:hAnsi="Times New Roman" w:cs="Times New Roman"/>
          <w:b/>
          <w:sz w:val="24"/>
          <w:szCs w:val="24"/>
        </w:rPr>
        <w:t>Abstract</w:t>
      </w:r>
    </w:p>
    <w:p w:rsidR="00AA7A42" w:rsidRPr="00554850" w:rsidRDefault="00AA7A42" w:rsidP="007777AC">
      <w:pPr>
        <w:spacing w:after="0"/>
        <w:rPr>
          <w:rFonts w:ascii="Times New Roman" w:hAnsi="Times New Roman" w:cs="Times New Roman"/>
          <w:b/>
          <w:sz w:val="24"/>
          <w:szCs w:val="24"/>
        </w:rPr>
      </w:pPr>
    </w:p>
    <w:p w:rsidR="007777AC" w:rsidRPr="00554850" w:rsidRDefault="007778C1" w:rsidP="007777AC">
      <w:pPr>
        <w:spacing w:after="0"/>
        <w:jc w:val="both"/>
        <w:rPr>
          <w:rFonts w:ascii="Times New Roman" w:hAnsi="Times New Roman" w:cs="Times New Roman"/>
          <w:sz w:val="24"/>
          <w:szCs w:val="24"/>
        </w:rPr>
      </w:pPr>
      <w:r w:rsidRPr="00554850">
        <w:rPr>
          <w:rFonts w:ascii="Times New Roman" w:hAnsi="Times New Roman" w:cs="Times New Roman"/>
          <w:sz w:val="24"/>
          <w:szCs w:val="24"/>
        </w:rPr>
        <w:t xml:space="preserve">Technological advancement, employment creation, and economic growth are all significantly influenced by the manufacturing industry. Systemic issues like low productivity, little innovation, and an excessive dependence on imported technologies still plague Nigeria's industry. This </w:t>
      </w:r>
      <w:r w:rsidR="00447632" w:rsidRPr="00554850">
        <w:rPr>
          <w:rFonts w:ascii="Times New Roman" w:hAnsi="Times New Roman" w:cs="Times New Roman"/>
          <w:sz w:val="24"/>
          <w:szCs w:val="24"/>
        </w:rPr>
        <w:t>review</w:t>
      </w:r>
      <w:r w:rsidRPr="00554850">
        <w:rPr>
          <w:rFonts w:ascii="Times New Roman" w:hAnsi="Times New Roman" w:cs="Times New Roman"/>
          <w:sz w:val="24"/>
          <w:szCs w:val="24"/>
        </w:rPr>
        <w:t xml:space="preserve"> examines the role of research particularly in microbiology and biotechnology in advancing Nigeria’s manufacturing sector. The </w:t>
      </w:r>
      <w:r w:rsidR="00EA62B3" w:rsidRPr="00554850">
        <w:rPr>
          <w:rFonts w:ascii="Times New Roman" w:hAnsi="Times New Roman" w:cs="Times New Roman"/>
          <w:sz w:val="24"/>
          <w:szCs w:val="24"/>
        </w:rPr>
        <w:t xml:space="preserve">review </w:t>
      </w:r>
      <w:r w:rsidRPr="00554850">
        <w:rPr>
          <w:rFonts w:ascii="Times New Roman" w:hAnsi="Times New Roman" w:cs="Times New Roman"/>
          <w:sz w:val="24"/>
          <w:szCs w:val="24"/>
        </w:rPr>
        <w:t xml:space="preserve">emphasizes the contributions of microbiological and biotechnological innovations to industrial processes, such as enzyme production, fermentation technology, biofertilizers, biopesticides, bioremediation, and waste valorization, through a review of recent literature and empirical findings. The study also finds gaps between research institutions and industrial application, which it attributes to poor technology transfer mechanisms, weak policy frameworks, insufficient funding, and little cooperation between academics and industry. </w:t>
      </w:r>
      <w:r w:rsidR="007777AC" w:rsidRPr="00554850">
        <w:rPr>
          <w:rFonts w:ascii="Times New Roman" w:hAnsi="Times New Roman" w:cs="Times New Roman"/>
          <w:sz w:val="24"/>
          <w:szCs w:val="24"/>
        </w:rPr>
        <w:t>Case studies demonstrate how indigenous microbial strains have been utilized in food processing, pharmaceuticals, and environmental management, suggesting a high potential for scalability and commercialization. The study advocates for increased investment in research infrastructure, reform of intellectual property laws, and the establishment of innovation hubs to facilitate the translation of scientific knowledge into industrial growth. It also recommends reforms in science education, enhanced public-private partnerships, and stronger government policy support. Ultimately, the integration of microbiology and biotechnology research into Nigeria’s manufacturing landscape offers a viable pathway to industrial transformation, economic diversification, and sustainable development. The findings underscore the importance of science-driven innovation in overcoming manufacturing constraints and positioning Nigeria competitively in the global economy. This work serves as a reference point for policymakers, researchers, industry stakeholders, and development partners committed to fostering a knowledge-based and self-reliant manufacturing sector.</w:t>
      </w:r>
    </w:p>
    <w:p w:rsidR="007777AC" w:rsidRPr="00554850" w:rsidRDefault="007777AC" w:rsidP="007777AC">
      <w:pPr>
        <w:spacing w:after="0"/>
        <w:rPr>
          <w:rFonts w:ascii="Times New Roman" w:hAnsi="Times New Roman" w:cs="Times New Roman"/>
          <w:b/>
          <w:sz w:val="24"/>
          <w:szCs w:val="24"/>
        </w:rPr>
      </w:pPr>
    </w:p>
    <w:p w:rsidR="007777AC" w:rsidRPr="00554850" w:rsidRDefault="007777AC" w:rsidP="007777AC">
      <w:pPr>
        <w:spacing w:after="0"/>
        <w:rPr>
          <w:rFonts w:ascii="Times New Roman" w:hAnsi="Times New Roman" w:cs="Times New Roman"/>
          <w:b/>
          <w:sz w:val="24"/>
          <w:szCs w:val="24"/>
        </w:rPr>
      </w:pPr>
      <w:r w:rsidRPr="00554850">
        <w:rPr>
          <w:rFonts w:ascii="Times New Roman" w:hAnsi="Times New Roman" w:cs="Times New Roman"/>
          <w:b/>
          <w:sz w:val="24"/>
          <w:szCs w:val="24"/>
        </w:rPr>
        <w:t xml:space="preserve">Keywords: </w:t>
      </w:r>
      <w:r w:rsidRPr="00554850">
        <w:rPr>
          <w:rFonts w:ascii="Times New Roman" w:hAnsi="Times New Roman" w:cs="Times New Roman"/>
          <w:i/>
          <w:sz w:val="24"/>
          <w:szCs w:val="24"/>
        </w:rPr>
        <w:t>Research, Microbiology, Biotechnology, Scientific and Industrial Innovation, Academia-Industry Collaboration</w:t>
      </w:r>
    </w:p>
    <w:p w:rsidR="007777AC" w:rsidRPr="00554850" w:rsidRDefault="007777AC" w:rsidP="007777AC">
      <w:pPr>
        <w:spacing w:line="360" w:lineRule="auto"/>
        <w:jc w:val="both"/>
        <w:rPr>
          <w:rFonts w:ascii="Times New Roman" w:hAnsi="Times New Roman" w:cs="Times New Roman"/>
          <w:b/>
          <w:sz w:val="24"/>
          <w:szCs w:val="24"/>
        </w:rPr>
      </w:pPr>
    </w:p>
    <w:p w:rsidR="007777AC" w:rsidRPr="00554850" w:rsidRDefault="007777AC" w:rsidP="007777AC">
      <w:pPr>
        <w:spacing w:line="360" w:lineRule="auto"/>
        <w:jc w:val="both"/>
        <w:rPr>
          <w:rFonts w:ascii="Times New Roman" w:hAnsi="Times New Roman" w:cs="Times New Roman"/>
          <w:b/>
          <w:sz w:val="24"/>
          <w:szCs w:val="24"/>
        </w:rPr>
      </w:pPr>
    </w:p>
    <w:p w:rsidR="00AF11EF" w:rsidRPr="00554850" w:rsidRDefault="00AF11EF" w:rsidP="007777AC">
      <w:pPr>
        <w:spacing w:line="360" w:lineRule="auto"/>
        <w:jc w:val="both"/>
        <w:rPr>
          <w:rFonts w:ascii="Times New Roman" w:hAnsi="Times New Roman" w:cs="Times New Roman"/>
          <w:b/>
          <w:sz w:val="24"/>
          <w:szCs w:val="24"/>
        </w:rPr>
      </w:pPr>
    </w:p>
    <w:p w:rsidR="00AF11EF" w:rsidRPr="00554850" w:rsidRDefault="00AF11EF" w:rsidP="007777AC">
      <w:pPr>
        <w:spacing w:line="360" w:lineRule="auto"/>
        <w:jc w:val="both"/>
        <w:rPr>
          <w:rFonts w:ascii="Times New Roman" w:hAnsi="Times New Roman" w:cs="Times New Roman"/>
          <w:b/>
          <w:sz w:val="24"/>
          <w:szCs w:val="24"/>
        </w:rPr>
      </w:pPr>
    </w:p>
    <w:p w:rsidR="00AF11EF" w:rsidRPr="00554850" w:rsidRDefault="00AF11EF" w:rsidP="007777AC">
      <w:pPr>
        <w:spacing w:line="360" w:lineRule="auto"/>
        <w:jc w:val="both"/>
        <w:rPr>
          <w:rFonts w:ascii="Times New Roman" w:hAnsi="Times New Roman" w:cs="Times New Roman"/>
          <w:b/>
          <w:sz w:val="24"/>
          <w:szCs w:val="24"/>
        </w:rPr>
      </w:pPr>
    </w:p>
    <w:p w:rsidR="007777AC" w:rsidRPr="00554850" w:rsidRDefault="007777AC" w:rsidP="007777AC">
      <w:pPr>
        <w:spacing w:line="360" w:lineRule="auto"/>
        <w:jc w:val="both"/>
        <w:rPr>
          <w:rFonts w:ascii="Times New Roman" w:hAnsi="Times New Roman" w:cs="Times New Roman"/>
          <w:b/>
          <w:sz w:val="24"/>
          <w:szCs w:val="24"/>
        </w:rPr>
      </w:pPr>
    </w:p>
    <w:p w:rsidR="0036200B" w:rsidRPr="00554850" w:rsidRDefault="00717155" w:rsidP="007777AC">
      <w:pPr>
        <w:spacing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1.0</w:t>
      </w:r>
      <w:r w:rsidR="000D3545" w:rsidRPr="00554850">
        <w:rPr>
          <w:rFonts w:ascii="Times New Roman" w:hAnsi="Times New Roman" w:cs="Times New Roman"/>
          <w:b/>
          <w:sz w:val="24"/>
          <w:szCs w:val="24"/>
        </w:rPr>
        <w:t xml:space="preserve"> INTRODUCTION</w:t>
      </w:r>
    </w:p>
    <w:p w:rsidR="000D3545" w:rsidRPr="00554850" w:rsidRDefault="000D3545" w:rsidP="009328A8">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As a catalyst for industrialization, job creation, and technical innovation, the manufacturing sector is essential to a country's economic growth. Despite Nigeria's abundance of natural and human resources, the manufacturing industry only makes a little contribution to the country's GDP due to a lack of research integration, deteriorating infrastructure, and reliance on foreign technologies (Adebayo &amp; Yusuf, 2022). In order to close this gap, scientific research, especially in the fields of microbiology and biotechnology has gained recognition as a tactical instrument for reviving the industrial sector and providing long-term answers to regional production problems.</w:t>
      </w:r>
      <w:r w:rsidR="009328A8" w:rsidRPr="00554850">
        <w:rPr>
          <w:rFonts w:ascii="Times New Roman" w:hAnsi="Times New Roman" w:cs="Times New Roman"/>
          <w:sz w:val="24"/>
          <w:szCs w:val="24"/>
        </w:rPr>
        <w:t>Biotechnology is the use of living organisms or their derivatives to develop products and processes that support a range of industries, including agriculture, healthcare, and industry</w:t>
      </w:r>
      <w:r w:rsidR="00DD6C0D" w:rsidRPr="00554850">
        <w:rPr>
          <w:rFonts w:ascii="Times New Roman" w:hAnsi="Times New Roman" w:cs="Times New Roman"/>
          <w:sz w:val="24"/>
          <w:szCs w:val="24"/>
        </w:rPr>
        <w:t xml:space="preserve"> (Tokunbo et al., 2025)</w:t>
      </w:r>
      <w:r w:rsidR="009328A8" w:rsidRPr="00554850">
        <w:rPr>
          <w:rFonts w:ascii="Times New Roman" w:hAnsi="Times New Roman" w:cs="Times New Roman"/>
          <w:sz w:val="24"/>
          <w:szCs w:val="24"/>
        </w:rPr>
        <w:t>.</w:t>
      </w:r>
    </w:p>
    <w:p w:rsidR="000D3545" w:rsidRPr="00554850" w:rsidRDefault="000D3545"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Through the creation of bio-based goods, waste management strategies, and microbial industrial processes, microbiology and biotechnology offer cutting-edge manufacturing applications</w:t>
      </w:r>
      <w:r w:rsidR="00DE0249" w:rsidRPr="00554850">
        <w:rPr>
          <w:rFonts w:ascii="Times New Roman" w:hAnsi="Times New Roman" w:cs="Times New Roman"/>
          <w:sz w:val="24"/>
          <w:szCs w:val="24"/>
        </w:rPr>
        <w:t xml:space="preserve"> (Ramchuran et al., 2023)</w:t>
      </w:r>
      <w:r w:rsidRPr="00554850">
        <w:rPr>
          <w:rFonts w:ascii="Times New Roman" w:hAnsi="Times New Roman" w:cs="Times New Roman"/>
          <w:sz w:val="24"/>
          <w:szCs w:val="24"/>
        </w:rPr>
        <w:t>. Nigeria's food, pharmaceutical, and environmental manufacturing sectors depend on the production of fermented foods, biofuels, bioplastics, and antibiotics, all of which are improved by these disciplines (Olaniran et al., 2023). Such biological breakthroughs can greatly lower costs, boost product efficiency, and enhance public health outcomes when incorporated into mainstream production systems</w:t>
      </w:r>
      <w:r w:rsidR="008D7D66" w:rsidRPr="00554850">
        <w:rPr>
          <w:rFonts w:ascii="Times New Roman" w:hAnsi="Times New Roman" w:cs="Times New Roman"/>
          <w:sz w:val="24"/>
          <w:szCs w:val="24"/>
        </w:rPr>
        <w:t xml:space="preserve"> (Akinsemolu et al., 2023; </w:t>
      </w:r>
      <w:r w:rsidR="008D7D66" w:rsidRPr="00554850">
        <w:rPr>
          <w:rFonts w:ascii="Times New Roman" w:hAnsi="Times New Roman" w:cs="Times New Roman"/>
          <w:color w:val="0F1115"/>
          <w:sz w:val="24"/>
          <w:szCs w:val="24"/>
          <w:shd w:val="clear" w:color="auto" w:fill="FFFFFF"/>
        </w:rPr>
        <w:t>Obi&amp; Amund, 2025</w:t>
      </w:r>
      <w:r w:rsidR="008D7D66" w:rsidRPr="00554850">
        <w:rPr>
          <w:rFonts w:ascii="Times New Roman" w:hAnsi="Times New Roman" w:cs="Times New Roman"/>
          <w:sz w:val="24"/>
          <w:szCs w:val="24"/>
        </w:rPr>
        <w:t>)</w:t>
      </w:r>
      <w:r w:rsidRPr="00554850">
        <w:rPr>
          <w:rFonts w:ascii="Times New Roman" w:hAnsi="Times New Roman" w:cs="Times New Roman"/>
          <w:sz w:val="24"/>
          <w:szCs w:val="24"/>
        </w:rPr>
        <w:t>. These objectives are in line with both the African Union's drive 2063 and Nigeria's industrialization drive under Vision 2030.</w:t>
      </w:r>
    </w:p>
    <w:p w:rsidR="008F2E4F" w:rsidRPr="00554850" w:rsidRDefault="000D3545"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Microbiological and biotechnological research has advanced in Nigerian universities and research centers</w:t>
      </w:r>
      <w:r w:rsidR="00920575" w:rsidRPr="00554850">
        <w:rPr>
          <w:rFonts w:ascii="Times New Roman" w:hAnsi="Times New Roman" w:cs="Times New Roman"/>
          <w:sz w:val="24"/>
          <w:szCs w:val="24"/>
        </w:rPr>
        <w:t xml:space="preserve"> (Amenyogbe et al., 2023</w:t>
      </w:r>
      <w:r w:rsidR="006B6149" w:rsidRPr="00554850">
        <w:rPr>
          <w:rFonts w:ascii="Times New Roman" w:hAnsi="Times New Roman" w:cs="Times New Roman"/>
          <w:sz w:val="24"/>
          <w:szCs w:val="24"/>
        </w:rPr>
        <w:t>; Qumsani, 2024</w:t>
      </w:r>
      <w:r w:rsidR="00920575" w:rsidRPr="00554850">
        <w:rPr>
          <w:rFonts w:ascii="Times New Roman" w:hAnsi="Times New Roman" w:cs="Times New Roman"/>
          <w:sz w:val="24"/>
          <w:szCs w:val="24"/>
        </w:rPr>
        <w:t>)</w:t>
      </w:r>
      <w:r w:rsidRPr="00554850">
        <w:rPr>
          <w:rFonts w:ascii="Times New Roman" w:hAnsi="Times New Roman" w:cs="Times New Roman"/>
          <w:sz w:val="24"/>
          <w:szCs w:val="24"/>
        </w:rPr>
        <w:t xml:space="preserve">. However, due to insufficient funding, inadequate policy frameworks, and poor industry-academia engagement, the conversion of research results into practical manufacturing solutions is still restricted (Eze &amp;Anazodo, 2023). </w:t>
      </w:r>
      <w:r w:rsidR="008F2E4F" w:rsidRPr="00554850">
        <w:rPr>
          <w:rFonts w:ascii="Times New Roman" w:hAnsi="Times New Roman" w:cs="Times New Roman"/>
          <w:color w:val="0F1115"/>
          <w:sz w:val="24"/>
          <w:szCs w:val="24"/>
          <w:shd w:val="clear" w:color="auto" w:fill="FFFFFF"/>
        </w:rPr>
        <w:t>This persistent gap is a recognized national challenge; the </w:t>
      </w:r>
      <w:r w:rsidR="008F2E4F" w:rsidRPr="00554850">
        <w:rPr>
          <w:rStyle w:val="Strong"/>
          <w:rFonts w:ascii="Times New Roman" w:hAnsi="Times New Roman" w:cs="Times New Roman"/>
          <w:b w:val="0"/>
          <w:color w:val="0F1115"/>
          <w:sz w:val="24"/>
          <w:szCs w:val="24"/>
          <w:shd w:val="clear" w:color="auto" w:fill="FFFFFF"/>
        </w:rPr>
        <w:t>World Intellectual Property Organization (WPI, 2023)</w:t>
      </w:r>
      <w:r w:rsidR="008F2E4F" w:rsidRPr="00554850">
        <w:rPr>
          <w:rFonts w:ascii="Times New Roman" w:hAnsi="Times New Roman" w:cs="Times New Roman"/>
          <w:color w:val="0F1115"/>
          <w:sz w:val="24"/>
          <w:szCs w:val="24"/>
          <w:shd w:val="clear" w:color="auto" w:fill="FFFFFF"/>
        </w:rPr>
        <w:t xml:space="preserve"> specifically notes Nigeria's struggle to translate scientific output into local innovation and economic impact. To bridge this divide, a focused effort on institutional </w:t>
      </w:r>
      <w:r w:rsidR="008F2E4F" w:rsidRPr="00554850">
        <w:rPr>
          <w:rFonts w:ascii="Times New Roman" w:hAnsi="Times New Roman" w:cs="Times New Roman"/>
          <w:color w:val="0F1115"/>
          <w:sz w:val="24"/>
          <w:szCs w:val="24"/>
          <w:shd w:val="clear" w:color="auto" w:fill="FFFFFF"/>
        </w:rPr>
        <w:lastRenderedPageBreak/>
        <w:t>cooperation, knowledge transfer systems, and incentives for the commercialization of regional research findings is necessary. As demonstrated in a study by </w:t>
      </w:r>
      <w:r w:rsidR="006B13A2" w:rsidRPr="00554850">
        <w:rPr>
          <w:rStyle w:val="Strong"/>
          <w:rFonts w:ascii="Times New Roman" w:hAnsi="Times New Roman" w:cs="Times New Roman"/>
          <w:b w:val="0"/>
          <w:color w:val="0F1115"/>
          <w:sz w:val="24"/>
          <w:szCs w:val="24"/>
          <w:shd w:val="clear" w:color="auto" w:fill="FFFFFF"/>
        </w:rPr>
        <w:t>Oduwole (2022</w:t>
      </w:r>
      <w:r w:rsidR="008F2E4F" w:rsidRPr="00554850">
        <w:rPr>
          <w:rStyle w:val="Strong"/>
          <w:rFonts w:ascii="Times New Roman" w:hAnsi="Times New Roman" w:cs="Times New Roman"/>
          <w:b w:val="0"/>
          <w:color w:val="0F1115"/>
          <w:sz w:val="24"/>
          <w:szCs w:val="24"/>
          <w:shd w:val="clear" w:color="auto" w:fill="FFFFFF"/>
        </w:rPr>
        <w:t>)</w:t>
      </w:r>
      <w:r w:rsidR="008F2E4F" w:rsidRPr="00554850">
        <w:rPr>
          <w:rFonts w:ascii="Times New Roman" w:hAnsi="Times New Roman" w:cs="Times New Roman"/>
          <w:b/>
          <w:color w:val="0F1115"/>
          <w:sz w:val="24"/>
          <w:szCs w:val="24"/>
          <w:shd w:val="clear" w:color="auto" w:fill="FFFFFF"/>
        </w:rPr>
        <w:t>,</w:t>
      </w:r>
      <w:r w:rsidR="008F2E4F" w:rsidRPr="00554850">
        <w:rPr>
          <w:rFonts w:ascii="Times New Roman" w:hAnsi="Times New Roman" w:cs="Times New Roman"/>
          <w:color w:val="0F1115"/>
          <w:sz w:val="24"/>
          <w:szCs w:val="24"/>
          <w:shd w:val="clear" w:color="auto" w:fill="FFFFFF"/>
        </w:rPr>
        <w:t xml:space="preserve"> the successful commercialization of university-held patents in Nigeria is directly linked to the strength of formal university knowledge and technology transfer offices (TTOs). By strengthening these specific mechanisms, Nigeria could effectively utilize domestic research to become less dependent on imported commodities and foreign technologies.</w:t>
      </w:r>
    </w:p>
    <w:p w:rsidR="00B07761" w:rsidRPr="00554850" w:rsidRDefault="00B07761"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Microbial enzymes, for instance, provide environmentally safe substitutes for chemical treatments in the processing of textiles and leather, lowering environmental deterioration and increasing manufacturing efficiency</w:t>
      </w:r>
      <w:r w:rsidR="000F2D90" w:rsidRPr="00554850">
        <w:rPr>
          <w:rFonts w:ascii="Times New Roman" w:hAnsi="Times New Roman" w:cs="Times New Roman"/>
          <w:sz w:val="24"/>
          <w:szCs w:val="24"/>
        </w:rPr>
        <w:t xml:space="preserve"> (Kumar et al., 2023)</w:t>
      </w:r>
      <w:r w:rsidRPr="00554850">
        <w:rPr>
          <w:rFonts w:ascii="Times New Roman" w:hAnsi="Times New Roman" w:cs="Times New Roman"/>
          <w:sz w:val="24"/>
          <w:szCs w:val="24"/>
        </w:rPr>
        <w:t xml:space="preserve">. </w:t>
      </w:r>
      <w:r w:rsidR="003201A4" w:rsidRPr="00554850">
        <w:rPr>
          <w:rFonts w:ascii="Times New Roman" w:hAnsi="Times New Roman" w:cs="Times New Roman"/>
          <w:sz w:val="24"/>
          <w:szCs w:val="24"/>
        </w:rPr>
        <w:t>Enzymatic bioprocesses can convert biomass- or fossil-derived low-value waste into new and marketable products of comparable or superior quality in comparison with virgin materials, decreasing the CO</w:t>
      </w:r>
      <w:r w:rsidR="003201A4" w:rsidRPr="00554850">
        <w:rPr>
          <w:rFonts w:ascii="Times New Roman" w:hAnsi="Times New Roman" w:cs="Times New Roman"/>
          <w:sz w:val="24"/>
          <w:szCs w:val="24"/>
          <w:vertAlign w:val="subscript"/>
        </w:rPr>
        <w:t>2</w:t>
      </w:r>
      <w:r w:rsidR="003201A4" w:rsidRPr="00554850">
        <w:rPr>
          <w:rFonts w:ascii="Times New Roman" w:hAnsi="Times New Roman" w:cs="Times New Roman"/>
          <w:sz w:val="24"/>
          <w:szCs w:val="24"/>
        </w:rPr>
        <w:t xml:space="preserve"> footprints of newly extracted fossil feedstocks</w:t>
      </w:r>
      <w:r w:rsidR="005E12F9" w:rsidRPr="00554850">
        <w:rPr>
          <w:rFonts w:ascii="Times New Roman" w:hAnsi="Times New Roman" w:cs="Times New Roman"/>
          <w:sz w:val="24"/>
          <w:szCs w:val="24"/>
        </w:rPr>
        <w:t xml:space="preserve"> (Verma, 2022; Orlando et al., 2023)</w:t>
      </w:r>
      <w:r w:rsidR="003201A4" w:rsidRPr="00554850">
        <w:rPr>
          <w:rFonts w:ascii="Times New Roman" w:hAnsi="Times New Roman" w:cs="Times New Roman"/>
          <w:sz w:val="24"/>
          <w:szCs w:val="24"/>
        </w:rPr>
        <w:t>.</w:t>
      </w:r>
      <w:r w:rsidRPr="00554850">
        <w:rPr>
          <w:rFonts w:ascii="Times New Roman" w:hAnsi="Times New Roman" w:cs="Times New Roman"/>
          <w:sz w:val="24"/>
          <w:szCs w:val="24"/>
        </w:rPr>
        <w:t>Similarly, agricultural production can be improved by biotechnology-driven biofertilizers and biopesticides made from regional microbial strains, supporting sustainable agro-industrial systems (Adeboye et al., 2022). The sustainable development goals (SDGs), particularly SDGs 9 (Industry, Innovation, and Infrastructure) and 12 (Responsible Consumption and Production), are also in line with these developments.</w:t>
      </w:r>
    </w:p>
    <w:p w:rsidR="00B07761" w:rsidRPr="00554850" w:rsidRDefault="00A559CA"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Fermentation is one of the earliest biotechnological methods of food preservation and processing to be extensively applied in the world: foods (fermented food, food additives, functional materials and live probiotics); intestines (aids digestion and promotes absorption, synthetic bioactive substances, inhibits harmful bacteria, diabetes, cardiopathy and allergy); and industry (energy, soil transformation and sewage treatment)</w:t>
      </w:r>
      <w:r w:rsidR="00D16EB2" w:rsidRPr="00554850">
        <w:rPr>
          <w:rFonts w:ascii="Times New Roman" w:hAnsi="Times New Roman" w:cs="Times New Roman"/>
          <w:sz w:val="24"/>
          <w:szCs w:val="24"/>
        </w:rPr>
        <w:t xml:space="preserve"> (Sun et al., 2022</w:t>
      </w:r>
      <w:r w:rsidR="00807186" w:rsidRPr="00554850">
        <w:rPr>
          <w:rFonts w:ascii="Times New Roman" w:hAnsi="Times New Roman" w:cs="Times New Roman"/>
          <w:sz w:val="24"/>
          <w:szCs w:val="24"/>
        </w:rPr>
        <w:t>)</w:t>
      </w:r>
      <w:r w:rsidRPr="00554850">
        <w:rPr>
          <w:rFonts w:ascii="Times New Roman" w:hAnsi="Times New Roman" w:cs="Times New Roman"/>
          <w:sz w:val="24"/>
          <w:szCs w:val="24"/>
        </w:rPr>
        <w:t>.</w:t>
      </w:r>
      <w:r w:rsidR="00B07761" w:rsidRPr="00554850">
        <w:rPr>
          <w:rFonts w:ascii="Times New Roman" w:hAnsi="Times New Roman" w:cs="Times New Roman"/>
          <w:sz w:val="24"/>
          <w:szCs w:val="24"/>
        </w:rPr>
        <w:t>The use of microbial fermentation in the production of regional drinks, traditional fermented meals, and probiotic-enriched goods is another significant route</w:t>
      </w:r>
      <w:r w:rsidR="000F2D90" w:rsidRPr="00554850">
        <w:rPr>
          <w:rFonts w:ascii="Times New Roman" w:hAnsi="Times New Roman" w:cs="Times New Roman"/>
          <w:sz w:val="24"/>
          <w:szCs w:val="24"/>
        </w:rPr>
        <w:t xml:space="preserve"> (Carboni et al., 2023)</w:t>
      </w:r>
      <w:r w:rsidR="00B07761" w:rsidRPr="00554850">
        <w:rPr>
          <w:rFonts w:ascii="Times New Roman" w:hAnsi="Times New Roman" w:cs="Times New Roman"/>
          <w:sz w:val="24"/>
          <w:szCs w:val="24"/>
        </w:rPr>
        <w:t>.  Nigeria's expanding population and urbanization are driving up demand for wholesome, safe, and culturally acceptable cuisine.  Biotechnological interventions have the capacity to scale production, ensure quality control, and extend shelf life, enhancing the competitiveness of local food manufacturers (Nwokoro&amp; Igwe, 2021).  These advancements not only benefit public health but also open up new economic opportunities in food manufacturing and export</w:t>
      </w:r>
      <w:r w:rsidR="009F7386" w:rsidRPr="00554850">
        <w:rPr>
          <w:rFonts w:ascii="Times New Roman" w:hAnsi="Times New Roman" w:cs="Times New Roman"/>
          <w:sz w:val="24"/>
          <w:szCs w:val="24"/>
        </w:rPr>
        <w:t xml:space="preserve"> (Shokoohi&amp; Attar, 2024)</w:t>
      </w:r>
      <w:r w:rsidR="00B07761" w:rsidRPr="00554850">
        <w:rPr>
          <w:rFonts w:ascii="Times New Roman" w:hAnsi="Times New Roman" w:cs="Times New Roman"/>
          <w:sz w:val="24"/>
          <w:szCs w:val="24"/>
        </w:rPr>
        <w:t>.</w:t>
      </w:r>
    </w:p>
    <w:p w:rsidR="00B07761" w:rsidRPr="00554850" w:rsidRDefault="00B07761"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lastRenderedPageBreak/>
        <w:t>Nigeria's oil, chemical, and food processing sectors have enormous potential for waste management through the environmental biotechnology process of bioremediation. Research in microbiology has led to the identification of indigenous microbes capable of degrading pollutants such as petroleum hydrocarbons and heavy metals. Industries can lessen their environmental impact while adhering to national and international regulations by implementing these findings into manufacturing waste treatment processes (Umeh et al., 2023).</w:t>
      </w:r>
    </w:p>
    <w:p w:rsidR="008F2E4F" w:rsidRPr="00554850" w:rsidRDefault="008F2E4F" w:rsidP="007777AC">
      <w:pPr>
        <w:spacing w:line="360" w:lineRule="auto"/>
        <w:jc w:val="both"/>
        <w:rPr>
          <w:rFonts w:ascii="Times New Roman" w:hAnsi="Times New Roman" w:cs="Times New Roman"/>
          <w:sz w:val="24"/>
          <w:szCs w:val="24"/>
        </w:rPr>
      </w:pPr>
    </w:p>
    <w:p w:rsidR="008F2E4F" w:rsidRPr="00554850" w:rsidRDefault="008F2E4F" w:rsidP="008F2E4F">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The full application of research in manufacturing is still hampered by issues like inadequate laboratory infrastructure, a lack of funding, and inconsistent policy. However, government support through funding mechanisms such as the National Biotechnology Development Agency (NABDA) and the Tertiary Education Trust Fund (TETFund) can promote research capacity and innovation-driven industrialization. Additionally, strengthening intellectual property rights and providing tax incentives for research-based manufacturing companies could speed up the adoption of microbiological and biotechnological solutions.</w:t>
      </w:r>
    </w:p>
    <w:p w:rsidR="008F2E4F" w:rsidRPr="00554850" w:rsidRDefault="008F2E4F" w:rsidP="007777AC">
      <w:pPr>
        <w:spacing w:line="360" w:lineRule="auto"/>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However, targeted government support through funding mechanisms such as the National Biotechnology Development Agency (NABDA) and the Tertiary Education Trust Fund (TETFund) remains critical to promote research capacity and bridge this gap. The effectiveness of such interventions is supported by research; for instance, </w:t>
      </w:r>
      <w:r w:rsidRPr="00554850">
        <w:rPr>
          <w:rStyle w:val="Strong"/>
          <w:rFonts w:ascii="Times New Roman" w:hAnsi="Times New Roman" w:cs="Times New Roman"/>
          <w:color w:val="0F1115"/>
          <w:sz w:val="24"/>
          <w:szCs w:val="24"/>
          <w:shd w:val="clear" w:color="auto" w:fill="FFFFFF"/>
        </w:rPr>
        <w:t>Egbetokun et al. (2022)</w:t>
      </w:r>
      <w:r w:rsidRPr="00554850">
        <w:rPr>
          <w:rFonts w:ascii="Times New Roman" w:hAnsi="Times New Roman" w:cs="Times New Roman"/>
          <w:color w:val="0F1115"/>
          <w:sz w:val="24"/>
          <w:szCs w:val="24"/>
          <w:shd w:val="clear" w:color="auto" w:fill="FFFFFF"/>
        </w:rPr>
        <w:t>, in a study published in </w:t>
      </w:r>
      <w:r w:rsidRPr="00554850">
        <w:rPr>
          <w:rStyle w:val="Emphasis"/>
          <w:rFonts w:ascii="Times New Roman" w:hAnsi="Times New Roman" w:cs="Times New Roman"/>
          <w:color w:val="0F1115"/>
          <w:sz w:val="24"/>
          <w:szCs w:val="24"/>
          <w:shd w:val="clear" w:color="auto" w:fill="FFFFFF"/>
        </w:rPr>
        <w:t>Technovation</w:t>
      </w:r>
      <w:r w:rsidRPr="00554850">
        <w:rPr>
          <w:rFonts w:ascii="Times New Roman" w:hAnsi="Times New Roman" w:cs="Times New Roman"/>
          <w:color w:val="0F1115"/>
          <w:sz w:val="24"/>
          <w:szCs w:val="24"/>
          <w:shd w:val="clear" w:color="auto" w:fill="FFFFFF"/>
        </w:rPr>
        <w:t>, found that direct government grants and institutional support in Nigeria significantly boost innovation performance in firms with existing R&amp;D capabilities.</w:t>
      </w:r>
    </w:p>
    <w:p w:rsidR="008F2E4F" w:rsidRPr="00554850" w:rsidRDefault="008F2E4F" w:rsidP="007777AC">
      <w:pPr>
        <w:spacing w:line="360" w:lineRule="auto"/>
        <w:jc w:val="both"/>
        <w:rPr>
          <w:rFonts w:ascii="Times New Roman" w:hAnsi="Times New Roman" w:cs="Times New Roman"/>
          <w:sz w:val="24"/>
          <w:szCs w:val="24"/>
        </w:rPr>
      </w:pPr>
      <w:r w:rsidRPr="00554850">
        <w:rPr>
          <w:rFonts w:ascii="Times New Roman" w:hAnsi="Times New Roman" w:cs="Times New Roman"/>
          <w:color w:val="0F1115"/>
          <w:sz w:val="24"/>
          <w:szCs w:val="24"/>
          <w:shd w:val="clear" w:color="auto" w:fill="FFFFFF"/>
        </w:rPr>
        <w:t>To accelerate the transition towards innovation-driven industrialization, a multi-pronged approach is essential. As advocated by the </w:t>
      </w:r>
      <w:r w:rsidRPr="00554850">
        <w:rPr>
          <w:rStyle w:val="Strong"/>
          <w:rFonts w:ascii="Times New Roman" w:hAnsi="Times New Roman" w:cs="Times New Roman"/>
          <w:b w:val="0"/>
          <w:color w:val="0F1115"/>
          <w:sz w:val="24"/>
          <w:szCs w:val="24"/>
          <w:shd w:val="clear" w:color="auto" w:fill="FFFFFF"/>
        </w:rPr>
        <w:t>UNCTAD (2024)</w:t>
      </w:r>
      <w:r w:rsidRPr="00554850">
        <w:rPr>
          <w:rFonts w:ascii="Times New Roman" w:hAnsi="Times New Roman" w:cs="Times New Roman"/>
          <w:color w:val="0F1115"/>
          <w:sz w:val="24"/>
          <w:szCs w:val="24"/>
          <w:shd w:val="clear" w:color="auto" w:fill="FFFFFF"/>
        </w:rPr>
        <w:t> </w:t>
      </w:r>
      <w:r w:rsidRPr="00554850">
        <w:rPr>
          <w:rStyle w:val="Emphasis"/>
          <w:rFonts w:ascii="Times New Roman" w:hAnsi="Times New Roman" w:cs="Times New Roman"/>
          <w:color w:val="0F1115"/>
          <w:sz w:val="24"/>
          <w:szCs w:val="24"/>
          <w:shd w:val="clear" w:color="auto" w:fill="FFFFFF"/>
        </w:rPr>
        <w:t>Technology and Innovation Report</w:t>
      </w:r>
      <w:r w:rsidRPr="00554850">
        <w:rPr>
          <w:rFonts w:ascii="Times New Roman" w:hAnsi="Times New Roman" w:cs="Times New Roman"/>
          <w:color w:val="0F1115"/>
          <w:sz w:val="24"/>
          <w:szCs w:val="24"/>
          <w:shd w:val="clear" w:color="auto" w:fill="FFFFFF"/>
        </w:rPr>
        <w:t>, strengthening intellectual property rights creates the necessary confidence for investment in high-risk technologies. Furthermore, providing targeted tax incentives for research-based manufacturing companies, as seen in successful models in countries like Brazil and Malaysia, could significantly speed up the adoption of microbiological and biotechnological solutions. This aligns with the findings of </w:t>
      </w:r>
      <w:r w:rsidRPr="00554850">
        <w:rPr>
          <w:rStyle w:val="Strong"/>
          <w:rFonts w:ascii="Times New Roman" w:hAnsi="Times New Roman" w:cs="Times New Roman"/>
          <w:b w:val="0"/>
          <w:color w:val="0F1115"/>
          <w:sz w:val="24"/>
          <w:szCs w:val="24"/>
          <w:shd w:val="clear" w:color="auto" w:fill="FFFFFF"/>
        </w:rPr>
        <w:t>Cirera et al. (2021)</w:t>
      </w:r>
      <w:r w:rsidRPr="00554850">
        <w:rPr>
          <w:rFonts w:ascii="Times New Roman" w:hAnsi="Times New Roman" w:cs="Times New Roman"/>
          <w:color w:val="0F1115"/>
          <w:sz w:val="24"/>
          <w:szCs w:val="24"/>
          <w:shd w:val="clear" w:color="auto" w:fill="FFFFFF"/>
        </w:rPr>
        <w:t> in </w:t>
      </w:r>
      <w:r w:rsidRPr="00554850">
        <w:rPr>
          <w:rStyle w:val="Emphasis"/>
          <w:rFonts w:ascii="Times New Roman" w:hAnsi="Times New Roman" w:cs="Times New Roman"/>
          <w:color w:val="0F1115"/>
          <w:sz w:val="24"/>
          <w:szCs w:val="24"/>
          <w:shd w:val="clear" w:color="auto" w:fill="FFFFFF"/>
        </w:rPr>
        <w:t>The Innovation Paradox: Developing-Country Capabilities for the Fourth Industrial Revolution</w:t>
      </w:r>
      <w:r w:rsidRPr="00554850">
        <w:rPr>
          <w:rFonts w:ascii="Times New Roman" w:hAnsi="Times New Roman" w:cs="Times New Roman"/>
          <w:color w:val="0F1115"/>
          <w:sz w:val="24"/>
          <w:szCs w:val="24"/>
          <w:shd w:val="clear" w:color="auto" w:fill="FFFFFF"/>
        </w:rPr>
        <w:t>, which emphasizes that fiscal incentives must be well-designed and stable to effectively spur private-sector R&amp;D.</w:t>
      </w:r>
    </w:p>
    <w:p w:rsidR="00B631C1" w:rsidRPr="00554850" w:rsidRDefault="00B631C1"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lastRenderedPageBreak/>
        <w:t>Another important facilitator is international cooperation. Nigerian researchers can access cutting-edge technologies, exchange knowledge, and benchmark best practices by collaborating with international research institutes and industrial centers. As seen during the COVID-19 pandemic, when supply chain interruptions highlighted the necessity for local manufacturing skills, such global-local connections can also improve Nigeria's capacity to produce vaccines, enzymes, and other biological goods domestically (WHO Africa, 2022).</w:t>
      </w:r>
    </w:p>
    <w:p w:rsidR="00B631C1" w:rsidRPr="00554850" w:rsidRDefault="00B631C1"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Thus, it is impossible to overestimate the contribution of biotechnology and microbiology research to the development of Nigeria's </w:t>
      </w:r>
      <w:r w:rsidR="00C378B0" w:rsidRPr="00554850">
        <w:rPr>
          <w:rFonts w:ascii="Times New Roman" w:hAnsi="Times New Roman" w:cs="Times New Roman"/>
          <w:sz w:val="24"/>
          <w:szCs w:val="24"/>
        </w:rPr>
        <w:t>manufacturing sector</w:t>
      </w:r>
      <w:r w:rsidRPr="00554850">
        <w:rPr>
          <w:rFonts w:ascii="Times New Roman" w:hAnsi="Times New Roman" w:cs="Times New Roman"/>
          <w:sz w:val="24"/>
          <w:szCs w:val="24"/>
        </w:rPr>
        <w:t xml:space="preserve">. These industries have the potential to revolutionize a variety of industries, from agro-industrial systems and environmental management to food production and pharmaceuticals. Strategic investment in research infrastructure, policy support, and cooperation between academia, business, and government are necessary for Nigeria to fully take advantage of these potential. By making these efforts, the nation may develop a robust and competitive manufacturing base and move from a consumer to a producer economy. With an emphasis on microbiological and biotechnological breakthroughs, this study examines reviewed literature that emphasizes the contribution of scientific research to the advancement of Nigeria's </w:t>
      </w:r>
      <w:r w:rsidR="00C378B0" w:rsidRPr="00554850">
        <w:rPr>
          <w:rFonts w:ascii="Times New Roman" w:hAnsi="Times New Roman" w:cs="Times New Roman"/>
          <w:sz w:val="24"/>
          <w:szCs w:val="24"/>
        </w:rPr>
        <w:t>manufacturingsector</w:t>
      </w:r>
      <w:r w:rsidRPr="00554850">
        <w:rPr>
          <w:rFonts w:ascii="Times New Roman" w:hAnsi="Times New Roman" w:cs="Times New Roman"/>
          <w:sz w:val="24"/>
          <w:szCs w:val="24"/>
        </w:rPr>
        <w:t>.</w:t>
      </w:r>
    </w:p>
    <w:p w:rsidR="00717155"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2.1 Concept of Manufacturing and Its Importance in Nigeria</w:t>
      </w:r>
    </w:p>
    <w:p w:rsidR="00FB00E6" w:rsidRPr="00554850" w:rsidRDefault="00E856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The conversion of raw materials into completed commodities by mechanical, chemical, or biological processes is referred to as manufacturing. Because of its ability to generate wealth, jobs, and innovation, it is an essential industry for economic growth. Only 8–10% of Nigeria's GDP comes from manufacturing, which is significantly less than the global average for emerging nations (Adebayo &amp; Yusuf, 2022). The sector's expansion has been hampered by issues like inadequate infrastructure, poor technology uptake, and little research integration. Sustainable routes to industrial change are provided by tackling these problems with science-driven methods, particularly in microbiology and biotechnology.</w:t>
      </w:r>
    </w:p>
    <w:p w:rsidR="00717155"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2.2 Microbiology and Biotechnology: Definitions and Scope</w:t>
      </w:r>
    </w:p>
    <w:p w:rsidR="00E85604" w:rsidRPr="00554850" w:rsidRDefault="00E856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The scientific study of microorganisms, including bacteria, fungus, and viruses, many of which are crucial to industrial processes, is known as microbiology. In contrast, biotechnology is the use of biological systems, organisms, or their derivatives to create goods and technologies for a variety of industries, such as manufacturing, agriculture, and health (Adeboye et al., 2022). </w:t>
      </w:r>
      <w:r w:rsidRPr="00554850">
        <w:rPr>
          <w:rFonts w:ascii="Times New Roman" w:hAnsi="Times New Roman" w:cs="Times New Roman"/>
          <w:sz w:val="24"/>
          <w:szCs w:val="24"/>
        </w:rPr>
        <w:lastRenderedPageBreak/>
        <w:t>These fields come together in manufacturing in areas including bioremediation, enzyme synthesis, fermentation technology, and the creation of bio-based materials.</w:t>
      </w:r>
    </w:p>
    <w:p w:rsidR="00717155"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2.3 Research Contributions of Microbiology and Biotechnology to Industrial Manufacturing</w:t>
      </w:r>
    </w:p>
    <w:p w:rsidR="00E85604" w:rsidRPr="00554850" w:rsidRDefault="009B5F2E"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Industrial production has advanced significantly as a result of research in biotechnology and microbiology. Microbial enzymes have the potential to replace chemical catalysts in the manufacturing of food, pharmaceuticals, textiles, and paper, according to studies. According to Olaniran et al. (2023), cellulases, proteases, and amylases made from native microbial strains in Nigeria have competitive industrial uses that could lower the need to import enzyme-based reagents. </w:t>
      </w:r>
      <w:r w:rsidRPr="00554850">
        <w:rPr>
          <w:rFonts w:ascii="Times New Roman" w:hAnsi="Times New Roman" w:cs="Times New Roman"/>
          <w:sz w:val="24"/>
          <w:szCs w:val="24"/>
        </w:rPr>
        <w:br/>
      </w:r>
      <w:r w:rsidRPr="00554850">
        <w:rPr>
          <w:rFonts w:ascii="Times New Roman" w:hAnsi="Times New Roman" w:cs="Times New Roman"/>
          <w:sz w:val="24"/>
          <w:szCs w:val="24"/>
        </w:rPr>
        <w:br/>
        <w:t>Additionally, the creation of regional foods and drinks like yogurt, ogi, and burukutu heavily relies on microbial fermentation. Standardized starting cultures have been developed thanks to research to increase the goods' scalability, safety, and uniformity (Nwokoro&amp; Igwe, 2021). This development boosts Nigeria's competitiveness in regional and international markets and helps SMEs.</w:t>
      </w:r>
    </w:p>
    <w:p w:rsidR="004A5A97"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4A5A97" w:rsidRPr="00554850">
        <w:rPr>
          <w:rFonts w:ascii="Times New Roman" w:hAnsi="Times New Roman" w:cs="Times New Roman"/>
          <w:b/>
          <w:sz w:val="24"/>
          <w:szCs w:val="24"/>
        </w:rPr>
        <w:t>.</w:t>
      </w:r>
      <w:r w:rsidRPr="00554850">
        <w:rPr>
          <w:rFonts w:ascii="Times New Roman" w:hAnsi="Times New Roman" w:cs="Times New Roman"/>
          <w:b/>
          <w:sz w:val="24"/>
          <w:szCs w:val="24"/>
        </w:rPr>
        <w:t>4</w:t>
      </w:r>
      <w:r w:rsidR="004A5A97" w:rsidRPr="00554850">
        <w:rPr>
          <w:rFonts w:ascii="Times New Roman" w:hAnsi="Times New Roman" w:cs="Times New Roman"/>
          <w:b/>
          <w:sz w:val="24"/>
          <w:szCs w:val="24"/>
        </w:rPr>
        <w:t xml:space="preserve"> Biotechnology in Pharmaceutical and Agro-Allied Manufacturing</w:t>
      </w:r>
    </w:p>
    <w:p w:rsidR="004A5A97" w:rsidRPr="00554850" w:rsidRDefault="004A5A97"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There is a severe lack of domestically produced medications in Nigeria's pharmaceutical industry. Microbial antibiotic research has produced encouraging findings. Umeh et al. (2023) established the antibacterial properties of Streptomyces spp. and more actinomycetes that were isolated from Nigerian soil, which might be used as a foundation for creating regional pipelines forthe production of antibiotics. Biotechnology helps the agro-allied sector produce biofertilizers and biopesticides that increase crop productivity and lessen environmental risks. Adeboye et al. (2022) state that microbial inoculants like Rhizobium, Azospirillum, and Trichoderma spp. have been found and evaluated for commercial use in Nigerian agricultural systems, offering a basis for sustainable agro-manufacturing.</w:t>
      </w:r>
      <w:r w:rsidR="00EF5857" w:rsidRPr="00554850">
        <w:rPr>
          <w:rFonts w:ascii="Times New Roman" w:hAnsi="Times New Roman" w:cs="Times New Roman"/>
          <w:sz w:val="24"/>
          <w:szCs w:val="24"/>
        </w:rPr>
        <w:t>italics</w:t>
      </w:r>
    </w:p>
    <w:p w:rsidR="004A5A97"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4A5A97" w:rsidRPr="00554850">
        <w:rPr>
          <w:rFonts w:ascii="Times New Roman" w:hAnsi="Times New Roman" w:cs="Times New Roman"/>
          <w:b/>
          <w:sz w:val="24"/>
          <w:szCs w:val="24"/>
        </w:rPr>
        <w:t>.</w:t>
      </w:r>
      <w:r w:rsidRPr="00554850">
        <w:rPr>
          <w:rFonts w:ascii="Times New Roman" w:hAnsi="Times New Roman" w:cs="Times New Roman"/>
          <w:b/>
          <w:sz w:val="24"/>
          <w:szCs w:val="24"/>
        </w:rPr>
        <w:t>5</w:t>
      </w:r>
      <w:r w:rsidR="004A5A97" w:rsidRPr="00554850">
        <w:rPr>
          <w:rFonts w:ascii="Times New Roman" w:hAnsi="Times New Roman" w:cs="Times New Roman"/>
          <w:b/>
          <w:sz w:val="24"/>
          <w:szCs w:val="24"/>
        </w:rPr>
        <w:t xml:space="preserve"> Bioremediation and Waste Management in Manufacturing</w:t>
      </w:r>
    </w:p>
    <w:p w:rsidR="004A5A97" w:rsidRPr="00554850" w:rsidRDefault="004A5A97"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Umeh et al. (2023) discovered that bacterial strains from crude oil-contaminated soils in the Niger Delta can be used to treat effluents in the petrochemical and food-processing industries, minimizing ecological damage and aligning with sustainable development goals (SDG 12). </w:t>
      </w:r>
      <w:r w:rsidRPr="00554850">
        <w:rPr>
          <w:rFonts w:ascii="Times New Roman" w:hAnsi="Times New Roman" w:cs="Times New Roman"/>
          <w:sz w:val="24"/>
          <w:szCs w:val="24"/>
        </w:rPr>
        <w:lastRenderedPageBreak/>
        <w:t>Research into bioremediation, a process that uses microbes to degrade environmental contaminants, has opened new avenues for sustainable waste management.</w:t>
      </w:r>
    </w:p>
    <w:p w:rsidR="00D22887"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D22887" w:rsidRPr="00554850">
        <w:rPr>
          <w:rFonts w:ascii="Times New Roman" w:hAnsi="Times New Roman" w:cs="Times New Roman"/>
          <w:b/>
          <w:sz w:val="24"/>
          <w:szCs w:val="24"/>
        </w:rPr>
        <w:t>.</w:t>
      </w:r>
      <w:r w:rsidRPr="00554850">
        <w:rPr>
          <w:rFonts w:ascii="Times New Roman" w:hAnsi="Times New Roman" w:cs="Times New Roman"/>
          <w:b/>
          <w:sz w:val="24"/>
          <w:szCs w:val="24"/>
        </w:rPr>
        <w:t>6</w:t>
      </w:r>
      <w:r w:rsidR="00D22887" w:rsidRPr="00554850">
        <w:rPr>
          <w:rFonts w:ascii="Times New Roman" w:hAnsi="Times New Roman" w:cs="Times New Roman"/>
          <w:b/>
          <w:sz w:val="24"/>
          <w:szCs w:val="24"/>
        </w:rPr>
        <w:t xml:space="preserve"> Waste Valorization through Microbial Activity</w:t>
      </w:r>
    </w:p>
    <w:p w:rsidR="00D22887" w:rsidRPr="00554850" w:rsidRDefault="00D22887"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Waste valorization is the process of employing microbial activities to transform industrial waste into items that are valuable. According to recent research, microbial digestion can convert agricultural and food sector by-products into biogas, compost, or organic acids (Eze &amp;Anazodo, 2023). These procedures not only cut waste but also generate revenue and save producers money on energy. For example, pilot experiments have produced biogas from cassava peels and brewery trash, providing renewable energy options.</w:t>
      </w:r>
    </w:p>
    <w:p w:rsidR="00D22887" w:rsidRPr="00554850" w:rsidRDefault="00717155"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D22887" w:rsidRPr="00554850">
        <w:rPr>
          <w:rFonts w:ascii="Times New Roman" w:hAnsi="Times New Roman" w:cs="Times New Roman"/>
          <w:b/>
          <w:sz w:val="24"/>
          <w:szCs w:val="24"/>
        </w:rPr>
        <w:t>.</w:t>
      </w:r>
      <w:r w:rsidRPr="00554850">
        <w:rPr>
          <w:rFonts w:ascii="Times New Roman" w:hAnsi="Times New Roman" w:cs="Times New Roman"/>
          <w:b/>
          <w:sz w:val="24"/>
          <w:szCs w:val="24"/>
        </w:rPr>
        <w:t>7</w:t>
      </w:r>
      <w:r w:rsidR="00D22887" w:rsidRPr="00554850">
        <w:rPr>
          <w:rFonts w:ascii="Times New Roman" w:hAnsi="Times New Roman" w:cs="Times New Roman"/>
          <w:b/>
          <w:sz w:val="24"/>
          <w:szCs w:val="24"/>
        </w:rPr>
        <w:t xml:space="preserve"> The Gap between Research and Industrial Application in Nigeria</w:t>
      </w:r>
    </w:p>
    <w:p w:rsidR="00D22887" w:rsidRPr="00554850" w:rsidRDefault="00D22887"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Due to inadequate cooperation between academic institutions and the industry, a large portion of the expanding corpus of research in microbiology and biotechnology remains unutilized.  According to Okezie et al. (2021), the conversion of research into goods that are ready for the market is hampered by a lack of funding channels, intellectual property rights enforcement, and technology transfer frameworks.  This gap might be closed and industrial innovation stimulated by bolstering academic-industry collaborations through collaborative research, internships, and innovation hubs.</w:t>
      </w:r>
    </w:p>
    <w:p w:rsidR="00CC5B97" w:rsidRPr="00554850" w:rsidRDefault="00BA0BC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One of the biggest obstacles to Nigeria's industrial and technological development is the ongoing disconnect between research results and industrial application. Even though research centers and colleges continue to produce important discoveries in biotechnology and microbiology, these advancements hardly ever find their way into commercial manufacturing processes. Inadequate connections between academia and industry are a major contributing factor to this mismatch, as many firms are either unaware of or unable to access locally produced scientific discoveries (Okezie et al., 2021). Furthermore, research items are not directed through the stages of prototype, market testing, and commercialization since the majority of Nigerian research institutions lack organized technology transfer offices and innovation centers. As a result, important innovations—like biofertilizers for agro-industries or microbial enzymes for food processing—remain limited to scholarly journals </w:t>
      </w:r>
      <w:r w:rsidR="001F15C7" w:rsidRPr="00554850">
        <w:rPr>
          <w:rFonts w:ascii="Times New Roman" w:hAnsi="Times New Roman" w:cs="Times New Roman"/>
          <w:sz w:val="24"/>
          <w:szCs w:val="24"/>
        </w:rPr>
        <w:t>and laboratory</w:t>
      </w:r>
      <w:r w:rsidRPr="00554850">
        <w:rPr>
          <w:rFonts w:ascii="Times New Roman" w:hAnsi="Times New Roman" w:cs="Times New Roman"/>
          <w:sz w:val="24"/>
          <w:szCs w:val="24"/>
        </w:rPr>
        <w:t>-scale experiments.</w:t>
      </w:r>
    </w:p>
    <w:p w:rsidR="00BA0BC4" w:rsidRPr="00554850" w:rsidRDefault="00BA0BC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lastRenderedPageBreak/>
        <w:t>The absence of infrastructure and regulatory incentives to facilitate the commercialization of research is another major obstacle.  Because local alternatives are either unavailable in usable form or lack the legislative support necessary for adoption which the majority of Nigerian sectors primarily rely on foreign technologies.  Researchers and entrepreneurs are further deterred from pursuing commercialization by inadequate finance, inadequate intellectual property protection, and a lack of venture capital assistance (Eze &amp;Anazodo, 2023).  A cultural and institutional divide also exists, where academic achievement is determined by publications rather than by practical application or industrial significance.  A purposeful national approach that involves institutionalizing research-to-market pipelines across tertiary institutions and industrial sectors, encouraging collaborative research with industry, and reforming research funding paradigms is necessary to close this gap.</w:t>
      </w:r>
    </w:p>
    <w:p w:rsidR="00BA0BC4"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BA0BC4" w:rsidRPr="00554850">
        <w:rPr>
          <w:rFonts w:ascii="Times New Roman" w:hAnsi="Times New Roman" w:cs="Times New Roman"/>
          <w:b/>
          <w:sz w:val="24"/>
          <w:szCs w:val="24"/>
        </w:rPr>
        <w:t>.</w:t>
      </w:r>
      <w:r w:rsidRPr="00554850">
        <w:rPr>
          <w:rFonts w:ascii="Times New Roman" w:hAnsi="Times New Roman" w:cs="Times New Roman"/>
          <w:b/>
          <w:sz w:val="24"/>
          <w:szCs w:val="24"/>
        </w:rPr>
        <w:t>8</w:t>
      </w:r>
      <w:r w:rsidR="00BA0BC4" w:rsidRPr="00554850">
        <w:rPr>
          <w:rFonts w:ascii="Times New Roman" w:hAnsi="Times New Roman" w:cs="Times New Roman"/>
          <w:b/>
          <w:sz w:val="24"/>
          <w:szCs w:val="24"/>
        </w:rPr>
        <w:t xml:space="preserve"> Role of Government and Policy Frameworks</w:t>
      </w:r>
    </w:p>
    <w:p w:rsidR="004A5A97" w:rsidRPr="00554850" w:rsidRDefault="00BA0BC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To fully utilize research in industrial growth, institutional backing and effective policies are essential. Research in Nigeria is partially supported by organizations like the Tertiary Education Trust Fund (TETFund) and the National Biotechnology Development Agency (NABDA). But academics contend that these initiatives require more financing and improved coordination (Adebayo &amp; Yusuf, 2022). A healthy bio-industrial ecosystem requires policies that protect scientific ideas, regulate product standards, and encourage R&amp;D tax credits.</w:t>
      </w:r>
    </w:p>
    <w:p w:rsidR="00BA0BC4"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BA0BC4" w:rsidRPr="00554850">
        <w:rPr>
          <w:rFonts w:ascii="Times New Roman" w:hAnsi="Times New Roman" w:cs="Times New Roman"/>
          <w:b/>
          <w:sz w:val="24"/>
          <w:szCs w:val="24"/>
        </w:rPr>
        <w:t>.</w:t>
      </w:r>
      <w:r w:rsidRPr="00554850">
        <w:rPr>
          <w:rFonts w:ascii="Times New Roman" w:hAnsi="Times New Roman" w:cs="Times New Roman"/>
          <w:b/>
          <w:sz w:val="24"/>
          <w:szCs w:val="24"/>
        </w:rPr>
        <w:t>9</w:t>
      </w:r>
      <w:r w:rsidR="00BA0BC4" w:rsidRPr="00554850">
        <w:rPr>
          <w:rFonts w:ascii="Times New Roman" w:hAnsi="Times New Roman" w:cs="Times New Roman"/>
          <w:b/>
          <w:sz w:val="24"/>
          <w:szCs w:val="24"/>
        </w:rPr>
        <w:t xml:space="preserve"> International Comparisons and Lessons for Nigeria</w:t>
      </w:r>
    </w:p>
    <w:p w:rsidR="00BA0BC4" w:rsidRPr="00554850" w:rsidRDefault="009F48D2"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By creating biotech parks, innovation centers, and strong intellectual property regulations, nations like Brazil, China, and India have successfully incorporated biotechnology into industry. By establishing biotechnology clusters, offering startup funding, and improving research infrastructure, Nigeria can draw from these models (WHO Africa, 2022). Local and worldwide public-private collaborations play a crucial role in promoting the commercialization of research.</w:t>
      </w:r>
    </w:p>
    <w:p w:rsidR="009F48D2"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9F48D2" w:rsidRPr="00554850">
        <w:rPr>
          <w:rFonts w:ascii="Times New Roman" w:hAnsi="Times New Roman" w:cs="Times New Roman"/>
          <w:b/>
          <w:sz w:val="24"/>
          <w:szCs w:val="24"/>
        </w:rPr>
        <w:t>.</w:t>
      </w:r>
      <w:r w:rsidRPr="00554850">
        <w:rPr>
          <w:rFonts w:ascii="Times New Roman" w:hAnsi="Times New Roman" w:cs="Times New Roman"/>
          <w:b/>
          <w:sz w:val="24"/>
          <w:szCs w:val="24"/>
        </w:rPr>
        <w:t>10</w:t>
      </w:r>
      <w:r w:rsidR="009F48D2" w:rsidRPr="00554850">
        <w:rPr>
          <w:rFonts w:ascii="Times New Roman" w:hAnsi="Times New Roman" w:cs="Times New Roman"/>
          <w:b/>
          <w:sz w:val="24"/>
          <w:szCs w:val="24"/>
        </w:rPr>
        <w:t xml:space="preserve"> Emerging Research Areas with Industrial Relevance</w:t>
      </w:r>
    </w:p>
    <w:p w:rsidR="009F48D2" w:rsidRPr="00554850" w:rsidRDefault="009F48D2" w:rsidP="007777AC">
      <w:pPr>
        <w:spacing w:line="360" w:lineRule="auto"/>
        <w:jc w:val="both"/>
        <w:rPr>
          <w:rFonts w:ascii="Times New Roman" w:hAnsi="Times New Roman" w:cs="Times New Roman"/>
          <w:sz w:val="24"/>
          <w:szCs w:val="24"/>
          <w:shd w:val="clear" w:color="auto" w:fill="FFFFFF"/>
        </w:rPr>
      </w:pPr>
      <w:r w:rsidRPr="00554850">
        <w:rPr>
          <w:rFonts w:ascii="Times New Roman" w:hAnsi="Times New Roman" w:cs="Times New Roman"/>
          <w:sz w:val="24"/>
          <w:szCs w:val="24"/>
        </w:rPr>
        <w:t xml:space="preserve">New fields of study including metagenomics, CRISPR gene editing, and synthetic biology are quickly changing the industrial biotechnology environment and offering Nigeria's manufacturing industry enormous potential. New biological systems, such as bacteria designed for high-yield synthesis of enzymes, medicines, and biofuels, can be designed and built thanks to synthetic biology. Conversely, metagenomics makes it easier to find unculturable microbial populations </w:t>
      </w:r>
      <w:r w:rsidRPr="00554850">
        <w:rPr>
          <w:rFonts w:ascii="Times New Roman" w:hAnsi="Times New Roman" w:cs="Times New Roman"/>
          <w:sz w:val="24"/>
          <w:szCs w:val="24"/>
        </w:rPr>
        <w:lastRenderedPageBreak/>
        <w:t xml:space="preserve">that can be used for industrial purposes in a variety of settings, including soil, wastewater, and fermented foods (Olaniran et al., 2023). Early research in these areas has showed promise for enhancing waste treatment, bioenergy generation, and food preservation in Nigeria. </w:t>
      </w:r>
      <w:r w:rsidRPr="00554850">
        <w:rPr>
          <w:rFonts w:ascii="Times New Roman" w:hAnsi="Times New Roman" w:cs="Times New Roman"/>
          <w:sz w:val="24"/>
          <w:szCs w:val="24"/>
          <w:shd w:val="clear" w:color="auto" w:fill="FFFFFF"/>
        </w:rPr>
        <w:t>However, the country still lags in the availability of advanced infrastructure and trained personnel needed to harness the full potential of these cutting-edge technologies.</w:t>
      </w:r>
    </w:p>
    <w:p w:rsidR="009F48D2" w:rsidRPr="00554850" w:rsidRDefault="00A372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Furthermore, industrial microbiology is using omics technologies like proteomics, transcriptomics, and metabolomics to optimize microbial strains and boost process efficiency. These tools enable the development of highly resilient and productive strains for manufacturing processes by offering comprehensive insights into microbial behavior under industrial conditions. Adeboye et al. (2022) claim that due to a lack of financing and cooperation with international research centers, the use of omics in Nigerian research institutes is still quite limited. Nonetheless, smart investments and international alliances could advance Nigeria’s capability in these domains, ultimately boosting the growth of bio-based businesses, pharmaceutical innovations, and climate-resilient manufacturing systems. Through collaborations with foreign research institutions, these state-of-the-art technologies can be tailored to local situations.</w:t>
      </w:r>
    </w:p>
    <w:p w:rsidR="00A37204"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A37204" w:rsidRPr="00554850">
        <w:rPr>
          <w:rFonts w:ascii="Times New Roman" w:hAnsi="Times New Roman" w:cs="Times New Roman"/>
          <w:b/>
          <w:sz w:val="24"/>
          <w:szCs w:val="24"/>
        </w:rPr>
        <w:t>.1</w:t>
      </w:r>
      <w:r w:rsidRPr="00554850">
        <w:rPr>
          <w:rFonts w:ascii="Times New Roman" w:hAnsi="Times New Roman" w:cs="Times New Roman"/>
          <w:b/>
          <w:sz w:val="24"/>
          <w:szCs w:val="24"/>
        </w:rPr>
        <w:t>1</w:t>
      </w:r>
      <w:r w:rsidR="00A37204" w:rsidRPr="00554850">
        <w:rPr>
          <w:rFonts w:ascii="Times New Roman" w:hAnsi="Times New Roman" w:cs="Times New Roman"/>
          <w:b/>
          <w:sz w:val="24"/>
          <w:szCs w:val="24"/>
        </w:rPr>
        <w:t xml:space="preserve"> Educational Reforms and Capacity Building</w:t>
      </w:r>
    </w:p>
    <w:p w:rsidR="00A37204" w:rsidRPr="00554850" w:rsidRDefault="00A372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In order to generate graduates with practical abilities in industrial microbiology and biotechnology, Nigeria's postsecondary institutions need to update their curricula. Research internships, industry-focused training, and entrepreneurship education should all be included, according to Eze and Anazodo (2023). Converting research into commercially viable manufacturing technology requires the development of a competent workforce.</w:t>
      </w:r>
    </w:p>
    <w:p w:rsidR="00A37204"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A37204" w:rsidRPr="00554850">
        <w:rPr>
          <w:rFonts w:ascii="Times New Roman" w:hAnsi="Times New Roman" w:cs="Times New Roman"/>
          <w:b/>
          <w:sz w:val="24"/>
          <w:szCs w:val="24"/>
        </w:rPr>
        <w:t>.1</w:t>
      </w:r>
      <w:r w:rsidRPr="00554850">
        <w:rPr>
          <w:rFonts w:ascii="Times New Roman" w:hAnsi="Times New Roman" w:cs="Times New Roman"/>
          <w:b/>
          <w:sz w:val="24"/>
          <w:szCs w:val="24"/>
        </w:rPr>
        <w:t>2</w:t>
      </w:r>
      <w:r w:rsidR="00A37204" w:rsidRPr="00554850">
        <w:rPr>
          <w:rFonts w:ascii="Times New Roman" w:hAnsi="Times New Roman" w:cs="Times New Roman"/>
          <w:b/>
          <w:sz w:val="24"/>
          <w:szCs w:val="24"/>
        </w:rPr>
        <w:t xml:space="preserve"> Technology Transfer and Innovation Hubs</w:t>
      </w:r>
    </w:p>
    <w:p w:rsidR="00A37204" w:rsidRPr="00554850" w:rsidRDefault="00A372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Innovation hubs and incubation centers play a pivotal role in transforming research outputs into products. These hubs offer research teams and entrepreneurs facilities, money, and mentorship. Product development in fields including enzyme synthesis, biofertilizers, and industrial fermentation will be aided by the establishment of such institutes in Nigerian universities and research facilities (Okezie et al., 2021).</w:t>
      </w:r>
    </w:p>
    <w:p w:rsidR="00A37204" w:rsidRPr="00554850" w:rsidRDefault="00A37204" w:rsidP="007777AC">
      <w:pPr>
        <w:spacing w:line="360" w:lineRule="auto"/>
        <w:jc w:val="both"/>
        <w:rPr>
          <w:rFonts w:ascii="Times New Roman" w:hAnsi="Times New Roman" w:cs="Times New Roman"/>
          <w:sz w:val="24"/>
          <w:szCs w:val="24"/>
          <w:shd w:val="clear" w:color="auto" w:fill="FFFFFF"/>
        </w:rPr>
      </w:pPr>
    </w:p>
    <w:p w:rsidR="00A37204"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lastRenderedPageBreak/>
        <w:t>2</w:t>
      </w:r>
      <w:r w:rsidR="00A37204" w:rsidRPr="00554850">
        <w:rPr>
          <w:rFonts w:ascii="Times New Roman" w:hAnsi="Times New Roman" w:cs="Times New Roman"/>
          <w:b/>
          <w:sz w:val="24"/>
          <w:szCs w:val="24"/>
        </w:rPr>
        <w:t>.1</w:t>
      </w:r>
      <w:r w:rsidRPr="00554850">
        <w:rPr>
          <w:rFonts w:ascii="Times New Roman" w:hAnsi="Times New Roman" w:cs="Times New Roman"/>
          <w:b/>
          <w:sz w:val="24"/>
          <w:szCs w:val="24"/>
        </w:rPr>
        <w:t>3</w:t>
      </w:r>
      <w:r w:rsidR="00A37204" w:rsidRPr="00554850">
        <w:rPr>
          <w:rFonts w:ascii="Times New Roman" w:hAnsi="Times New Roman" w:cs="Times New Roman"/>
          <w:b/>
          <w:sz w:val="24"/>
          <w:szCs w:val="24"/>
        </w:rPr>
        <w:t xml:space="preserve"> Quality Control and Industrial Hygiene</w:t>
      </w:r>
    </w:p>
    <w:p w:rsidR="00A37204" w:rsidRPr="00554850" w:rsidRDefault="00A37204"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Additionally, microbiological research helps manufacturing quality control, particularly in the food and pharmaceutical industries. Product integrity may be jeopardized by pathogen or spoilage organism contamination. Microbial safety, product shelf life, and regulatory compliance are all guaranteed by research-driven quality assurance procedures (Akinyosoye&amp; Adeniran, 2020). Increasing customer confidence and entering export markets depend on this.</w:t>
      </w:r>
    </w:p>
    <w:p w:rsidR="00AC792E"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AC792E" w:rsidRPr="00554850">
        <w:rPr>
          <w:rFonts w:ascii="Times New Roman" w:hAnsi="Times New Roman" w:cs="Times New Roman"/>
          <w:b/>
          <w:sz w:val="24"/>
          <w:szCs w:val="24"/>
        </w:rPr>
        <w:t>.1</w:t>
      </w:r>
      <w:r w:rsidRPr="00554850">
        <w:rPr>
          <w:rFonts w:ascii="Times New Roman" w:hAnsi="Times New Roman" w:cs="Times New Roman"/>
          <w:b/>
          <w:sz w:val="24"/>
          <w:szCs w:val="24"/>
        </w:rPr>
        <w:t>4</w:t>
      </w:r>
      <w:r w:rsidR="00AC792E" w:rsidRPr="00554850">
        <w:rPr>
          <w:rFonts w:ascii="Times New Roman" w:hAnsi="Times New Roman" w:cs="Times New Roman"/>
          <w:b/>
          <w:sz w:val="24"/>
          <w:szCs w:val="24"/>
        </w:rPr>
        <w:t xml:space="preserve"> Contributions to Food Security and Nutrition</w:t>
      </w:r>
    </w:p>
    <w:p w:rsidR="009F48D2" w:rsidRPr="00554850" w:rsidRDefault="00AC792E"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The nutritional and physiological benefits of probiotics in fermented foods have drawn attention. Local lactic acid bacteria (LAB) strains from traditional Nigerian foods have been shown to have probiotic qualities that may be used in the production of functional foods (Nwokoro&amp; Igwe, 2021). Food security, health promotion, and economic empowerment through small-scale food companies are all impacted by this.</w:t>
      </w:r>
    </w:p>
    <w:p w:rsidR="00AC792E"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w:t>
      </w:r>
      <w:r w:rsidR="00AC792E" w:rsidRPr="00554850">
        <w:rPr>
          <w:rFonts w:ascii="Times New Roman" w:hAnsi="Times New Roman" w:cs="Times New Roman"/>
          <w:b/>
          <w:sz w:val="24"/>
          <w:szCs w:val="24"/>
        </w:rPr>
        <w:t>.1</w:t>
      </w:r>
      <w:r w:rsidRPr="00554850">
        <w:rPr>
          <w:rFonts w:ascii="Times New Roman" w:hAnsi="Times New Roman" w:cs="Times New Roman"/>
          <w:b/>
          <w:sz w:val="24"/>
          <w:szCs w:val="24"/>
        </w:rPr>
        <w:t>5</w:t>
      </w:r>
      <w:r w:rsidR="00AC792E" w:rsidRPr="00554850">
        <w:rPr>
          <w:rFonts w:ascii="Times New Roman" w:hAnsi="Times New Roman" w:cs="Times New Roman"/>
          <w:b/>
          <w:sz w:val="24"/>
          <w:szCs w:val="24"/>
        </w:rPr>
        <w:t xml:space="preserve"> Public Health and Antimicrobial Resistance (AMR)</w:t>
      </w:r>
    </w:p>
    <w:p w:rsidR="00AC792E" w:rsidRPr="00554850" w:rsidRDefault="00AC792E"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In order to combat antimicrobial resistance (AMR) in production settings, microbiology research is also essential. Resistant microbial strains can result from inadequate antimicrobial procedures in the production of pharmaceuticals and animal husbandry. Research on bio-preservatives, resistance surveillance, and natural antimicrobials aids producers in implementing safer, more environmentally friendly production techniques (Umeh et al., 2023).</w:t>
      </w:r>
    </w:p>
    <w:p w:rsidR="00AC792E"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2.16</w:t>
      </w:r>
      <w:r w:rsidR="00AC792E" w:rsidRPr="00554850">
        <w:rPr>
          <w:rFonts w:ascii="Times New Roman" w:hAnsi="Times New Roman" w:cs="Times New Roman"/>
          <w:b/>
          <w:sz w:val="24"/>
          <w:szCs w:val="24"/>
        </w:rPr>
        <w:t xml:space="preserve"> Challenges in Research Commercialization</w:t>
      </w:r>
    </w:p>
    <w:p w:rsidR="00AC792E" w:rsidRPr="00554850" w:rsidRDefault="00AC792E"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Numerous obstacles, including bureaucracy, a lack of seed money, and a lack of interest from venture capital, stand in the way of Nigerian research findings being commercialized. According to Adeboye et al. (2022), the scalability of inventions is limited since many academics are ignorant of intellectual property rights, licensing, and business development. It is crucial to close these gaps with policy assistance and training.</w:t>
      </w:r>
    </w:p>
    <w:p w:rsidR="00AC792E"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2.17</w:t>
      </w:r>
      <w:r w:rsidR="00AC792E" w:rsidRPr="00554850">
        <w:rPr>
          <w:rFonts w:ascii="Times New Roman" w:hAnsi="Times New Roman" w:cs="Times New Roman"/>
          <w:b/>
          <w:sz w:val="24"/>
          <w:szCs w:val="24"/>
        </w:rPr>
        <w:t xml:space="preserve"> Opportunities in Export and Trade</w:t>
      </w:r>
    </w:p>
    <w:p w:rsidR="00AC792E" w:rsidRPr="00554850" w:rsidRDefault="00AC792E"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Nigerian producers have</w:t>
      </w:r>
      <w:r w:rsidR="00717155" w:rsidRPr="00554850">
        <w:rPr>
          <w:rFonts w:ascii="Times New Roman" w:hAnsi="Times New Roman" w:cs="Times New Roman"/>
          <w:sz w:val="24"/>
          <w:szCs w:val="24"/>
        </w:rPr>
        <w:t xml:space="preserve"> export prospects because of the </w:t>
      </w:r>
      <w:r w:rsidRPr="00554850">
        <w:rPr>
          <w:rFonts w:ascii="Times New Roman" w:hAnsi="Times New Roman" w:cs="Times New Roman"/>
          <w:sz w:val="24"/>
          <w:szCs w:val="24"/>
        </w:rPr>
        <w:t xml:space="preserve"> worldwide demand for bioproducts such </w:t>
      </w:r>
      <w:r w:rsidR="00717155" w:rsidRPr="00554850">
        <w:rPr>
          <w:rFonts w:ascii="Times New Roman" w:hAnsi="Times New Roman" w:cs="Times New Roman"/>
          <w:sz w:val="24"/>
          <w:szCs w:val="24"/>
        </w:rPr>
        <w:t xml:space="preserve">as </w:t>
      </w:r>
      <w:r w:rsidRPr="00554850">
        <w:rPr>
          <w:rFonts w:ascii="Times New Roman" w:hAnsi="Times New Roman" w:cs="Times New Roman"/>
          <w:sz w:val="24"/>
          <w:szCs w:val="24"/>
        </w:rPr>
        <w:t>organic meals, natural enzymes, and environmentally friendly chemicals.  Manufacturing supported by research may guarantee product quality, certifications, and competitiveness in global markets.  Nigeria is now in a position to access global value chains (WHO Africa, 2022).</w:t>
      </w:r>
    </w:p>
    <w:p w:rsidR="00717155"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lastRenderedPageBreak/>
        <w:t>2</w:t>
      </w:r>
      <w:r w:rsidR="00717155" w:rsidRPr="00554850">
        <w:rPr>
          <w:rFonts w:ascii="Times New Roman" w:hAnsi="Times New Roman" w:cs="Times New Roman"/>
          <w:b/>
          <w:sz w:val="24"/>
          <w:szCs w:val="24"/>
        </w:rPr>
        <w:t>.1</w:t>
      </w:r>
      <w:r w:rsidRPr="00554850">
        <w:rPr>
          <w:rFonts w:ascii="Times New Roman" w:hAnsi="Times New Roman" w:cs="Times New Roman"/>
          <w:b/>
          <w:sz w:val="24"/>
          <w:szCs w:val="24"/>
        </w:rPr>
        <w:t>8</w:t>
      </w:r>
      <w:r w:rsidR="00717155" w:rsidRPr="00554850">
        <w:rPr>
          <w:rFonts w:ascii="Times New Roman" w:hAnsi="Times New Roman" w:cs="Times New Roman"/>
          <w:b/>
          <w:sz w:val="24"/>
          <w:szCs w:val="24"/>
        </w:rPr>
        <w:t xml:space="preserve"> Future Prospects</w:t>
      </w:r>
    </w:p>
    <w:p w:rsidR="00717155" w:rsidRPr="00554850" w:rsidRDefault="00717155" w:rsidP="007777AC">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Nigeria's industrial potential can be unlocked through microbiology and biotechnology research with smart investment and institutional reform. Future industrial growth is anticipated in fields including bioenergy, synthetic food manufacturing, and precise fermentation. In order to create a manufacturing sector that is inclusive, sustainable, and globally competitive, research will continue to play a revolutionary role.</w:t>
      </w:r>
    </w:p>
    <w:p w:rsidR="00717155" w:rsidRPr="00554850" w:rsidRDefault="007777AC" w:rsidP="007777AC">
      <w:pPr>
        <w:spacing w:after="0" w:line="360" w:lineRule="auto"/>
        <w:jc w:val="both"/>
        <w:rPr>
          <w:rFonts w:ascii="Times New Roman" w:hAnsi="Times New Roman" w:cs="Times New Roman"/>
          <w:b/>
          <w:sz w:val="24"/>
          <w:szCs w:val="24"/>
        </w:rPr>
      </w:pPr>
      <w:r w:rsidRPr="00554850">
        <w:rPr>
          <w:rFonts w:ascii="Times New Roman" w:hAnsi="Times New Roman" w:cs="Times New Roman"/>
          <w:b/>
          <w:sz w:val="24"/>
          <w:szCs w:val="24"/>
        </w:rPr>
        <w:t>3.0</w:t>
      </w:r>
      <w:r w:rsidR="00717155" w:rsidRPr="00554850">
        <w:rPr>
          <w:rFonts w:ascii="Times New Roman" w:hAnsi="Times New Roman" w:cs="Times New Roman"/>
          <w:b/>
          <w:sz w:val="24"/>
          <w:szCs w:val="24"/>
        </w:rPr>
        <w:t xml:space="preserve"> Conclusion</w:t>
      </w:r>
    </w:p>
    <w:p w:rsidR="00717155" w:rsidRPr="00554850" w:rsidRDefault="00717155" w:rsidP="007777AC">
      <w:pPr>
        <w:spacing w:after="0" w:line="360" w:lineRule="auto"/>
        <w:jc w:val="both"/>
        <w:rPr>
          <w:rFonts w:ascii="Times New Roman" w:hAnsi="Times New Roman" w:cs="Times New Roman"/>
          <w:sz w:val="24"/>
          <w:szCs w:val="24"/>
        </w:rPr>
      </w:pPr>
      <w:r w:rsidRPr="00554850">
        <w:rPr>
          <w:rFonts w:ascii="Times New Roman" w:hAnsi="Times New Roman" w:cs="Times New Roman"/>
          <w:sz w:val="24"/>
          <w:szCs w:val="24"/>
        </w:rPr>
        <w:t>Conclusively, microbiology and biotechnology offer immense potential to revolutionize Nigeria's manufacturing sector. However, unlocking these benefits requires coordinated efforts among government, academia, industry, and international partners. With the right investments, policies, and collaborations, research can become the cornerstone of a resilient and globally competitive Nigerian manufacturing economy. This article has reviewed the role of research—particularly microbiology and biotechnology—in advancing Nigeria’s manufacturing sector. The literature underscores significant contributions in enzyme production, bioremediation, pharmaceuticals, and food processing. Despite notable progress, the translation of research into industrial application remains limited by structural, financial, and policy barriers. Strengthening academia-industry collaboration, investing in infrastructure, and fostering innovation ecosystems are essential strategies for achieving Nigeria’s industrial goals.</w:t>
      </w:r>
    </w:p>
    <w:p w:rsidR="00E62E17" w:rsidRPr="00554850" w:rsidRDefault="00E62E17" w:rsidP="00E62E17">
      <w:pPr>
        <w:rPr>
          <w:b/>
        </w:rPr>
      </w:pPr>
      <w:r w:rsidRPr="00554850">
        <w:rPr>
          <w:b/>
        </w:rPr>
        <w:t>Disclaimer (Artificial intelligence)</w:t>
      </w:r>
    </w:p>
    <w:p w:rsidR="00E62E17" w:rsidRPr="00554850" w:rsidRDefault="00E62E17" w:rsidP="00E62E17">
      <w:r w:rsidRPr="00554850">
        <w:t xml:space="preserve">Option 1: </w:t>
      </w:r>
    </w:p>
    <w:p w:rsidR="00E62E17" w:rsidRPr="00554850" w:rsidRDefault="00E62E17" w:rsidP="00E62E17">
      <w:r w:rsidRPr="00554850">
        <w:t xml:space="preserve">Author(s) hereby declare that NO generative AI technologies such as Large Language Models (ChatGPT, COPILOT, etc.) and text-to-image generators have been used during the writing or editing of this manuscript. </w:t>
      </w:r>
    </w:p>
    <w:p w:rsidR="00E62E17" w:rsidRPr="00554850" w:rsidRDefault="00E62E17" w:rsidP="00E62E17">
      <w:r w:rsidRPr="00554850">
        <w:t xml:space="preserve">Option 2: </w:t>
      </w:r>
    </w:p>
    <w:p w:rsidR="00E62E17" w:rsidRPr="00554850" w:rsidRDefault="00E62E17" w:rsidP="00E62E17">
      <w:r w:rsidRPr="00554850">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62E17" w:rsidRPr="00554850" w:rsidRDefault="00E62E17" w:rsidP="00E62E17">
      <w:r w:rsidRPr="00554850">
        <w:t>Details of the AI usage are given below:</w:t>
      </w:r>
    </w:p>
    <w:p w:rsidR="00E62E17" w:rsidRPr="00554850" w:rsidRDefault="00E62E17" w:rsidP="00E62E17">
      <w:r w:rsidRPr="00554850">
        <w:t>1.</w:t>
      </w:r>
    </w:p>
    <w:p w:rsidR="00E62E17" w:rsidRPr="00554850" w:rsidRDefault="00E62E17" w:rsidP="00E62E17">
      <w:r w:rsidRPr="00554850">
        <w:lastRenderedPageBreak/>
        <w:t>2.</w:t>
      </w:r>
    </w:p>
    <w:p w:rsidR="00E62E17" w:rsidRPr="00554850" w:rsidRDefault="00E62E17" w:rsidP="00E62E17">
      <w:r w:rsidRPr="00554850">
        <w:t>3.</w:t>
      </w:r>
    </w:p>
    <w:p w:rsidR="00717155" w:rsidRPr="00554850" w:rsidRDefault="00717155" w:rsidP="007777AC">
      <w:pPr>
        <w:spacing w:line="360" w:lineRule="auto"/>
        <w:jc w:val="both"/>
        <w:rPr>
          <w:rFonts w:ascii="Times New Roman" w:hAnsi="Times New Roman" w:cs="Times New Roman"/>
          <w:sz w:val="24"/>
          <w:szCs w:val="24"/>
        </w:rPr>
      </w:pPr>
    </w:p>
    <w:p w:rsidR="00717155" w:rsidRPr="00554850" w:rsidRDefault="007777AC" w:rsidP="007777AC">
      <w:pPr>
        <w:spacing w:after="0" w:line="360" w:lineRule="auto"/>
        <w:jc w:val="both"/>
        <w:rPr>
          <w:rFonts w:ascii="Times New Roman" w:hAnsi="Times New Roman" w:cs="Times New Roman"/>
          <w:b/>
          <w:sz w:val="24"/>
          <w:szCs w:val="24"/>
          <w:lang w:val="es-US"/>
        </w:rPr>
      </w:pPr>
      <w:r w:rsidRPr="00554850">
        <w:rPr>
          <w:rFonts w:ascii="Times New Roman" w:hAnsi="Times New Roman" w:cs="Times New Roman"/>
          <w:b/>
          <w:sz w:val="24"/>
          <w:szCs w:val="24"/>
          <w:lang w:val="es-US"/>
        </w:rPr>
        <w:t>4.0</w:t>
      </w:r>
      <w:r w:rsidR="00717155" w:rsidRPr="00554850">
        <w:rPr>
          <w:rFonts w:ascii="Times New Roman" w:hAnsi="Times New Roman" w:cs="Times New Roman"/>
          <w:b/>
          <w:sz w:val="24"/>
          <w:szCs w:val="24"/>
          <w:lang w:val="es-US"/>
        </w:rPr>
        <w:t>References</w:t>
      </w:r>
    </w:p>
    <w:p w:rsidR="00717155"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lang w:val="es-US"/>
        </w:rPr>
        <w:t xml:space="preserve">Adebayo, A. A., &amp;Yusuf, A. R. (2022). </w:t>
      </w:r>
      <w:r w:rsidRPr="00554850">
        <w:rPr>
          <w:rFonts w:ascii="Times New Roman" w:hAnsi="Times New Roman" w:cs="Times New Roman"/>
          <w:sz w:val="24"/>
          <w:szCs w:val="24"/>
        </w:rPr>
        <w:t>Manufacturing sector performance and economic development in Nigeria. Journal of Economic Policy and Research, 17(1), 112-127.</w:t>
      </w:r>
    </w:p>
    <w:p w:rsidR="00717155"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Adeboye, B. S., Ijaiya, T. O., &amp; Ojo, S. A. (2022). Microbial biotechnology in Nigerian agriculture: Pathways for food security and sustainable industry. Journal of Applied Biosciences, 180(2), 345-355.</w:t>
      </w:r>
    </w:p>
    <w:p w:rsidR="00717155" w:rsidRPr="00554850" w:rsidRDefault="00717155" w:rsidP="006B6149">
      <w:pPr>
        <w:pStyle w:val="NormalWeb"/>
        <w:spacing w:line="360" w:lineRule="auto"/>
        <w:jc w:val="both"/>
      </w:pPr>
      <w:r w:rsidRPr="00554850">
        <w:t xml:space="preserve">Akinyosoye, F. A., &amp; Adeniran, E. A. (2020). </w:t>
      </w:r>
      <w:r w:rsidRPr="00554850">
        <w:rPr>
          <w:rStyle w:val="Emphasis"/>
        </w:rPr>
        <w:t>Microbial Safety and Quality Assurance in Nigerian Food Manufacturing</w:t>
      </w:r>
      <w:r w:rsidRPr="00554850">
        <w:t xml:space="preserve">. </w:t>
      </w:r>
      <w:r w:rsidRPr="00554850">
        <w:rPr>
          <w:rStyle w:val="Emphasis"/>
        </w:rPr>
        <w:t>Nigerian Food Journal</w:t>
      </w:r>
      <w:r w:rsidRPr="00554850">
        <w:t>, 38(2), 109–118.</w:t>
      </w:r>
    </w:p>
    <w:p w:rsidR="008F2E4F" w:rsidRPr="00554850" w:rsidRDefault="008F2E4F" w:rsidP="006B6149">
      <w:pPr>
        <w:pStyle w:val="NormalWeb"/>
        <w:spacing w:line="360" w:lineRule="auto"/>
        <w:jc w:val="both"/>
        <w:rPr>
          <w:b/>
        </w:rPr>
      </w:pPr>
      <w:r w:rsidRPr="00554850">
        <w:rPr>
          <w:rStyle w:val="Strong"/>
          <w:b w:val="0"/>
          <w:color w:val="0F1115"/>
          <w:shd w:val="clear" w:color="auto" w:fill="FFFFFF"/>
        </w:rPr>
        <w:t>Egbetokun, A., Oluwadare, A. J., Ajao, B. F., &amp; Jegede, O. O. (2022). Innovation in Nigeria: A study of the drivers of innovation in a developing economy. </w:t>
      </w:r>
      <w:r w:rsidRPr="00554850">
        <w:rPr>
          <w:rStyle w:val="Emphasis"/>
          <w:b/>
          <w:bCs/>
          <w:color w:val="0F1115"/>
          <w:shd w:val="clear" w:color="auto" w:fill="FFFFFF"/>
        </w:rPr>
        <w:t>Technovation</w:t>
      </w:r>
      <w:r w:rsidRPr="00554850">
        <w:rPr>
          <w:rStyle w:val="Strong"/>
          <w:b w:val="0"/>
          <w:color w:val="0F1115"/>
          <w:shd w:val="clear" w:color="auto" w:fill="FFFFFF"/>
        </w:rPr>
        <w:t>, 118, 102587.</w:t>
      </w:r>
    </w:p>
    <w:p w:rsidR="00717155" w:rsidRPr="00554850" w:rsidRDefault="00717155" w:rsidP="006B6149">
      <w:pPr>
        <w:pStyle w:val="NormalWeb"/>
        <w:spacing w:line="360" w:lineRule="auto"/>
        <w:jc w:val="both"/>
      </w:pPr>
      <w:r w:rsidRPr="00554850">
        <w:t xml:space="preserve">Eze, F. C., &amp;Anazodo, N. G. (2023). </w:t>
      </w:r>
      <w:r w:rsidRPr="00554850">
        <w:rPr>
          <w:rStyle w:val="Emphasis"/>
        </w:rPr>
        <w:t>Bridging Research and Industry: A Case Study of Nigerian Biotechnology</w:t>
      </w:r>
      <w:r w:rsidRPr="00554850">
        <w:rPr>
          <w:i/>
        </w:rPr>
        <w:t>.</w:t>
      </w:r>
      <w:r w:rsidRPr="00554850">
        <w:rPr>
          <w:rStyle w:val="Emphasis"/>
        </w:rPr>
        <w:t>Nigerian Journal of Industrial Science</w:t>
      </w:r>
      <w:r w:rsidRPr="00554850">
        <w:t>, 8(2), 143–159.</w:t>
      </w:r>
    </w:p>
    <w:p w:rsidR="00717155"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Nwokoro, O., &amp; Igwe, J. C. (2021). Biotechnological advancements in traditional food production in Nigeria. </w:t>
      </w:r>
      <w:r w:rsidRPr="00554850">
        <w:rPr>
          <w:rFonts w:ascii="Times New Roman" w:hAnsi="Times New Roman" w:cs="Times New Roman"/>
          <w:i/>
          <w:sz w:val="24"/>
          <w:szCs w:val="24"/>
        </w:rPr>
        <w:t>African Journal of Food Science</w:t>
      </w:r>
      <w:r w:rsidRPr="00554850">
        <w:rPr>
          <w:rFonts w:ascii="Times New Roman" w:hAnsi="Times New Roman" w:cs="Times New Roman"/>
          <w:sz w:val="24"/>
          <w:szCs w:val="24"/>
        </w:rPr>
        <w:t>, 15(6), 134–142.</w:t>
      </w:r>
    </w:p>
    <w:p w:rsidR="006B13A2" w:rsidRPr="00554850" w:rsidRDefault="006B13A2" w:rsidP="006B6149">
      <w:pPr>
        <w:spacing w:line="360" w:lineRule="auto"/>
        <w:jc w:val="both"/>
        <w:rPr>
          <w:rFonts w:ascii="Times New Roman" w:hAnsi="Times New Roman" w:cs="Times New Roman"/>
          <w:b/>
          <w:sz w:val="24"/>
          <w:szCs w:val="24"/>
        </w:rPr>
      </w:pPr>
      <w:r w:rsidRPr="00554850">
        <w:rPr>
          <w:rStyle w:val="Strong"/>
          <w:rFonts w:ascii="Times New Roman" w:hAnsi="Times New Roman" w:cs="Times New Roman"/>
          <w:b w:val="0"/>
          <w:color w:val="0F1115"/>
          <w:sz w:val="24"/>
          <w:szCs w:val="24"/>
          <w:shd w:val="clear" w:color="auto" w:fill="FFFFFF"/>
        </w:rPr>
        <w:t>Oduwole, T. A. (2022). An empirical analysis of the low patent commercialisation in Nigerian universities. </w:t>
      </w:r>
      <w:r w:rsidRPr="00554850">
        <w:rPr>
          <w:rStyle w:val="Emphasis"/>
          <w:rFonts w:ascii="Times New Roman" w:hAnsi="Times New Roman" w:cs="Times New Roman"/>
          <w:bCs/>
          <w:color w:val="0F1115"/>
          <w:sz w:val="24"/>
          <w:szCs w:val="24"/>
          <w:shd w:val="clear" w:color="auto" w:fill="FFFFFF"/>
        </w:rPr>
        <w:t>African Journal of Science, Technology, Innovation and Development</w:t>
      </w:r>
      <w:r w:rsidRPr="00554850">
        <w:rPr>
          <w:rStyle w:val="Strong"/>
          <w:rFonts w:ascii="Times New Roman" w:hAnsi="Times New Roman" w:cs="Times New Roman"/>
          <w:b w:val="0"/>
          <w:color w:val="0F1115"/>
          <w:sz w:val="24"/>
          <w:szCs w:val="24"/>
          <w:shd w:val="clear" w:color="auto" w:fill="FFFFFF"/>
        </w:rPr>
        <w:t>, 14(5), 1234-1248</w:t>
      </w:r>
      <w:r w:rsidRPr="00554850">
        <w:rPr>
          <w:rFonts w:ascii="Times New Roman" w:hAnsi="Times New Roman" w:cs="Times New Roman"/>
          <w:b/>
          <w:color w:val="0F1115"/>
          <w:sz w:val="24"/>
          <w:szCs w:val="24"/>
          <w:shd w:val="clear" w:color="auto" w:fill="FFFFFF"/>
        </w:rPr>
        <w:t>).</w:t>
      </w:r>
    </w:p>
    <w:p w:rsidR="00717155" w:rsidRPr="00554850" w:rsidRDefault="00717155" w:rsidP="006B6149">
      <w:pPr>
        <w:pStyle w:val="NormalWeb"/>
        <w:spacing w:line="360" w:lineRule="auto"/>
        <w:jc w:val="both"/>
      </w:pPr>
      <w:r w:rsidRPr="00554850">
        <w:t xml:space="preserve">Okezie, I. C., Chukwu, C. C., &amp; Abah, A. O. (2021). </w:t>
      </w:r>
      <w:r w:rsidRPr="00554850">
        <w:rPr>
          <w:rStyle w:val="Emphasis"/>
        </w:rPr>
        <w:t>University–Industry Collaboration in Biotechnology: Challenges and Prospects in Nigeria</w:t>
      </w:r>
      <w:r w:rsidRPr="00554850">
        <w:t xml:space="preserve">. </w:t>
      </w:r>
      <w:r w:rsidRPr="00554850">
        <w:rPr>
          <w:rStyle w:val="Emphasis"/>
        </w:rPr>
        <w:t>West African Biotechnology Journal</w:t>
      </w:r>
      <w:r w:rsidRPr="00554850">
        <w:t>, 3(1), 45–55.</w:t>
      </w:r>
    </w:p>
    <w:p w:rsidR="00717155"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Olaniran, A. O., Adeleke, R. A., &amp; Ogunsanya, T. (2023). Biotechnology and industrial growth in Nigeria: Challenges and opportunities. </w:t>
      </w:r>
      <w:r w:rsidRPr="00554850">
        <w:rPr>
          <w:rFonts w:ascii="Times New Roman" w:hAnsi="Times New Roman" w:cs="Times New Roman"/>
          <w:i/>
          <w:sz w:val="24"/>
          <w:szCs w:val="24"/>
        </w:rPr>
        <w:t>African Journal of Biotechnology</w:t>
      </w:r>
      <w:r w:rsidRPr="00554850">
        <w:rPr>
          <w:rFonts w:ascii="Times New Roman" w:hAnsi="Times New Roman" w:cs="Times New Roman"/>
          <w:sz w:val="24"/>
          <w:szCs w:val="24"/>
        </w:rPr>
        <w:t>, 22(3), 75–84.</w:t>
      </w:r>
    </w:p>
    <w:p w:rsidR="00717155"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lastRenderedPageBreak/>
        <w:t xml:space="preserve">Umeh, A. C., Okonkwo, C. I., &amp; Nnaji, E. E. (2023). Bioremediation potentials of indigenous microbes from polluted sites in Nigeria. </w:t>
      </w:r>
      <w:r w:rsidRPr="00554850">
        <w:rPr>
          <w:rFonts w:ascii="Times New Roman" w:hAnsi="Times New Roman" w:cs="Times New Roman"/>
          <w:i/>
          <w:sz w:val="24"/>
          <w:szCs w:val="24"/>
        </w:rPr>
        <w:t>Environmental Biotechnology Reports</w:t>
      </w:r>
      <w:r w:rsidRPr="00554850">
        <w:rPr>
          <w:rFonts w:ascii="Times New Roman" w:hAnsi="Times New Roman" w:cs="Times New Roman"/>
          <w:sz w:val="24"/>
          <w:szCs w:val="24"/>
        </w:rPr>
        <w:t>, 10(1), 45–60.</w:t>
      </w:r>
    </w:p>
    <w:p w:rsidR="008F2E4F" w:rsidRPr="00554850" w:rsidRDefault="008F2E4F" w:rsidP="006B6149">
      <w:pPr>
        <w:spacing w:line="360" w:lineRule="auto"/>
        <w:jc w:val="both"/>
        <w:rPr>
          <w:rFonts w:ascii="Times New Roman" w:hAnsi="Times New Roman" w:cs="Times New Roman"/>
          <w:b/>
          <w:sz w:val="24"/>
          <w:szCs w:val="24"/>
        </w:rPr>
      </w:pPr>
      <w:r w:rsidRPr="00554850">
        <w:rPr>
          <w:rStyle w:val="Strong"/>
          <w:rFonts w:ascii="Times New Roman" w:hAnsi="Times New Roman" w:cs="Times New Roman"/>
          <w:b w:val="0"/>
          <w:color w:val="0F1115"/>
          <w:sz w:val="24"/>
          <w:szCs w:val="24"/>
          <w:shd w:val="clear" w:color="auto" w:fill="FFFFFF"/>
        </w:rPr>
        <w:t>United Nations Conference on Trade and Development (UNCTAD). (2024). Technology and Innovation Report 2023: Opening Green Windows: Technological opportunities for a low-carbon world.</w:t>
      </w:r>
      <w:hyperlink r:id="rId8" w:history="1">
        <w:r w:rsidR="00E32CBC" w:rsidRPr="00554850">
          <w:rPr>
            <w:rStyle w:val="Hyperlink"/>
          </w:rPr>
          <w:t>https://doi.org/10.18356/9789210023443</w:t>
        </w:r>
      </w:hyperlink>
    </w:p>
    <w:p w:rsidR="008F2E4F" w:rsidRPr="00554850" w:rsidRDefault="00717155" w:rsidP="006B6149">
      <w:pPr>
        <w:spacing w:line="360" w:lineRule="auto"/>
        <w:jc w:val="both"/>
        <w:rPr>
          <w:rFonts w:ascii="Times New Roman" w:hAnsi="Times New Roman" w:cs="Times New Roman"/>
          <w:sz w:val="24"/>
          <w:szCs w:val="24"/>
        </w:rPr>
      </w:pPr>
      <w:r w:rsidRPr="00554850">
        <w:rPr>
          <w:rFonts w:ascii="Times New Roman" w:hAnsi="Times New Roman" w:cs="Times New Roman"/>
          <w:sz w:val="24"/>
          <w:szCs w:val="24"/>
        </w:rPr>
        <w:t xml:space="preserve">WHO Africa. (2022). Scaling up local manufacturing of essential medicines in Africa. Retrieved from </w:t>
      </w:r>
    </w:p>
    <w:p w:rsidR="006F1F41" w:rsidRPr="00554850" w:rsidRDefault="008F2E4F" w:rsidP="006B6149">
      <w:pPr>
        <w:spacing w:line="360" w:lineRule="auto"/>
        <w:jc w:val="both"/>
      </w:pPr>
      <w:r w:rsidRPr="00554850">
        <w:rPr>
          <w:rStyle w:val="Strong"/>
          <w:rFonts w:ascii="Times New Roman" w:hAnsi="Times New Roman" w:cs="Times New Roman"/>
          <w:b w:val="0"/>
          <w:color w:val="0F1115"/>
          <w:sz w:val="24"/>
          <w:szCs w:val="24"/>
          <w:shd w:val="clear" w:color="auto" w:fill="FFFFFF"/>
        </w:rPr>
        <w:t>World Intellectual Property Organization (WPI). (2023). </w:t>
      </w:r>
      <w:r w:rsidRPr="00554850">
        <w:rPr>
          <w:rStyle w:val="Emphasis"/>
          <w:rFonts w:ascii="Times New Roman" w:hAnsi="Times New Roman" w:cs="Times New Roman"/>
          <w:bCs/>
          <w:color w:val="0F1115"/>
          <w:sz w:val="24"/>
          <w:szCs w:val="24"/>
          <w:shd w:val="clear" w:color="auto" w:fill="FFFFFF"/>
        </w:rPr>
        <w:t>Global Innovation Index 2023: Innovation in the Face of Uncertainty</w:t>
      </w:r>
      <w:r w:rsidRPr="00554850">
        <w:rPr>
          <w:rStyle w:val="Strong"/>
          <w:rFonts w:ascii="Times New Roman" w:hAnsi="Times New Roman" w:cs="Times New Roman"/>
          <w:color w:val="0F1115"/>
          <w:sz w:val="24"/>
          <w:szCs w:val="24"/>
          <w:shd w:val="clear" w:color="auto" w:fill="FFFFFF"/>
        </w:rPr>
        <w:t>.</w:t>
      </w:r>
      <w:hyperlink r:id="rId9" w:history="1">
        <w:r w:rsidR="006F1F41" w:rsidRPr="00554850">
          <w:rPr>
            <w:rStyle w:val="Hyperlink"/>
          </w:rPr>
          <w:t>https://doi.org/10.34667/tind.48220</w:t>
        </w:r>
      </w:hyperlink>
    </w:p>
    <w:p w:rsidR="00424A4D" w:rsidRPr="00554850" w:rsidRDefault="00424A4D" w:rsidP="006B6149">
      <w:pPr>
        <w:spacing w:line="360" w:lineRule="auto"/>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lang w:val="es-US"/>
        </w:rPr>
        <w:t xml:space="preserve">Akinsemolu, A., Onyeaka, H., Fagunwa, O., &amp;Adenuga, A. H. (2023). </w:t>
      </w:r>
      <w:r w:rsidRPr="00554850">
        <w:rPr>
          <w:rFonts w:ascii="Times New Roman" w:hAnsi="Times New Roman" w:cs="Times New Roman"/>
          <w:color w:val="0F1115"/>
          <w:sz w:val="24"/>
          <w:szCs w:val="24"/>
          <w:shd w:val="clear" w:color="auto" w:fill="FFFFFF"/>
        </w:rPr>
        <w:t>Toward a resilient future: the promise of microbial bioeconomy. </w:t>
      </w:r>
      <w:r w:rsidRPr="00554850">
        <w:rPr>
          <w:rFonts w:ascii="Times New Roman" w:hAnsi="Times New Roman" w:cs="Times New Roman"/>
          <w:i/>
          <w:iCs/>
          <w:color w:val="0F1115"/>
          <w:sz w:val="24"/>
          <w:szCs w:val="24"/>
          <w:shd w:val="clear" w:color="auto" w:fill="FFFFFF"/>
        </w:rPr>
        <w:t>Sustainability</w:t>
      </w:r>
      <w:r w:rsidRPr="00554850">
        <w:rPr>
          <w:rFonts w:ascii="Times New Roman" w:hAnsi="Times New Roman" w:cs="Times New Roman"/>
          <w:color w:val="0F1115"/>
          <w:sz w:val="24"/>
          <w:szCs w:val="24"/>
          <w:shd w:val="clear" w:color="auto" w:fill="FFFFFF"/>
        </w:rPr>
        <w:t>, </w:t>
      </w:r>
      <w:r w:rsidRPr="00554850">
        <w:rPr>
          <w:rFonts w:ascii="Times New Roman" w:hAnsi="Times New Roman" w:cs="Times New Roman"/>
          <w:i/>
          <w:iCs/>
          <w:color w:val="0F1115"/>
          <w:sz w:val="24"/>
          <w:szCs w:val="24"/>
          <w:shd w:val="clear" w:color="auto" w:fill="FFFFFF"/>
        </w:rPr>
        <w:t>15</w:t>
      </w:r>
      <w:r w:rsidRPr="00554850">
        <w:rPr>
          <w:rFonts w:ascii="Times New Roman" w:hAnsi="Times New Roman" w:cs="Times New Roman"/>
          <w:color w:val="0F1115"/>
          <w:sz w:val="24"/>
          <w:szCs w:val="24"/>
          <w:shd w:val="clear" w:color="auto" w:fill="FFFFFF"/>
        </w:rPr>
        <w:t xml:space="preserve">(9), 7251. </w:t>
      </w:r>
      <w:hyperlink r:id="rId10" w:history="1">
        <w:r w:rsidR="002D46AB" w:rsidRPr="00554850">
          <w:rPr>
            <w:rStyle w:val="Hyperlink"/>
          </w:rPr>
          <w:t>https://doi.org/10.3390/su15097251</w:t>
        </w:r>
      </w:hyperlink>
    </w:p>
    <w:p w:rsidR="0097776D" w:rsidRPr="00554850" w:rsidRDefault="008D7D66" w:rsidP="006B6149">
      <w:pPr>
        <w:spacing w:line="360" w:lineRule="auto"/>
        <w:jc w:val="both"/>
      </w:pPr>
      <w:r w:rsidRPr="00554850">
        <w:rPr>
          <w:rFonts w:ascii="Times New Roman" w:hAnsi="Times New Roman" w:cs="Times New Roman"/>
          <w:color w:val="0F1115"/>
          <w:sz w:val="24"/>
          <w:szCs w:val="24"/>
          <w:shd w:val="clear" w:color="auto" w:fill="FFFFFF"/>
        </w:rPr>
        <w:t>Obi, C. C., &amp; Amund, O. O. (2025). Microbial Bioconversion of Agro-industrial Wastes into Value-Added Products. In </w:t>
      </w:r>
      <w:r w:rsidRPr="00554850">
        <w:rPr>
          <w:rFonts w:ascii="Times New Roman" w:hAnsi="Times New Roman" w:cs="Times New Roman"/>
          <w:i/>
          <w:iCs/>
          <w:color w:val="0F1115"/>
          <w:sz w:val="24"/>
          <w:szCs w:val="24"/>
          <w:shd w:val="clear" w:color="auto" w:fill="FFFFFF"/>
        </w:rPr>
        <w:t>Ecofriendly Frontiers: Harnessing Microbial Applications for Food Security</w:t>
      </w:r>
      <w:r w:rsidRPr="00554850">
        <w:rPr>
          <w:rFonts w:ascii="Times New Roman" w:hAnsi="Times New Roman" w:cs="Times New Roman"/>
          <w:color w:val="0F1115"/>
          <w:sz w:val="24"/>
          <w:szCs w:val="24"/>
          <w:shd w:val="clear" w:color="auto" w:fill="FFFFFF"/>
        </w:rPr>
        <w:t xml:space="preserve"> (pp. 345-371). Cham: Springer Nature Switzerland. </w:t>
      </w:r>
      <w:hyperlink r:id="rId11" w:history="1">
        <w:r w:rsidR="0097776D" w:rsidRPr="00554850">
          <w:rPr>
            <w:rStyle w:val="Hyperlink"/>
          </w:rPr>
          <w:t>https://doi.org/10.1007/978-3-031-98700-7_13</w:t>
        </w:r>
      </w:hyperlink>
    </w:p>
    <w:p w:rsidR="000F2D90" w:rsidRPr="00554850" w:rsidRDefault="000F2D90" w:rsidP="006B6149">
      <w:pPr>
        <w:spacing w:line="360" w:lineRule="auto"/>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 xml:space="preserve">Amenyogbe, E., Ayisi, C. L., Droepenu, E. K., Afumwaa, G., Boamah, R. Q. D., Ayivor, N., &amp;Akortia, I. K. (2023). Challenges and opportunities in advancing microbiology research in Africa: a review. African J Bacteriol Res, 15, 36-49. DOI: </w:t>
      </w:r>
      <w:hyperlink r:id="rId12" w:history="1">
        <w:r w:rsidR="003E4A7A" w:rsidRPr="00554850">
          <w:rPr>
            <w:rStyle w:val="Hyperlink"/>
            <w:rFonts w:ascii="Times New Roman" w:hAnsi="Times New Roman" w:cs="Times New Roman"/>
            <w:sz w:val="24"/>
            <w:szCs w:val="24"/>
            <w:shd w:val="clear" w:color="auto" w:fill="FFFFFF"/>
          </w:rPr>
          <w:t>https://doi.org/10.5897/JBR2023.0359</w:t>
        </w:r>
      </w:hyperlink>
    </w:p>
    <w:p w:rsidR="000F2D90" w:rsidRPr="00554850" w:rsidRDefault="000F2D90" w:rsidP="006B6149">
      <w:pPr>
        <w:spacing w:line="360" w:lineRule="auto"/>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 xml:space="preserve">Kumar, D., Bhardwaj, R., Jassal, S., Goyal, T., Khullar, A., &amp; Gupta, N. (2023). Application of enzymes for an eco-friendly approach to textile processing. Environmental science and pollution research, 30(28), 71838-71848. DOI: </w:t>
      </w:r>
      <w:hyperlink r:id="rId13" w:history="1">
        <w:r w:rsidR="006D5E04" w:rsidRPr="00554850">
          <w:rPr>
            <w:rStyle w:val="Hyperlink"/>
          </w:rPr>
          <w:t>https://doi.org/10.1007/s11356-021-16764-4</w:t>
        </w:r>
      </w:hyperlink>
    </w:p>
    <w:p w:rsidR="006B6149" w:rsidRPr="00554850" w:rsidRDefault="000F2D90" w:rsidP="006B6149">
      <w:pPr>
        <w:spacing w:line="360" w:lineRule="auto"/>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 xml:space="preserve">Carboni, A. D., Martins, G. N., Gomez-Zavaglia, A., &amp; Castilho, P. C. (2023). Lactic acid bacteria in the production of traditional fermented foods and beverages of Latin America. Fermentation, 9(4), 315.  </w:t>
      </w:r>
      <w:hyperlink r:id="rId14" w:history="1">
        <w:r w:rsidR="00F820E7" w:rsidRPr="00554850">
          <w:rPr>
            <w:rStyle w:val="Hyperlink"/>
          </w:rPr>
          <w:t>https://doi.org/10.3390/fermentation9040315</w:t>
        </w:r>
      </w:hyperlink>
    </w:p>
    <w:p w:rsidR="000F2D90" w:rsidRPr="00554850" w:rsidRDefault="009F7386" w:rsidP="006B6149">
      <w:pPr>
        <w:spacing w:line="360" w:lineRule="auto"/>
        <w:jc w:val="both"/>
        <w:rPr>
          <w:rStyle w:val="value"/>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Shokoohi, M., &amp; Attar, T. (2024). Biomanufacturing for a sustainable future: unleashing the potential of biotechnology in pharmaceutical raw material production. </w:t>
      </w:r>
      <w:r w:rsidRPr="00554850">
        <w:rPr>
          <w:rFonts w:ascii="Times New Roman" w:hAnsi="Times New Roman" w:cs="Times New Roman"/>
          <w:i/>
          <w:iCs/>
          <w:color w:val="0F1115"/>
          <w:sz w:val="24"/>
          <w:szCs w:val="24"/>
          <w:shd w:val="clear" w:color="auto" w:fill="FFFFFF"/>
        </w:rPr>
        <w:t xml:space="preserve">International Journal of </w:t>
      </w:r>
      <w:r w:rsidRPr="00554850">
        <w:rPr>
          <w:rFonts w:ascii="Times New Roman" w:hAnsi="Times New Roman" w:cs="Times New Roman"/>
          <w:i/>
          <w:iCs/>
          <w:color w:val="0F1115"/>
          <w:sz w:val="24"/>
          <w:szCs w:val="24"/>
          <w:shd w:val="clear" w:color="auto" w:fill="FFFFFF"/>
        </w:rPr>
        <w:lastRenderedPageBreak/>
        <w:t>New Findings in Health and Educational Sciences (IJHES)</w:t>
      </w:r>
      <w:r w:rsidRPr="00554850">
        <w:rPr>
          <w:rFonts w:ascii="Times New Roman" w:hAnsi="Times New Roman" w:cs="Times New Roman"/>
          <w:color w:val="0F1115"/>
          <w:sz w:val="24"/>
          <w:szCs w:val="24"/>
          <w:shd w:val="clear" w:color="auto" w:fill="FFFFFF"/>
        </w:rPr>
        <w:t>, </w:t>
      </w:r>
      <w:r w:rsidRPr="00554850">
        <w:rPr>
          <w:rFonts w:ascii="Times New Roman" w:hAnsi="Times New Roman" w:cs="Times New Roman"/>
          <w:i/>
          <w:iCs/>
          <w:color w:val="0F1115"/>
          <w:sz w:val="24"/>
          <w:szCs w:val="24"/>
          <w:shd w:val="clear" w:color="auto" w:fill="FFFFFF"/>
        </w:rPr>
        <w:t>2</w:t>
      </w:r>
      <w:r w:rsidRPr="00554850">
        <w:rPr>
          <w:rFonts w:ascii="Times New Roman" w:hAnsi="Times New Roman" w:cs="Times New Roman"/>
          <w:color w:val="0F1115"/>
          <w:sz w:val="24"/>
          <w:szCs w:val="24"/>
          <w:shd w:val="clear" w:color="auto" w:fill="FFFFFF"/>
        </w:rPr>
        <w:t>(2), 142-153.</w:t>
      </w:r>
      <w:hyperlink r:id="rId15" w:history="1">
        <w:r w:rsidR="00A034D7" w:rsidRPr="00554850">
          <w:rPr>
            <w:rStyle w:val="Hyperlink"/>
          </w:rPr>
          <w:t>https://doi.org/10.63053/ijhes.81</w:t>
        </w:r>
      </w:hyperlink>
    </w:p>
    <w:p w:rsidR="006B6149" w:rsidRPr="00554850" w:rsidRDefault="006B6149" w:rsidP="006B6149">
      <w:pPr>
        <w:spacing w:line="360" w:lineRule="auto"/>
        <w:jc w:val="both"/>
      </w:pPr>
      <w:r w:rsidRPr="00554850">
        <w:rPr>
          <w:rFonts w:ascii="Times New Roman" w:hAnsi="Times New Roman" w:cs="Times New Roman"/>
          <w:color w:val="0F1115"/>
          <w:sz w:val="24"/>
          <w:szCs w:val="24"/>
          <w:shd w:val="clear" w:color="auto" w:fill="FFFFFF"/>
        </w:rPr>
        <w:t>Qumsani, A. T. (2024). The contribution of microorganisms to sustainable development: towards a green future through synthetic biology and systems biology. </w:t>
      </w:r>
      <w:r w:rsidRPr="00554850">
        <w:rPr>
          <w:rFonts w:ascii="Times New Roman" w:hAnsi="Times New Roman" w:cs="Times New Roman"/>
          <w:i/>
          <w:iCs/>
          <w:color w:val="0F1115"/>
          <w:sz w:val="24"/>
          <w:szCs w:val="24"/>
          <w:shd w:val="clear" w:color="auto" w:fill="FFFFFF"/>
        </w:rPr>
        <w:t>Journal of Umm Al-Qura University for Applied Sciences</w:t>
      </w:r>
      <w:r w:rsidRPr="00554850">
        <w:rPr>
          <w:rFonts w:ascii="Times New Roman" w:hAnsi="Times New Roman" w:cs="Times New Roman"/>
          <w:color w:val="0F1115"/>
          <w:sz w:val="24"/>
          <w:szCs w:val="24"/>
          <w:shd w:val="clear" w:color="auto" w:fill="FFFFFF"/>
        </w:rPr>
        <w:t xml:space="preserve">, 1-17. </w:t>
      </w:r>
      <w:hyperlink r:id="rId16" w:history="1">
        <w:r w:rsidR="00D76616" w:rsidRPr="00554850">
          <w:rPr>
            <w:rStyle w:val="Hyperlink"/>
          </w:rPr>
          <w:t>https://doi.org/10.1007/s43994-024-00180-8</w:t>
        </w:r>
      </w:hyperlink>
    </w:p>
    <w:p w:rsidR="00424A4D" w:rsidRPr="00554850" w:rsidRDefault="00C56102" w:rsidP="008F2E4F">
      <w:pPr>
        <w:spacing w:line="360" w:lineRule="auto"/>
        <w:ind w:left="450" w:hanging="450"/>
        <w:jc w:val="both"/>
        <w:rPr>
          <w:rFonts w:ascii="Times New Roman" w:hAnsi="Times New Roman" w:cs="Times New Roman"/>
          <w:color w:val="0F1115"/>
          <w:sz w:val="24"/>
          <w:szCs w:val="24"/>
          <w:shd w:val="clear" w:color="auto" w:fill="FFFFFF"/>
        </w:rPr>
      </w:pPr>
      <w:r w:rsidRPr="00554850">
        <w:rPr>
          <w:rFonts w:ascii="Times New Roman" w:hAnsi="Times New Roman" w:cs="Times New Roman"/>
          <w:color w:val="0F1115"/>
          <w:sz w:val="24"/>
          <w:szCs w:val="24"/>
          <w:shd w:val="clear" w:color="auto" w:fill="FFFFFF"/>
        </w:rPr>
        <w:t xml:space="preserve">Tokunbo, D. B., Kayode-Isola, T. M., &amp; Adebayo, O. A. (2025). The role of biotechnology education in Nigeria’s industrialization and sustainable development. International Journal of Research and Scientific Innovation (IJRSI), 12(1), 862–875. </w:t>
      </w:r>
      <w:hyperlink r:id="rId17" w:history="1">
        <w:r w:rsidRPr="00554850">
          <w:rPr>
            <w:rStyle w:val="Hyperlink"/>
            <w:rFonts w:ascii="Times New Roman" w:hAnsi="Times New Roman" w:cs="Times New Roman"/>
            <w:sz w:val="24"/>
            <w:szCs w:val="24"/>
            <w:shd w:val="clear" w:color="auto" w:fill="FFFFFF"/>
          </w:rPr>
          <w:t>https://doi.org/10.51244/IJRSI.2025.12010075</w:t>
        </w:r>
      </w:hyperlink>
    </w:p>
    <w:p w:rsidR="00862941" w:rsidRPr="00554850" w:rsidRDefault="00862941" w:rsidP="008F2E4F">
      <w:pPr>
        <w:spacing w:line="360" w:lineRule="auto"/>
        <w:ind w:left="450" w:hanging="450"/>
        <w:jc w:val="both"/>
        <w:rPr>
          <w:rStyle w:val="Strong"/>
          <w:rFonts w:ascii="Times New Roman" w:hAnsi="Times New Roman" w:cs="Times New Roman"/>
          <w:b w:val="0"/>
          <w:color w:val="0F1115"/>
          <w:sz w:val="24"/>
          <w:szCs w:val="24"/>
          <w:shd w:val="clear" w:color="auto" w:fill="FFFFFF"/>
        </w:rPr>
      </w:pPr>
      <w:r w:rsidRPr="00554850">
        <w:rPr>
          <w:rStyle w:val="Strong"/>
          <w:rFonts w:ascii="Times New Roman" w:hAnsi="Times New Roman" w:cs="Times New Roman"/>
          <w:b w:val="0"/>
          <w:color w:val="0F1115"/>
          <w:sz w:val="24"/>
          <w:szCs w:val="24"/>
          <w:shd w:val="clear" w:color="auto" w:fill="FFFFFF"/>
          <w:lang w:val="nl-BE"/>
        </w:rPr>
        <w:t xml:space="preserve">Ramchuran, S. O., O'Brien, F., Dube, N., &amp; Ramdas, V. (2023). </w:t>
      </w:r>
      <w:r w:rsidRPr="00554850">
        <w:rPr>
          <w:rStyle w:val="Strong"/>
          <w:rFonts w:ascii="Times New Roman" w:hAnsi="Times New Roman" w:cs="Times New Roman"/>
          <w:b w:val="0"/>
          <w:color w:val="0F1115"/>
          <w:sz w:val="24"/>
          <w:szCs w:val="24"/>
          <w:shd w:val="clear" w:color="auto" w:fill="FFFFFF"/>
        </w:rPr>
        <w:t xml:space="preserve">An overview of green processes and technologies, biobased chemicals and products for industrial applications. Current Opinion in Green and Sustainable Chemistry, 41, 100832. </w:t>
      </w:r>
      <w:hyperlink r:id="rId18" w:history="1">
        <w:r w:rsidR="007350A6" w:rsidRPr="00554850">
          <w:rPr>
            <w:rStyle w:val="Hyperlink"/>
            <w:rFonts w:ascii="Times New Roman" w:hAnsi="Times New Roman" w:cs="Times New Roman"/>
            <w:sz w:val="24"/>
            <w:szCs w:val="24"/>
            <w:shd w:val="clear" w:color="auto" w:fill="FFFFFF"/>
          </w:rPr>
          <w:t>https://doi.org/10.1016/j.cogsc.2023.100832</w:t>
        </w:r>
      </w:hyperlink>
    </w:p>
    <w:p w:rsidR="008F2E4F" w:rsidRPr="00554850" w:rsidRDefault="0036012F" w:rsidP="008F2E4F">
      <w:pPr>
        <w:spacing w:line="360" w:lineRule="auto"/>
        <w:ind w:left="450" w:hanging="450"/>
        <w:jc w:val="both"/>
        <w:rPr>
          <w:rFonts w:ascii="Times New Roman" w:hAnsi="Times New Roman" w:cs="Times New Roman"/>
          <w:sz w:val="24"/>
          <w:szCs w:val="24"/>
        </w:rPr>
      </w:pPr>
      <w:r w:rsidRPr="00554850">
        <w:rPr>
          <w:rFonts w:ascii="Times New Roman" w:hAnsi="Times New Roman" w:cs="Times New Roman"/>
          <w:sz w:val="24"/>
          <w:szCs w:val="24"/>
        </w:rPr>
        <w:t>Orlando, M., Molla, G., Castellani, P., Pirillo, V., Torretta, V., &amp;Ferronato, N. (2023). Microbial enzyme biotechnology to reach plastic waste circularity: current status, problems and perspectives. International Journal of Molecular Sciences, 24(4), 3877.</w:t>
      </w:r>
      <w:hyperlink r:id="rId19" w:history="1">
        <w:r w:rsidR="005943F7" w:rsidRPr="00554850">
          <w:rPr>
            <w:rStyle w:val="Hyperlink"/>
            <w:rFonts w:ascii="Times New Roman" w:hAnsi="Times New Roman" w:cs="Times New Roman"/>
            <w:sz w:val="24"/>
            <w:szCs w:val="24"/>
          </w:rPr>
          <w:t>https://doi.org/10.3390/ijms24043877</w:t>
        </w:r>
      </w:hyperlink>
    </w:p>
    <w:p w:rsidR="00B76908" w:rsidRPr="00554850" w:rsidRDefault="006C06FB" w:rsidP="008F2E4F">
      <w:pPr>
        <w:spacing w:line="360" w:lineRule="auto"/>
        <w:ind w:left="450" w:hanging="450"/>
        <w:jc w:val="both"/>
        <w:rPr>
          <w:rFonts w:ascii="Times New Roman" w:hAnsi="Times New Roman" w:cs="Times New Roman"/>
          <w:sz w:val="24"/>
          <w:szCs w:val="24"/>
        </w:rPr>
      </w:pPr>
      <w:r w:rsidRPr="00554850">
        <w:rPr>
          <w:rFonts w:ascii="Times New Roman" w:hAnsi="Times New Roman" w:cs="Times New Roman"/>
          <w:sz w:val="24"/>
          <w:szCs w:val="24"/>
        </w:rPr>
        <w:t xml:space="preserve">Verma, P. (Ed.). (2022). Industrial microbiology and biotechnology. Singapore:: Springer. </w:t>
      </w:r>
      <w:hyperlink r:id="rId20" w:history="1">
        <w:r w:rsidRPr="00554850">
          <w:rPr>
            <w:rStyle w:val="Hyperlink"/>
            <w:rFonts w:ascii="Times New Roman" w:hAnsi="Times New Roman" w:cs="Times New Roman"/>
            <w:sz w:val="24"/>
            <w:szCs w:val="24"/>
          </w:rPr>
          <w:t>https://doi.org/10.1007/978-981-99-2816-3</w:t>
        </w:r>
      </w:hyperlink>
    </w:p>
    <w:p w:rsidR="00D16EB2" w:rsidRDefault="00D16EB2" w:rsidP="008F2E4F">
      <w:pPr>
        <w:spacing w:line="360" w:lineRule="auto"/>
        <w:ind w:left="450" w:hanging="450"/>
        <w:jc w:val="both"/>
        <w:rPr>
          <w:rFonts w:ascii="Times New Roman" w:hAnsi="Times New Roman" w:cs="Times New Roman"/>
          <w:sz w:val="24"/>
          <w:szCs w:val="24"/>
        </w:rPr>
      </w:pPr>
      <w:r w:rsidRPr="00554850">
        <w:rPr>
          <w:rFonts w:ascii="Times New Roman" w:hAnsi="Times New Roman" w:cs="Times New Roman"/>
          <w:sz w:val="24"/>
          <w:szCs w:val="24"/>
        </w:rPr>
        <w:t xml:space="preserve">Sun, W., Shahrajabian, M. H., &amp; Lin, M. (2022). Research progress of fermented functional foods and protein factory-microbial fermentation technology. Fermentation, 8(12), 688. </w:t>
      </w:r>
      <w:hyperlink r:id="rId21" w:history="1">
        <w:r w:rsidRPr="00554850">
          <w:rPr>
            <w:rStyle w:val="Hyperlink"/>
            <w:rFonts w:ascii="Times New Roman" w:hAnsi="Times New Roman" w:cs="Times New Roman"/>
            <w:sz w:val="24"/>
            <w:szCs w:val="24"/>
          </w:rPr>
          <w:t>https://doi.org/10.3390/fermentation8120688</w:t>
        </w:r>
      </w:hyperlink>
    </w:p>
    <w:p w:rsidR="00A74F7D" w:rsidRDefault="00A74F7D" w:rsidP="008F2E4F">
      <w:pPr>
        <w:spacing w:line="360" w:lineRule="auto"/>
        <w:ind w:left="450" w:hanging="450"/>
        <w:jc w:val="both"/>
        <w:rPr>
          <w:rFonts w:ascii="Times New Roman" w:hAnsi="Times New Roman" w:cs="Times New Roman"/>
          <w:sz w:val="24"/>
          <w:szCs w:val="24"/>
        </w:rPr>
      </w:pPr>
    </w:p>
    <w:p w:rsidR="00D16EB2" w:rsidRDefault="00D16EB2" w:rsidP="008F2E4F">
      <w:pPr>
        <w:spacing w:line="360" w:lineRule="auto"/>
        <w:ind w:left="450" w:hanging="450"/>
        <w:jc w:val="both"/>
        <w:rPr>
          <w:rFonts w:ascii="Times New Roman" w:hAnsi="Times New Roman" w:cs="Times New Roman"/>
          <w:sz w:val="24"/>
          <w:szCs w:val="24"/>
        </w:rPr>
      </w:pPr>
    </w:p>
    <w:p w:rsidR="00D16EB2" w:rsidRDefault="00D16EB2" w:rsidP="008F2E4F">
      <w:pPr>
        <w:spacing w:line="360" w:lineRule="auto"/>
        <w:ind w:left="450" w:hanging="450"/>
        <w:jc w:val="both"/>
        <w:rPr>
          <w:rFonts w:ascii="Times New Roman" w:hAnsi="Times New Roman" w:cs="Times New Roman"/>
          <w:sz w:val="24"/>
          <w:szCs w:val="24"/>
        </w:rPr>
      </w:pPr>
    </w:p>
    <w:p w:rsidR="00D16EB2" w:rsidRPr="008F2E4F" w:rsidRDefault="00D16EB2" w:rsidP="008F2E4F">
      <w:pPr>
        <w:spacing w:line="360" w:lineRule="auto"/>
        <w:ind w:left="450" w:hanging="450"/>
        <w:jc w:val="both"/>
        <w:rPr>
          <w:rFonts w:ascii="Times New Roman" w:hAnsi="Times New Roman" w:cs="Times New Roman"/>
          <w:sz w:val="24"/>
          <w:szCs w:val="24"/>
        </w:rPr>
      </w:pPr>
    </w:p>
    <w:sectPr w:rsidR="00D16EB2" w:rsidRPr="008F2E4F" w:rsidSect="00A956A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3B" w:rsidRDefault="009E533B" w:rsidP="00AF11EF">
      <w:pPr>
        <w:spacing w:after="0" w:line="240" w:lineRule="auto"/>
      </w:pPr>
      <w:r>
        <w:separator/>
      </w:r>
    </w:p>
  </w:endnote>
  <w:endnote w:type="continuationSeparator" w:id="1">
    <w:p w:rsidR="009E533B" w:rsidRDefault="009E533B" w:rsidP="00AF1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F11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F11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F11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3B" w:rsidRDefault="009E533B" w:rsidP="00AF11EF">
      <w:pPr>
        <w:spacing w:after="0" w:line="240" w:lineRule="auto"/>
      </w:pPr>
      <w:r>
        <w:separator/>
      </w:r>
    </w:p>
  </w:footnote>
  <w:footnote w:type="continuationSeparator" w:id="1">
    <w:p w:rsidR="009E533B" w:rsidRDefault="009E533B" w:rsidP="00AF1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956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956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EF" w:rsidRDefault="00A956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1FDB"/>
    <w:multiLevelType w:val="hybridMultilevel"/>
    <w:tmpl w:val="0FE060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7B0A0709"/>
    <w:multiLevelType w:val="hybridMultilevel"/>
    <w:tmpl w:val="0FE0604C"/>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A3NLE0tzQzNzQwMTJV0lEKTi0uzszPAykwqgUANZdSIywAAAA="/>
  </w:docVars>
  <w:rsids>
    <w:rsidRoot w:val="000D3545"/>
    <w:rsid w:val="000A4F3D"/>
    <w:rsid w:val="000B7B79"/>
    <w:rsid w:val="000C7BE4"/>
    <w:rsid w:val="000D3545"/>
    <w:rsid w:val="000E1A96"/>
    <w:rsid w:val="000E3710"/>
    <w:rsid w:val="000F2D90"/>
    <w:rsid w:val="00130EE3"/>
    <w:rsid w:val="00152FB9"/>
    <w:rsid w:val="001B5423"/>
    <w:rsid w:val="001F15C7"/>
    <w:rsid w:val="002A4E60"/>
    <w:rsid w:val="002B3284"/>
    <w:rsid w:val="002D46AB"/>
    <w:rsid w:val="00314C37"/>
    <w:rsid w:val="003201A4"/>
    <w:rsid w:val="0036012F"/>
    <w:rsid w:val="0036200B"/>
    <w:rsid w:val="0036336A"/>
    <w:rsid w:val="00381481"/>
    <w:rsid w:val="003863BA"/>
    <w:rsid w:val="003905E6"/>
    <w:rsid w:val="003E4A7A"/>
    <w:rsid w:val="00424A4D"/>
    <w:rsid w:val="00447632"/>
    <w:rsid w:val="004604AF"/>
    <w:rsid w:val="0047483E"/>
    <w:rsid w:val="00482768"/>
    <w:rsid w:val="004A5A97"/>
    <w:rsid w:val="00554850"/>
    <w:rsid w:val="005607E7"/>
    <w:rsid w:val="00570FE1"/>
    <w:rsid w:val="005943F7"/>
    <w:rsid w:val="005E12F9"/>
    <w:rsid w:val="006064E8"/>
    <w:rsid w:val="00616BA8"/>
    <w:rsid w:val="00671ACE"/>
    <w:rsid w:val="006A462D"/>
    <w:rsid w:val="006B13A2"/>
    <w:rsid w:val="006B6149"/>
    <w:rsid w:val="006C06FB"/>
    <w:rsid w:val="006D5E04"/>
    <w:rsid w:val="006F1F41"/>
    <w:rsid w:val="007156A4"/>
    <w:rsid w:val="00717155"/>
    <w:rsid w:val="007350A6"/>
    <w:rsid w:val="00767C2D"/>
    <w:rsid w:val="007777AC"/>
    <w:rsid w:val="007778C1"/>
    <w:rsid w:val="007C7B19"/>
    <w:rsid w:val="007F439F"/>
    <w:rsid w:val="0080262C"/>
    <w:rsid w:val="00807186"/>
    <w:rsid w:val="008352EA"/>
    <w:rsid w:val="00862941"/>
    <w:rsid w:val="008A6399"/>
    <w:rsid w:val="008A73D9"/>
    <w:rsid w:val="008D7637"/>
    <w:rsid w:val="008D7D66"/>
    <w:rsid w:val="008F2E4F"/>
    <w:rsid w:val="008F74CA"/>
    <w:rsid w:val="00920575"/>
    <w:rsid w:val="009328A8"/>
    <w:rsid w:val="00964735"/>
    <w:rsid w:val="009662A6"/>
    <w:rsid w:val="0097776D"/>
    <w:rsid w:val="009B5F2E"/>
    <w:rsid w:val="009D2255"/>
    <w:rsid w:val="009E533B"/>
    <w:rsid w:val="009F48D2"/>
    <w:rsid w:val="009F7386"/>
    <w:rsid w:val="00A034D7"/>
    <w:rsid w:val="00A37204"/>
    <w:rsid w:val="00A4499E"/>
    <w:rsid w:val="00A50EBF"/>
    <w:rsid w:val="00A559CA"/>
    <w:rsid w:val="00A74F7D"/>
    <w:rsid w:val="00A94939"/>
    <w:rsid w:val="00A956A9"/>
    <w:rsid w:val="00AA7A42"/>
    <w:rsid w:val="00AB00C9"/>
    <w:rsid w:val="00AC792E"/>
    <w:rsid w:val="00AF11EF"/>
    <w:rsid w:val="00B07761"/>
    <w:rsid w:val="00B5608E"/>
    <w:rsid w:val="00B631C1"/>
    <w:rsid w:val="00B76908"/>
    <w:rsid w:val="00B93F1F"/>
    <w:rsid w:val="00B95DF8"/>
    <w:rsid w:val="00BA0BC4"/>
    <w:rsid w:val="00BB2BD0"/>
    <w:rsid w:val="00C27CD3"/>
    <w:rsid w:val="00C378B0"/>
    <w:rsid w:val="00C56102"/>
    <w:rsid w:val="00C925F1"/>
    <w:rsid w:val="00CA0F77"/>
    <w:rsid w:val="00CC5B97"/>
    <w:rsid w:val="00CE6009"/>
    <w:rsid w:val="00CF200F"/>
    <w:rsid w:val="00D16EB2"/>
    <w:rsid w:val="00D22887"/>
    <w:rsid w:val="00D67665"/>
    <w:rsid w:val="00D76616"/>
    <w:rsid w:val="00DB511D"/>
    <w:rsid w:val="00DB6230"/>
    <w:rsid w:val="00DD6C0D"/>
    <w:rsid w:val="00DE0249"/>
    <w:rsid w:val="00E32CBC"/>
    <w:rsid w:val="00E546F8"/>
    <w:rsid w:val="00E56F6D"/>
    <w:rsid w:val="00E62E17"/>
    <w:rsid w:val="00E85604"/>
    <w:rsid w:val="00E92077"/>
    <w:rsid w:val="00EA62B3"/>
    <w:rsid w:val="00ED3B68"/>
    <w:rsid w:val="00EF47CF"/>
    <w:rsid w:val="00EF5857"/>
    <w:rsid w:val="00F16381"/>
    <w:rsid w:val="00F820E7"/>
    <w:rsid w:val="00FB00E6"/>
    <w:rsid w:val="00FC2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A9"/>
  </w:style>
  <w:style w:type="paragraph" w:styleId="Heading2">
    <w:name w:val="heading 2"/>
    <w:basedOn w:val="Normal"/>
    <w:link w:val="Heading2Char"/>
    <w:uiPriority w:val="9"/>
    <w:qFormat/>
    <w:rsid w:val="006B6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1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155"/>
    <w:rPr>
      <w:i/>
      <w:iCs/>
    </w:rPr>
  </w:style>
  <w:style w:type="character" w:styleId="Hyperlink">
    <w:name w:val="Hyperlink"/>
    <w:basedOn w:val="DefaultParagraphFont"/>
    <w:uiPriority w:val="99"/>
    <w:unhideWhenUsed/>
    <w:rsid w:val="00717155"/>
    <w:rPr>
      <w:color w:val="0000FF" w:themeColor="hyperlink"/>
      <w:u w:val="single"/>
    </w:rPr>
  </w:style>
  <w:style w:type="character" w:styleId="Strong">
    <w:name w:val="Strong"/>
    <w:basedOn w:val="DefaultParagraphFont"/>
    <w:uiPriority w:val="22"/>
    <w:qFormat/>
    <w:rsid w:val="008F2E4F"/>
    <w:rPr>
      <w:b/>
      <w:bCs/>
    </w:rPr>
  </w:style>
  <w:style w:type="character" w:customStyle="1" w:styleId="UnresolvedMention">
    <w:name w:val="Unresolved Mention"/>
    <w:basedOn w:val="DefaultParagraphFont"/>
    <w:uiPriority w:val="99"/>
    <w:semiHidden/>
    <w:unhideWhenUsed/>
    <w:rsid w:val="00570FE1"/>
    <w:rPr>
      <w:color w:val="605E5C"/>
      <w:shd w:val="clear" w:color="auto" w:fill="E1DFDD"/>
    </w:rPr>
  </w:style>
  <w:style w:type="paragraph" w:styleId="ListParagraph">
    <w:name w:val="List Paragraph"/>
    <w:basedOn w:val="Normal"/>
    <w:uiPriority w:val="34"/>
    <w:qFormat/>
    <w:rsid w:val="000F2D90"/>
    <w:pPr>
      <w:ind w:left="720"/>
      <w:contextualSpacing/>
    </w:pPr>
  </w:style>
  <w:style w:type="character" w:customStyle="1" w:styleId="Heading2Char">
    <w:name w:val="Heading 2 Char"/>
    <w:basedOn w:val="DefaultParagraphFont"/>
    <w:link w:val="Heading2"/>
    <w:uiPriority w:val="9"/>
    <w:rsid w:val="006B6149"/>
    <w:rPr>
      <w:rFonts w:ascii="Times New Roman" w:eastAsia="Times New Roman" w:hAnsi="Times New Roman" w:cs="Times New Roman"/>
      <w:b/>
      <w:bCs/>
      <w:sz w:val="36"/>
      <w:szCs w:val="36"/>
    </w:rPr>
  </w:style>
  <w:style w:type="character" w:customStyle="1" w:styleId="value">
    <w:name w:val="value"/>
    <w:basedOn w:val="DefaultParagraphFont"/>
    <w:rsid w:val="006B6149"/>
  </w:style>
  <w:style w:type="paragraph" w:styleId="Header">
    <w:name w:val="header"/>
    <w:basedOn w:val="Normal"/>
    <w:link w:val="HeaderChar"/>
    <w:uiPriority w:val="99"/>
    <w:unhideWhenUsed/>
    <w:rsid w:val="00AF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EF"/>
  </w:style>
  <w:style w:type="paragraph" w:styleId="Footer">
    <w:name w:val="footer"/>
    <w:basedOn w:val="Normal"/>
    <w:link w:val="FooterChar"/>
    <w:uiPriority w:val="99"/>
    <w:unhideWhenUsed/>
    <w:rsid w:val="00AF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EF"/>
  </w:style>
  <w:style w:type="character" w:styleId="CommentReference">
    <w:name w:val="annotation reference"/>
    <w:basedOn w:val="DefaultParagraphFont"/>
    <w:uiPriority w:val="99"/>
    <w:semiHidden/>
    <w:unhideWhenUsed/>
    <w:rsid w:val="00C925F1"/>
    <w:rPr>
      <w:sz w:val="16"/>
      <w:szCs w:val="16"/>
    </w:rPr>
  </w:style>
  <w:style w:type="paragraph" w:styleId="CommentText">
    <w:name w:val="annotation text"/>
    <w:basedOn w:val="Normal"/>
    <w:link w:val="CommentTextChar"/>
    <w:uiPriority w:val="99"/>
    <w:semiHidden/>
    <w:unhideWhenUsed/>
    <w:rsid w:val="00C925F1"/>
    <w:pPr>
      <w:spacing w:line="240" w:lineRule="auto"/>
    </w:pPr>
    <w:rPr>
      <w:sz w:val="20"/>
      <w:szCs w:val="20"/>
    </w:rPr>
  </w:style>
  <w:style w:type="character" w:customStyle="1" w:styleId="CommentTextChar">
    <w:name w:val="Comment Text Char"/>
    <w:basedOn w:val="DefaultParagraphFont"/>
    <w:link w:val="CommentText"/>
    <w:uiPriority w:val="99"/>
    <w:semiHidden/>
    <w:rsid w:val="00C925F1"/>
    <w:rPr>
      <w:sz w:val="20"/>
      <w:szCs w:val="20"/>
    </w:rPr>
  </w:style>
  <w:style w:type="paragraph" w:styleId="CommentSubject">
    <w:name w:val="annotation subject"/>
    <w:basedOn w:val="CommentText"/>
    <w:next w:val="CommentText"/>
    <w:link w:val="CommentSubjectChar"/>
    <w:uiPriority w:val="99"/>
    <w:semiHidden/>
    <w:unhideWhenUsed/>
    <w:rsid w:val="00C925F1"/>
    <w:rPr>
      <w:b/>
      <w:bCs/>
    </w:rPr>
  </w:style>
  <w:style w:type="character" w:customStyle="1" w:styleId="CommentSubjectChar">
    <w:name w:val="Comment Subject Char"/>
    <w:basedOn w:val="CommentTextChar"/>
    <w:link w:val="CommentSubject"/>
    <w:uiPriority w:val="99"/>
    <w:semiHidden/>
    <w:rsid w:val="00C925F1"/>
    <w:rPr>
      <w:b/>
      <w:bCs/>
      <w:sz w:val="20"/>
      <w:szCs w:val="20"/>
    </w:rPr>
  </w:style>
  <w:style w:type="paragraph" w:styleId="BalloonText">
    <w:name w:val="Balloon Text"/>
    <w:basedOn w:val="Normal"/>
    <w:link w:val="BalloonTextChar"/>
    <w:uiPriority w:val="99"/>
    <w:semiHidden/>
    <w:unhideWhenUsed/>
    <w:rsid w:val="0093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8A8"/>
    <w:rPr>
      <w:rFonts w:ascii="Segoe UI" w:hAnsi="Segoe UI" w:cs="Segoe UI"/>
      <w:sz w:val="18"/>
      <w:szCs w:val="18"/>
    </w:rPr>
  </w:style>
  <w:style w:type="paragraph" w:styleId="Revision">
    <w:name w:val="Revision"/>
    <w:hidden/>
    <w:uiPriority w:val="99"/>
    <w:semiHidden/>
    <w:rsid w:val="003905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56/9789210023443" TargetMode="External"/><Relationship Id="rId13" Type="http://schemas.openxmlformats.org/officeDocument/2006/relationships/hyperlink" Target="https://doi.org/10.1007/s11356-021-16764-4" TargetMode="External"/><Relationship Id="rId18" Type="http://schemas.openxmlformats.org/officeDocument/2006/relationships/hyperlink" Target="https://doi.org/10.1016/j.cogsc.2023.10083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fermentation8120688" TargetMode="External"/><Relationship Id="rId7" Type="http://schemas.openxmlformats.org/officeDocument/2006/relationships/endnotes" Target="endnotes.xml"/><Relationship Id="rId12" Type="http://schemas.openxmlformats.org/officeDocument/2006/relationships/hyperlink" Target="https://doi.org/10.5897/JBR2023.0359" TargetMode="External"/><Relationship Id="rId17" Type="http://schemas.openxmlformats.org/officeDocument/2006/relationships/hyperlink" Target="https://doi.org/10.51244/IJRSI.2025.1201007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43994-024-00180-8" TargetMode="External"/><Relationship Id="rId20" Type="http://schemas.openxmlformats.org/officeDocument/2006/relationships/hyperlink" Target="https://doi.org/10.1007/978-981-99-281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98700-7_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63053/ijhes.8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su15097251" TargetMode="External"/><Relationship Id="rId19" Type="http://schemas.openxmlformats.org/officeDocument/2006/relationships/hyperlink" Target="https://doi.org/10.3390/ijms24043877" TargetMode="External"/><Relationship Id="rId4" Type="http://schemas.openxmlformats.org/officeDocument/2006/relationships/settings" Target="settings.xml"/><Relationship Id="rId9" Type="http://schemas.openxmlformats.org/officeDocument/2006/relationships/hyperlink" Target="https://doi.org/10.34667/tind.48220" TargetMode="External"/><Relationship Id="rId14" Type="http://schemas.openxmlformats.org/officeDocument/2006/relationships/hyperlink" Target="https://doi.org/10.3390/fermentation904031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8E36-D8EF-4F55-B408-D37D8A41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cp:revision>
  <dcterms:created xsi:type="dcterms:W3CDTF">2025-12-20T14:07:00Z</dcterms:created>
  <dcterms:modified xsi:type="dcterms:W3CDTF">2025-12-22T09:03:00Z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82870702-f864-45cf-86a1-5395d740ce9f</vt:lpwstr>
  </property>
</Properties>
</file>