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B180F" w:rsidRDefault="00DB180F" w:rsidP="00DB180F">
      <w:pPr>
        <w:rPr>
          <w:rFonts w:ascii="Times New Roman" w:hAnsi="Times New Roman" w:cs="Times New Roman"/>
          <w:b/>
          <w:bCs/>
        </w:rPr>
      </w:pPr>
      <w:r w:rsidRPr="00EB6340">
        <w:rPr>
          <w:rFonts w:ascii="Times New Roman" w:hAnsi="Times New Roman" w:cs="Times New Roman"/>
          <w:b/>
          <w:bCs/>
        </w:rPr>
        <w:t>Identifying Genetic Markers and Molecular Pathways Underlying Emerging Anthelmintic Resistance in Human Helminths</w:t>
      </w:r>
    </w:p>
    <w:p w:rsidR="007835DC" w:rsidRPr="00EB6340" w:rsidRDefault="007835DC" w:rsidP="007835DC">
      <w:pPr>
        <w:rPr>
          <w:rFonts w:ascii="Times New Roman" w:hAnsi="Times New Roman" w:cs="Times New Roman"/>
          <w:b/>
          <w:bCs/>
        </w:rPr>
      </w:pPr>
      <w:r w:rsidRPr="00EB6340">
        <w:rPr>
          <w:rFonts w:ascii="Times New Roman" w:hAnsi="Times New Roman" w:cs="Times New Roman"/>
          <w:b/>
          <w:bCs/>
        </w:rPr>
        <w:t>Abstract</w:t>
      </w:r>
    </w:p>
    <w:p w:rsidR="00A479AB" w:rsidRPr="00A479AB" w:rsidRDefault="00A479AB" w:rsidP="00A479AB">
      <w:pPr>
        <w:rPr>
          <w:rFonts w:ascii="Times New Roman" w:hAnsi="Times New Roman" w:cs="Times New Roman"/>
        </w:rPr>
      </w:pPr>
      <w:r w:rsidRPr="00A479AB">
        <w:rPr>
          <w:rFonts w:ascii="Times New Roman" w:hAnsi="Times New Roman" w:cs="Times New Roman"/>
        </w:rPr>
        <w:t>Helminth infections remain a major cause of morbidity in low- and middle-income regions, despite decades of large-scale preventive chemotherapy programs. Current control strategies rely heavily on a limited number of anthelmintic drug classes</w:t>
      </w:r>
      <w:r w:rsidR="00E81DAD">
        <w:rPr>
          <w:rFonts w:ascii="Times New Roman" w:hAnsi="Times New Roman" w:cs="Times New Roman"/>
        </w:rPr>
        <w:t>:</w:t>
      </w:r>
      <w:r>
        <w:rPr>
          <w:rFonts w:ascii="Times New Roman" w:hAnsi="Times New Roman" w:cs="Times New Roman"/>
        </w:rPr>
        <w:t xml:space="preserve"> </w:t>
      </w:r>
      <w:r w:rsidRPr="00A479AB">
        <w:rPr>
          <w:rFonts w:ascii="Times New Roman" w:hAnsi="Times New Roman" w:cs="Times New Roman"/>
          <w:b/>
          <w:bCs/>
        </w:rPr>
        <w:t>benzimidazoles, macrocyclic lactones, and cholinergic agonists</w:t>
      </w:r>
      <w:r>
        <w:rPr>
          <w:rFonts w:ascii="Times New Roman" w:hAnsi="Times New Roman" w:cs="Times New Roman"/>
        </w:rPr>
        <w:t xml:space="preserve"> </w:t>
      </w:r>
      <w:r w:rsidRPr="00A479AB">
        <w:rPr>
          <w:rFonts w:ascii="Times New Roman" w:hAnsi="Times New Roman" w:cs="Times New Roman"/>
        </w:rPr>
        <w:t xml:space="preserve">administered repeatedly through mass drug administration (MDA). This sustained reliance has increased selective pressure on parasite populations, raising growing concern about the emergence of drug resistance that could undermine long-term program effectiveness. While anthelmintic resistance is well documented in veterinary helminths, molecular evidence in human parasites remains fragmented and </w:t>
      </w:r>
      <w:proofErr w:type="spellStart"/>
      <w:r w:rsidRPr="00A479AB">
        <w:rPr>
          <w:rFonts w:ascii="Times New Roman" w:hAnsi="Times New Roman" w:cs="Times New Roman"/>
        </w:rPr>
        <w:t>undercharacterized</w:t>
      </w:r>
      <w:proofErr w:type="spellEnd"/>
      <w:r w:rsidRPr="00A479AB">
        <w:rPr>
          <w:rFonts w:ascii="Times New Roman" w:hAnsi="Times New Roman" w:cs="Times New Roman"/>
        </w:rPr>
        <w:t>.</w:t>
      </w:r>
      <w:r>
        <w:rPr>
          <w:rFonts w:ascii="Times New Roman" w:hAnsi="Times New Roman" w:cs="Times New Roman"/>
        </w:rPr>
        <w:t xml:space="preserve"> </w:t>
      </w:r>
      <w:r w:rsidRPr="00A479AB">
        <w:rPr>
          <w:rFonts w:ascii="Times New Roman" w:hAnsi="Times New Roman" w:cs="Times New Roman"/>
        </w:rPr>
        <w:t>This review provides an integrative, human-helminth–focused synthesis of current knowledge on genetic markers and molecular pathways associated with emerging anthelmintic resistance. We summarize evidence for β-tubulin polymorphisms linked to benzimidazole resistance, alterations in ligand-gated ion channels affecting macrocyclic lactone sensitivity, and the upregulation of efflux transporter systems that contribute to multidrug tolerance. We also examine transcriptomic, metabolic, and regulatory pathways—including detoxification networks and epigenetic modifications</w:t>
      </w:r>
      <w:r>
        <w:rPr>
          <w:rFonts w:ascii="Times New Roman" w:hAnsi="Times New Roman" w:cs="Times New Roman"/>
        </w:rPr>
        <w:t xml:space="preserve"> </w:t>
      </w:r>
      <w:r w:rsidRPr="00A479AB">
        <w:rPr>
          <w:rFonts w:ascii="Times New Roman" w:hAnsi="Times New Roman" w:cs="Times New Roman"/>
        </w:rPr>
        <w:t>that may stabilize resistance phenotypes and offset associated fitness costs. Advances in genomics, population genetics, and functional approaches are accelerating the detection of resistance signals, although standardized molecular surveillance frameworks for human helminths remain limited.</w:t>
      </w:r>
      <w:r>
        <w:rPr>
          <w:rFonts w:ascii="Times New Roman" w:hAnsi="Times New Roman" w:cs="Times New Roman"/>
        </w:rPr>
        <w:t xml:space="preserve"> </w:t>
      </w:r>
      <w:r w:rsidRPr="00A479AB">
        <w:rPr>
          <w:rFonts w:ascii="Times New Roman" w:hAnsi="Times New Roman" w:cs="Times New Roman"/>
        </w:rPr>
        <w:t>We discuss the public health implications of these findings, highlight vulnerabilities in MDA-based control programs, and outline future strategies—including molecular diagnostics, combination therapies, and genomic surveillance—to support sustainable helminth control and guide anthelmintic development.</w:t>
      </w:r>
    </w:p>
    <w:p w:rsidR="000C5212" w:rsidRPr="00EB6340" w:rsidRDefault="000C5212" w:rsidP="000C5212">
      <w:pPr>
        <w:rPr>
          <w:rFonts w:ascii="Times New Roman" w:hAnsi="Times New Roman" w:cs="Times New Roman"/>
          <w:b/>
          <w:bCs/>
        </w:rPr>
      </w:pPr>
      <w:r w:rsidRPr="00EB6340">
        <w:rPr>
          <w:rFonts w:ascii="Times New Roman" w:hAnsi="Times New Roman" w:cs="Times New Roman"/>
          <w:b/>
          <w:bCs/>
        </w:rPr>
        <w:t xml:space="preserve">Keywords: </w:t>
      </w:r>
      <w:r w:rsidRPr="00EB6340">
        <w:rPr>
          <w:rFonts w:ascii="Times New Roman" w:hAnsi="Times New Roman" w:cs="Times New Roman"/>
        </w:rPr>
        <w:t>Anthelmintic resistance; Helminths; Benzimidazoles; β-tubulin polymorphisms; Macrocyclic lactones; Glutamate-gated chloride channels; ABC transporters; Molecular diagnostics; Mass drug administration</w:t>
      </w:r>
    </w:p>
    <w:p w:rsidR="000C5212" w:rsidRPr="00EB6340" w:rsidRDefault="000C5212" w:rsidP="007835DC">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1. Introduction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Human helminth infections remain among the most widespread neglected tropical diseases, disproportionately affecting populations in low- and middle-income countries. Soil-transmitted helminths such as </w:t>
      </w:r>
      <w:r w:rsidRPr="00EB6340">
        <w:rPr>
          <w:rFonts w:ascii="Times New Roman" w:hAnsi="Times New Roman" w:cs="Times New Roman"/>
          <w:i/>
          <w:iCs/>
        </w:rPr>
        <w:t>Ascaris lumbricoides</w:t>
      </w:r>
      <w:r w:rsidRPr="00EB6340">
        <w:rPr>
          <w:rFonts w:ascii="Times New Roman" w:hAnsi="Times New Roman" w:cs="Times New Roman"/>
        </w:rPr>
        <w:t xml:space="preserve">,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alongside tissue-dwelling species including </w:t>
      </w: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r w:rsidRPr="00EB6340">
        <w:rPr>
          <w:rFonts w:ascii="Times New Roman" w:hAnsi="Times New Roman" w:cs="Times New Roman"/>
        </w:rPr>
        <w:t xml:space="preserve"> and various filarial nematodes, collectively infect hundreds of millions of people worldwide. These infections contribute to chronic morbidity through malnutrition, anemia, impaired cognitive development, and reduced economic productivity. Despite notable progress in expanding preventive chemotherapy programs, </w:t>
      </w:r>
      <w:r w:rsidRPr="00EB6340">
        <w:rPr>
          <w:rFonts w:ascii="Times New Roman" w:hAnsi="Times New Roman" w:cs="Times New Roman"/>
        </w:rPr>
        <w:lastRenderedPageBreak/>
        <w:t>transmission persists in many endemic regions, underscoring the need for durable long-term control strategies</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{"citationID":"Vx8KzE43","properties":{"formattedCitation":"[1]","plainCitation":"[1]","noteIndex":0},"citationItems":[{"id":11851,"uris":["http://zotero.org/users/16652950/items/L5QMNNDB"],"itemData":{"id":11851,"type":"article-journal","abstract":"Background\nSoil-transmitted helminth (STH) infections are a significant public health concern in developing countries, particularly affecting children (5–9 years) and adolescents (10–12 years). This study investigated the prevalence of STH infections, examined associated risk factors, and assessed their impact on the nutritional status of children and adolescents.\n\nMethods\nAn analytical cross-sectional study was conducted within schools and took place from April to June 2023 and involved 382 participants in Calabar, Nigeria. All participants in the study completed a questionnaire designed to gather information on their demographics and knowledge, attitudes, and practices (KAP) regarding STH infections. Anthropometric measurements were taken according to World Health Organisation (WHO) standards. Fresh faecal samples were collected from each study participant and examined via the Kato-Katz technique. The data were analysed using STATA software, version 14. A binomial logistic regression model was used to identify predictors of STH infections and to examine the associations between STH infection status and stunting, underweight, and wasting.\n\nResults\nThe overall prevalence of STHs was 28.8%, with Ascaris lumbricoides (19.6%) being the most prevalent. The prevalence of STHs was greater among males (30.2%) than females (27.7%) and was relatively greater among participants aged 10 years and above (34.8%). All study participants recorded light infection intensities. The prevalence rates of stunting, underweight, and wasting were 10.5%, 8.4%, and 6.3%, respectively. Respondents with no history of deworming were significantly less likely to contract an STH infection (Odds Ratio: 0.2; 95% Confidence Interval: 0.1–0.4; P &lt; 0.001). The use of pit latrines was associated with a greater likelihood of STH infection (OR: 2.1; 95% CI: 1.3–3.4; P = 0.002). Additionally, respondents with poor attitude scores were significantly less likely to contract an STH infection (Adjusted Odds Ratio: 0.6; 95% CI: 0.4–0.8; P = 0.003), and those over 10 years old (OR: 0.1; 95% CI: 0.04–0.82; P = 0.027) were significantly less likely to be underweight than those aged 5–7 years. There was no association between stunting, underweight, wasting, and STH infection.\n\nConclusion\nThese findings highlight the necessity for an integrated approach to STH management and nutrition initiatives in Nigeria.","container-title":"BMC Public Health","DOI":"10.1186/s12889-024-21210-4","ISSN":"1471-2458","journalAbbreviation":"BMC Public Health","note":"PMID: 39743623\nPMCID: PMC11694370","page":"1","source":"PubMed Central","title":"Soil-transmitted helminth infections and nutritional indices among children (5–9 years) and adolescents (10–12 years) in Calabar, Nigeria","volume":"25","author":[{"family":"Usang","given":"Anok Ukam"},{"family":"Imalele","given":"Edema Enogiomwan"},{"family":"Effanga","given":"Emmanuel Offiong"},{"family":"Ukoha","given":"Ukoha Kalu"},{"family":"Eleng","given":"Ituna Emini"}],"issued":{"date-parts":[["2025",1,2]]}}}],"schema":"https://github.com/citation-style-language/schema/raw/master/csl-citation.json"}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global approach to helminth control relies heavily on a limited pharmacological arsenal, primarily benzimidazoles, macrocyclic lactones, and a small number of cholinergic agonists. Mass drug administration (MDA) campaigns, which aim to reduce community-wide worm burden, have intensified selection pressures on parasite populations by repeated reliance on the same drug classes. This restricted therapeutic diversity heightens the risk of developing drug resistance, a problem well documented in veterinary helminths and increasingly suspected in human parasites. Reports of declining cure rates, reduced egg reduction following treatment, and molecular evidence consistent with resistance-associated mutations have raised concern that similar patterns are emerging in human helminth populations</w:t>
      </w:r>
      <w:r w:rsidR="0087183A">
        <w:rPr>
          <w:rFonts w:ascii="Times New Roman" w:hAnsi="Times New Roman" w:cs="Times New Roman"/>
        </w:rPr>
        <w:t>.</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{"citationID":"5WN5YJD4","properties":{"formattedCitation":"[2]","plainCitation":"[2]","noteIndex":0},"citationItems":[{"id":11854,"uris":["http://zotero.org/users/16652950/items/S9STZNZJ"],"itemData":{"id":11854,"type":"article-journal","abstract":"The most important soil-transmitted helminths (STHs) affecting humans are roundworms, whipworms, and hookworms, with a large proportion of the world's population infected with one or more of these intestinal parasites. On top of that, concurrent infections with several viruses, bacteria, protozoa, and other helminths such as trematodes are common in STH-endemic areas. STHs are potent immunomodulators, but knowledge about the effects of STH infection on the direction and extent of coinfections with other pathogens and vice versa is incomplete. By focusing on Kenya, a country where STH infections in humans are widespread, we provide an exemplary overview of the current prevalence of STH and co-occurring infections (e.g. with Human Immunodeficiency Virus, Plasmodium falciparum, Giardia duodenalis and Schistosoma mansoni). Using human data and complemented by experimental studies, we outline the immunomechanistic interactions of coinfections in both acutely STH transmigrated and chronically infected tissues, also highlighting their systemic nature. Depending on the coinfecting pathogen and immunological readout, STH infection may restrain, support, or even override the immune response to another pathogen. Furthermore, the timing of the particular infection and host susceptibility are decisive for the immunopathological consequences. Some examples demonstrated positive outcomes of STH coinfections, where the systemic effects of these helminths mitigate the damage caused by other pathogens. Nevertheless, the data available to date are rather unbalanced, as only a few studies have considered the effects of coinfection on the worm's life cycle and associated host immunity. These interactions are complex and depend largely on the context and biology of the coinfection, which can act in either direction, both to the benefit and detriment of the infected host.","container-title":"Frontiers in Parasitology","DOI":"10.3389/fpara.2023.1197956","ISSN":"2813-2424","journalAbbreviation":"Front. Parasitol.","language":"English","note":"publisher: Frontiers","source":"Frontiers","title":"Infection with soil-transmitted helminths and their impact on coinfections","URL":"https://www.frontiersin.org/journals/parasitology/articles/10.3389/fpara.2023.1197956/full","volume":"2","author":[{"family":"Schlosser-Brandenburg","given":"Josephine"},{"family":"Midha","given":"Ankur"},{"family":"Mugo","given":"Robert M."},{"family":"Ndombi","given":"Eric M."},{"family":"Gachara","given":"George"},{"family":"Njomo","given":"Doris"},{"family":"Rausch","given":"Sebastian"},{"family":"Hartmann","given":"Susanne"}],"accessed":{"date-parts":[["2025",12,8]]},"issued":{"date-parts":[["2023",5,24]]}}}],"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Understanding the genetic and molecular basis of anthelmintic resistance is therefore crucial for safeguarding the long-term efficacy of current treatment strategies. Identifying mutations in drug targets, elucidating pathways that modulate gene expression or metabolic detoxification, and characterizing mechanisms such as drug efflux can provide early warning indicators of reduced drug susceptibility. Such insights also support the development of improved diagnostics, more effective drug combinations, and surveillance systems capable of detecting resistance before widespread clinical failure occurs</w:t>
      </w:r>
      <w:r w:rsidR="0087183A">
        <w:rPr>
          <w:rFonts w:ascii="Times New Roman" w:hAnsi="Times New Roman" w:cs="Times New Roman"/>
        </w:rPr>
        <w:t>.</w:t>
      </w:r>
      <w:r w:rsidR="00E82B3A" w:rsidRPr="00EB6340">
        <w:rPr>
          <w:rFonts w:ascii="Times New Roman" w:hAnsi="Times New Roman" w:cs="Times New Roman"/>
        </w:rPr>
        <w:fldChar w:fldCharType="begin"/>
      </w:r>
      <w:r w:rsidR="00DB2524" w:rsidRPr="00EB6340">
        <w:rPr>
          <w:rFonts w:ascii="Times New Roman" w:hAnsi="Times New Roman" w:cs="Times New Roman"/>
        </w:rPr>
        <w:instrText xml:space="preserve"> ADDIN ZOTERO_ITEM CSL_CITATION {"citationID":"uy1eXyIq","properties":{"formattedCitation":"[3]","plainCitation":"[3]","noteIndex":0},"citationItems":[{"id":11856,"uris":["http://zotero.org/users/16652950/items/HF2XAJXC"],"itemData":{"id":11856,"type":"article-journal","abstract":"Background\nAccording to the Global Burden of Disease (GBD) 2019 report, up to 1.5 million disability-adjusted life years (DALYs) are lost due to soil-transmitted helminths (STHs), and 5.9 million people are at risk of acquiring STHs. Regions with the highest prevalence of STH infections include Sub-Saharan Africa, China, South America, and Asia. While there are numerous fragmented studies on STH, comprehensive information on the prevalence and geographic distribution of different species, as well as their regional variations in the context of STHs is limited. The present systematic review and meta-analysis study attempts to provide a summary of the prevalence, geographical variation, and determinants of STHs among schoolchildren aged 5 to 18 years.\n\nMethods\nAn extensive literature search was carried out using PubMed, Embase, Cinhal, and Psychinfo for studies published between 1999 and 2022 that reported the rate of STH infection in school-going children aged 5–18 years. A random effects model was employed in this meta-analysis due to expected heterogeneity. Subgroup analysis was carried out based on sex and STH species because of expected geographical variation.\n\nResults\nA total of 19,725 of the 49,630 children examined were infected with STH, yielding an overall pooled prevalence of 37.16% (95% CI: 29.74–44.89). The prevalence was highest in the Western Pacific region at 50.41% (95% CI: 33.74–67.04) followed by Europe at 39.74% (95% CI: 20.40–61.0) and Africa at 37.10% (95% CI: 26.84–47.95). Ascaris lumbricoides was found to be the most prevalent helminth with a prevalence of 24.07% (95% CI: 17.07–31.83).\n\nConclusion\nThe Western Pacific region is classified as a High-risk Zone (HRZ), while Southeast Asia, Africa, Europe, and the Eastern Mediterranean are classified as moderate-risk zones (MRZs). We found a 12% reduction in the pooled prevalence of STH infection from 1999 to 2012. Ascaris lumbricoides was the predominant species among schoolchildren. Mass Drug Administration (MDA) of Albendazole tablets and improved water, sanitation, and hygiene (WASH) practices are effective in controlling and preventing STH. Ensuring their implementation and access is crucial to addressing the problem.\n\nSystematic review registration\nhttps://www.crd.york.ac.uk/prospero/#loginpage, CRD42022333341.","container-title":"Frontiers in Public Health","DOI":"10.3389/fpubh.2024.1283054","ISSN":"2296-2565","journalAbbreviation":"Front Public Health","note":"PMID: 38577281\nPMCID: PMC10991833","page":"1283054","source":"PubMed Central","title":"Prevalence and correlates of soil-transmitted helminths in schoolchildren aged 5 to 18 years in low- and middle-income countries: a systematic review and meta-analysis","title-short":"Prevalence and correlates of soil-transmitted helminths in schoolchildren aged 5 to 18 years in low- and middle-income countries","volume":"12","author":[{"family":"Agrawal","given":"Ritik"},{"family":"Pattnaik","given":"Sweta"},{"family":"Kshatri","given":"Jaya Singh"},{"family":"Kanungo","given":"Srikanta"},{"family":"Mandal","given":"Nityananda"},{"family":"Palo","given":"Subrata Kumar"},{"family":"Pati","given":"Sanghamitra"}],"issued":{"date-parts":[["2024",3,21]]}}}],"schema":"https://github.com/citation-style-language/schema/raw/master/csl-citation.json"} </w:instrText>
      </w:r>
      <w:r w:rsidR="00E82B3A" w:rsidRPr="00EB6340">
        <w:rPr>
          <w:rFonts w:ascii="Times New Roman" w:hAnsi="Times New Roman" w:cs="Times New Roman"/>
        </w:rPr>
        <w:fldChar w:fldCharType="separate"/>
      </w:r>
      <w:r w:rsidR="00DB2524" w:rsidRPr="00EB6340">
        <w:rPr>
          <w:rFonts w:ascii="Times New Roman" w:hAnsi="Times New Roman" w:cs="Times New Roman"/>
        </w:rPr>
        <w:t>[3]</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t>This paper reviews current knowledge on the genetic markers and molecular pathways implicated in emerging anthelmintic resistance in human helminths. It synthesizes evidence from genomic, transcriptomic, and population-level studies, and outlines the implications of these findings for public health, surveillance, and future drug development.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 Anthelmintic Drug Classes and Their Mechanisms of Action</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macrocyclic lactones, and cholinergic agonists constitute the core of current anthelmintic therapy for human helminths. Each drug class acts on distinct molecular targets, yet all face the risk of diminishing efficacy as selective pressure increases through widespread use in mass drug administration (MDA)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2.1 Benzimidazoles</w:t>
      </w:r>
    </w:p>
    <w:p w:rsidR="0059639A" w:rsidRPr="00EB6340" w:rsidRDefault="0059639A" w:rsidP="0059639A">
      <w:pPr>
        <w:rPr>
          <w:rFonts w:ascii="Times New Roman" w:hAnsi="Times New Roman" w:cs="Times New Roman"/>
        </w:rPr>
      </w:pPr>
      <w:r w:rsidRPr="00EB6340">
        <w:rPr>
          <w:rFonts w:ascii="Times New Roman" w:hAnsi="Times New Roman" w:cs="Times New Roman"/>
        </w:rPr>
        <w:t>Benzimidazoles, including albendazole and mebendazole, exert their activity by binding to β-tubulin, a critical component of the parasite’s microtubule cytoskeleton. This binding disrupts microtubule assembly and compromises essential cellular processes such as nutrient uptake. Resistance in multiple helminth species has been linked to single-nucleotide polymorphisms (SNPs) in the β-tubulin gene, particularly at codons 167, 198, and 200. These mutations reduce drug–target affinity and are increasingly reported in human soil-transmitted helminths, mirroring well-established patterns observed in veterinary parasites</w:t>
      </w:r>
      <w:r w:rsidR="00E82B3A" w:rsidRPr="00EB6340">
        <w:rPr>
          <w:rFonts w:ascii="Times New Roman" w:hAnsi="Times New Roman" w:cs="Times New Roman"/>
        </w:rPr>
        <w:fldChar w:fldCharType="begin"/>
      </w:r>
      <w:r w:rsidR="00E6704E" w:rsidRPr="00EB6340">
        <w:rPr>
          <w:rFonts w:ascii="Times New Roman" w:hAnsi="Times New Roman" w:cs="Times New Roman"/>
        </w:rPr>
        <w:instrText xml:space="preserve"> ADDIN ZOTERO_ITEM CSL_CITATION {"citationID":"VUUakBI0","properties":{"formattedCitation":"[4]","plainCitation":"[4]","noteIndex":0},"citationItems":[{"id":11859,"uris":["http://zotero.org/users/16652950/items/QHZ4MDC7"],"itemData":{"id":11859,"type":"article-journal","abstract":"Parasitic nematode infections cause an enormous global burden to both humans and livestock. Resistance to the limited arsenal of anthelmintic drugs used to combat these infections is widespread, including benzimidazole (BZ) compounds. Previous studies using the free-living nematode Caenorhabditis elegans to model parasitic nematode resistance have shown that loss-of-function mutations in the beta-tubulin gene ben-1 confer resistance to BZ drugs. However, the mechanism of resistance and the tissue-specific susceptibility are not well known in any nematode species. To identify in which tissue(s) ben-1 function underlies BZ susceptibility, transgenic strains that express ben-1 in different tissues, including hypodermis, muscles, neurons, intestine, and ubiquitous expression were generated. High-throughput fitness assays were performed to measure and compare the quantitative responses to BZ compounds among different transgenic lines. Significant BZ susceptibility was observed in animals expressing ben-1 in neurons, comparable to expression using the ben-1 promoter. This result suggests that ben-1 function in neurons underlies susceptibility to BZ. Subsetting neuronal expression of ben-1 based on the neurotransmitter system further restricted ben-1 function in cholinergic neurons to cause BZ susceptibility. These results better inform our current understanding of the cellular mode of action of BZs and also suggest additional treatments that might potentiate the effects of BZs in neurons., Image 1, •Expressing wild-type ben-1 only in neurons restores susceptibility to benzimidazoles.•Expression of ben-1 in cholinergic neurons restores susceptibility to benzimidazoles.•GABAergic neurons might also play a role in benzimidazole sensitivity.•Broad implications for molecular mechanisms of benzimidazole mode of action.","container-title":"International Journal for Parasitology: Drugs and Drug Resistance","DOI":"10.1016/j.ijpddr.2022.10.004","ISSN":"2211-3207","journalAbbreviation":"Int J Parasitol Drugs Drug Resist","note":"PMID: 36332489\nPMCID: PMC9771835","page":"89-96","source":"PubMed Central","title":"Benzimidazoles cause lethality by inhibiting the function of Caenorhabditis elegans neuronal beta-tubulin","volume":"20","author":[{"family":"Gibson","given":"Sophia B."},{"family":"Ness-Cohn","given":"Elan"},{"family":"Andersen","given":"Erik C."}],"issued":{"date-parts":[["2022",10,29]]}}}],"schema":"https://github.com/citation-style-language/schema/raw/master/csl-citation.json"} </w:instrText>
      </w:r>
      <w:r w:rsidR="00E82B3A" w:rsidRPr="00EB6340">
        <w:rPr>
          <w:rFonts w:ascii="Times New Roman" w:hAnsi="Times New Roman" w:cs="Times New Roman"/>
        </w:rPr>
        <w:fldChar w:fldCharType="separate"/>
      </w:r>
      <w:r w:rsidR="00E6704E" w:rsidRPr="00EB6340">
        <w:rPr>
          <w:rFonts w:ascii="Times New Roman" w:hAnsi="Times New Roman" w:cs="Times New Roman"/>
        </w:rPr>
        <w:t>[4]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2.2 Macrocyclic Lactones</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Macrocyclic lactones, such as ivermectin, primarily target glutamate-gated chloride channels, leading to hyperpolarization and paralysis of the worm. Reduced susceptibility in human helminths has been inferred from declining treatment responses and early evidence of changes in ion-channel gene expression or subunit composition. Although definitive markers remain under investigation, observations from related nematodes strongly support the plausibility of emerging resistance</w:t>
      </w:r>
      <w:r w:rsidR="0087183A">
        <w:rPr>
          <w:rFonts w:ascii="Times New Roman" w:hAnsi="Times New Roman" w:cs="Times New Roman"/>
        </w:rPr>
        <w:t>.</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{"citationID":"mnAXsJKP","properties":{"formattedCitation":"[5]","plainCitation":"[5]","noteIndex":0},"citationItems":[{"id":11862,"uris":["http://zotero.org/users/16652950/items/NPVXMLNZ"],"itemData":{"id":11862,"type":"article-journal","abstract":"Ion channels are specialized multimeric proteins that underlie cell excitability. These channels integrate with a variety of neuromuscular and biological functions. In nematodes, the physiological behaviors including locomotion, navigation, feeding and reproduction, are regulated by these protein entities. Majority of the antinematodal chemotherapeutics target the ion channels to disrupt essential biological functions. Here, we have summarized current advances in our understanding of nematode ion channel pharmacology. We review cys-loop ligand gated ion channels (LGICs), including nicotinic acetylcholine receptors (nAChRs), acetylcholine-chloride gated ion channels (ACCs), glutamate-gated chloride channels (GluCls), and GABA (γ-aminobutyric acid) receptors, and other ionotropic receptors (transient receptor potential (TRP) channels and potassium ion channels). We have provided an update on the pharmacological properties of these channels from various nematodes. This article catalogs the differences in ion channel composition and resulting pharmacology in the phylum Nematoda. This diversity in ion channel subunit repertoire and pharmacology emphasizes the importance of pursuing species-specific drug target research. In this review, we have provided an overview of recent advances in techniques and functional assays available for screening ion channel properties and their application., Image 1","container-title":"International Journal for Parasitology: Drugs and Drug Resistance","DOI":"10.1016/j.ijpddr.2021.12.001","ISSN":"2211-3207","journalAbbreviation":"Int J Parasitol Drugs Drug Resist","note":"PMID: 35149380\nPMCID: PMC8841521","page":"52-86","source":"PubMed Central","title":"Advances in our understanding of nematode ion channels as potential anthelmintic targets","volume":"18","author":[{"family":"Choudhary","given":"Shivani"},{"family":"Kashyap","given":"Sudhanva S."},{"family":"Martin","given":"Richard J."},{"family":"Robertson","given":"Alan P."}],"issued":{"date-parts":[["2021",12,25]]}}}],"schema":"https://github.com/citation-style-language/schema/raw/master/csl-citation.json"}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2.3 Nicotinic Acetylcholine Receptor Agonists and Other Drug Classes</w:t>
      </w:r>
    </w:p>
    <w:p w:rsidR="0059639A" w:rsidRPr="00EB6340" w:rsidRDefault="0059639A" w:rsidP="0059639A">
      <w:pPr>
        <w:rPr>
          <w:rFonts w:ascii="Times New Roman" w:hAnsi="Times New Roman" w:cs="Times New Roman"/>
        </w:rPr>
      </w:pPr>
      <w:r w:rsidRPr="00EB6340">
        <w:rPr>
          <w:rFonts w:ascii="Times New Roman" w:hAnsi="Times New Roman" w:cs="Times New Roman"/>
        </w:rPr>
        <w:t>Cholinergic agonists, including pyrantel, act by stimulating nicotinic acetylcholine receptors at the neuromuscular junction, causing sustained depolarization and paralysis. Their effectiveness varies across species, and limited evidence exists regarding resistance mechanisms in human helminths. Additional drug classes remain underutilized or have narrow spectra, further constraining therapeutic options</w:t>
      </w:r>
      <w:r w:rsidR="0087183A">
        <w:rPr>
          <w:rFonts w:ascii="Times New Roman" w:hAnsi="Times New Roman" w:cs="Times New Roman"/>
        </w:rPr>
        <w:t>.</w:t>
      </w:r>
      <w:r w:rsidR="00E82B3A" w:rsidRPr="00EB6340">
        <w:rPr>
          <w:rFonts w:ascii="Times New Roman" w:hAnsi="Times New Roman" w:cs="Times New Roman"/>
        </w:rPr>
        <w:fldChar w:fldCharType="begin"/>
      </w:r>
      <w:r w:rsidR="001B5CA0" w:rsidRPr="00EB6340">
        <w:rPr>
          <w:rFonts w:ascii="Times New Roman" w:hAnsi="Times New Roman" w:cs="Times New Roman"/>
        </w:rPr>
        <w:instrText xml:space="preserve"> ADDIN ZOTERO_ITEM CSL_CITATION {"citationID":"vcxPkj2i","properties":{"formattedCitation":"[6]","plainCitation":"[6]","noteIndex":0},"citationItems":[{"id":11865,"uris":["http://zotero.org/users/16652950/items/ACRS2KPU"],"itemData":{"id":11865,"type":"chapter","abstract":"Cholinergic receptors function in signal transduction of the somatic and autonomic nervous systems. The receptors are named because they become activated by the ligand acetylcholine. These receptors subdivide into nicotinic and muscarinic receptors, which are named secondary to separate activating ligands that contributed to their study. Nicotinic receptors are responsive to the agonist nicotine, while muscarinic receptors are responsive to muscarine.  The two receptors differ in function as ionotropic ligand-gated and G-protein coupled receptors, respectively. Nicotinic receptors function within the central nervous system and at the neuromuscular junction. While muscarinic receptors function in both the peripheral and central nervous systems, mediating innervation to visceral organs. The difference in signal transduction of the two receptor types confers separate physiological functions upon receptor activation. Furthermore, differences in receptor subtypes create unique implications for pharmacologic targets and pathogenesis of the disease.","call-number":"NBK526134","container-title":"StatPearls","event-place":"Treasure Island (FL)","language":"eng","license":"Copyright © 2025, StatPearls Publishing LLC.","note":"PMID: 30252390","publisher":"StatPearls Publishing","publisher-place":"Treasure Island (FL)","source":"PubMed","title":"Physiology, Cholinergic Receptors","URL":"http://www.ncbi.nlm.nih.gov/books/NBK526134/","author":[{"family":"Carlson","given":"Adlei B."},{"family":"Kraus","given":"Gregory P."}],"accessed":{"date-parts":[["2025",12,8]]},"issued":{"date-parts":[["2025"]]}}}],"schema":"https://github.com/citation-style-language/schema/raw/master/csl-citation.json"} </w:instrText>
      </w:r>
      <w:r w:rsidR="00E82B3A" w:rsidRPr="00EB6340">
        <w:rPr>
          <w:rFonts w:ascii="Times New Roman" w:hAnsi="Times New Roman" w:cs="Times New Roman"/>
        </w:rPr>
        <w:fldChar w:fldCharType="separate"/>
      </w:r>
      <w:r w:rsidR="001B5CA0" w:rsidRPr="00EB6340">
        <w:rPr>
          <w:rFonts w:ascii="Times New Roman" w:hAnsi="Times New Roman" w:cs="Times New Roman"/>
        </w:rPr>
        <w:t>[6]</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2.4 Selective Pressures Created by MDA Programs</w:t>
      </w:r>
    </w:p>
    <w:p w:rsidR="00F133A4" w:rsidRPr="00EB6340" w:rsidRDefault="004570F4" w:rsidP="0059639A">
      <w:pPr>
        <w:rPr>
          <w:rFonts w:ascii="Times New Roman" w:hAnsi="Times New Roman" w:cs="Times New Roman"/>
        </w:rPr>
      </w:pPr>
      <w:r w:rsidRPr="004F45D8">
        <w:rPr>
          <w:i/>
          <w:iCs/>
        </w:rPr>
        <w:t>Figure 1 provides a schematic overview of the major anthelmintic drug classes, their molecular targets, and the resistance-associated mechanisms discussed in this section.</w:t>
      </w:r>
      <w:r>
        <w:rPr>
          <w:i/>
          <w:iCs/>
        </w:rPr>
        <w:t xml:space="preserve"> </w:t>
      </w:r>
      <w:r w:rsidR="0059639A" w:rsidRPr="00EB6340">
        <w:rPr>
          <w:rFonts w:ascii="Times New Roman" w:hAnsi="Times New Roman" w:cs="Times New Roman"/>
        </w:rPr>
        <w:t xml:space="preserve">The repeated community-wide administration of the same drug classes intensifies evolutionary pressure on helminth populations. High-frequency exposure, often with suboptimal coverage, favors the survival and spread of resistant genotypes. As MDA continues to expand globally, understanding </w:t>
      </w:r>
      <w:r w:rsidR="0059639A" w:rsidRPr="00EB6340">
        <w:rPr>
          <w:rFonts w:ascii="Times New Roman" w:hAnsi="Times New Roman" w:cs="Times New Roman"/>
        </w:rPr>
        <w:lastRenderedPageBreak/>
        <w:t>drug mechanisms and resistance markers becomes essential for sustaining treatment efficacy.</w:t>
      </w:r>
      <w:r w:rsidR="00F133A4" w:rsidRPr="00EB6340">
        <w:rPr>
          <w:rFonts w:ascii="Times New Roman" w:hAnsi="Times New Roman" w:cs="Times New Roman"/>
          <w:noProof/>
        </w:rPr>
        <w:drawing>
          <wp:inline distT="0" distB="0" distL="0" distR="0">
            <wp:extent cx="5943600" cy="3962400"/>
            <wp:effectExtent l="0" t="0" r="0" b="0"/>
            <wp:docPr id="1751634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34652" name="Picture 175163465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rsidR="00F133A4" w:rsidRPr="00EB6340" w:rsidRDefault="00F133A4" w:rsidP="0059639A">
      <w:pPr>
        <w:rPr>
          <w:rFonts w:ascii="Times New Roman" w:hAnsi="Times New Roman" w:cs="Times New Roman"/>
        </w:rPr>
      </w:pPr>
    </w:p>
    <w:p w:rsidR="007B4A17" w:rsidRDefault="007B4A17" w:rsidP="0059639A">
      <w:pPr>
        <w:rPr>
          <w:rFonts w:ascii="Times New Roman" w:hAnsi="Times New Roman" w:cs="Times New Roman"/>
          <w:b/>
          <w:bCs/>
        </w:rPr>
      </w:pPr>
      <w:r>
        <w:rPr>
          <w:rFonts w:ascii="Times New Roman" w:hAnsi="Times New Roman" w:cs="Times New Roman"/>
          <w:b/>
          <w:bCs/>
        </w:rPr>
        <w:t>Fig 1:Mechanisms of action of Major Anthelmintic Drug Classes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 xml:space="preserve">3. Genetic Markers Associated </w:t>
      </w:r>
      <w:proofErr w:type="gramStart"/>
      <w:r w:rsidRPr="00EB6340">
        <w:rPr>
          <w:rFonts w:ascii="Times New Roman" w:hAnsi="Times New Roman" w:cs="Times New Roman"/>
          <w:b/>
          <w:bCs/>
        </w:rPr>
        <w:t>With</w:t>
      </w:r>
      <w:proofErr w:type="gramEnd"/>
      <w:r w:rsidRPr="00EB6340">
        <w:rPr>
          <w:rFonts w:ascii="Times New Roman" w:hAnsi="Times New Roman" w:cs="Times New Roman"/>
          <w:b/>
          <w:bCs/>
        </w:rPr>
        <w:t xml:space="preserve"> Anthelmintic Resistance</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appears to be driven by a combination of target-site mutations, altered gene regulation, and enhanced protective pathways that collectively reduce drug susceptibility. Although the molecular evidence is still developing compared with the extensive data available for veterinary parasites, several genetic markers have gained prominence as potential indicators of resistance</w:t>
      </w:r>
      <w:r w:rsidR="0087183A">
        <w:rPr>
          <w:rFonts w:ascii="Times New Roman" w:hAnsi="Times New Roman" w:cs="Times New Roman"/>
        </w:rPr>
        <w:t>.</w:t>
      </w:r>
      <w:r w:rsidR="00E82B3A" w:rsidRPr="00EB6340">
        <w:rPr>
          <w:rFonts w:ascii="Times New Roman" w:hAnsi="Times New Roman" w:cs="Times New Roman"/>
        </w:rPr>
        <w:fldChar w:fldCharType="begin"/>
      </w:r>
      <w:r w:rsidR="005F37DD" w:rsidRPr="00EB6340">
        <w:rPr>
          <w:rFonts w:ascii="Times New Roman" w:hAnsi="Times New Roman" w:cs="Times New Roman"/>
        </w:rPr>
        <w:instrText xml:space="preserve"> ADDIN ZOTERO_ITEM CSL_CITATION {"citationID":"aBRXkXQY","properties":{"formattedCitation":"[7]","plainCitation":"[7]","noteIndex":0},"citationItems":[{"id":11868,"uris":["http://zotero.org/users/16652950/items/47HFYHL4"],"itemData":{"id":11868,"type":"article-journal","abstract":"Helminths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5F37DD"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3.1 β-Tubulin Polymorphisms</w:t>
      </w:r>
    </w:p>
    <w:p w:rsidR="0059639A" w:rsidRDefault="0059639A" w:rsidP="0059639A">
      <w:pPr>
        <w:rPr>
          <w:rFonts w:ascii="Times New Roman" w:hAnsi="Times New Roman" w:cs="Times New Roman"/>
        </w:rPr>
      </w:pPr>
      <w:r w:rsidRPr="00EB6340">
        <w:rPr>
          <w:rFonts w:ascii="Times New Roman" w:hAnsi="Times New Roman" w:cs="Times New Roman"/>
        </w:rPr>
        <w:t>Mutations in the β-tubulin gene remain the most widely studied markers of benzimidazole resistance. Three single-nucleotide polymorphisms—</w:t>
      </w:r>
      <w:r w:rsidRPr="00EB6340">
        <w:rPr>
          <w:rFonts w:ascii="Times New Roman" w:hAnsi="Times New Roman" w:cs="Times New Roman"/>
          <w:b/>
          <w:bCs/>
        </w:rPr>
        <w:t>F167Y, E198A, and F200Y</w:t>
      </w:r>
      <w:r w:rsidRPr="00EB6340">
        <w:rPr>
          <w:rFonts w:ascii="Times New Roman" w:hAnsi="Times New Roman" w:cs="Times New Roman"/>
        </w:rPr>
        <w:t xml:space="preserve">—have been repeatedly implicated in reduced benzimidazole efficacy. These polymorphisms alter amino acid residues in the drug-binding domain, diminishing the interaction between benzimidazoles and β-tubulin. Evidence from multiple endemic regions suggests </w:t>
      </w:r>
      <w:r w:rsidRPr="00EB6340">
        <w:rPr>
          <w:rFonts w:ascii="Times New Roman" w:hAnsi="Times New Roman" w:cs="Times New Roman"/>
          <w:b/>
          <w:bCs/>
        </w:rPr>
        <w:t>parallel evolution</w:t>
      </w:r>
      <w:r w:rsidRPr="00EB6340">
        <w:rPr>
          <w:rFonts w:ascii="Times New Roman" w:hAnsi="Times New Roman" w:cs="Times New Roman"/>
        </w:rPr>
        <w:t xml:space="preserve"> of these mutations in human soil-transmitted helminths, particularly </w:t>
      </w: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r w:rsidRPr="00EB6340">
        <w:rPr>
          <w:rFonts w:ascii="Times New Roman" w:hAnsi="Times New Roman" w:cs="Times New Roman"/>
        </w:rPr>
        <w:t xml:space="preserve"> and hookworms, mirroring patterns long recognized in livestock nematodes. Field studies report </w:t>
      </w:r>
      <w:r w:rsidRPr="00EB6340">
        <w:rPr>
          <w:rFonts w:ascii="Times New Roman" w:hAnsi="Times New Roman" w:cs="Times New Roman"/>
          <w:b/>
          <w:bCs/>
        </w:rPr>
        <w:t>population-level variation in allele frequencies</w:t>
      </w:r>
      <w:r w:rsidRPr="00EB6340">
        <w:rPr>
          <w:rFonts w:ascii="Times New Roman" w:hAnsi="Times New Roman" w:cs="Times New Roman"/>
        </w:rPr>
        <w:t xml:space="preserve">, with some communities showing low prevalence of resistance-associated </w:t>
      </w:r>
      <w:r w:rsidRPr="00EB6340">
        <w:rPr>
          <w:rFonts w:ascii="Times New Roman" w:hAnsi="Times New Roman" w:cs="Times New Roman"/>
        </w:rPr>
        <w:lastRenderedPageBreak/>
        <w:t>alleles, while others demonstrate substantial increases following repeated rounds of mass drug administration (MDA). Although the presence of these SNPs does not always correlate perfectly with treatment failure, their rising frequency is considered an important early warning sign of emerging resistance</w:t>
      </w:r>
      <w:r w:rsidR="00E82B3A" w:rsidRPr="00EB6340">
        <w:rPr>
          <w:rFonts w:ascii="Times New Roman" w:hAnsi="Times New Roman" w:cs="Times New Roman"/>
        </w:rPr>
        <w:fldChar w:fldCharType="begin"/>
      </w:r>
      <w:r w:rsidR="00784448" w:rsidRPr="00EB6340">
        <w:rPr>
          <w:rFonts w:ascii="Times New Roman" w:hAnsi="Times New Roman" w:cs="Times New Roman"/>
        </w:rPr>
        <w:instrText xml:space="preserve"> ADDIN ZOTERO_ITEM CSL_CITATION {"citationID":"nHNOAfXb","properties":{"formattedCitation":"[8]","plainCitation":"[8]","noteIndex":0},"citationItems":[{"id":11871,"uris":["http://zotero.org/users/16652950/items/SUZXXLXP"],"itemData":{"id":11871,"type":"article-journal","abstract":"There is a growing number of reports on the occurrence of benzimidazole resistance-associated single nucleotide polymorphisms (SNPs) in the β-tubulin isotype 1 gene of various helminths of veterinary, and public health concerns. However, a comprehensive analysis of their occurrence, and their contributions to conferring benzimidazole resistance among hookworms has yet to be done. The objectives of this systematic review are to summarize and synthesize peer-reviewed evidence on the occurrence of these resistance-associated mutations in hookworms, document their geographical distribution, and assess their contributions to conferring phenotypic resistance. Three databases were systematically searched using specific keywords. Research that assessed the occurrence of benzimidazole resistance-associated SNPs in hookworms, papers that reported the geographical distribution of these SNPs, and studies that investigated the SNPs' resistance-associated phenotypic effects were included in the review. Research that was not done in hookworms, papers not in the English language, and literature reviews and book chapters were excluded. Critical appraisal checklists were used to determine the risk of bias in the selected papers. Data were extracted from the selected studies and analyzed. PROSPERO Systematic Review Protocol Registration No.: CRD42024510924. A total of 29 studies were included and analyzed. Of these, four were conducted in a laboratory setting, eight described the development and validation of SNP detection methods, and the remaining 17 involved field research. Seven SNP-induced amino acid substitutions at four loci were reported among several hookworm species: Q134H, F167Y, E198A, E198K, E198V, F200Y, and F200L. SNPs have been reported in isolates occurring in the United States, Canada, Brazil, Haiti, Australia, New Zealand, Kenya, Ghana, Mozambique, and Tanzania. Resistance mutations have not been reported in Asia. E198A and F200L were reported in Ancylostoma ceylanicum with laboratory-induced resistance. F167Y and Q134H conferred resistance in A. caninum, as revealed by in vitro investigations and field assessments. There is insufficient peer-reviewed evidence to prove the association between SNP occurrence and resistance. Mutations in the β-tubulin isotype 1 gene confer benzimidazole resistance in A. caninum and A. ceylanicum, but similar evidence is lacking for other human hookworms. Understanding benzimidazole resistance through further research can better inform treatment, prevention, and control strategies.","container-title":"Parasitology Research","DOI":"10.1007/s00436-024-08432-6","ISSN":"1432-1955","issue":"12","journalAbbreviation":"Parasitol Res","language":"eng","note":"PMID: 39652258","page":"405","source":"PubMed","title":"Benzimidazole Resistance-Associated Mutations in the β-tubulin Gene of Hookworms: A Systematic Review","title-short":"Benzimidazole Resistance-Associated Mutations in the β-tubulin Gene of Hookworms","volume":"123","author":[{"family":"Tenorio","given":"Jan Clyden B."},{"family":"Heikal","given":"Muhammad Fikri"},{"family":"Kafle","given":"Alok"},{"family":"Saichua","given":"Prasert"},{"family":"Suttiprapa","given":"Sutas"}],"issued":{"date-parts":[["2024",12,9]]}}}],"schema":"https://github.com/citation-style-language/schema/raw/master/csl-citation.json"} </w:instrText>
      </w:r>
      <w:r w:rsidR="00E82B3A" w:rsidRPr="00EB6340">
        <w:rPr>
          <w:rFonts w:ascii="Times New Roman" w:hAnsi="Times New Roman" w:cs="Times New Roman"/>
        </w:rPr>
        <w:fldChar w:fldCharType="separate"/>
      </w:r>
      <w:r w:rsidR="00784448" w:rsidRPr="00EB6340">
        <w:rPr>
          <w:rFonts w:ascii="Times New Roman" w:hAnsi="Times New Roman" w:cs="Times New Roman"/>
        </w:rPr>
        <w:t>[8]</w:t>
      </w:r>
      <w:r w:rsidR="00E82B3A" w:rsidRPr="00EB6340">
        <w:rPr>
          <w:rFonts w:ascii="Times New Roman" w:hAnsi="Times New Roman" w:cs="Times New Roman"/>
        </w:rPr>
        <w:fldChar w:fldCharType="end"/>
      </w:r>
      <w:r w:rsidRPr="00EB6340">
        <w:rPr>
          <w:rFonts w:ascii="Times New Roman" w:hAnsi="Times New Roman" w:cs="Times New Roman"/>
        </w:rPr>
        <w:t>.</w:t>
      </w:r>
    </w:p>
    <w:p w:rsidR="004C6E30" w:rsidRPr="004F45D8" w:rsidRDefault="004C6E30" w:rsidP="004C6E30">
      <w:r w:rsidRPr="004F45D8">
        <w:rPr>
          <w:i/>
          <w:iCs/>
        </w:rPr>
        <w:t>However, it is important to note that the presence of resistance-associated β-tubulin SNPs does not always directly translate into clinical treatment failure, as phenotypic outcomes may be influenced by parasite population structure, drug exposure intensity, and host-related factors.”</w:t>
      </w:r>
    </w:p>
    <w:p w:rsidR="004C6E30" w:rsidRPr="00EB6340" w:rsidRDefault="004C6E30" w:rsidP="0059639A">
      <w:pPr>
        <w:rPr>
          <w:rFonts w:ascii="Times New Roman" w:hAnsi="Times New Roman" w:cs="Times New Roman"/>
        </w:rPr>
      </w:pP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3.2 Mutations and Regulation of Ligand-Gated Ion Channels</w:t>
      </w:r>
    </w:p>
    <w:p w:rsidR="0059639A" w:rsidRPr="00EB6340" w:rsidRDefault="0059639A" w:rsidP="0059639A">
      <w:pPr>
        <w:rPr>
          <w:rFonts w:ascii="Times New Roman" w:hAnsi="Times New Roman" w:cs="Times New Roman"/>
        </w:rPr>
      </w:pPr>
      <w:r w:rsidRPr="00EB6340">
        <w:rPr>
          <w:rFonts w:ascii="Times New Roman" w:hAnsi="Times New Roman" w:cs="Times New Roman"/>
        </w:rPr>
        <w:t>Macrocyclic lactones such as ivermectin target glutamate-gated chloride channels (</w:t>
      </w: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and alterations in these channels have been associated with reduced responsiveness. Potential resistance mechanisms include </w:t>
      </w:r>
      <w:r w:rsidRPr="00EB6340">
        <w:rPr>
          <w:rFonts w:ascii="Times New Roman" w:hAnsi="Times New Roman" w:cs="Times New Roman"/>
          <w:b/>
          <w:bCs/>
        </w:rPr>
        <w:t>changes in subunit composition</w:t>
      </w:r>
      <w:r w:rsidRPr="00EB6340">
        <w:rPr>
          <w:rFonts w:ascii="Times New Roman" w:hAnsi="Times New Roman" w:cs="Times New Roman"/>
        </w:rPr>
        <w:t xml:space="preserve">, </w:t>
      </w:r>
      <w:r w:rsidRPr="00EB6340">
        <w:rPr>
          <w:rFonts w:ascii="Times New Roman" w:hAnsi="Times New Roman" w:cs="Times New Roman"/>
          <w:b/>
          <w:bCs/>
        </w:rPr>
        <w:t>structural variants affecting channel gating</w:t>
      </w:r>
      <w:r w:rsidRPr="00EB6340">
        <w:rPr>
          <w:rFonts w:ascii="Times New Roman" w:hAnsi="Times New Roman" w:cs="Times New Roman"/>
        </w:rPr>
        <w:t xml:space="preserve">, and </w:t>
      </w:r>
      <w:r w:rsidRPr="00EB6340">
        <w:rPr>
          <w:rFonts w:ascii="Times New Roman" w:hAnsi="Times New Roman" w:cs="Times New Roman"/>
          <w:b/>
          <w:bCs/>
        </w:rPr>
        <w:t xml:space="preserve">downregulation of genes encoding </w:t>
      </w:r>
      <w:proofErr w:type="spellStart"/>
      <w:r w:rsidRPr="00EB6340">
        <w:rPr>
          <w:rFonts w:ascii="Times New Roman" w:hAnsi="Times New Roman" w:cs="Times New Roman"/>
          <w:b/>
          <w:bCs/>
        </w:rPr>
        <w:t>GluCl</w:t>
      </w:r>
      <w:proofErr w:type="spellEnd"/>
      <w:r w:rsidRPr="00EB6340">
        <w:rPr>
          <w:rFonts w:ascii="Times New Roman" w:hAnsi="Times New Roman" w:cs="Times New Roman"/>
          <w:b/>
          <w:bCs/>
        </w:rPr>
        <w:t xml:space="preserve"> receptors</w:t>
      </w:r>
      <w:r w:rsidRPr="00EB6340">
        <w:rPr>
          <w:rFonts w:ascii="Times New Roman" w:hAnsi="Times New Roman" w:cs="Times New Roman"/>
        </w:rPr>
        <w:t xml:space="preserve">. While definitive causal mutations have not yet been unequivocally validated in human helminths, transcriptomic studies indicate that some populations exhibit altered expression patterns consistent with reduced channel sensitivity. These changes may decrease the efficacy of ivermectin-induced hyperpolarization, contributing to the </w:t>
      </w:r>
      <w:r w:rsidRPr="00EB6340">
        <w:rPr>
          <w:rFonts w:ascii="Times New Roman" w:hAnsi="Times New Roman" w:cs="Times New Roman"/>
          <w:b/>
          <w:bCs/>
        </w:rPr>
        <w:t>gradual erosion of treatment effectiveness</w:t>
      </w:r>
      <w:r w:rsidRPr="00EB6340">
        <w:rPr>
          <w:rFonts w:ascii="Times New Roman" w:hAnsi="Times New Roman" w:cs="Times New Roman"/>
        </w:rPr>
        <w:t xml:space="preserve"> observed in several endemic settings</w:t>
      </w:r>
      <w:r w:rsidR="0087183A">
        <w:rPr>
          <w:rFonts w:ascii="Times New Roman" w:hAnsi="Times New Roman" w:cs="Times New Roman"/>
        </w:rPr>
        <w:t>.</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{"citationID":"CBsNpMki","properties":{"formattedCitation":"[9]","plainCitation":"[9]","noteIndex":0},"citationItems":[{"id":11873,"uris":["http://zotero.org/users/16652950/items/GBJJFET6"],"itemData":{"id":11873,"type":"article-journal","abstract":"The macrocyclic lactones are the biggest selling and arguably most effective anthelmintics currently available. They are good substrates for the P-glycoproteins, which might explain their selective toxicity for parasites over their vertebrate hosts. Changes in the expression of these pumps have been implicated in resistance to the macrocyclic lactones, but it is clear that they exert their anthelmintic effects by binding to glutamate-gated chloride channels expressed on nematode neurones and pharyngeal muscle cells. This effect is quite distinct from the channel opening induced by glutamate, the endogenous transmitter acting at these receptors, which produces rapidly opening and desensitising channels. Ivermectin-activated channels open very slowly but essentially irreversibly, leading to a very long-lasting hyperpolarisation or depolarisation of the neurone or muscle cell and therefore blocking further function. Molecular and genetic studies have shown that there are multiple GluCl isoforms in both free-living and parasitic nematodes: the exact genetic make-up and functions of the GluCl may vary between species. The known expression patterns of the GluCl explain most of the observed biological effects of treatment with the macrocyclic lactones, though the reason for the long-lasting inhibition of larval production in filarial species is still poorly understood.","container-title":"Parasitology","DOI":"10.1017/S0031182005008218","ISSN":"1469-8161, 0031-1820","issue":"S1","language":"en","page":"S85-S95","source":"Cambridge University Press","title":"Glutamate-gated chloride channels and the mode of action of the avermectin/milbemycin anthelmintics","volume":"131","author":[{"family":"Wolstenholme","given":"A. J."},{"family":"Rogers","given":"A. T."}],"issued":{"date-parts":[["2005",10]]}}}],"schema":"https://github.com/citation-style-language/schema/raw/master/csl-citation.json"}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3.3 Efflux Transporters (ABC Transporters)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Another important class of candidate markers involves </w:t>
      </w:r>
      <w:r w:rsidRPr="00EB6340">
        <w:rPr>
          <w:rFonts w:ascii="Times New Roman" w:hAnsi="Times New Roman" w:cs="Times New Roman"/>
          <w:b/>
          <w:bCs/>
        </w:rPr>
        <w:t>ATP-binding cassette (ABC) transporters</w:t>
      </w:r>
      <w:r w:rsidRPr="00EB6340">
        <w:rPr>
          <w:rFonts w:ascii="Times New Roman" w:hAnsi="Times New Roman" w:cs="Times New Roman"/>
        </w:rPr>
        <w:t>, particularly P-glycoproteins (</w:t>
      </w:r>
      <w:proofErr w:type="spellStart"/>
      <w:r w:rsidRPr="00EB6340">
        <w:rPr>
          <w:rFonts w:ascii="Times New Roman" w:hAnsi="Times New Roman" w:cs="Times New Roman"/>
        </w:rPr>
        <w:t>Pgp</w:t>
      </w:r>
      <w:proofErr w:type="spellEnd"/>
      <w:r w:rsidRPr="00EB6340">
        <w:rPr>
          <w:rFonts w:ascii="Times New Roman" w:hAnsi="Times New Roman" w:cs="Times New Roman"/>
        </w:rPr>
        <w:t xml:space="preserve">). Upregulation of these transporters can enhance drug efflux, thereby reducing intracellular drug concentrations. Genomic and transcriptomic analyses from both model nematodes and human helminths have identified </w:t>
      </w:r>
      <w:r w:rsidRPr="00EB6340">
        <w:rPr>
          <w:rFonts w:ascii="Times New Roman" w:hAnsi="Times New Roman" w:cs="Times New Roman"/>
          <w:b/>
          <w:bCs/>
        </w:rPr>
        <w:t xml:space="preserve">elevated expression of </w:t>
      </w:r>
      <w:proofErr w:type="spellStart"/>
      <w:r w:rsidRPr="00EB6340">
        <w:rPr>
          <w:rFonts w:ascii="Times New Roman" w:hAnsi="Times New Roman" w:cs="Times New Roman"/>
          <w:b/>
          <w:bCs/>
        </w:rPr>
        <w:t>Pgp</w:t>
      </w:r>
      <w:proofErr w:type="spellEnd"/>
      <w:r w:rsidRPr="00EB6340">
        <w:rPr>
          <w:rFonts w:ascii="Times New Roman" w:hAnsi="Times New Roman" w:cs="Times New Roman"/>
          <w:b/>
          <w:bCs/>
        </w:rPr>
        <w:t xml:space="preserve"> genes</w:t>
      </w:r>
      <w:r w:rsidRPr="00EB6340">
        <w:rPr>
          <w:rFonts w:ascii="Times New Roman" w:hAnsi="Times New Roman" w:cs="Times New Roman"/>
        </w:rPr>
        <w:t xml:space="preserve"> in populations with suspected reduced susceptibility. Such transporters may contribute to </w:t>
      </w:r>
      <w:r w:rsidRPr="00EB6340">
        <w:rPr>
          <w:rFonts w:ascii="Times New Roman" w:hAnsi="Times New Roman" w:cs="Times New Roman"/>
          <w:b/>
          <w:bCs/>
        </w:rPr>
        <w:t>multi-drug resistance</w:t>
      </w:r>
      <w:r w:rsidRPr="00EB6340">
        <w:rPr>
          <w:rFonts w:ascii="Times New Roman" w:hAnsi="Times New Roman" w:cs="Times New Roman"/>
        </w:rPr>
        <w:t>, given their broad substrate range and ability to decrease the effective concentration of structurally diverse anthelmintics</w:t>
      </w:r>
      <w:r w:rsidR="0087183A">
        <w:rPr>
          <w:rFonts w:ascii="Times New Roman" w:hAnsi="Times New Roman" w:cs="Times New Roman"/>
        </w:rPr>
        <w:t>.</w:t>
      </w:r>
      <w:r w:rsidR="00E82B3A" w:rsidRPr="00EB6340">
        <w:rPr>
          <w:rFonts w:ascii="Times New Roman" w:hAnsi="Times New Roman" w:cs="Times New Roman"/>
        </w:rPr>
        <w:fldChar w:fldCharType="begin"/>
      </w:r>
      <w:r w:rsidR="009C1FD9" w:rsidRPr="00EB6340">
        <w:rPr>
          <w:rFonts w:ascii="Times New Roman" w:hAnsi="Times New Roman" w:cs="Times New Roman"/>
        </w:rPr>
        <w:instrText xml:space="preserve"> ADDIN ZOTERO_ITEM CSL_CITATION {"citationID":"xh0o5MOm","properties":{"formattedCitation":"[10]","plainCitation":"[10]","noteIndex":0},"citationItems":[{"id":11874,"uris":["http://zotero.org/users/16652950/items/UQTYY7N9"],"itemData":{"id":11874,"type":"article-journal","abstract":"The ATP-binding cassette (ABC) transporter superfamily, one of the largest membrane protein families, plays a crucial role in multidrug resistance (MD...","container-title":"International Journal of Translational Medicine","DOI":"10.3390/ijtm5010006","ISSN":"2673-8937","issue":"1","language":"en","license":"http://creativecommons.org/licenses/by/3.0/","note":"Company: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publisher","source":"www.mdpi.com","title":"Emerging Strategies to Overcome Chemoresistance: Structural Insights and Therapeutic Targeting of Multidrug Resistance-Linked ATP-Binding Cassette Transporters","title-short":"Emerging Strategies to Overcome Chemoresistance","URL":"https://www.mdpi.com/2673-8937/5/1/6","volume":"5","author":[{"family":"Nagampalli","given":"Raghavendra Sashi Krishna"},{"family":"Vadla","given":"Gangadhar P."},{"family":"Nadendla","given":"Eswar Kumar"},{"family":"Nagampalli","given":"Raghavendra Sashi Krishna"},{"family":"Vadla","given":"Gangadhar P."},{"family":"Nadendla","given":"Eswar Kumar"}],"accessed":{"date-parts":[["2025",12,8]]},"issued":{"date-parts":[["2025",1,9]]}}}],"schema":"https://github.com/citation-style-language/schema/raw/master/csl-citation.json"} </w:instrText>
      </w:r>
      <w:r w:rsidR="00E82B3A" w:rsidRPr="00EB6340">
        <w:rPr>
          <w:rFonts w:ascii="Times New Roman" w:hAnsi="Times New Roman" w:cs="Times New Roman"/>
        </w:rPr>
        <w:fldChar w:fldCharType="separate"/>
      </w:r>
      <w:r w:rsidR="009C1FD9" w:rsidRPr="00EB6340">
        <w:rPr>
          <w:rFonts w:ascii="Times New Roman" w:hAnsi="Times New Roman" w:cs="Times New Roman"/>
        </w:rPr>
        <w:t>[10]</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3.4 Other Candidate Genetic Markers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growing number of additional molecular markers are under investigation. </w:t>
      </w:r>
      <w:r w:rsidRPr="00EB6340">
        <w:rPr>
          <w:rFonts w:ascii="Times New Roman" w:hAnsi="Times New Roman" w:cs="Times New Roman"/>
          <w:b/>
          <w:bCs/>
        </w:rPr>
        <w:t>Detoxification enzyme families</w:t>
      </w:r>
      <w:r w:rsidRPr="00EB6340">
        <w:rPr>
          <w:rFonts w:ascii="Times New Roman" w:hAnsi="Times New Roman" w:cs="Times New Roman"/>
        </w:rPr>
        <w:t>, including cytochrome P450s and glutathione-related enzymes, may play roles in metabolic drug breakdown</w:t>
      </w:r>
      <w:r w:rsidR="0087183A">
        <w:rPr>
          <w:rFonts w:ascii="Times New Roman" w:hAnsi="Times New Roman" w:cs="Times New Roman"/>
        </w:rPr>
        <w:t>.</w:t>
      </w:r>
      <w:r w:rsidR="00E82B3A">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{"citationID":"v84vLbd1","properties":{"formattedCitation":"[11]","plainCitation":"[11]","noteIndex":0},"citationItems":[{"id":11353,"uris":["http://zotero.org/users/16652950/items/F2S6AR5Y"],"itemData":{"id":11353,"type":"article-journal","abstract":"The outbreak of cholera in Nigeria represents a significant public health challenge, worsened by factors such as poor sanitation, inadequate clean water supply, and climate variability. This study explores multiple approaches required to address this epidemic through the lens of the One Health framework, which recognizes the interconnection between human, animal, and environmental health. Integrating epidemiological data, environmental studies, and veterinary science, the One Health approach offers a holistic strategy to combat cholera. This study examines the current cholera outbreak in Nigeria, identifying key contributing factors and evaluating the effectiveness of One Health interventions. The findings underscore the importance of collaborative efforts across sectors, including improved water, sanitation, and hygiene (WASH) practices, robust surveillance systems, and community engagement. Additionally, the study highlights the role of climate change in increasing cholera outbreaks and the necessity of incorporating environmental health strategies into public health planning. The One Health approach not only enhances understanding of cholera dynamics but also promotes sustainable solutions to prevent future outbreaks, ultimately contributing to the broader goal of global health security.","container-title":"Discover Public Health","DOI":"10.1186/s12982-025-00526-5","ISSN":"3005-0774","issue":"1","journalAbbreviation":"Discov Public Health","language":"en","page":"125","source":"Springer Link","title":"Outbreak of cholera in Nigeria: the role of One Health","title-short":"Outbreak of cholera in Nigeria","volume":"22","author":[{"family":"Aborode","given":"Abdullahi Tunde"},{"family":"Adesola","given":"Ridwan Olamilekan"},{"family":"Onifade","given":"Isreal Ayobami"},{"family":"Adesiyan","given":"Raphael"},{"family":"Ibiam","given":"Victor Akachukwu"},{"family":"Jinadu","given":"Noimat Abeni"},{"family":"Bakre","given":"Adetolase Azizat"}],"issued":{"date-parts":[["2025",3,31]]}}}],"schema":"https://github.com/citation-style-language/schema/raw/master/csl-citation.json"} </w:instrText>
      </w:r>
      <w:r w:rsidR="00E82B3A">
        <w:rPr>
          <w:rFonts w:ascii="Times New Roman" w:hAnsi="Times New Roman" w:cs="Times New Roman"/>
        </w:rPr>
        <w:fldChar w:fldCharType="separate"/>
      </w:r>
      <w:r w:rsidR="00C758D7" w:rsidRPr="00C758D7">
        <w:rPr>
          <w:rFonts w:ascii="Times New Roman" w:hAnsi="Times New Roman" w:cs="Times New Roman"/>
        </w:rPr>
        <w:t>[11]</w:t>
      </w:r>
      <w:r w:rsidR="00E82B3A">
        <w:rPr>
          <w:rFonts w:ascii="Times New Roman" w:hAnsi="Times New Roman" w:cs="Times New Roman"/>
        </w:rPr>
        <w:fldChar w:fldCharType="end"/>
      </w:r>
      <w:r w:rsidRPr="00EB6340">
        <w:rPr>
          <w:rFonts w:ascii="Times New Roman" w:hAnsi="Times New Roman" w:cs="Times New Roman"/>
        </w:rPr>
        <w:t xml:space="preserve">. </w:t>
      </w:r>
      <w:r w:rsidRPr="00EB6340">
        <w:rPr>
          <w:rFonts w:ascii="Times New Roman" w:hAnsi="Times New Roman" w:cs="Times New Roman"/>
          <w:b/>
          <w:bCs/>
        </w:rPr>
        <w:t>Polymorphisms in regulatory regions</w:t>
      </w:r>
      <w:r w:rsidRPr="00EB6340">
        <w:rPr>
          <w:rFonts w:ascii="Times New Roman" w:hAnsi="Times New Roman" w:cs="Times New Roman"/>
        </w:rPr>
        <w:t xml:space="preserve"> could influence gene expression related to drug response, although the functional significance of many such variants remains unclear. Emerging interest also surrounds </w:t>
      </w:r>
      <w:r w:rsidRPr="00EB6340">
        <w:rPr>
          <w:rFonts w:ascii="Times New Roman" w:hAnsi="Times New Roman" w:cs="Times New Roman"/>
          <w:b/>
          <w:bCs/>
        </w:rPr>
        <w:t>mitochondrial markers</w:t>
      </w:r>
      <w:r w:rsidRPr="00EB6340">
        <w:rPr>
          <w:rFonts w:ascii="Times New Roman" w:hAnsi="Times New Roman" w:cs="Times New Roman"/>
        </w:rPr>
        <w:t>, which may capture population bottlenecks, selective sweeps, or lineage-specific susceptibility patterns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{"citationID":"YijYrSkf","properties":{"formattedCitation":"[12]","plainCitation":"[12]","noteIndex":0},"citationItems":[{"id":11876,"uris":["http://zotero.org/users/16652950/items/33D4VK66"],"itemData":{"id":11876,"type":"article-journal","abstract":"Cytochrome P450 (CYP450) is a group of enzymes that play an essential role in Phase I metabolism, with 57 functional genes classified into 18 families...","container-title":"Biomedicines","DOI":"10.3390/biomedicines12071467","ISSN":"2227-9059","issue":"7","language":"en","license":"http://creativecommons.org/licenses/by/3.0/","note":"Company: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publisher","source":"www.mdpi.com","title":"Decoding the Role of CYP450 Enzymes in Metabolism and Disease: A Comprehensive Review","title-short":"Decoding the Role of CYP450 Enzymes in Metabolism and Disease","URL":"https://www.mdpi.com/2227-9059/12/7/1467","volume":"12","author":[{"family":"Abdelmonem","given":"Basma Hossam"},{"family":"Abdelaal","given":"Noha M."},{"family":"Anwer","given":"Eman K. E."},{"family":"Rashwan","given":"Alaa A."},{"family":"Hussein","given":"Mohamed Ali"},{"family":"Ahmed","given":"Yasmin F."},{"family":"Khashana","given":"Rana"},{"family":"Hanna","given":"Mireille M."},{"family":"Abdelnaser","given":"Anwar"},{"family":"Abdelmonem","given":"Basma Hossam"},{"family":"Abdelaal","given":"Noha M."},{"family":"Anwer","given":"Eman K. E."},{"family":"Rashwan","given":"Alaa A."},{"family":"Hussein","given":"Mohamed Ali"},{"family":"Ahmed","given":"Yasmin F."},{"family":"Khashana","given":"Rana"},{"family":"Hanna","given":"Mireille M."},{"family":"Abdelnaser","given":"Anwar"}],"accessed":{"date-parts":[["2025",12,8]]},"issued":{"date-parts":[["2024",7,1]]}}}],"schema":"https://github.com/citation-style-language/schema/raw/master/csl-citation.json"}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Table 1 summarizes the principal genetic markers associated with emerging anthelmintic resistance across major human helminths, highlighting species-specific variants, their proposed functional impacts, and the current strength of evidence supporting their roles.”</w:t>
      </w:r>
    </w:p>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Table 1. Key Genetic Markers Implicated in Anthelmintic Resistance Across Major Human Helminths</w:t>
      </w: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3"/>
        <w:gridCol w:w="1658"/>
        <w:gridCol w:w="1992"/>
        <w:gridCol w:w="2187"/>
        <w:gridCol w:w="2050"/>
      </w:tblGrid>
      <w:tr w:rsidR="008143D9" w:rsidRPr="00EB6340" w:rsidTr="0014407D">
        <w:trPr>
          <w:tblHeader/>
          <w:tblCellSpacing w:w="15" w:type="dxa"/>
        </w:trPr>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Helminth Species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Drug Class Affected</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Primary Genetic Marker(s)</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Proposed Functional Impact</w:t>
            </w:r>
          </w:p>
        </w:tc>
        <w:tc>
          <w:tcPr>
            <w:tcW w:w="0" w:type="auto"/>
            <w:vAlign w:val="center"/>
            <w:hideMark/>
          </w:tcPr>
          <w:p w:rsidR="002212F3" w:rsidRPr="00EB6340" w:rsidRDefault="002212F3" w:rsidP="002212F3">
            <w:pPr>
              <w:rPr>
                <w:rFonts w:ascii="Times New Roman" w:hAnsi="Times New Roman" w:cs="Times New Roman"/>
                <w:b/>
                <w:bCs/>
              </w:rPr>
            </w:pPr>
            <w:r w:rsidRPr="00EB6340">
              <w:rPr>
                <w:rFonts w:ascii="Times New Roman" w:hAnsi="Times New Roman" w:cs="Times New Roman"/>
                <w:b/>
                <w:bCs/>
              </w:rPr>
              <w:t>Evidence Strength</w:t>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t xml:space="preserve">Trichuris </w:t>
            </w:r>
            <w:proofErr w:type="spellStart"/>
            <w:r w:rsidRPr="00EB6340">
              <w:rPr>
                <w:rFonts w:ascii="Times New Roman" w:hAnsi="Times New Roman" w:cs="Times New Roman"/>
                <w:i/>
                <w:iCs/>
              </w:rPr>
              <w:t>trichiura</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E198A</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Alters </w:t>
            </w:r>
            <w:r w:rsidR="00E81DAD">
              <w:rPr>
                <w:rFonts w:ascii="Times New Roman" w:hAnsi="Times New Roman" w:cs="Times New Roman"/>
              </w:rPr>
              <w:t xml:space="preserve">the </w:t>
            </w:r>
            <w:r w:rsidRPr="00EB6340">
              <w:rPr>
                <w:rFonts w:ascii="Times New Roman" w:hAnsi="Times New Roman" w:cs="Times New Roman"/>
              </w:rPr>
              <w:t>drug-interaction site, lowering affinity for 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Strong, multiple field studies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{"citationID":"xOIczePn","properties":{"formattedCitation":"[13]","plainCitation":"[13]","noteIndex":0},"citationItems":[{"id":11878,"uris":["http://zotero.org/users/16652950/items/GBU6T93Y"],"itemData":{"id":11878,"type":"article-journal","abstract":"In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Necator</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americanus</w:t>
            </w:r>
            <w:proofErr w:type="spellEnd"/>
            <w:r w:rsidRPr="00EB6340">
              <w:rPr>
                <w:rFonts w:ascii="Times New Roman" w:hAnsi="Times New Roman" w:cs="Times New Roman"/>
              </w:rPr>
              <w:t xml:space="preserve"> (Hookworm)</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β-tubulin </w:t>
            </w:r>
            <w:r w:rsidRPr="00EB6340">
              <w:rPr>
                <w:rFonts w:ascii="Times New Roman" w:hAnsi="Times New Roman" w:cs="Times New Roman"/>
                <w:b/>
                <w:bCs/>
              </w:rPr>
              <w:t>F167Y</w:t>
            </w:r>
            <w:r w:rsidRPr="00EB6340">
              <w:rPr>
                <w:rFonts w:ascii="Times New Roman" w:hAnsi="Times New Roman" w:cs="Times New Roman"/>
              </w:rPr>
              <w:t xml:space="preserve">, </w:t>
            </w:r>
            <w:r w:rsidRPr="00EB6340">
              <w:rPr>
                <w:rFonts w:ascii="Times New Roman" w:hAnsi="Times New Roman" w:cs="Times New Roman"/>
                <w:b/>
                <w:bCs/>
              </w:rPr>
              <w:t>F200Y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Reduces microtubule destabilization by modifying target conformation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increasing field detection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{"citationID":"gFH3alD4","properties":{"formattedCitation":"[14]","plainCitation":"[14]","noteIndex":0},"citationItems":[{"id":11881,"uris":["http://zotero.org/users/16652950/items/A4TQUK4Q"],"itemData":{"id":11881,"type":"article-journal","abstract":"Background\nAscariasis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i/>
                <w:iCs/>
              </w:rPr>
              <w:t>Ascaris lumbricoides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Benzimidazoles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β-tubulin variants (candidate SNPs)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Potential alteration of structural binding regions; requires validation</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Limited, preliminary</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{"citationID":"a68uNHI8","properties":{"formattedCitation":"[14]","plainCitation":"[14]","noteIndex":0},"citationItems":[{"id":11881,"uris":["http://zotero.org/users/16652950/items/A4TQUK4Q"],"itemData":{"id":11881,"type":"article-journal","abstract":"Background\nAscariasis is a parasitic infection caused by Ascaris lumbricoides and infects over 1.2 billion people worldwide. Benzimidazole (BZ) drugs remain the standard treatment in large-scale deworming programs globally. The prevalence of Single Nucleotide Polymorphisms (SNPs) in the β-tubulin gene of A. lumbricoides (F200Y, E198A and F167Y) is increasing due to the widespread use of BZ drugs.\n\nAim\nTo investigate the prevalence of the above-mentioned SNPs in a South African adult population.\n\nMethods\nThis was a sub-study of the main cross-sectional study with participants (n = 414) who had been recruited from five public health clinics in the peri‑urban areas South of Durban, KwaZulu-Natal, South Africa. For the current study, a purposive selection of 20 stool samples that were positive for A. lumbricoides eggs was made. A. lumbricoides worm extracts (n = 4) were used as a positive control. Sanger sequencing and RFLP-PCR were used to identify the presence of mutations.\n\nResults\nNo mutations were detected, and all genotypes observed at codons F167Y, E198A and F200Y were the homozygous wild-type genotype.\n\nConclusion\nAlthough no mutations were found in this small study, the potential occurrence of mutations in a larger sample subset cannot be ruled out.","container-title":"The Brazilian Journal of Infectious Diseases","DOI":"10.1016/j.bjid.2025.104556","ISSN":"1413-8670","issue":"5","journalAbbreviation":"Braz J Infect Dis","note":"PMID: 40582181\nPMCID: PMC12266506","page":"104556","source":"PubMed Central","title":"Single nucleotide polymorphisms associated with benzimidazole resistance of the β-tubulin isotype 1 gene in Ascaris lumbricoides isolated in South Africa","volume":"29","author":[{"family":"Ramkhelawan","given":"Teniel"},{"family":"Naidoo","given":"Pragalathan"},{"family":"Mkhize-Kwitshana","given":"Zilungile L."}],"issued":{"date-parts":[["2025",6,28]]}}}],"schema":"https://github.com/citation-style-language/schema/raw/master/csl-citation.json"}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[14]</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i/>
                <w:iCs/>
              </w:rPr>
              <w:t>Strongyloides</w:t>
            </w:r>
            <w:proofErr w:type="spellEnd"/>
            <w:r w:rsidRPr="00EB6340">
              <w:rPr>
                <w:rFonts w:ascii="Times New Roman" w:hAnsi="Times New Roman" w:cs="Times New Roman"/>
                <w:i/>
                <w:iCs/>
              </w:rPr>
              <w:t xml:space="preserve"> </w:t>
            </w:r>
            <w:proofErr w:type="spellStart"/>
            <w:r w:rsidRPr="00EB6340">
              <w:rPr>
                <w:rFonts w:ascii="Times New Roman" w:hAnsi="Times New Roman" w:cs="Times New Roman"/>
                <w:i/>
                <w:iCs/>
              </w:rPr>
              <w:t>stercoralis</w:t>
            </w:r>
            <w:proofErr w:type="spellEnd"/>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Macrocyclic lactones</w:t>
            </w:r>
          </w:p>
        </w:tc>
        <w:tc>
          <w:tcPr>
            <w:tcW w:w="0" w:type="auto"/>
            <w:vAlign w:val="center"/>
            <w:hideMark/>
          </w:tcPr>
          <w:p w:rsidR="002212F3" w:rsidRPr="00EB6340" w:rsidRDefault="002212F3" w:rsidP="002212F3">
            <w:pPr>
              <w:rPr>
                <w:rFonts w:ascii="Times New Roman" w:hAnsi="Times New Roman" w:cs="Times New Roman"/>
              </w:rPr>
            </w:pPr>
            <w:proofErr w:type="spellStart"/>
            <w:r w:rsidRPr="00EB6340">
              <w:rPr>
                <w:rFonts w:ascii="Times New Roman" w:hAnsi="Times New Roman" w:cs="Times New Roman"/>
              </w:rPr>
              <w:t>GluCl</w:t>
            </w:r>
            <w:proofErr w:type="spellEnd"/>
            <w:r w:rsidRPr="00EB6340">
              <w:rPr>
                <w:rFonts w:ascii="Times New Roman" w:hAnsi="Times New Roman" w:cs="Times New Roman"/>
              </w:rPr>
              <w:t xml:space="preserve"> receptor subunit changes (expression or sequence variants)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May influence channel sensitivity and reduce ivermectin-induced signaling</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Emerging, largely transcriptomic</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{"citationID":"Uk3l1kyK","properties":{"formattedCitation":"[13]","plainCitation":"[13]","noteIndex":0},"citationItems":[{"id":11878,"uris":["http://zotero.org/users/16652950/items/GBU6T93Y"],"itemData":{"id":11878,"type":"article-journal","abstract":"In all organisms, the biotransformation of xenobiotics to less toxic and more hydrophilic compounds represents an effective defense strategy. In pathogens, the biotransformation of drugs (used for their elimination from the host) may provide undesirable protective effects that could potentially compromise the drug's efficacy. Accordingly, increased drug deactivation via accelerated biotransformation is now considered as one of the mechanisms of drug resistance. The present study summarizes the current knowledge regarding the biotransformation of anthelmintics, specifically drugs used to treat mainly nematodes, a group of parasites that are a significant health concern for humans and animals. The main biotransformation enzymes are introduced and their roles in anthelmintics metabolism in nematodes are discussed with a particular focus on their potential participation in drug resistance. Similarly, the inducibility of biotransformation enzymes with sublethal doses of anthelmintics is presented in view of its potential contribution to drug resistance development. In the conclusion, the main tasks awaiting scientists in this area are outlined.","container-title":"International Journal for Parasitology: Drugs and Drug Resistance","DOI":"10.1016/j.ijpddr.2025.100579","ISSN":"2211-3207","journalAbbreviation":"International Journal for Parasitology: Drugs and Drug Resistance","page":"100579","source":"ScienceDirect","title":"Biotransformation of anthelmintics in nematodes in relation to drug resistance","volume":"27","author":[{"family":"Vosála","given":"Ondřej"},{"family":"Krátký","given":"Josef"},{"family":"Matoušková","given":"Petra"},{"family":"Rychlá","given":"Nikola"},{"family":"Štěrbová","given":"Karolína"},{"family":"Raisová Stuchlíková","given":"Lucie"},{"family":"Vokřál","given":"Ivan"},{"family":"Skálová","given":"Lenka"}],"issued":{"date-parts":[["2025",4,1]]}}}],"schema":"https://github.com/citation-style-language/schema/raw/master/csl-citation.json"}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[13]</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nematode species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 drug classes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Upregulated </w:t>
            </w:r>
            <w:r w:rsidRPr="00EB6340">
              <w:rPr>
                <w:rFonts w:ascii="Times New Roman" w:hAnsi="Times New Roman" w:cs="Times New Roman"/>
                <w:b/>
                <w:bCs/>
              </w:rPr>
              <w:t>ABC/P-glycoprotein transporters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Enhances </w:t>
            </w:r>
            <w:r w:rsidR="00E81DAD">
              <w:rPr>
                <w:rFonts w:ascii="Times New Roman" w:hAnsi="Times New Roman" w:cs="Times New Roman"/>
              </w:rPr>
              <w:t xml:space="preserve">the </w:t>
            </w:r>
            <w:r w:rsidRPr="00EB6340">
              <w:rPr>
                <w:rFonts w:ascii="Times New Roman" w:hAnsi="Times New Roman" w:cs="Times New Roman"/>
              </w:rPr>
              <w:t>efflux of diverse anthelmintic compounds, lowering intracellular drug levels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Moderate, consistent across species</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{"citationID":"AlVnZPAh","properties":{"formattedCitation":"[15]","plainCitation":"[15]","noteIndex":0},"citationItems":[{"id":11884,"uris":["http://zotero.org/users/16652950/items/UH4X22PE"],"itemData":{"id":11884,"type":"article-journal","abstract":"ABC transporters, a family of ATP-dependent transmembrane proteins, are responsible for the active transport of a wide range of molecules across cell membranes, including drugs, toxins, and nutrients. Nematodes possess a great diversity of ABC transporters; however, only P-glycoproteins have been well-characterized compared to other classes. The ABC transport proteins have been implicated in developing resistance to various classes of anthelmintic drugs in parasitic nematodes; their role in plant and human parasitic nematodes still needs further investigation. Therefore, ABC transport proteins offer a potential opportunity to develop nematode control strategies. Multidrug resistance inhibitors are becoming more attractive for controlling nematodes due to their potential to increase drug efficacy in two ways: (i) by limiting drug efflux from nematodes, thereby increasing the amount of drug that reaches its target site, and (ii) by reducing drug excretion by host animals, thereby enhancing drug bioavailability. This article reviews the role of ABC transporters in the survival of parasitic nematodes, including the genes involved, their regulation and physiological roles, as well as recent developments in their characterization. It also discusses the association of ABC transporters with anthelmintic resistance and the possibility of targeting them with next-generation inhibitors or nutraceuticals (e.g., polyphenols) to control parasitic infections.","container-title":"Pathogens","DOI":"10.3390/pathogens12060755","ISSN":"2076-0817","issue":"6","journalAbbreviation":"Pathogens","note":"PMID: 37375445\nPMCID: PMC10300789","page":"755","source":"PubMed Central","title":"Importance of ABC Transporters in the Survival of Parasitic Nematodes and the Prospect for the Development of Novel Control Strategies","volume":"12","author":[{"family":"Raza","given":"Ali"},{"family":"Williams","given":"Andrew R."},{"family":"Abeer","given":"Muhammad Mustafa"}],"issued":{"date-parts":[["2023",5,24]]}}}],"schema":"https://github.com/citation-style-language/schema/raw/master/csl-citation.json"}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[15]</w:t>
            </w:r>
            <w:r w:rsidR="00E82B3A" w:rsidRPr="00EB6340">
              <w:rPr>
                <w:rFonts w:ascii="Times New Roman" w:hAnsi="Times New Roman" w:cs="Times New Roman"/>
              </w:rPr>
              <w:fldChar w:fldCharType="end"/>
            </w:r>
          </w:p>
        </w:tc>
      </w:tr>
      <w:tr w:rsidR="008143D9" w:rsidRPr="00EB6340" w:rsidTr="0014407D">
        <w:trPr>
          <w:tblCellSpacing w:w="15" w:type="dxa"/>
        </w:trPr>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Various species (broad category)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Multiple</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 xml:space="preserve">Detoxification-related gene variants (e.g., cytochrome P450 </w:t>
            </w:r>
            <w:r w:rsidRPr="00EB6340">
              <w:rPr>
                <w:rFonts w:ascii="Times New Roman" w:hAnsi="Times New Roman" w:cs="Times New Roman"/>
              </w:rPr>
              <w:lastRenderedPageBreak/>
              <w:t>families)</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lastRenderedPageBreak/>
              <w:t xml:space="preserve">Alters </w:t>
            </w:r>
            <w:r w:rsidR="00E81DAD">
              <w:rPr>
                <w:rFonts w:ascii="Times New Roman" w:hAnsi="Times New Roman" w:cs="Times New Roman"/>
              </w:rPr>
              <w:t xml:space="preserve">the </w:t>
            </w:r>
            <w:r w:rsidRPr="00EB6340">
              <w:rPr>
                <w:rFonts w:ascii="Times New Roman" w:hAnsi="Times New Roman" w:cs="Times New Roman"/>
              </w:rPr>
              <w:t>metabolic processing of drugs, potentially diminishing potency</w:t>
            </w:r>
          </w:p>
        </w:tc>
        <w:tc>
          <w:tcPr>
            <w:tcW w:w="0" w:type="auto"/>
            <w:vAlign w:val="center"/>
            <w:hideMark/>
          </w:tcPr>
          <w:p w:rsidR="002212F3" w:rsidRPr="00EB6340" w:rsidRDefault="002212F3" w:rsidP="002212F3">
            <w:pPr>
              <w:rPr>
                <w:rFonts w:ascii="Times New Roman" w:hAnsi="Times New Roman" w:cs="Times New Roman"/>
              </w:rPr>
            </w:pPr>
            <w:r w:rsidRPr="00EB6340">
              <w:rPr>
                <w:rFonts w:ascii="Times New Roman" w:hAnsi="Times New Roman" w:cs="Times New Roman"/>
              </w:rPr>
              <w:t>Preliminary, under investigation</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{"citationID":"3rzELrns","properties":{"formattedCitation":"[16]","plainCitation":"[16]","noteIndex":0},"citationItems":[{"id":11887,"uris":["http://zotero.org/users/16652950/items/JTTZZK27"],"itemData":{"id":11887,"type":"article-journal","abstract":"Cytochrome P450 (CYP450) is a group of enzymes that play an essential role in Phase I metabolism, with 57 functional genes classified into 18 families in the human genome, of which the CYP1, CYP2, and CYP3 families are prominent. Beyond drug metabolism, CYP enzymes metabolize endogenous compounds such as lipids, proteins, and hormones to maintain physiological homeostasis. Thus, dysregulation of CYP450 enzymes can lead to different endocrine disorders. Moreover, CYP450 enzymes significantly contribute to fatty acid metabolism, cholesterol synthesis, and bile acid biosynthesis, impacting cellular physiology and disease pathogenesis. Their diverse functions emphasize their therapeutic potential in managing hypercholesterolemia and neurodegenerative diseases. Additionally, CYP450 enzymes are implicated in the onset and development of illnesses such as cancer, influencing chemotherapy outcomes. Assessment of CYP450 enzyme expression and activity aids in evaluating liver health state and differentiating between liver diseases, guiding therapeutic decisions, and optimizing drug efficacy. Understanding the roles of CYP450 enzymes and the clinical effect of their genetic polymorphisms is crucial for developing personalized therapeutic strategies and enhancing drug responses in diverse patient populations.","container-title":"Biomedicines","DOI":"10.3390/biomedicines12071467","ISSN":"2227-9059","issue":"7","journalAbbreviation":"Biomedicines","note":"PMID: 39062040\nPMCID: PMC11275228","page":"1467","source":"PubMed Central","title":"Decoding the Role of CYP450 Enzymes in Metabolism and Disease: A Comprehensive Review","title-short":"Decoding the Role of CYP450 Enzymes in Metabolism and Disease","volume":"12","author":[{"family":"Hossam Abdelmonem","given":"Basma"},{"family":"Abdelaal","given":"Noha M."},{"family":"Anwer","given":"Eman K. E."},{"family":"Rashwan","given":"Alaa A."},{"family":"Hussein","given":"Mohamed Ali"},{"family":"Ahmed","given":"Yasmin F."},{"family":"Khashana","given":"Rana"},{"family":"Hanna","given":"Mireille M."},{"family":"Abdelnaser","given":"Anwar"}],"issued":{"date-parts":[["2024",7,2]]}}}],"schema":"https://github.com/citation-style-language/schema/raw/master/csl-citation.json"}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[16]</w:t>
            </w:r>
            <w:r w:rsidR="00E82B3A" w:rsidRPr="00EB6340">
              <w:rPr>
                <w:rFonts w:ascii="Times New Roman" w:hAnsi="Times New Roman" w:cs="Times New Roman"/>
              </w:rPr>
              <w:fldChar w:fldCharType="end"/>
            </w:r>
          </w:p>
        </w:tc>
      </w:tr>
    </w:tbl>
    <w:p w:rsidR="00112BA7" w:rsidRDefault="00112BA7" w:rsidP="0059639A">
      <w:pPr>
        <w:rPr>
          <w:rFonts w:ascii="Times New Roman" w:hAnsi="Times New Roman" w:cs="Times New Roman"/>
          <w:b/>
          <w:bCs/>
        </w:rPr>
      </w:pPr>
    </w:p>
    <w:p w:rsidR="00112BA7" w:rsidRDefault="00112BA7" w:rsidP="0059639A">
      <w:pPr>
        <w:rPr>
          <w:rFonts w:ascii="Times New Roman" w:hAnsi="Times New Roman" w:cs="Times New Roman"/>
        </w:rPr>
      </w:pPr>
      <w:r w:rsidRPr="00112BA7">
        <w:rPr>
          <w:rFonts w:ascii="Times New Roman" w:hAnsi="Times New Roman" w:cs="Times New Roman"/>
        </w:rPr>
        <w:t>Importantly, the identification of these resistance-associated genetic markers has direct public health relevance, as they provide molecular targets for surveillance tools capable of detecting early reductions in drug susceptibility before widespread treatment failure occurs.</w:t>
      </w:r>
    </w:p>
    <w:p w:rsidR="006F152D" w:rsidRPr="00B3412D" w:rsidRDefault="006F152D" w:rsidP="0059639A">
      <w:r w:rsidRPr="004F45D8">
        <w:rPr>
          <w:i/>
          <w:iCs/>
        </w:rPr>
        <w:t>Evidence strength categories were assigned based on the volume and consistency of available data: ‘strong’ indicates multiple independent field and/or functional studies; ‘moderate’ reflects repeated field detection with limited functional validation; ‘emerging’ denotes transcriptomic or indirect molecular evidence; and ‘preliminary’ refers to early or single-study observations requiring further validation</w:t>
      </w:r>
      <w:r w:rsidR="00B3412D">
        <w:rPr>
          <w:i/>
          <w:iCs/>
        </w:rPr>
        <w:t xml:space="preserve">. </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 Molecular Pathways Contributing to Resistance Phenotypes</w:t>
      </w:r>
    </w:p>
    <w:p w:rsidR="0059639A" w:rsidRPr="00EB6340" w:rsidRDefault="0059639A" w:rsidP="0059639A">
      <w:pPr>
        <w:rPr>
          <w:rFonts w:ascii="Times New Roman" w:hAnsi="Times New Roman" w:cs="Times New Roman"/>
        </w:rPr>
      </w:pPr>
      <w:r w:rsidRPr="00EB6340">
        <w:rPr>
          <w:rFonts w:ascii="Times New Roman" w:hAnsi="Times New Roman" w:cs="Times New Roman"/>
        </w:rPr>
        <w:t>Anthelmintic resistance in human helminths arises from a network of interacting molecular pathways that collectively reduce drug sensitivity and maintain parasite viability under therapeutic pressure. These pathways encompass modifications in drug–target interactions, altered gene expression, enhanced metabolic defenses, and mechanisms that offset the fitness costs often associated with resistance mutations</w:t>
      </w:r>
      <w:r w:rsidR="0087183A">
        <w:rPr>
          <w:rFonts w:ascii="Times New Roman" w:hAnsi="Times New Roman" w:cs="Times New Roman"/>
        </w:rPr>
        <w:t>.</w:t>
      </w:r>
      <w:r w:rsidR="00E82B3A" w:rsidRPr="00EB6340">
        <w:rPr>
          <w:rFonts w:ascii="Times New Roman" w:hAnsi="Times New Roman" w:cs="Times New Roman"/>
        </w:rPr>
        <w:fldChar w:fldCharType="begin"/>
      </w:r>
      <w:r w:rsidR="00D73669" w:rsidRPr="00EB6340">
        <w:rPr>
          <w:rFonts w:ascii="Times New Roman" w:hAnsi="Times New Roman" w:cs="Times New Roman"/>
        </w:rPr>
        <w:instrText xml:space="preserve"> ADDIN ZOTERO_ITEM CSL_CITATION {"citationID":"0erxqBA7","properties":{"formattedCitation":"[7]","plainCitation":"[7]","noteIndex":0},"citationItems":[{"id":11868,"uris":["http://zotero.org/users/16652950/items/47HFYHL4"],"itemData":{"id":11868,"type":"article-journal","abstract":"Helminths are a various types of parasites causing a major health problem for animals in different parts of the globe. Control of helminthiasis has largely relied on the use of pharmaceutical anthelmintics. Unfortunately, the exhaustive use of anthelmintic drugs has led to a serious and dramatic level of anthelmintic resistance. Anthelmintic resistance is a heritable loss of sensitivity of an anthelmintic in a parasite population that was in the past susceptible to the same anthelmintic. The development of anthelmintic resistance is evident to different helminths of almost every animal species and to different groups of anthelmintic in several continents. Frequent treatment, underdosing, genetics of the parasite, and targeting and timing of mass treatment are predisposing factors for anthelmintic resistance. Upregulation of cellular efflux mechanisms, an increase in drug metabolism, a change in drug receptor sites that reduces drug binding or the functional consequences of drug binding, and a decrease in drug receptor abundance through reduced expression within the parasite are the main mechanisms of anthelmintic resistance. In vivo method like fecal egg count reduction test and in vitro method such as egg hatch assays, larval motility test, larval development test and PCR can be used for the detection of anthelmintic resistance. Proper utilization of anthelmintic drugs, using combined anthelmintic and applying other alternatives are essential strategies to slow down the development of anthelmintic resistance. As anthelmintic resistance is a serious challenge throughout the world, proper utilization of the existing anthelmintics and reducing dependence on anthelmintics should be implemented to reduce its challenge.","container-title":"Infection and Drug Resistance","DOI":"10.2147/IDR.S332378","ISSN":"1178-6973","journalAbbreviation":"Infect Drug Resist","note":"PMID: 34938088\nPMCID: PMC8687516","page":"5403-5410","source":"PubMed Central","title":"Anthelmintic Resistance and Its Mechanism: A Review","title-short":"Anthelmintic Resistance and Its Mechanism","volume":"14","author":[{"family":"Fissiha","given":"Workye"},{"family":"Kinde","given":"Mebrie Zemene"}],"issued":{"date-parts":[["2021",12,15]]}}}],"schema":"https://github.com/citation-style-language/schema/raw/master/csl-citation.json"} </w:instrText>
      </w:r>
      <w:r w:rsidR="00E82B3A" w:rsidRPr="00EB6340">
        <w:rPr>
          <w:rFonts w:ascii="Times New Roman" w:hAnsi="Times New Roman" w:cs="Times New Roman"/>
        </w:rPr>
        <w:fldChar w:fldCharType="separate"/>
      </w:r>
      <w:r w:rsidR="00D73669" w:rsidRPr="00EB6340">
        <w:rPr>
          <w:rFonts w:ascii="Times New Roman" w:hAnsi="Times New Roman" w:cs="Times New Roman"/>
        </w:rPr>
        <w:t>[7]</w:t>
      </w:r>
      <w:r w:rsidR="00E82B3A" w:rsidRPr="00EB6340">
        <w:rPr>
          <w:rFonts w:ascii="Times New Roman" w:hAnsi="Times New Roman" w:cs="Times New Roman"/>
        </w:rPr>
        <w:fldChar w:fldCharType="end"/>
      </w:r>
      <w:r w:rsidRPr="00EB6340">
        <w:rPr>
          <w:rFonts w:ascii="Times New Roman" w:hAnsi="Times New Roman" w:cs="Times New Roman"/>
        </w:rPr>
        <w:t>.</w:t>
      </w:r>
    </w:p>
    <w:p w:rsidR="00F133A4" w:rsidRPr="00EB6340" w:rsidRDefault="00F133A4" w:rsidP="00F133A4">
      <w:pPr>
        <w:rPr>
          <w:rFonts w:ascii="Times New Roman" w:hAnsi="Times New Roman" w:cs="Times New Roman"/>
        </w:rPr>
      </w:pPr>
      <w:r w:rsidRPr="00EB6340">
        <w:rPr>
          <w:rFonts w:ascii="Times New Roman" w:hAnsi="Times New Roman" w:cs="Times New Roman"/>
        </w:rPr>
        <w:t>Figure 2 illustrates the integrated molecular pathways that contribute to the development and persistence of anthelmintic resistance in helminths.”</w:t>
      </w:r>
    </w:p>
    <w:p w:rsidR="00F133A4" w:rsidRPr="00EB6340" w:rsidRDefault="00F133A4" w:rsidP="0059639A">
      <w:pPr>
        <w:rPr>
          <w:rFonts w:ascii="Times New Roman" w:hAnsi="Times New Roman" w:cs="Times New Roman"/>
        </w:rPr>
      </w:pPr>
      <w:r w:rsidRPr="00EB6340">
        <w:rPr>
          <w:rFonts w:ascii="Times New Roman" w:hAnsi="Times New Roman" w:cs="Times New Roman"/>
          <w:noProof/>
        </w:rPr>
        <w:lastRenderedPageBreak/>
        <w:drawing>
          <wp:inline distT="0" distB="0" distL="0" distR="0">
            <wp:extent cx="5943600" cy="3947160"/>
            <wp:effectExtent l="0" t="0" r="0" b="0"/>
            <wp:docPr id="2065879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47160"/>
                    </a:xfrm>
                    <a:prstGeom prst="rect">
                      <a:avLst/>
                    </a:prstGeom>
                    <a:noFill/>
                    <a:ln>
                      <a:noFill/>
                    </a:ln>
                  </pic:spPr>
                </pic:pic>
              </a:graphicData>
            </a:graphic>
          </wp:inline>
        </w:drawing>
      </w:r>
    </w:p>
    <w:p w:rsidR="00F133A4" w:rsidRPr="00EB6340" w:rsidRDefault="00F133A4" w:rsidP="00F133A4">
      <w:pPr>
        <w:rPr>
          <w:rFonts w:ascii="Times New Roman" w:hAnsi="Times New Roman" w:cs="Times New Roman"/>
        </w:rPr>
      </w:pPr>
      <w:r w:rsidRPr="00EB6340">
        <w:rPr>
          <w:rFonts w:ascii="Times New Roman" w:hAnsi="Times New Roman" w:cs="Times New Roman"/>
          <w:b/>
          <w:bCs/>
        </w:rPr>
        <w:t>Figure 2. Conceptual illustration of molecular pathways contributing to anthelmintic resistance in helminths.</w:t>
      </w:r>
      <w:r w:rsidRPr="00EB6340">
        <w:rPr>
          <w:rFonts w:ascii="Times New Roman" w:hAnsi="Times New Roman" w:cs="Times New Roman"/>
        </w:rPr>
        <w:br/>
        <w:t>This schematic depicts how genetic and molecular alterations can accumulate within parasite populations under drug pressure. DNA replication errors, damage, or modifications may result in mutations affecting key proteins, such as receptors or enzymes targeted by anthelmintics. Amino-acid substitutions and receptor reconfiguration can reduce drug binding or alter signaling pathways. Gene expression changes and DNA modifications contribute to phenotypic plasticity and long-term stabilization of resistance traits. Modified enzymes may enable parasites to deactivate or tolerate drug exposure. Genetic changes can be inherited across generations, facilitating the spread of resistant genotypes within parasite populations. Together, these pathways highlight the multifactorial and evolving nature of anthelmintic resistance.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4.1 Altered Drug Binding Affinity</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primary driver of resistance involves structural alterations in drug targets that reduce binding affinity. Mutations in β-tubulin or ligand-gated ion channels can modify amino acid residues critical for drug interaction, leading to </w:t>
      </w:r>
      <w:r w:rsidRPr="00EB6340">
        <w:rPr>
          <w:rFonts w:ascii="Times New Roman" w:hAnsi="Times New Roman" w:cs="Times New Roman"/>
          <w:b/>
          <w:bCs/>
        </w:rPr>
        <w:t>conformational changes</w:t>
      </w:r>
      <w:r w:rsidRPr="00EB6340">
        <w:rPr>
          <w:rFonts w:ascii="Times New Roman" w:hAnsi="Times New Roman" w:cs="Times New Roman"/>
        </w:rPr>
        <w:t xml:space="preserve"> that diminish drug attachment. Such structural impacts can impair the ability of benzimidazoles to disrupt microtubule formation or reduce the capacity of macrocyclic lactones to induce chloride influx. As a result, helminths maintain core physiological processes despite drug exposure. These target-site </w:t>
      </w:r>
      <w:r w:rsidRPr="00EB6340">
        <w:rPr>
          <w:rFonts w:ascii="Times New Roman" w:hAnsi="Times New Roman" w:cs="Times New Roman"/>
        </w:rPr>
        <w:lastRenderedPageBreak/>
        <w:t xml:space="preserve">modifications often serve as the </w:t>
      </w:r>
      <w:r w:rsidRPr="00EB6340">
        <w:rPr>
          <w:rFonts w:ascii="Times New Roman" w:hAnsi="Times New Roman" w:cs="Times New Roman"/>
          <w:b/>
          <w:bCs/>
        </w:rPr>
        <w:t>first step</w:t>
      </w:r>
      <w:r w:rsidRPr="00EB6340">
        <w:rPr>
          <w:rFonts w:ascii="Times New Roman" w:hAnsi="Times New Roman" w:cs="Times New Roman"/>
        </w:rPr>
        <w:t xml:space="preserve"> in resistance evolution, providing the parasite with a measurable survival advantage</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{"citationID":"nzyRlBJe","properties":{"formattedCitation":"[17]","plainCitation":"[17]","noteIndex":0},"citationItems":[{"id":11890,"uris":["http://zotero.org/users/16652950/items/75EEU8PM"],"itemData":{"id":11890,"type":"article-journal","abstract":"The inherent capacity of all organisms to evolve under selective pressure has created multidrug-resistant microbes and cells that are now threatening ...","container-title":"Microbiology Research","DOI":"10.3390/microbiolres14020037","ISSN":"2036-7481","issue":"2","language":"en","license":"http://creativecommons.org/licenses/by/3.0/","note":"Company: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publisher","page":"507-542","source":"www.mdpi.com","title":"Drug Resistance: An Incessant Fight against Evolutionary Strategies of Survival","title-short":"Drug Resistance","volume":"14","author":[{"family":"Ramos-Martín","given":"Francisco"},{"family":"D’Amelio","given":"Nicola"},{"family":"Ramos-Martín","given":"Francisco"},{"family":"D’Amelio","given":"Nicola"}],"issued":{"date-parts":[["2023",4,5]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4.2 Gene Expression Modulation and Epigenetic Inputs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Drug exposure frequently triggers </w:t>
      </w:r>
      <w:r w:rsidRPr="00EB6340">
        <w:rPr>
          <w:rFonts w:ascii="Times New Roman" w:hAnsi="Times New Roman" w:cs="Times New Roman"/>
          <w:b/>
          <w:bCs/>
        </w:rPr>
        <w:t>stress-response pathways</w:t>
      </w:r>
      <w:r w:rsidRPr="00EB6340">
        <w:rPr>
          <w:rFonts w:ascii="Times New Roman" w:hAnsi="Times New Roman" w:cs="Times New Roman"/>
        </w:rPr>
        <w:t>, prompting helminths to adjust gene expression profiles that promote survival. Upregulation of protective genes, such as those involved in detoxification or membrane transport, can enhance resilience to repeated drug challenges. Epigenetic changes—including DNA methylation shifts and chromatin remodeling—may further influence the expression of resistance-associated genes. Such modifications can stabilize resistance phenotypes across parasite generations, even in the absence of continued drug pressure, thereby contributing to long-term persistence of reduced susceptibility within populations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{"citationID":"0dVtXwRa","properties":{"formattedCitation":"[18]","plainCitation":"[18]","noteIndex":0},"citationItems":[{"id":11892,"uris":["http://zotero.org/users/16652950/items/33C2IYU8"],"itemData":{"id":11892,"type":"article-journal","abstract":"Experimental research demands the selection of appropriate models to align with study objectives and conditions. Traditional experimental models, such...","container-title":"Applied Biosciences","DOI":"10.3390/applbiosci4020023","ISSN":"2813-0464","issue":"2","language":"en","license":"http://creativecommons.org/licenses/by/3.0/","note":"Company: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publisher","source":"www.mdpi.com","title":"Can Caenorhabditis elegans Serve as a Reliable Model for Drug and Nutraceutical Discovery?","URL":"https://www.mdpi.com/2813-0464/4/2/23","volume":"4","author":[{"family":"Deji-Oloruntoba","given":"Opeyemi O."},{"family":"Elufioye","given":"Taiwo O."},{"family":"Adefegha","given":"Stephen Adeniyi"},{"family":"Jang","given":"Miran"},{"family":"Deji-Oloruntoba","given":"Opeyemi O."},{"family":"Elufioye","given":"Taiwo O."},{"family":"Adefegha","given":"Stephen Adeniyi"},{"family":"Jang","given":"Miran"}],"accessed":{"date-parts":[["2025",12,8]]},"issued":{"date-parts":[["2025",5,1]]}}}],"schema":"https://github.com/citation-style-language/schema/raw/master/csl-citation.json"}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[18]</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4.3 Enhanced Metabolic Detoxification</w:t>
      </w:r>
    </w:p>
    <w:p w:rsidR="0059639A" w:rsidRPr="00EB6340" w:rsidRDefault="0059639A" w:rsidP="0059639A">
      <w:pPr>
        <w:rPr>
          <w:rFonts w:ascii="Times New Roman" w:hAnsi="Times New Roman" w:cs="Times New Roman"/>
        </w:rPr>
      </w:pPr>
      <w:r w:rsidRPr="00EB6340">
        <w:rPr>
          <w:rFonts w:ascii="Times New Roman" w:hAnsi="Times New Roman" w:cs="Times New Roman"/>
        </w:rPr>
        <w:t>Many helminths employ metabolic strategies to diminish the potency of anthelmintic compounds. Upregulation of detoxification enzyme families, such as cytochrome P450s</w:t>
      </w:r>
      <w:r w:rsidR="0087183A">
        <w:rPr>
          <w:rFonts w:ascii="Times New Roman" w:hAnsi="Times New Roman" w:cs="Times New Roman"/>
        </w:rPr>
        <w:t xml:space="preserve"> and glutathione-S-transferases, along with their</w:t>
      </w:r>
      <w:r w:rsidRPr="00EB6340">
        <w:rPr>
          <w:rFonts w:ascii="Times New Roman" w:hAnsi="Times New Roman" w:cs="Times New Roman"/>
        </w:rPr>
        <w:t xml:space="preserve"> related pathways, can increase the rate at which drugs are neutralized or transformed into less active forms. These changes may be accompanied by </w:t>
      </w:r>
      <w:r w:rsidRPr="00EB6340">
        <w:rPr>
          <w:rFonts w:ascii="Times New Roman" w:hAnsi="Times New Roman" w:cs="Times New Roman"/>
          <w:b/>
          <w:bCs/>
        </w:rPr>
        <w:t>metabolic re-routing</w:t>
      </w:r>
      <w:r w:rsidRPr="00EB6340">
        <w:rPr>
          <w:rFonts w:ascii="Times New Roman" w:hAnsi="Times New Roman" w:cs="Times New Roman"/>
        </w:rPr>
        <w:t>, allowing the parasite to compensate for drug-imposed stress while maintaining essential biochemical functions. Together, these adaptations create a chemical environment less conducive to effective drug activity</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{"citationID":"PG2bS4AT","properties":{"formattedCitation":"[19]","plainCitation":"[19]","noteIndex":0},"citationItems":[{"id":11894,"uris":["http://zotero.org/users/16652950/items/FYBV4RWN"],"itemData":{"id":11894,"type":"article-journal","abstract":"Trematode infections occur worldwide causing considerable deterioration of human health and placing a substantial financial burden on the livestock industry. The hundreds of millions of people afflicted with trematode infections rely entirely on only two drugs (praziquantel and triclabendazole) for treatment. An understanding of anthelmintic biotransformation pathways in parasites should clarify factors that can modulate therapeutic potency of anthelmintics currently in use and may lead to the discovery of synergistic compounds for combination treatments. Despite the pronounced epidemiological significance of trematodes, there is still no adequate understanding of the functionality of their metabolic systems, including xenobiotic-metabolizing enzymes. The review is focused on the structure and functional significance of the xenobiotic-metabolizing system in trematodes. Knowledge in this field can solve practical problems related to the search for new targets for antiparasitic therapy based on a focused action on certain elements of the parasite’s metabolic system. Knowledge of the functionality of this system is required to understand the adaptation of the biochemical processes of parasites residing in the host and mechanisms of drug resistance development, as well as to select a promising molecular target for the discovery and development of new anthelmintic drugs.","container-title":"Biomedicines","DOI":"10.3390/biomedicines10123039","ISSN":"2227-9059","issue":"12","journalAbbreviation":"Biomedicines","note":"PMID: 36551794\nPMCID: PMC9775572","page":"3039","source":"PubMed Central","title":"Xenobiotic-Metabolizing Enzymes in Trematodes","volume":"10","author":[{"family":"Mordvinov","given":"Viatcheslav"},{"family":"Pakharukova","given":"Maria"}],"issued":{"date-parts":[["2022",11,24]]}}}],"schema":"https://github.com/citation-style-language/schema/raw/master/csl-citation.json"}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[19]</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4.4 Compensatory Fitness Mechanisms</w:t>
      </w:r>
    </w:p>
    <w:p w:rsidR="0059639A" w:rsidRDefault="0059639A" w:rsidP="0059639A">
      <w:pPr>
        <w:rPr>
          <w:rFonts w:ascii="Times New Roman" w:hAnsi="Times New Roman" w:cs="Times New Roman"/>
        </w:rPr>
      </w:pPr>
      <w:r w:rsidRPr="00EB6340">
        <w:rPr>
          <w:rFonts w:ascii="Times New Roman" w:hAnsi="Times New Roman" w:cs="Times New Roman"/>
        </w:rPr>
        <w:t xml:space="preserve">Resistance mutations and metabolic shifts may carry fitness costs, such as reduced reproductive output or altered energy balance. To overcome these disadvantages, helminths may evolve </w:t>
      </w:r>
      <w:r w:rsidRPr="00EB6340">
        <w:rPr>
          <w:rFonts w:ascii="Times New Roman" w:hAnsi="Times New Roman" w:cs="Times New Roman"/>
          <w:b/>
          <w:bCs/>
        </w:rPr>
        <w:t>compensatory mechanisms</w:t>
      </w:r>
      <w:r w:rsidRPr="00EB6340">
        <w:rPr>
          <w:rFonts w:ascii="Times New Roman" w:hAnsi="Times New Roman" w:cs="Times New Roman"/>
        </w:rPr>
        <w:t xml:space="preserve"> that restore physiological performance. These include adjustments in metabolic pathways, optimized resource allocation, and enhanced stress resilience. The interplay between compensatory adaptations and resistance pathways enables resistant parasites not only to survive drug exposure but also to compete effectively within treated host populations, facilitating the spread and entrenchment of resistance traits</w:t>
      </w:r>
      <w:r w:rsidR="0087183A">
        <w:rPr>
          <w:rFonts w:ascii="Times New Roman" w:hAnsi="Times New Roman" w:cs="Times New Roman"/>
        </w:rPr>
        <w: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{"citationID":"0ZmlUIrT","properties":{"formattedCitation":"[20]","plainCitation":"[20]","noteIndex":0},"citationItems":[{"id":2482,"uris":["http://zotero.org/users/16652950/items/VR3VPVH8"],"itemData":{"id":2482,"type":"article-journal","abstract":"Background: Klebsiella pneumoniae is a gram-negative bacterium responsible for infections like urinary tract infections (UTIs) and is a leading cause of nosocomial infections in immunocompromised patients. Data on resistance profiles in Nigeria is limited. This study investigated the antibiogram and molecular characteristics of ESBL-producing Klebsiella pneumoniae at the University of Medical Sciences Teaching Hospital, Ondo State. Methods: A cross-sectional study analyzed 300 samples from urine, sputum, and wound infections. Isolates were cultured on MacConkey agar, followed by biochemical tests. The Kirby-Bauer method assessed resistance, and the double-disk synergy test confirmed ESBL production. PCR identified blaTEM, blaSHV, and blaCTX-M genes. SPSS was used for statistical analysis (P &amp;lt; 0.05). Results: Of 300 samples, 185 showed bacterial growth, with 54 confirmed as Klebsiella pneumoniae. Among these, 22 were multidrug-resistant (MDR), and 8 (14.8%) were ESBL producers. The blaTEM gene was present in all ESBL isolates, and the blaSHV gene in 7 of 8 (87.5%). Resistance to β-lactam antibiotics and aminoglycosides was high. Older patients and prolonged hospital stays correlated with higher MDR rates. A slight female predominance was noted. Conclusions: The high prevalence of MDR Klebsiella pneumoniae highlights the need for enhanced surveillance and deeper understanding of resistance patterns in the region.","container-title":"Microbes, Infection and Chemotherapy","DOI":"10.54034/mic.e2305","ISSN":"2789-4274","language":"en","license":"Copyright (c) 2025 Olabisi Promise Lawal, Joshua Odunayo Babatunde , Sandra Owusu-Ansah, Chinaemerem Precious Ani, Abiodun Christopher Adegbesan, Hajara Hashim, Jenifer Chiagozie Okeke, Nyerovwo Charity Okei, Aimuanmwosa Andrew Igunma, Daniel Osezuwa Ubebe, Kingsley Ugonna Ugoagwu, Okabeonye Sunday Agbo, Charissa Favour Ani","page":"e2305-e2305","source":"revistas.unheval.edu.pe","title":"Antibiogram and Molecular Characterization of Extended-Spectrum Beta-Lactamase-Producing Klebsiella pneumoniae in a Nigerian Teaching Hospital","volume":"5","author":[{"family":"Lawal","given":"Olabisi Promise"},{"family":"Babatunde","given":"Joshua Odunayo"},{"family":"Owusu-Ansah","given":"Sandra"},{"family":"Ani","given":"Chinaemerem Precious"},{"family":"Adegbesan","given":"Abiodun Christopher"},{"family":"Hashim","given":"Hajara"},{"family":"Okeke","given":"Jenifer Chiagozie"},{"family":"Okei","given":"Nyerovwo Charity"},{"family":"Igunma","given":"Aimuanmwosa Andrew"},{"family":"Ubebe","given":"Daniel Osezuwa"},{"family":"Ugoagwu","given":"Kingsley Ugonna"},{"family":"Agbo","given":"Okabeonye Sunday"},{"family":"Ani","given":"Charissa Favour"}],"issued":{"date-parts":[["2025",3,24]]}}}],"schema":"https://github.com/citation-style-language/schema/raw/master/csl-citation.json"}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[20]</w:t>
      </w:r>
      <w:r w:rsidR="00E82B3A" w:rsidRPr="00EB6340">
        <w:rPr>
          <w:rFonts w:ascii="Times New Roman" w:hAnsi="Times New Roman" w:cs="Times New Roman"/>
        </w:rPr>
        <w:fldChar w:fldCharType="end"/>
      </w:r>
      <w:r w:rsidRPr="00EB6340">
        <w:rPr>
          <w:rFonts w:ascii="Times New Roman" w:hAnsi="Times New Roman" w:cs="Times New Roman"/>
        </w:rPr>
        <w:t>.</w:t>
      </w:r>
    </w:p>
    <w:p w:rsidR="00601849" w:rsidRDefault="00601849" w:rsidP="0059639A">
      <w:pPr>
        <w:rPr>
          <w:rFonts w:ascii="Times New Roman" w:hAnsi="Times New Roman" w:cs="Times New Roman"/>
        </w:rPr>
      </w:pPr>
    </w:p>
    <w:p w:rsidR="00601849" w:rsidRPr="00EB6340" w:rsidRDefault="00601849" w:rsidP="0059639A">
      <w:pPr>
        <w:rPr>
          <w:rFonts w:ascii="Times New Roman" w:hAnsi="Times New Roman" w:cs="Times New Roman"/>
        </w:rPr>
      </w:pPr>
      <w:r w:rsidRPr="00601849">
        <w:rPr>
          <w:rFonts w:ascii="Times New Roman" w:hAnsi="Times New Roman" w:cs="Times New Roman"/>
          <w:i/>
          <w:iCs/>
        </w:rPr>
        <w:t>From a public health perspective, understanding these interconnected molecular pathways is essential for predicting resistance trajectories and informing adaptive mass drug administration strategies in endemic settings.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 Methods Used to Identify and Validate Resistance Mechanisms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Understanding anthelmintic resistance in human helminths requires an integrated methodological framework that combines genomic, transcriptomic, population-level, and functional approaches. Collectively, these methodologies allow researchers to identify candidate resistance markers, </w:t>
      </w:r>
      <w:r w:rsidRPr="00EB6340">
        <w:rPr>
          <w:rFonts w:ascii="Times New Roman" w:hAnsi="Times New Roman" w:cs="Times New Roman"/>
        </w:rPr>
        <w:lastRenderedPageBreak/>
        <w:t>characterize their biological significance, and evaluate their relevance in natural parasite populations.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5.1 Genomic Sequencing and Comparative Genomics</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Advances in whole-genome sequencing have transformed the study of resistance by enabling detailed comparisons between susceptible and putatively resistant parasite populations. Comparative genomics allows the identification of </w:t>
      </w:r>
      <w:r w:rsidRPr="00EB6340">
        <w:rPr>
          <w:rFonts w:ascii="Times New Roman" w:hAnsi="Times New Roman" w:cs="Times New Roman"/>
          <w:b/>
          <w:bCs/>
        </w:rPr>
        <w:t>single-nucleotide polymorphisms (SNPs)</w:t>
      </w:r>
      <w:r w:rsidRPr="00EB6340">
        <w:rPr>
          <w:rFonts w:ascii="Times New Roman" w:hAnsi="Times New Roman" w:cs="Times New Roman"/>
        </w:rPr>
        <w:t>, structural variants, and copy-number changes that may influence drug response. These analyses can highlight genes under selection pressure and reveal parallel evolutionary patterns across geographic regions or species, providing strong circumstantial evidence for resistance-associated loci</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{"citationID":"f3wadN2b","properties":{"formattedCitation":"[21]","plainCitation":"[21]","noteIndex":0},"citationItems":[{"id":11897,"uris":["http://zotero.org/users/16652950/items/FQFCURS3"],"itemData":{"id":11897,"type":"article-journal","abstract":"Emerging infectious diseases of animals that spread to humans (zoonoses) continue to represent a major threat to public health throughout the world. Knowledge of genetic elements that enable pathogens to navigate host shifts and species jumps is crucial for predicting and preventing zoonotic cross-species transmission. Comparative genomics, comparing whole-genome sequences across a range of hosts and pathogens, provides a powerful means to dissect the molecular determinants of zoonotic emergence. Here, we summarize and discuss recent advances in the understanding of genetic modifications that enable host switching and cross-species transmission by selected zoonotic pathogens. We review how comparative genomic analyses revealed the critical importance of factors such as receptor-binding domain evolution, immune evasion genes, and virulence determinants in improving pathogen fitness in new hosts.The review also highlights the integration of genomic data into One Health surveillance frameworks, enabling real-time monitoring, early detection, and improved outbreak response. Despite these advances, challenges including sampling bias, incomplete genomic databases, misannotation, and the complexity of predicting phenotype from genotype limit the field’s potential. Furthermore, ethical and biosafety concerns in studying high-risk zoonotic pathogens necessitate careful governance. We outline future directions, emphasizing the need for expanded wildlife sampling, longitudinal studies of host-pathogen co-evolution, and the application of artificial intelligence in zoonotic risk assessment. Building comprehensive, globally accessible genomic databases is essential for coordinated pathogen tracking and risk mitigation. Ultimately, comparative genomics is indispensable for understanding and managing zoonotic threats, and its continued advancement, integrated within interdisciplinary, data-driven One Health strategies, will be critical to preventing future pandemics.","container-title":"Journal of Clinical Medicine of Kazakhstan","DOI":"10.23950/jcmk/16937","ISSN":"1812-2892, 2313-1519","issue":"5","journalAbbreviation":"J CLIN MED KAZ","language":"english","note":"publisher: JSC National Scientific Medical Center","page":"80-92","source":"www.clinmedkaz.org","title":"Comparative Genomics of Zoonotic Pathogens: Genetic Determinants of Host Switching and Cross-Species Transmission","title-short":"Comparative Genomics of Zoonotic Pathogens","volume":"22","author":[{"family":"Lawal","given":"Olabisi"},{"family":"Babatunde","given":"Ezekiel Tosin"},{"family":"Muhammed","given":"Ismaila"},{"family":"Okiki","given":"Quadri N."},{"family":"Chibueze","given":"Eze Samson"},{"family":"David","given":"Victor Omeiza"},{"family":"Otabil","given":"Caleb"},{"family":"Agbo","given":"Okabeonye Sunday"},{"family":"Kanu","given":"Ikechukwu"},{"family":"Ololade","given":"Oyebamiji Abdulhalim"}],"issued":{"date-parts":[["2025",9,14]]}}}],"schema":"https://github.com/citation-style-language/schema/raw/master/csl-citation.json"}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[21]</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5.2 Transcriptomic Profiling and Differential Expression Mapping</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Transcriptomic approaches examine genome-wide changes in gene expression following drug exposure or across populations with differing susceptibility profiles. Differential expression mapping can reveal </w:t>
      </w:r>
      <w:r w:rsidRPr="00EB6340">
        <w:rPr>
          <w:rFonts w:ascii="Times New Roman" w:hAnsi="Times New Roman" w:cs="Times New Roman"/>
          <w:b/>
          <w:bCs/>
        </w:rPr>
        <w:t>upregulated detoxification genes</w:t>
      </w:r>
      <w:r w:rsidRPr="00EB6340">
        <w:rPr>
          <w:rFonts w:ascii="Times New Roman" w:hAnsi="Times New Roman" w:cs="Times New Roman"/>
        </w:rPr>
        <w:t>, alterations in receptor or channel subunit expression, or activation of stress-related pathways. Such patterns offer insights into the dynamic biological responses that facilitate survival under pharmacological pressure.</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5.3 Population Genetics Approaches for Resistance Surveillance</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Population genetics adds a crucial epidemiological dimension to resistance research. By tracking allele frequencies of resistance-associated markers in field populations, researchers can assess the </w:t>
      </w:r>
      <w:r w:rsidRPr="00EB6340">
        <w:rPr>
          <w:rFonts w:ascii="Times New Roman" w:hAnsi="Times New Roman" w:cs="Times New Roman"/>
          <w:b/>
          <w:bCs/>
        </w:rPr>
        <w:t>spread, persistence, and selective advantage</w:t>
      </w:r>
      <w:r w:rsidRPr="00EB6340">
        <w:rPr>
          <w:rFonts w:ascii="Times New Roman" w:hAnsi="Times New Roman" w:cs="Times New Roman"/>
        </w:rPr>
        <w:t xml:space="preserve"> of candidate mutations. Measurements of genetic diversity, population structure, and selective sweeps contribute to understanding how resistance emerges and disseminates within communities exposed to mass drug administration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5.4 In Vitro and Model-Organism Functional Validation Frameworks</w:t>
      </w:r>
    </w:p>
    <w:p w:rsidR="0059639A" w:rsidRPr="00EB6340" w:rsidRDefault="0059639A" w:rsidP="0059639A">
      <w:pPr>
        <w:rPr>
          <w:rFonts w:ascii="Times New Roman" w:hAnsi="Times New Roman" w:cs="Times New Roman"/>
        </w:rPr>
      </w:pPr>
      <w:r w:rsidRPr="00EB6340">
        <w:rPr>
          <w:rFonts w:ascii="Times New Roman" w:hAnsi="Times New Roman" w:cs="Times New Roman"/>
        </w:rPr>
        <w:t>Although direct experimental manipulation of human helminths is limited, conceptual frameworks involving model nematodes or surrogate systems allow researchers to evaluate the functional consequences of candidate resistance genes. These systems help clarify whether specific mutations reduce drug susceptibility or alter key physiological pathways, offering critical evidence for causality.</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5.5 Bioinformatic Tools for Integrating Multi-</w:t>
      </w:r>
      <w:proofErr w:type="spellStart"/>
      <w:r w:rsidRPr="00EB6340">
        <w:rPr>
          <w:rFonts w:ascii="Times New Roman" w:hAnsi="Times New Roman" w:cs="Times New Roman"/>
          <w:b/>
          <w:bCs/>
        </w:rPr>
        <w:t>Omic</w:t>
      </w:r>
      <w:proofErr w:type="spellEnd"/>
      <w:r w:rsidRPr="00EB6340">
        <w:rPr>
          <w:rFonts w:ascii="Times New Roman" w:hAnsi="Times New Roman" w:cs="Times New Roman"/>
          <w:b/>
          <w:bCs/>
        </w:rPr>
        <w:t xml:space="preserve"> Datasets</w:t>
      </w:r>
    </w:p>
    <w:p w:rsidR="0059639A" w:rsidRPr="00EB6340" w:rsidRDefault="0059639A" w:rsidP="0059639A">
      <w:pPr>
        <w:rPr>
          <w:rFonts w:ascii="Times New Roman" w:hAnsi="Times New Roman" w:cs="Times New Roman"/>
        </w:rPr>
      </w:pPr>
      <w:r w:rsidRPr="00EB6340">
        <w:rPr>
          <w:rFonts w:ascii="Times New Roman" w:hAnsi="Times New Roman" w:cs="Times New Roman"/>
        </w:rPr>
        <w:t>As genomic and transcriptomic datasets grow, bioinformatic integration becomes essential. Multi-</w:t>
      </w:r>
      <w:proofErr w:type="spellStart"/>
      <w:r w:rsidRPr="00EB6340">
        <w:rPr>
          <w:rFonts w:ascii="Times New Roman" w:hAnsi="Times New Roman" w:cs="Times New Roman"/>
        </w:rPr>
        <w:t>omic</w:t>
      </w:r>
      <w:proofErr w:type="spellEnd"/>
      <w:r w:rsidRPr="00EB6340">
        <w:rPr>
          <w:rFonts w:ascii="Times New Roman" w:hAnsi="Times New Roman" w:cs="Times New Roman"/>
        </w:rPr>
        <w:t xml:space="preserve"> analysis platforms enable researchers to connect genetic variants with expression changes, pathway alterations, and population-level trends. Such integrative approaches provide a comprehensive understanding of resistance mechanisms and help refine targets for surveillance and future drug development</w:t>
      </w:r>
      <w:r w:rsidR="00E82B3A" w:rsidRPr="00EB6340">
        <w:rPr>
          <w:rFonts w:ascii="Times New Roman" w:hAnsi="Times New Roman" w:cs="Times New Roman"/>
        </w:rPr>
        <w:fldChar w:fldCharType="begin"/>
      </w:r>
      <w:r w:rsidR="00C758D7">
        <w:rPr>
          <w:rFonts w:ascii="Times New Roman" w:hAnsi="Times New Roman" w:cs="Times New Roman"/>
        </w:rPr>
        <w:instrText xml:space="preserve"> ADDIN ZOTERO_ITEM CSL_CITATION {"citationID":"0g7AHUzb","properties":{"formattedCitation":"[22]","plainCitation":"[22]","noteIndex":0},"citationItems":[{"id":3122,"uris":["http://zotero.org/users/16652950/items/3RZR4GGY"],"itemData":{"id":3122,"type":"article-journal","abstract":"The field of infectious disease prediction and public health response is changing due to the integration of real-time data with machine learning (ML).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 The potential of key machine learning models, such as reinforcement learning, deep learning, and supervised learning, to improve forecasting accuracy and facilitate dynamic decision-making is investigated. There is a critical discussion of issues such as algorithmic opacity, privacy problems, data inconsistencies, and a lack of standards. The COVID-19 pandemic case study demonstrates how these tools have already aided in resource allocation and policy planning. A forward-looking outlook on developments in data collecting, explainable Artificial Intelligence, and the necessity of global cooperation is presented in the manuscript's conclusion. When taken as a whole, these elements emphasize how crucial it is to combine technology and international collaboration to fortify public health systems and better prepare for future epidemics. This paper examines how diverse real-time data types — including mobility patterns, social media activity, wearable sensor data, environmental signals, and electronic health records — can be successfully combined with machine learning approaches to enhance early diagnosis, forecast illness trajectories, and optimize intervention options.","container-title":"Asian Journal of Microbiology and Biotechnology","DOI":"10.56557/ajmab/2025/v10i19371","issue":"1","page":"147-163","source":"HAL Archives Ouvertes","title":"Integrating Real-Time Data and Machine Learning in Predicting Infectious Disease Outbreaks: Enhancing Response Strategies in Sub-Saharan Africa","title-short":"Integrating Real-Time Data and Machine Learning in Predicting Infectious Disease Outbreaks","volume":"10","author":[{"family":"Lawal","given":"Olabisi Promise"},{"family":"Igwe","given":"Ejikeme Peter"},{"family":"Olosunde","given":"Adedapo"},{"family":"Chisom","given":"Ezeamii Patra"},{"family":"Okeh","given":"Debra Ukamaka"},{"family":"Olowookere","given":"Adepeju Kafayat"},{"family":"Adedayo","given":"Olufemi Adesola"},{"family":"Agu","given":"Chiamaka Pamela"},{"family":"Mustapha","given":"Fatimah Adeola"},{"family":"Odubo","given":"Favour"},{"family":"Orobator","given":"Enibokun Theresa"}],"issued":{"date-parts":[["2025",5]]}}}],"schema":"https://github.com/citation-style-language/schema/raw/master/csl-citation.json"} </w:instrText>
      </w:r>
      <w:r w:rsidR="00E82B3A" w:rsidRPr="00EB6340">
        <w:rPr>
          <w:rFonts w:ascii="Times New Roman" w:hAnsi="Times New Roman" w:cs="Times New Roman"/>
        </w:rPr>
        <w:fldChar w:fldCharType="separate"/>
      </w:r>
      <w:r w:rsidR="00C758D7" w:rsidRPr="00C758D7">
        <w:rPr>
          <w:rFonts w:ascii="Times New Roman" w:hAnsi="Times New Roman" w:cs="Times New Roman"/>
        </w:rPr>
        <w:t>[22]</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lastRenderedPageBreak/>
        <w:t>6. Implications for Public Health, Surveillance, and Drug Development</w:t>
      </w:r>
    </w:p>
    <w:p w:rsidR="0059639A" w:rsidRPr="00EB6340" w:rsidRDefault="0059639A" w:rsidP="0059639A">
      <w:pPr>
        <w:rPr>
          <w:rFonts w:ascii="Times New Roman" w:hAnsi="Times New Roman" w:cs="Times New Roman"/>
        </w:rPr>
      </w:pPr>
      <w:r w:rsidRPr="00EB6340">
        <w:rPr>
          <w:rFonts w:ascii="Times New Roman" w:hAnsi="Times New Roman" w:cs="Times New Roman"/>
        </w:rPr>
        <w:t>The emergence of anthelmintic resistance in human helminths has significant implications for global public health, particularly in regions where mass drug administration (MDA) serves as the cornerstone of control strategies</w:t>
      </w:r>
      <w:r w:rsidR="0087183A">
        <w:rPr>
          <w:rFonts w:ascii="Times New Roman" w:hAnsi="Times New Roman" w:cs="Times New Roman"/>
        </w:rPr>
        <w:t>.</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{"citationID":"CQkSS8AE","properties":{"formattedCitation":"[23]","plainCitation":"[23]","noteIndex":0},"citationItems":[{"id":11361,"uris":["http://zotero.org/users/16652950/items/2RTQXP5P"],"itemData":{"id":11361,"type":"article-journal","abstract":"Access to healthcare is a basic human right, yet systemic barriers like poverty, discrimination, and policy shortcomings continue to create disparities. This paper examines the essential role of social workers in championing healthcare policies that are inclusive and responsive to the needs of vulnerable groups such as low-income families, ethnic minorities, and individuals with disabilities. It explores the limitations of current healthcare frameworks, highlights the methods social workers use to promote equity, and offers evidence-based strategies for reform.","container-title":"International Journal of Science and Research Archive","DOI":"10.30574/ijsra.2025.14.1.0224","ISSN":"2582-8185","issue":"1","language":"en","license":"Copyrights to International Journal of Science and Research Archive","page":"1407-1415","source":"journalijsra.com","title":"Policy advocacy for inclusive healthcare access from a social work perspective","volume":"14","author":[{"family":"Balogun","given":"Adeseun Kafayat"},{"family":"Ibiam","given":"Victor Akachukwu"},{"family":"Otesanya","given":"Olayinka Abdulganiu"},{"family":"Agbo-Adediran","given":"Bemiwo Elisha"}],"issued":{"date-parts":[["2025"]]}}}],"schema":"https://github.com/citation-style-language/schema/raw/master/csl-citation.json"}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[23]</w:t>
      </w:r>
      <w:r w:rsidR="00E82B3A">
        <w:rPr>
          <w:rFonts w:ascii="Times New Roman" w:hAnsi="Times New Roman" w:cs="Times New Roman"/>
        </w:rPr>
        <w:fldChar w:fldCharType="end"/>
      </w:r>
      <w:r w:rsidRPr="00EB6340">
        <w:rPr>
          <w:rFonts w:ascii="Times New Roman" w:hAnsi="Times New Roman" w:cs="Times New Roman"/>
        </w:rPr>
        <w:t>. These programs depend heavily on a narrow range of drug classes, and increasing evidence of reduced drug susceptibility threatens their long-term effectiveness. Should resistance become widespread, the ability of MDA campaigns to suppress worm burden, reduce transmission, and protect vulnerable populations could be substantially compromised</w:t>
      </w:r>
      <w:r w:rsidR="0087183A">
        <w:rPr>
          <w:rFonts w:ascii="Times New Roman" w:hAnsi="Times New Roman" w:cs="Times New Roman"/>
        </w:rPr>
        <w:t>.</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{"citationID":"w99sHcEt","properties":{"formattedCitation":"[24]","plainCitation":"[24]","noteIndex":0},"citationItems":[{"id":11345,"uris":["http://zotero.org/users/16652950/items/G9DE6WH8"],"itemData":{"id":11345,"type":"article-journal","abstract":"Parasitic diseases continue to represent a significant public health challenge, particularly in tropical and subtropical regions, where they disproportionately affect low- and middle-income countries. Despite significant advancements in global collaborations, diseases such as malaria, schistosomiasis, and leishmaniasis continue to present substantial challenges. This study evaluates the role of international collaborations such as the World Health Organization (WHO) and the Global Fund, alongside bilateral and multilateral initiatives, including the U.S. President's Malaria Initiative (PMI) in managing, preventing, and eliminating parasitic diseases, highlighting the successes, challenges, and potential areas for improvement within these partnerships. Critical challenges to effective collaborations, such as political instability, economic disparities, cultural barriers, and resource inequities were identified. Additionally discussed are the necessity of developing local skills, promoting innovative financing methods for projects, and ensuring their sustainability. Moreover, the necessity of a unified global health governance framework and sustained commitments to ensure that multinational collaborations yield enduring impacts were emphasized. However, policy recommendations such as prioritizing equity, and addressing the root causes of parasite infections aimed at enhancing international cooperation should be embraced in order to achieve sustainable health improvements. The findings suggest that ongoing global cooperation, combined with improvements in technology, funding, and resource allocation, is crucial for the total elimination of parasitic diseases and the advancement of health equity worldwide.","container-title":"Australian Journal of Biomedical Research","DOI":"10.63946/aubiomed/17426","ISSN":"3083-4708","issue":"2","language":"english","note":"publisher: Australasia Publishing Group","page":"aubm009","source":"www.aubiomed.org","title":"Evaluating the Role and Impact of International Collaboration and Partnerships on the Control, Prevention, and Elimination of Parasitic Diseases: A Global Health Perspective","title-short":"Evaluating the Role and Impact of International Collaboration and Partnerships on the Control, Prevention, and Elimination of Parasitic Diseases","volume":"1","author":[{"family":"Nwokedi","given":"Vivian Ukamaka"},{"family":"Akanbi","given":"Olukunle O."},{"family":"Ayo-ige","given":"Blessing Ayodele"},{"family":"Aderounmu","given":"Rahmatallahi Ajike"},{"family":"Kassim","given":"Nimotalai Olusola"},{"family":"Aneke","given":"Oluchi Beatrice"},{"family":"Inumimo","given":"Ogunmekan"},{"family":"Ilesanmi","given":"Olawale Johnson"},{"family":"Luper","given":"Tyoakosu"},{"family":"Farinde","given":"Tobi David"}],"issued":{"date-parts":[["2025",11,18]]}}}],"schema":"https://github.com/citation-style-language/schema/raw/master/csl-citation.json"}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[24]</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6.1 Threats to MDA-Based Control Programs for Soil-Transmitted Helminths</w:t>
      </w:r>
    </w:p>
    <w:p w:rsidR="0059639A" w:rsidRPr="00EB6340" w:rsidRDefault="0059639A" w:rsidP="0059639A">
      <w:pPr>
        <w:rPr>
          <w:rFonts w:ascii="Times New Roman" w:hAnsi="Times New Roman" w:cs="Times New Roman"/>
        </w:rPr>
      </w:pPr>
      <w:r w:rsidRPr="00EB6340">
        <w:rPr>
          <w:rFonts w:ascii="Times New Roman" w:hAnsi="Times New Roman" w:cs="Times New Roman"/>
        </w:rPr>
        <w:t>Declining treatment efficacy, even when modest, may undermine progress toward morbidity reduction goals. Persistent infections in treated communities create conditions for sustained transmission and may erode public confidence in control programs.</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6.2 Need for Early-Detection Molecular Diagnostics</w:t>
      </w:r>
    </w:p>
    <w:p w:rsidR="0059639A" w:rsidRPr="00EB6340" w:rsidRDefault="0059639A" w:rsidP="0059639A">
      <w:pPr>
        <w:rPr>
          <w:rFonts w:ascii="Times New Roman" w:hAnsi="Times New Roman" w:cs="Times New Roman"/>
        </w:rPr>
      </w:pPr>
      <w:r w:rsidRPr="00EB6340">
        <w:rPr>
          <w:rFonts w:ascii="Times New Roman" w:hAnsi="Times New Roman" w:cs="Times New Roman"/>
        </w:rPr>
        <w:t>Early detection of resistance is essential to prevent programmatic failure. Molecular diagnostics capable of identifying resistance-associated markers</w:t>
      </w:r>
      <w:r w:rsidR="0087183A">
        <w:rPr>
          <w:rFonts w:ascii="Times New Roman" w:hAnsi="Times New Roman" w:cs="Times New Roman"/>
        </w:rPr>
        <w:t xml:space="preserve">, such as β-tubulin polymorphisms or efflux-related gene expression patterns, </w:t>
      </w:r>
      <w:r w:rsidRPr="00EB6340">
        <w:rPr>
          <w:rFonts w:ascii="Times New Roman" w:hAnsi="Times New Roman" w:cs="Times New Roman"/>
        </w:rPr>
        <w:t>would enable timely responses. Such tools could guide adaptive adjustments in treatment strategies before clinical failures become widespread.</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6.3 Strategies to Slow Resistance Evolution</w:t>
      </w:r>
    </w:p>
    <w:p w:rsidR="0059639A" w:rsidRPr="00EB6340" w:rsidRDefault="0059639A" w:rsidP="0059639A">
      <w:pPr>
        <w:rPr>
          <w:rFonts w:ascii="Times New Roman" w:hAnsi="Times New Roman" w:cs="Times New Roman"/>
        </w:rPr>
      </w:pPr>
      <w:r w:rsidRPr="00EB6340">
        <w:rPr>
          <w:rFonts w:ascii="Times New Roman" w:hAnsi="Times New Roman" w:cs="Times New Roman"/>
        </w:rPr>
        <w:t xml:space="preserve">A range of interventions may help mitigate resistance development. </w:t>
      </w:r>
      <w:r w:rsidRPr="00EB6340">
        <w:rPr>
          <w:rFonts w:ascii="Times New Roman" w:hAnsi="Times New Roman" w:cs="Times New Roman"/>
          <w:b/>
          <w:bCs/>
        </w:rPr>
        <w:t>Rotational drug strategies</w:t>
      </w:r>
      <w:r w:rsidRPr="00EB6340">
        <w:rPr>
          <w:rFonts w:ascii="Times New Roman" w:hAnsi="Times New Roman" w:cs="Times New Roman"/>
        </w:rPr>
        <w:t xml:space="preserve"> aim to reduce continuous selection for resistance to a single drug class. </w:t>
      </w:r>
      <w:r w:rsidRPr="00EB6340">
        <w:rPr>
          <w:rFonts w:ascii="Times New Roman" w:hAnsi="Times New Roman" w:cs="Times New Roman"/>
          <w:b/>
          <w:bCs/>
        </w:rPr>
        <w:t>Combination therapies</w:t>
      </w:r>
      <w:r w:rsidRPr="00EB6340">
        <w:rPr>
          <w:rFonts w:ascii="Times New Roman" w:hAnsi="Times New Roman" w:cs="Times New Roman"/>
        </w:rPr>
        <w:t xml:space="preserve">, widely successful in malaria and HIV control, may also provide synergistic effects or reduce the likelihood that any single mutation can confer broad protection. </w:t>
      </w:r>
      <w:r w:rsidRPr="00EB6340">
        <w:rPr>
          <w:rFonts w:ascii="Times New Roman" w:hAnsi="Times New Roman" w:cs="Times New Roman"/>
          <w:b/>
          <w:bCs/>
        </w:rPr>
        <w:t>Targeted treatment approaches</w:t>
      </w:r>
      <w:r w:rsidRPr="00EB6340">
        <w:rPr>
          <w:rFonts w:ascii="Times New Roman" w:hAnsi="Times New Roman" w:cs="Times New Roman"/>
        </w:rPr>
        <w:t>, such as treating only high-risk groups or using treatment thresholds based on prevalence, can reduce overall drug pressure on parasite populations</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{"citationID":"dRAsfo7G","properties":{"formattedCitation":"[25]","plainCitation":"[25]","noteIndex":0},"citationItems":[{"id":11351,"uris":["http://zotero.org/users/16652950/items/WWK84N4K"],"itemData":{"id":11351,"type":"article-journal","abstract":"Diabetic foot ulcers (DFUs) are among the most severe complications of diabetes mellitus, contributing to infection, limb loss, and premature mortality. In Africa, the rising prevalence of diabetes, combined with limited laboratory capacity and frequent empirical antibiotic use, has intensified the problem of multidrug-resistant (MDR) infections. Understanding the microbial spectrum and associated outcomes is critical for guiding evidence-based management. This review systematically synthesizes data on microbial etiologies, antimicrobial-resistance patterns, and clinical outcomes of DFUs in African populations. Methods: Following PRISMA 2020 guidelines, PubMed, Scopus, Embase, Web of Science, African Journals Online, and Google Scholar were searched for studies published between 2000 and 2025. Eligible studies included adults with DFUs in African settings that reported bacterial isolates, resistance profiles, or clinical outcomes. Two reviewers independently screened and extracted data, and study quality was appraised using the Joanna Briggs Institute checklist. Data were synthesized narratively and summarized using descriptive statistics. Sixteen verified studies from ten African countries, encompassing approximately 2,700 participants, were included. Staphylococcus aureus and Pseudomonas aeruginosa were the predominant isolates, followed by Escherichia coli, Klebsiella pneumoniae, and Proteus mirabilis. MDR prevalence was high, with methicillin-resistant S. aureus (MRSA) detected in 25–45% of isolates and extended-spectrum β-lactamase (ESBL)–producing Enterobacterales in 30–50%. Among studies reporting outcomes, amputation rates ranged from 15% to 38% and mortality from 7% to 16%, with poorer outcomes in MDR infections. Considerable heterogeneity existed in sampling and testing methods across studies. Saureus remains the dominant pathogen in African DFUs, but AMR is pervasive across bacterial species. Strengthening diagnostic laboratory systems, infection-control practices, and antimicrobial stewardship (alongside integrated diabetic foot care) is essential to reduce preventable amputations, mortality, and the continent’s growing burden of drug-resistant infections. Keywords: Diabetic","container-title":"Epidemiology and Health Data Insights","DOI":"10.63946/ehdi/17471","ISSN":"3080-8111","issue":"6","language":"english","note":"publisher: Australasia Publishing Group","page":"ehdi022","source":"www.journalehdi.com","title":"Diabetic Foot Ulcers in Africa: A Systematic Review of Microbial Profiles and Clinical Outcomes in the Context of Multidrug Resistance","title-short":"Diabetic Foot Ulcers in Africa","volume":"1","author":[{"family":"Nwosu","given":"Patrick Chinazam"},{"family":"Egwuatu","given":"Emmanuel Cherechi"},{"family":"Wright","given":"Alliah Kris-Ann"},{"family":"Ebiala","given":"Fortune Itoje"},{"family":"Yaro","given":"Gloria Ogbeyi"},{"family":"Sone","given":"Precious Esong"},{"family":"Ayo-ige","given":"Ayodele Blessing"},{"family":"Olokede","given":"Esther Uyoyooghene"}],"issued":{"date-parts":[["2025",12,1]]}}}],"schema":"https://github.com/citation-style-language/schema/raw/master/csl-citation.json"}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[25]</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6.4 Opportunities for Novel Drug Discovery Targeting Less Mutable Pathways</w:t>
      </w:r>
    </w:p>
    <w:p w:rsidR="0059639A" w:rsidRPr="00EB6340" w:rsidRDefault="0059639A" w:rsidP="0059639A">
      <w:pPr>
        <w:rPr>
          <w:rFonts w:ascii="Times New Roman" w:hAnsi="Times New Roman" w:cs="Times New Roman"/>
        </w:rPr>
      </w:pPr>
      <w:r w:rsidRPr="00EB6340">
        <w:rPr>
          <w:rFonts w:ascii="Times New Roman" w:hAnsi="Times New Roman" w:cs="Times New Roman"/>
        </w:rPr>
        <w:t>The identification of molecular pathways that are less prone to mutation offers opportunities for innovative therapeutics. Drugs that target conserved metabolic processes or regulatory pathways essential for helminth survival could exhibit greater resilience to resistance evolution</w:t>
      </w:r>
      <w:r w:rsidR="0087183A">
        <w:rPr>
          <w:rFonts w:ascii="Times New Roman" w:hAnsi="Times New Roman" w:cs="Times New Roman"/>
        </w:rPr>
        <w:t>.</w:t>
      </w:r>
      <w:r w:rsidR="00E82B3A">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{"citationID":"VkZZx8fs","properties":{"formattedCitation":"[26]","plainCitation":"[26]","noteIndex":0},"citationItems":[{"id":11360,"uris":["http://zotero.org/users/16652950/items/HZYDEHTC"],"itemData":{"id":11360,"type":"article-journal","abstract":"Cultural competence has become a cornerstone of effective social work and healthcare practices in increasingly diverse societies. This review explores the development of culturally competent models to enhance inclusive interventions in these fields. Drawing on interdisciplinary frameworks and empirical studies, the paper examines key concepts, such as cultural awareness, humility, and intersectionality, while analyzing their practical applications in various settings. Current models, including the Purnell Model for Cultural Competence and the Cultural Competence Continuum, are critically evaluated to highlight their strengths and limitations. Challenges such as implicit bias, resource inequities, and the absence of standardized assessment tools are identified as significant barriers to implementation. The review also discusses innovative strategies, including technology-assisted training and community-driven approaches, as potential solutions to address these gaps.","container-title":"International Journal of Science and Research Archive","DOI":"10.30574/ijsra.2025.14.1.0226","ISSN":"25828185","issue":"1","journalAbbreviation":"Int. J. Sci. Res. Arch.","language":"en","page":"1396-1406","source":"DOI.org (Crossref)","title":"Developing culturally competent models for inclusive social work and healthcare interventions","volume":"14","author":[{"literal":"Adeseun Kafayat Balogun"},{"literal":"Julie Alaere Atta"},{"literal":"Oreoluwa Mary Oyetubo"},{"literal":"Victor Akachukwu Ibiam"},{"literal":"Kehinde Abiola Bakare-Adesokan"},{"literal":"Taiwo Ololade Ojo"}],"issued":{"date-parts":[["2025",1,30]]}}}],"schema":"https://github.com/citation-style-language/schema/raw/master/csl-citation.json"} </w:instrText>
      </w:r>
      <w:r w:rsidR="00E82B3A">
        <w:rPr>
          <w:rFonts w:ascii="Times New Roman" w:hAnsi="Times New Roman" w:cs="Times New Roman"/>
        </w:rPr>
        <w:fldChar w:fldCharType="separate"/>
      </w:r>
      <w:r w:rsidR="00221E32" w:rsidRPr="00221E32">
        <w:rPr>
          <w:rFonts w:ascii="Times New Roman" w:hAnsi="Times New Roman" w:cs="Times New Roman"/>
        </w:rPr>
        <w:t>[26]</w:t>
      </w:r>
      <w:r w:rsidR="00E82B3A">
        <w:rPr>
          <w:rFonts w:ascii="Times New Roman" w:hAnsi="Times New Roman" w:cs="Times New Roman"/>
        </w:rPr>
        <w:fldChar w:fldCharType="end"/>
      </w:r>
      <w:r w:rsidRPr="00EB6340">
        <w:rPr>
          <w:rFonts w:ascii="Times New Roman" w:hAnsi="Times New Roman" w:cs="Times New Roman"/>
        </w:rPr>
        <w:t>.</w:t>
      </w:r>
    </w:p>
    <w:p w:rsidR="0059639A" w:rsidRPr="00EB6340" w:rsidRDefault="0059639A" w:rsidP="0059639A">
      <w:pPr>
        <w:rPr>
          <w:rFonts w:ascii="Times New Roman" w:hAnsi="Times New Roman" w:cs="Times New Roman"/>
          <w:b/>
          <w:bCs/>
        </w:rPr>
      </w:pPr>
      <w:r w:rsidRPr="00EB6340">
        <w:rPr>
          <w:rFonts w:ascii="Times New Roman" w:hAnsi="Times New Roman" w:cs="Times New Roman"/>
          <w:b/>
          <w:bCs/>
        </w:rPr>
        <w:t xml:space="preserve">6.5 Integrating Genomic Surveillance </w:t>
      </w:r>
      <w:proofErr w:type="gramStart"/>
      <w:r w:rsidRPr="00EB6340">
        <w:rPr>
          <w:rFonts w:ascii="Times New Roman" w:hAnsi="Times New Roman" w:cs="Times New Roman"/>
          <w:b/>
          <w:bCs/>
        </w:rPr>
        <w:t>Into</w:t>
      </w:r>
      <w:proofErr w:type="gramEnd"/>
      <w:r w:rsidRPr="00EB6340">
        <w:rPr>
          <w:rFonts w:ascii="Times New Roman" w:hAnsi="Times New Roman" w:cs="Times New Roman"/>
          <w:b/>
          <w:bCs/>
        </w:rPr>
        <w:t xml:space="preserve"> Global Health Policy</w:t>
      </w:r>
    </w:p>
    <w:p w:rsidR="0059639A" w:rsidRPr="00EB6340" w:rsidRDefault="0059639A" w:rsidP="0059639A">
      <w:pPr>
        <w:rPr>
          <w:rFonts w:ascii="Times New Roman" w:hAnsi="Times New Roman" w:cs="Times New Roman"/>
        </w:rPr>
      </w:pPr>
      <w:r w:rsidRPr="00EB6340">
        <w:rPr>
          <w:rFonts w:ascii="Times New Roman" w:hAnsi="Times New Roman" w:cs="Times New Roman"/>
        </w:rPr>
        <w:t>Genomic surveillance systems are increasingly feasible and can provide real-time insights into resistance emergence and spread. Integrating these systems into national and international health policies would support evidence-based decision-making, improve MDA program design, and ensure rapid responses to emerging threats</w:t>
      </w:r>
      <w:r w:rsidR="0087183A">
        <w:rPr>
          <w:rFonts w:ascii="Times New Roman" w:hAnsi="Times New Roman" w:cs="Times New Roman"/>
        </w:rPr>
        <w:t>.</w:t>
      </w:r>
      <w:r w:rsidR="00E82B3A" w:rsidRPr="00EB6340">
        <w:rPr>
          <w:rFonts w:ascii="Times New Roman" w:hAnsi="Times New Roman" w:cs="Times New Roman"/>
        </w:rPr>
        <w:fldChar w:fldCharType="begin"/>
      </w:r>
      <w:r w:rsidR="00221E32">
        <w:rPr>
          <w:rFonts w:ascii="Times New Roman" w:hAnsi="Times New Roman" w:cs="Times New Roman"/>
        </w:rPr>
        <w:instrText xml:space="preserve"> ADDIN ZOTERO_ITEM CSL_CITATION {"citationID":"W6xIqdPj","properties":{"formattedCitation":"[27]","plainCitation":"[27]","noteIndex":0},"citationItems":[{"id":11899,"uris":["http://zotero.org/users/16652950/items/MR4Y54NR"],"itemData":{"id":11899,"type":"article-journal","abstract":"Antimicrobial resistance (AMR) is a critical global public health threat, with bacterial pathogens of primary concern. Pathogen genomics has revolutionized the study of bacterial pathogens and provided deep insights into the mechanisms and dissemination of AMR, with the precision of whole-genome sequencing informing better control strategies. However, generating actionable data from genomic surveillance and diagnostic efforts requires integration at the public health and clinical interface that goes beyond academic efforts to identify resistance mechanisms, undertake post hoc analyses of outbreaks, and share data after research publications. In addition to timely genomics data, consideration also needs to be given to epidemiological sampling frames, analysis, and reporting mechanisms that meet International Organization for Standardization (ISO) standards and generation of reports that are interpretable and actionable for public health and clinical “end-users.” Importantly, ensuring all countries have equitable access to data and technology is critical, through timely data sharing following the FAIR principles (findable, accessible, interoperable, and re-usable). In this review, we describe (i) advances in genomic approaches for AMR research and surveillance to understand emergence, evolution, and transmission of AMR and the key requirements to enable this work and (ii) discuss emerging and future applications of genomics at the clinical and public health interface, including barriers to implementation. Harnessing advances in genomics-enhanced AMR research and embedding robust and reproducible workflows within clinical and public health practice promises to maximize the impact of pathogen genomics for AMR globally in the coming decade.","container-title":"Antimicrobial Agents and Chemotherapy","DOI":"10.1128/aac.01082-24","ISSN":"0066-4804","issue":"5","journalAbbreviation":"Antimicrob Agents Chemother","note":"PMID: 40227048\nPMCID: PMC12057382","page":"e01082-24","source":"PubMed Central","title":"Genomics for antimicrobial resistance—progress and future directions","volume":"69","author":[{"family":"Sherry","given":"Norelle L."},{"family":"Lee","given":"Jean Y. H."},{"family":"Giulieri","given":"Stefano G."},{"family":"Connor","given":"Christopher H."},{"family":"Horan","given":"Kristy"},{"family":"Lacey","given":"Jake A."},{"family":"Lane","given":"Courtney R."},{"family":"Carter","given":"Glen P."},{"family":"Seemann","given":"Torsten"},{"family":"Egli","given":"Adrian"},{"family":"Stinear","given":"Timothy P."},{"family":"Howden","given":"Benjamin P."}]}}],"schema":"https://github.com/citation-style-language/schema/raw/master/csl-citation.json"} </w:instrText>
      </w:r>
      <w:r w:rsidR="00E82B3A" w:rsidRPr="00EB6340">
        <w:rPr>
          <w:rFonts w:ascii="Times New Roman" w:hAnsi="Times New Roman" w:cs="Times New Roman"/>
        </w:rPr>
        <w:fldChar w:fldCharType="separate"/>
      </w:r>
      <w:r w:rsidR="00221E32" w:rsidRPr="00221E32">
        <w:rPr>
          <w:rFonts w:ascii="Times New Roman" w:hAnsi="Times New Roman" w:cs="Times New Roman"/>
        </w:rPr>
        <w:t>[27]</w:t>
      </w:r>
      <w:r w:rsidR="00E82B3A" w:rsidRPr="00EB6340">
        <w:rPr>
          <w:rFonts w:ascii="Times New Roman" w:hAnsi="Times New Roman" w:cs="Times New Roman"/>
        </w:rPr>
        <w:fldChar w:fldCharType="end"/>
      </w:r>
      <w:r w:rsidRPr="00EB6340">
        <w:rPr>
          <w:rFonts w:ascii="Times New Roman" w:hAnsi="Times New Roman" w:cs="Times New Roman"/>
        </w:rPr>
        <w:t>.</w:t>
      </w:r>
    </w:p>
    <w:p w:rsidR="0059639A" w:rsidRPr="00EB6340" w:rsidRDefault="00F54D3F" w:rsidP="0059639A">
      <w:pPr>
        <w:rPr>
          <w:rFonts w:ascii="Times New Roman" w:hAnsi="Times New Roman" w:cs="Times New Roman"/>
          <w:b/>
          <w:bCs/>
        </w:rPr>
      </w:pPr>
      <w:r>
        <w:rPr>
          <w:rFonts w:ascii="Times New Roman" w:hAnsi="Times New Roman" w:cs="Times New Roman"/>
          <w:b/>
          <w:bCs/>
        </w:rPr>
        <w:t>7</w:t>
      </w:r>
      <w:r w:rsidR="0059639A" w:rsidRPr="00EB6340">
        <w:rPr>
          <w:rFonts w:ascii="Times New Roman" w:hAnsi="Times New Roman" w:cs="Times New Roman"/>
          <w:b/>
          <w:bCs/>
        </w:rPr>
        <w:t>. Conclusion</w:t>
      </w:r>
    </w:p>
    <w:p w:rsidR="0059639A" w:rsidRPr="00EB6340" w:rsidRDefault="0059639A" w:rsidP="0059639A">
      <w:pPr>
        <w:rPr>
          <w:rFonts w:ascii="Times New Roman" w:hAnsi="Times New Roman" w:cs="Times New Roman"/>
        </w:rPr>
      </w:pPr>
      <w:r w:rsidRPr="00EB6340">
        <w:rPr>
          <w:rFonts w:ascii="Times New Roman" w:hAnsi="Times New Roman" w:cs="Times New Roman"/>
        </w:rPr>
        <w:lastRenderedPageBreak/>
        <w:t xml:space="preserve">Growing evidence of anthelmintic resistance in human helminths highlights the need for a deeper understanding of the genetic markers and molecular pathways that underlie reduced drug susceptibility. Mutations in β-tubulin, alterations in ligand-gated ion channels, upregulation of efflux transporters, and shifts in metabolic and regulatory networks collectively demonstrate that resistance is a multifaceted phenomenon shaped by complex biological interactions. These insights underscore the urgent need for </w:t>
      </w:r>
      <w:r w:rsidRPr="00EB6340">
        <w:rPr>
          <w:rFonts w:ascii="Times New Roman" w:hAnsi="Times New Roman" w:cs="Times New Roman"/>
          <w:b/>
          <w:bCs/>
        </w:rPr>
        <w:t>coordinated global surveillance</w:t>
      </w:r>
      <w:r w:rsidRPr="00EB6340">
        <w:rPr>
          <w:rFonts w:ascii="Times New Roman" w:hAnsi="Times New Roman" w:cs="Times New Roman"/>
        </w:rPr>
        <w:t xml:space="preserve"> capable of detecting early molecular signals of resistance before widespread treatment failure occurs. Robust genomic monitoring systems, integrated with epidemiological data, will be essential for guiding adaptive responses in regions heavily reliant on mass drug administration.</w:t>
      </w:r>
    </w:p>
    <w:p w:rsidR="0059639A" w:rsidRDefault="0059639A" w:rsidP="0059639A">
      <w:pPr>
        <w:rPr>
          <w:rFonts w:ascii="Times New Roman" w:hAnsi="Times New Roman" w:cs="Times New Roman"/>
        </w:rPr>
      </w:pPr>
      <w:r w:rsidRPr="00EB6340">
        <w:rPr>
          <w:rFonts w:ascii="Times New Roman" w:hAnsi="Times New Roman" w:cs="Times New Roman"/>
        </w:rPr>
        <w:t xml:space="preserve">Incorporating molecular knowledge into </w:t>
      </w:r>
      <w:r w:rsidRPr="00EB6340">
        <w:rPr>
          <w:rFonts w:ascii="Times New Roman" w:hAnsi="Times New Roman" w:cs="Times New Roman"/>
          <w:b/>
          <w:bCs/>
        </w:rPr>
        <w:t>drug-policy and control strategies</w:t>
      </w:r>
      <w:r w:rsidRPr="00EB6340">
        <w:rPr>
          <w:rFonts w:ascii="Times New Roman" w:hAnsi="Times New Roman" w:cs="Times New Roman"/>
        </w:rPr>
        <w:t xml:space="preserve"> can help optimize treatment regimens, inform the development of diagnostic tools, and support evidence-based stewardship of existing anthelmintics. As genomic technologies advance and global cooperation strengthens, harnessing these molecular insights will be critical for sustaining the long-term effectiveness of helminth control programs and safeguarding vulnerable populations worldwide.</w:t>
      </w:r>
    </w:p>
    <w:p w:rsidR="00E34D38" w:rsidRPr="00E34D38" w:rsidRDefault="00E34D38" w:rsidP="00E34D38">
      <w:pPr>
        <w:rPr>
          <w:rFonts w:ascii="Times New Roman" w:hAnsi="Times New Roman" w:cs="Times New Roman"/>
        </w:rPr>
      </w:pPr>
      <w:r w:rsidRPr="00E34D38">
        <w:rPr>
          <w:rFonts w:ascii="Times New Roman" w:hAnsi="Times New Roman" w:cs="Times New Roman"/>
          <w:i/>
          <w:iCs/>
        </w:rPr>
        <w:t>Embedding molecular resistance markers into routine surveillance frameworks will be critical for guiding evidence-based policy decisions, optimizing mass drug administration programs, and preserving the long-term effectiveness of existing anthelmintics.</w:t>
      </w:r>
    </w:p>
    <w:p w:rsidR="00E34D38" w:rsidRDefault="00E34D38" w:rsidP="0059639A">
      <w:pPr>
        <w:rPr>
          <w:rFonts w:ascii="Times New Roman" w:hAnsi="Times New Roman" w:cs="Times New Roman"/>
        </w:rPr>
      </w:pPr>
    </w:p>
    <w:p w:rsidR="006444E0" w:rsidRDefault="006444E0" w:rsidP="0059639A">
      <w:pPr>
        <w:rPr>
          <w:rFonts w:ascii="Times New Roman" w:hAnsi="Times New Roman" w:cs="Times New Roman"/>
        </w:rPr>
      </w:pPr>
    </w:p>
    <w:p w:rsidR="006444E0" w:rsidRPr="00EB6340" w:rsidRDefault="00F54D3F" w:rsidP="006444E0">
      <w:pPr>
        <w:rPr>
          <w:rFonts w:ascii="Times New Roman" w:hAnsi="Times New Roman" w:cs="Times New Roman"/>
          <w:b/>
          <w:bCs/>
        </w:rPr>
      </w:pPr>
      <w:r>
        <w:rPr>
          <w:rFonts w:ascii="Times New Roman" w:hAnsi="Times New Roman" w:cs="Times New Roman"/>
          <w:b/>
          <w:bCs/>
        </w:rPr>
        <w:t>8</w:t>
      </w:r>
      <w:r w:rsidR="006444E0" w:rsidRPr="00EB6340">
        <w:rPr>
          <w:rFonts w:ascii="Times New Roman" w:hAnsi="Times New Roman" w:cs="Times New Roman"/>
          <w:b/>
          <w:bCs/>
        </w:rPr>
        <w:t>. Future Directions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Future progress in understanding and mitigating anthelmintic resistance will depend on expanding the genomic and epidemiological foundations that support resistance research and surveillance. A key priority is </w:t>
      </w:r>
      <w:r w:rsidRPr="00EB6340">
        <w:rPr>
          <w:rFonts w:ascii="Times New Roman" w:hAnsi="Times New Roman" w:cs="Times New Roman"/>
          <w:b/>
          <w:bCs/>
        </w:rPr>
        <w:t>filling genomic data gaps for neglected human helminth species</w:t>
      </w:r>
      <w:r w:rsidRPr="00EB6340">
        <w:rPr>
          <w:rFonts w:ascii="Times New Roman" w:hAnsi="Times New Roman" w:cs="Times New Roman"/>
        </w:rPr>
        <w:t>, many of which currently lack high-quality reference genomes or sufficient population-level sequence data. Improved genomic resources will allow more robust comparative analyses and enhance the detection of resistance-associated variants</w:t>
      </w:r>
      <w:r w:rsidR="0087183A">
        <w:rPr>
          <w:rFonts w:ascii="Times New Roman" w:hAnsi="Times New Roman" w:cs="Times New Roman"/>
        </w:rPr>
        <w:t>.</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{"citationID":"bHnSREHz","properties":{"formattedCitation":"[28]","plainCitation":"[28]","noteIndex":0},"citationItems":[{"id":11347,"uris":["http://zotero.org/users/16652950/items/3H7EMJZ3"],"itemData":{"id":11347,"type":"article-journal","abstract":"The disease progression and pathogenesis of endocrine and gynaecological cancers rely heavily on hormonal mechanisms that control cell growth while determining differentiation and metabolic functions. Scientific research has proven extensive studies of hormonal signalling in cancer development by describing the effects of estrogen and progesterone hormones alongside androgens and other endocrine substances on cellular growth and genome instability. Endocrine cancers including thyroid and adrenal cancers, show uncontrolled cell development because feedback regulators and gene mutations cause dysregulation. The hormonal imbalances resulting from early menarche alongside late menopause and hormonal replacement therapy emerge as primary drivers of tumorigenesis in gynaecological cancers including ovarian cancer, cervical cancer, and uterine cancer. New findings demonstrate that signals transmitted via hormones impact cancer cell metastasis while influencing treatment response inside cancer cell habitats. New therapies using anti-oestrogen medication and androgen-deprivation treatments show strong potential to combat cancer effectively. Regarding hormone-driven carcinogenesis, we face limitations in our understanding of molecular mechanisms and our ability to optimize hormone-based therapeutic approaches. This review investigates the complex contributions of hormones to both endocrine and gynaecological cancers while presenting their clinical value for developing future innovative therapeutic approaches. However, current hormone-based therapies present limitations such as resistance and non-specific targeting. Future research should focus on novel biomarkers and personalized treatment approaches.","container-title":"International Journal of Advanced Biological and Biomedical Research","DOI":"10.48309/ijabbr.2025.2056347.1585","ISSN":"2383-2762","issue":"5","language":"en","note":"publisher: Sami Publishing Company","page":"573-603","source":"www.ijabbr.com","title":"The Role of Hormones in the Onset and Progression of Endocrine and Gynaecological Cancers","volume":"13","author":[{"family":"Yussuf","given":"Mubaraq D."},{"family":"Umeh","given":"Ikechukwu Emmanuel"},{"family":"Kolawole","given":"Habib Olaniran"},{"family":"Adisa","given":"Ayobami Abdul Razak"},{"family":"Ashimi","given":"Abdullah Aderemi"},{"family":"Oladosu","given":"Michael Abimbola"},{"family":"Ebubechi","given":"Daniel Obasi"},{"family":"Olumide","given":"Mololuwa Kehinde"},{"family":"Ayo-ige","given":"Ayodele Blessing"}],"issued":{"date-parts":[["2025",6,18]]}}}],"schema":"https://github.com/citation-style-language/schema/raw/master/csl-citation.json"}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[28]</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F54D3F" w:rsidP="006444E0">
      <w:pPr>
        <w:rPr>
          <w:rFonts w:ascii="Times New Roman" w:hAnsi="Times New Roman" w:cs="Times New Roman"/>
          <w:b/>
          <w:bCs/>
        </w:rPr>
      </w:pPr>
      <w:r>
        <w:rPr>
          <w:rFonts w:ascii="Times New Roman" w:hAnsi="Times New Roman" w:cs="Times New Roman"/>
          <w:b/>
          <w:bCs/>
        </w:rPr>
        <w:t>8</w:t>
      </w:r>
      <w:r w:rsidR="006444E0" w:rsidRPr="00EB6340">
        <w:rPr>
          <w:rFonts w:ascii="Times New Roman" w:hAnsi="Times New Roman" w:cs="Times New Roman"/>
          <w:b/>
          <w:bCs/>
        </w:rPr>
        <w:t>.2 Expanding Global Surveillance Networks in Endemic Regions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Building </w:t>
      </w:r>
      <w:r w:rsidRPr="00EB6340">
        <w:rPr>
          <w:rFonts w:ascii="Times New Roman" w:hAnsi="Times New Roman" w:cs="Times New Roman"/>
          <w:b/>
          <w:bCs/>
        </w:rPr>
        <w:t>comprehensive surveillance systems</w:t>
      </w:r>
      <w:r w:rsidRPr="00EB6340">
        <w:rPr>
          <w:rFonts w:ascii="Times New Roman" w:hAnsi="Times New Roman" w:cs="Times New Roman"/>
        </w:rPr>
        <w:t xml:space="preserve"> in regions where helminth infections are most prevalent will be essential for tracking the emergence and spread of resistance. Coordinated international networks can facilitate standardized sampling, data sharing, and rapid response to early warning signals.</w:t>
      </w:r>
    </w:p>
    <w:p w:rsidR="006444E0" w:rsidRPr="00EB6340" w:rsidRDefault="00F54D3F" w:rsidP="006444E0">
      <w:pPr>
        <w:rPr>
          <w:rFonts w:ascii="Times New Roman" w:hAnsi="Times New Roman" w:cs="Times New Roman"/>
          <w:b/>
          <w:bCs/>
        </w:rPr>
      </w:pPr>
      <w:r>
        <w:rPr>
          <w:rFonts w:ascii="Times New Roman" w:hAnsi="Times New Roman" w:cs="Times New Roman"/>
          <w:b/>
          <w:bCs/>
        </w:rPr>
        <w:t>8</w:t>
      </w:r>
      <w:r w:rsidR="006444E0" w:rsidRPr="00EB6340">
        <w:rPr>
          <w:rFonts w:ascii="Times New Roman" w:hAnsi="Times New Roman" w:cs="Times New Roman"/>
          <w:b/>
          <w:bCs/>
        </w:rPr>
        <w:t>.3 Standardizing Genetic Markers for Resistance Reporting</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To ensure comparability across studies, the field must work toward </w:t>
      </w:r>
      <w:r w:rsidRPr="00EB6340">
        <w:rPr>
          <w:rFonts w:ascii="Times New Roman" w:hAnsi="Times New Roman" w:cs="Times New Roman"/>
          <w:b/>
          <w:bCs/>
        </w:rPr>
        <w:t>harmonized frameworks</w:t>
      </w:r>
      <w:r w:rsidRPr="00EB6340">
        <w:rPr>
          <w:rFonts w:ascii="Times New Roman" w:hAnsi="Times New Roman" w:cs="Times New Roman"/>
        </w:rPr>
        <w:t xml:space="preserve"> for defining and reporting genetic markers of resistance. This includes establishing consensus on </w:t>
      </w:r>
      <w:r w:rsidRPr="00EB6340">
        <w:rPr>
          <w:rFonts w:ascii="Times New Roman" w:hAnsi="Times New Roman" w:cs="Times New Roman"/>
        </w:rPr>
        <w:lastRenderedPageBreak/>
        <w:t>which mutations represent validated markers, how evidence levels should be classified, and how allele frequency data should be interpreted in public health contexts</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{"citationID":"UhxEmhMO","properties":{"formattedCitation":"[29]","plainCitation":"[29]","noteIndex":0},"citationItems":[{"id":11285,"uris":["http://zotero.org/users/16652950/items/CUK8F6VT"],"itemData":{"id":11285,"type":"article-journal","abstract":"Antimicrobial resistance (AMR) poses a critical threat to global health, undermining the efficacy of modern medicine. The escalating global epidemic of AMR jeopardizes the efficacy of contemporary medicine and undermines health systems globally. The swift, precise, and scalable identification of resistance determinants is essential for containment and stewardship initiatives; yet, existing surveillance techniques are constrained by time, expense, and accessibility. Recent advancements in biosensor technology and artificial intelligence (AI) provide a revolutionary approach to decentralized, intelligent AMR monitoring. This review consolidates recent advancements in biosensor platforms-encompassing electrochemical, optical, piezoelectric, paper-based, and nanomaterial-based modalities-and their incorporation with AI and machine learning techniques for improved detection, signal interpretation, and predictive analytics. This study investigates the utilization of hybrid systems in clinical, veterinary, and environmental settings under the One Health surveillance framework. The research also examines the integration of AI-enabled biosensors within digital and Internet of Things (IoT) frameworks, emphasizing its capacity to produce real-time, data-intensive insights for public health decision-making. Critical analysis is conducted on key problems, including sensor repeatability, data scarcity, algorithmic transparency, and regulatory adaptation, in conjunction with socioeconomic and ethical considerations. The report delineates prospective avenues for research, policy, and implementation, highlighting open data standards, equitable access, and interdisciplinary collaboration. These breakthroughs collectively indicate the emergence of AI-driven biosensing networks, which provide predictive, adaptive, and globally coordinated AMR surveillance.","container-title":"Cureus","DOI":"10.7759/cureus.98098","ISSN":"2168-8184","language":"en","note":"publisher: Cureus","source":"www.cureus.com","title":"Artificial Intelligence-Integrated Biosensors for Antimicrobial Resistance Detection and Surveillance: A Review and Future Perspectives for Global Biosecurity","title-short":"Artificial Intelligence-Integrated Biosensors for Antimicrobial Resistance Detection and Surveillance","URL":"https://cureus.com/articles/433730-artificial-intelligence-integrated-biosensors-for-antimicrobial-resistance-detection-and-surveillance-a-review-and-future-perspectives-for-global-biosecurity","volume":"17","author":[{"family":"Lawal","given":"Olabisi P."},{"family":"Opara","given":"Innocent J."},{"family":"Ayo-ige","given":"Ayodele"},{"family":"Eboh","given":"Ndidi A."},{"family":"Cos-Ibe","given":"Uchechukwu"},{"family":"Forson","given":"Kwesi Akonu Adom Mensah"},{"family":"Mensah","given":"Elijah Kordieh"},{"family":"Olaitan","given":"Ololade F."},{"family":"Nii-Okai","given":"Enoch"},{"family":"Yeboah","given":"Alfred"},{"family":"Gabriels","given":"Nazeem"},{"family":"Olaniyi","given":"Aliyu O."},{"family":"Lawal","given":"Olabisi P."},{"family":"Opara","given":"Innocent J."},{"family":"Ayo-ige","given":"Ayodele"},{"family":"Eboh","given":"Firstname A."},{"family":"Cos-Ibe","given":"Uchechukwu"},{"family":"Forson","given":"Kwesi"},{"family":"Mensah","given":"Elijah Kordieh"},{"family":"Olaitan","given":"Ololade F."},{"family":"Nii-Okai","given":"Enoch"},{"family":"Yeboah","given":"Alfred"},{"family":"Gabriels","given":"Nazeem"},{"family":"Olaniyi","given":"Aliyu O."}],"accessed":{"date-parts":[["2025",12,3]]},"issued":{"date-parts":[["2025",11,29]]}}}],"schema":"https://github.com/citation-style-language/schema/raw/master/csl-citation.json"}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[29]</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F54D3F" w:rsidP="006444E0">
      <w:pPr>
        <w:rPr>
          <w:rFonts w:ascii="Times New Roman" w:hAnsi="Times New Roman" w:cs="Times New Roman"/>
          <w:b/>
          <w:bCs/>
        </w:rPr>
      </w:pPr>
      <w:r>
        <w:rPr>
          <w:rFonts w:ascii="Times New Roman" w:hAnsi="Times New Roman" w:cs="Times New Roman"/>
          <w:b/>
          <w:bCs/>
        </w:rPr>
        <w:t>8</w:t>
      </w:r>
      <w:r w:rsidR="006444E0" w:rsidRPr="00EB6340">
        <w:rPr>
          <w:rFonts w:ascii="Times New Roman" w:hAnsi="Times New Roman" w:cs="Times New Roman"/>
          <w:b/>
          <w:bCs/>
        </w:rPr>
        <w:t>.4 Emerging Technologies</w:t>
      </w:r>
    </w:p>
    <w:p w:rsidR="006444E0" w:rsidRPr="00EB6340" w:rsidRDefault="006444E0" w:rsidP="006444E0">
      <w:pPr>
        <w:rPr>
          <w:rFonts w:ascii="Times New Roman" w:hAnsi="Times New Roman" w:cs="Times New Roman"/>
        </w:rPr>
      </w:pPr>
      <w:r w:rsidRPr="00EB6340">
        <w:rPr>
          <w:rFonts w:ascii="Times New Roman" w:hAnsi="Times New Roman" w:cs="Times New Roman"/>
        </w:rPr>
        <w:t xml:space="preserve">Technological advances such as </w:t>
      </w:r>
      <w:r w:rsidRPr="00EB6340">
        <w:rPr>
          <w:rFonts w:ascii="Times New Roman" w:hAnsi="Times New Roman" w:cs="Times New Roman"/>
          <w:b/>
          <w:bCs/>
        </w:rPr>
        <w:t>AI-guided target identification</w:t>
      </w:r>
      <w:r w:rsidRPr="00EB6340">
        <w:rPr>
          <w:rFonts w:ascii="Times New Roman" w:hAnsi="Times New Roman" w:cs="Times New Roman"/>
        </w:rPr>
        <w:t xml:space="preserve">, </w:t>
      </w:r>
      <w:r w:rsidRPr="00EB6340">
        <w:rPr>
          <w:rFonts w:ascii="Times New Roman" w:hAnsi="Times New Roman" w:cs="Times New Roman"/>
          <w:b/>
          <w:bCs/>
        </w:rPr>
        <w:t>long-read sequencing</w:t>
      </w:r>
      <w:r w:rsidRPr="00EB6340">
        <w:rPr>
          <w:rFonts w:ascii="Times New Roman" w:hAnsi="Times New Roman" w:cs="Times New Roman"/>
        </w:rPr>
        <w:t xml:space="preserve">, and improved annotation pipelines hold promise for accelerating </w:t>
      </w:r>
      <w:r w:rsidR="0087183A">
        <w:rPr>
          <w:rFonts w:ascii="Times New Roman" w:hAnsi="Times New Roman" w:cs="Times New Roman"/>
        </w:rPr>
        <w:t xml:space="preserve">the </w:t>
      </w:r>
      <w:r w:rsidRPr="00EB6340">
        <w:rPr>
          <w:rFonts w:ascii="Times New Roman" w:hAnsi="Times New Roman" w:cs="Times New Roman"/>
        </w:rPr>
        <w:t>discovery and characterization of resistance pathways. These tools may uncover previously unrecognized molecular targets and provide deeper insight into helminth population structure and evolution</w:t>
      </w:r>
      <w:r w:rsidR="0087183A">
        <w:rPr>
          <w:rFonts w:ascii="Times New Roman" w:hAnsi="Times New Roman" w:cs="Times New Roman"/>
        </w:rPr>
        <w:t>.</w:t>
      </w:r>
      <w:r w:rsidR="00E82B3A" w:rsidRPr="00EB6340">
        <w:rPr>
          <w:rFonts w:ascii="Times New Roman" w:hAnsi="Times New Roman" w:cs="Times New Roman"/>
        </w:rPr>
        <w:fldChar w:fldCharType="begin"/>
      </w:r>
      <w:r>
        <w:rPr>
          <w:rFonts w:ascii="Times New Roman" w:hAnsi="Times New Roman" w:cs="Times New Roman"/>
        </w:rPr>
        <w:instrText xml:space="preserve"> ADDIN ZOTERO_ITEM CSL_CITATION {"citationID":"4abP4atx","properties":{"formattedCitation":"[30,31]","plainCitation":"[30,31]","noteIndex":0},"citationItems":[{"id":11022,"uris":["http://zotero.org/users/16652950/items/8X6GU735"],"itemData":{"id":11022,"type":"article-journal","abstract":"This review evaluates the potential of Black Soldier Fly Meal (BSFM) as a sustainable alternative to fishmeal in the diets of rainbow trout (Oncorhynchus mykiss), a key species in global aquaculture. The objective is to assess the effects of BSFM on trout growth, nutrient utilization, and its environmental sustainability, as compared to traditional fishmeal. A comprehensive literature synthesis was conducted, focusing on studies published from 2019 to 2025, covering BSFM’s nutritional composition, growth performance, and its environmental impact through Life Cycle Assessment (LCA). Key findings indicate that BSFM can effectively support growth in rainbow trout, with up to 50% fishmeal replacement showing comparable or improved growth performance. Nutritionally, BSFM is rich in protein, amino acids, and essential fatty acids, though supplementation with methionine and omega-3 fatty acids may be necessary. LCA results reveal that BSFM production significantly reduces greenhouse gas emissions, water usage, and land requirements compared to conventional fishmeal. In conclusion, BSFM represents a promising, environmentally sustainable protein source for rainbow trout aquaculture, although further research on optimal inclusion rates, long-term effects, and regulatory approval is needed for broader commercial adoption.","container-title":"Journal of Agriculture, Aquaculture, and Animal Science","DOI":"10.69739/jaaas.v2i2.1054","ISSN":"3079-2533","issue":"2","language":"en","license":"Copyright (c) 2025 Taofeek Saka Jimoh, Elijah Kordieh Mensah, Toheeb Olaniyi Falakin, AyoIge Ayodele Blessing (Author)","page":"103-111","source":"journals.stecab.com","title":"Black Soldier Fly Meal as a Sustainable Alternative to Fishmeal in Rainbow Trout: Impacts on Growth, Nutrient Utilization, and Sustainability","title-short":"Black Soldier Fly Meal as a Sustainable Alternative to Fishmeal in Rainbow Trout","volume":"2","author":[{"family":"Jimoh","given":"Taofeek Saka"},{"family":"Mensah","given":"Elijah Kordieh"},{"family":"Falakin","given":"Toheeb Olaniyi"},{"family":"Blessing","given":"AyoIge Ayodele"}],"issued":{"date-parts":[["2025",10,15]]}}},{"id":11356,"uris":["http://zotero.org/users/16652950/items/RJH8IM84"],"itemData":{"id":11356,"type":"article-journal","abstract":"This research review examines the transformative role of artificial intelligence in infectious disease forecasting and public health decision support systems. Through analysis of current implementations, technological frameworks, and operational outcomes, this study evaluates the impact of AI-driven solutions on public health management. The research reveals significant advances in three key areas: predictive modeling accuracy, real-time surveillance capabilities, and automated decision support systems. Notable findings include the successful integration of machine learning algorithms for outbreak prediction, the effective use of natural language processing in early warning systems, and the development of AI-driven resource allocation models. The study highlights critical factors for successful implementation, including data quality, ethical considerations, and system interoperability. Implementation challenges identified include data standardization issues, privacy concerns, and the need for specialized training. The findings suggest that strategic integration of AI technologies could substantially improve public health response capabilities while enhancing the efficiency of resource allocation during disease outbreaks. This research provides valuable insights for public health organizations seeking to leverage AI technologies in their disease surveillance and response systems.","container-title":"World Journal of Advanced Research and Reviews","DOI":"10.30574/wjarr.2025.25.3.1002","ISSN":"25819615","issue":"3","journalAbbreviation":"World J. Adv. Res. Rev.","language":"en","page":"2250-2258","source":"DOI.org (Crossref)","title":"Transformative applications of Artificial Intelligence in infectious disease forecasting and public health decision support systems","volume":"25","author":[{"literal":"Lauretta Ekanem Omale"},{"literal":"Victor Akachukwu Ibiam"},{"literal":"Lasisi Wuraola Sidikat"},{"literal":"Oladimeji Taiwo"}],"issued":{"date-parts":[["2025",3,30]]}}}],"schema":"https://github.com/citation-style-language/schema/raw/master/csl-citation.json"} </w:instrText>
      </w:r>
      <w:r w:rsidR="00E82B3A" w:rsidRPr="00EB6340">
        <w:rPr>
          <w:rFonts w:ascii="Times New Roman" w:hAnsi="Times New Roman" w:cs="Times New Roman"/>
        </w:rPr>
        <w:fldChar w:fldCharType="separate"/>
      </w:r>
      <w:r w:rsidRPr="00221E32">
        <w:rPr>
          <w:rFonts w:ascii="Times New Roman" w:hAnsi="Times New Roman" w:cs="Times New Roman"/>
        </w:rPr>
        <w:t>[30,31]</w:t>
      </w:r>
      <w:r w:rsidR="00E82B3A" w:rsidRPr="00EB6340">
        <w:rPr>
          <w:rFonts w:ascii="Times New Roman" w:hAnsi="Times New Roman" w:cs="Times New Roman"/>
        </w:rPr>
        <w:fldChar w:fldCharType="end"/>
      </w:r>
      <w:r w:rsidRPr="00EB6340">
        <w:rPr>
          <w:rFonts w:ascii="Times New Roman" w:hAnsi="Times New Roman" w:cs="Times New Roman"/>
        </w:rPr>
        <w:t>.</w:t>
      </w:r>
    </w:p>
    <w:p w:rsidR="006444E0" w:rsidRPr="00EB6340" w:rsidRDefault="00F54D3F" w:rsidP="006444E0">
      <w:pPr>
        <w:rPr>
          <w:rFonts w:ascii="Times New Roman" w:hAnsi="Times New Roman" w:cs="Times New Roman"/>
          <w:b/>
          <w:bCs/>
        </w:rPr>
      </w:pPr>
      <w:r>
        <w:rPr>
          <w:rFonts w:ascii="Times New Roman" w:hAnsi="Times New Roman" w:cs="Times New Roman"/>
          <w:b/>
          <w:bCs/>
        </w:rPr>
        <w:t>8</w:t>
      </w:r>
      <w:r w:rsidR="006444E0" w:rsidRPr="00EB6340">
        <w:rPr>
          <w:rFonts w:ascii="Times New Roman" w:hAnsi="Times New Roman" w:cs="Times New Roman"/>
          <w:b/>
          <w:bCs/>
        </w:rPr>
        <w:t>.5 Moving Toward Precision Anthelmintic Stewardship</w:t>
      </w:r>
    </w:p>
    <w:p w:rsidR="006444E0" w:rsidRDefault="006444E0" w:rsidP="006444E0">
      <w:pPr>
        <w:rPr>
          <w:rFonts w:ascii="Times New Roman" w:hAnsi="Times New Roman" w:cs="Times New Roman"/>
        </w:rPr>
      </w:pPr>
      <w:r w:rsidRPr="00EB6340">
        <w:rPr>
          <w:rFonts w:ascii="Times New Roman" w:hAnsi="Times New Roman" w:cs="Times New Roman"/>
        </w:rPr>
        <w:t xml:space="preserve">Ultimately, integrating molecular insights with treatment strategies may enable </w:t>
      </w:r>
      <w:r w:rsidRPr="00EB6340">
        <w:rPr>
          <w:rFonts w:ascii="Times New Roman" w:hAnsi="Times New Roman" w:cs="Times New Roman"/>
          <w:b/>
          <w:bCs/>
        </w:rPr>
        <w:t>precision anthelmintic stewardship</w:t>
      </w:r>
      <w:r w:rsidRPr="00EB6340">
        <w:rPr>
          <w:rFonts w:ascii="Times New Roman" w:hAnsi="Times New Roman" w:cs="Times New Roman"/>
        </w:rPr>
        <w:t>, where interventions are tailored to local parasite populations, resistance patterns, and transmission dynamics. Such an approach could maximize drug effectiveness, slow resistance evolution, and improve the sustainability of helminth control efforts</w:t>
      </w:r>
      <w:r w:rsidR="0087183A">
        <w:rPr>
          <w:rFonts w:ascii="Times New Roman" w:hAnsi="Times New Roman" w:cs="Times New Roman"/>
        </w:rPr>
        <w:t>.</w:t>
      </w:r>
      <w:r w:rsidR="00E82B3A">
        <w:rPr>
          <w:rFonts w:ascii="Times New Roman" w:hAnsi="Times New Roman" w:cs="Times New Roman"/>
        </w:rPr>
        <w:fldChar w:fldCharType="begin"/>
      </w:r>
      <w:r>
        <w:rPr>
          <w:rFonts w:ascii="Times New Roman" w:hAnsi="Times New Roman" w:cs="Times New Roman"/>
        </w:rPr>
        <w:instrText xml:space="preserve"> ADDIN ZOTERO_ITEM CSL_CITATION {"citationID":"HR3whqy9","properties":{"formattedCitation":"[32]","plainCitation":"[32]","noteIndex":0},"citationItems":[{"id":11358,"uris":["http://zotero.org/users/16652950/items/GTQM5J2S"],"itemData":{"id":11358,"type":"article-journal","abstract":"Artificial intelligence is revolutionizing infectious disease management through innovative approaches to diagnosis, treatment optimization, and epidemiological surveillance. This systematic review examines AI applications in clinical decision support systems, evaluating their implementation across diverse healthcare settings while identifying critical adoption barriers. Recent advancements demonstrate remarkable success in rapid pathogen identification, early warning systems for conditions like sepsis, and personalized antimicrobial selection based on local resistance patterns. Despite these promising developments, significant challenges persist in translating AI solutions into clinical practice, including data quality issues, implementation barriers, and ethical concerns regarding algorithmic fairness and global health equity. Looking forward, explainable AI architectures, federated learning approaches, and treatment simulation through digital twins show potential for transforming care delivery, particularly in resource-limited settings. We propose targeted recommendations across three domains: standardized validation methodologies, comprehensive stakeholder engagement strategies, and equity-centered development frameworks. Successful integration requires coordinated efforts among healthcare organizations, researchers, policymakers, and clinicians to ensure AI enhances rather than complicates clinical decision-making. With appropriate attention to technical rigor, implementation science, and ethical considerations, AI-based systems can become valuable tools in combating infectious diseases while optimizing resource utilization.","container-title":"International Journal of Science and Research Archive","DOI":"10.30574/ijsra.2025.14.3.0769","ISSN":"25828185","issue":"3","journalAbbreviation":"Int. J. Sci. Res. Arch.","language":"en","page":"1337-1347","source":"DOI.org (Crossref)","title":"The role of Artificial Intelligence models in clinical decision support for infectious disease diagnosis and personalized treatment planning","volume":"14","author":[{"literal":"Victor Akachukwu Ibiam"},{"literal":"Lauretta Ekanem Omale"},{"literal":"Oladimeji Taiwo"}],"issued":{"date-parts":[["2025",3,30]]}}}],"schema":"https://github.com/citation-style-language/schema/raw/master/csl-citation.json"} </w:instrText>
      </w:r>
      <w:r w:rsidR="00E82B3A">
        <w:rPr>
          <w:rFonts w:ascii="Times New Roman" w:hAnsi="Times New Roman" w:cs="Times New Roman"/>
        </w:rPr>
        <w:fldChar w:fldCharType="separate"/>
      </w:r>
      <w:r w:rsidRPr="00221E32">
        <w:rPr>
          <w:rFonts w:ascii="Times New Roman" w:hAnsi="Times New Roman" w:cs="Times New Roman"/>
        </w:rPr>
        <w:t>[32]</w:t>
      </w:r>
      <w:r w:rsidR="00E82B3A">
        <w:rPr>
          <w:rFonts w:ascii="Times New Roman" w:hAnsi="Times New Roman" w:cs="Times New Roman"/>
        </w:rPr>
        <w:fldChar w:fldCharType="end"/>
      </w:r>
      <w:r w:rsidRPr="00EB6340">
        <w:rPr>
          <w:rFonts w:ascii="Times New Roman" w:hAnsi="Times New Roman" w:cs="Times New Roman"/>
        </w:rPr>
        <w:t>.</w:t>
      </w:r>
    </w:p>
    <w:p w:rsidR="00D53C9C" w:rsidRPr="00D53C9C" w:rsidRDefault="00D53C9C" w:rsidP="00D53C9C">
      <w:pPr>
        <w:rPr>
          <w:rFonts w:ascii="Times New Roman" w:hAnsi="Times New Roman" w:cs="Times New Roman"/>
        </w:rPr>
      </w:pPr>
      <w:r w:rsidRPr="00D53C9C">
        <w:rPr>
          <w:rFonts w:ascii="Times New Roman" w:hAnsi="Times New Roman" w:cs="Times New Roman"/>
          <w:i/>
          <w:iCs/>
        </w:rPr>
        <w:t>Such a precision anthelmintic stewardship approach would enable policymakers and control programs to tailor interventions based on local resistance profiles, transmission intensity, and genomic surveillance data, thereby maximizing impact while minimizing selective pressure.”</w:t>
      </w:r>
    </w:p>
    <w:p w:rsidR="00D53C9C" w:rsidRDefault="00D53C9C" w:rsidP="006444E0">
      <w:pPr>
        <w:rPr>
          <w:rFonts w:ascii="Times New Roman" w:hAnsi="Times New Roman" w:cs="Times New Roman"/>
        </w:rPr>
      </w:pPr>
    </w:p>
    <w:p w:rsidR="00A8362C" w:rsidRDefault="00A8362C" w:rsidP="006444E0">
      <w:pPr>
        <w:rPr>
          <w:rFonts w:ascii="Times New Roman" w:hAnsi="Times New Roman" w:cs="Times New Roman"/>
        </w:rPr>
      </w:pPr>
    </w:p>
    <w:p w:rsidR="00181E4C" w:rsidRPr="009C5487" w:rsidRDefault="00181E4C" w:rsidP="00181E4C">
      <w:pPr>
        <w:rPr>
          <w:rFonts w:ascii="Calibri" w:eastAsia="Calibri" w:hAnsi="Calibri" w:cs="Times New Roman"/>
          <w:highlight w:val="yellow"/>
        </w:rPr>
      </w:pPr>
      <w:bookmarkStart w:id="0" w:name="_Hlk197682619"/>
      <w:bookmarkStart w:id="1" w:name="_Hlk180402183"/>
      <w:bookmarkStart w:id="2" w:name="_Hlk183680988"/>
      <w:bookmarkStart w:id="3" w:name="_Hlk197351200"/>
      <w:r w:rsidRPr="009C5487">
        <w:rPr>
          <w:rFonts w:ascii="Calibri" w:eastAsia="Calibri" w:hAnsi="Calibri" w:cs="Times New Roman"/>
          <w:highlight w:val="yellow"/>
        </w:rPr>
        <w:t>Disclaimer (Artificial intelligence)</w:t>
      </w:r>
    </w:p>
    <w:p w:rsidR="00631CB8" w:rsidRPr="004F45D8" w:rsidRDefault="00631CB8" w:rsidP="00631CB8">
      <w:pPr>
        <w:rPr>
          <w:rFonts w:ascii="Calibri" w:eastAsia="Calibri" w:hAnsi="Calibri" w:cs="Times New Roman"/>
          <w:highlight w:val="yellow"/>
        </w:rPr>
      </w:pPr>
      <w:r w:rsidRPr="004F45D8">
        <w:t>The authors declare that generative artificial intelligence tools were used solely to assist with language editing and clarity. The authors take full responsibility for the scientific content, interpretation, and conclusions presented in the manuscript.</w:t>
      </w:r>
    </w:p>
    <w:bookmarkEnd w:id="0"/>
    <w:bookmarkEnd w:id="1"/>
    <w:bookmarkEnd w:id="2"/>
    <w:bookmarkEnd w:id="3"/>
    <w:p w:rsidR="00667B58" w:rsidRPr="00667B58" w:rsidRDefault="00667B58" w:rsidP="00667B58">
      <w:pPr>
        <w:rPr>
          <w:rFonts w:ascii="Times New Roman" w:hAnsi="Times New Roman" w:cs="Times New Roman"/>
          <w:b/>
          <w:bCs/>
        </w:rPr>
      </w:pPr>
      <w:r w:rsidRPr="00667B58">
        <w:rPr>
          <w:rFonts w:ascii="Times New Roman" w:hAnsi="Times New Roman" w:cs="Times New Roman"/>
          <w:b/>
          <w:bCs/>
        </w:rPr>
        <w:t xml:space="preserve">REFERENCES </w:t>
      </w:r>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Usang, A. U., </w:t>
      </w:r>
      <w:proofErr w:type="spellStart"/>
      <w:r w:rsidRPr="00667B58">
        <w:rPr>
          <w:rFonts w:ascii="Times New Roman" w:hAnsi="Times New Roman" w:cs="Times New Roman"/>
        </w:rPr>
        <w:t>Imalele</w:t>
      </w:r>
      <w:proofErr w:type="spellEnd"/>
      <w:r w:rsidRPr="00667B58">
        <w:rPr>
          <w:rFonts w:ascii="Times New Roman" w:hAnsi="Times New Roman" w:cs="Times New Roman"/>
        </w:rPr>
        <w:t xml:space="preserve">, E. E., </w:t>
      </w:r>
      <w:proofErr w:type="spellStart"/>
      <w:r w:rsidRPr="00667B58">
        <w:rPr>
          <w:rFonts w:ascii="Times New Roman" w:hAnsi="Times New Roman" w:cs="Times New Roman"/>
        </w:rPr>
        <w:t>Effanga</w:t>
      </w:r>
      <w:proofErr w:type="spellEnd"/>
      <w:r w:rsidRPr="00667B58">
        <w:rPr>
          <w:rFonts w:ascii="Times New Roman" w:hAnsi="Times New Roman" w:cs="Times New Roman"/>
        </w:rPr>
        <w:t xml:space="preserve">, E. O., </w:t>
      </w:r>
      <w:proofErr w:type="spellStart"/>
      <w:r w:rsidRPr="00667B58">
        <w:rPr>
          <w:rFonts w:ascii="Times New Roman" w:hAnsi="Times New Roman" w:cs="Times New Roman"/>
        </w:rPr>
        <w:t>Ukoha</w:t>
      </w:r>
      <w:proofErr w:type="spellEnd"/>
      <w:r w:rsidRPr="00667B58">
        <w:rPr>
          <w:rFonts w:ascii="Times New Roman" w:hAnsi="Times New Roman" w:cs="Times New Roman"/>
        </w:rPr>
        <w:t xml:space="preserve">, U. K., &amp; Eleng, I. E. (2025). Soil-transmitted helminth infections and nutritional indices among children (5–9 years) and adolescents (10–12 years) in Calabar, Nigeria. </w:t>
      </w:r>
      <w:r w:rsidRPr="00667B58">
        <w:rPr>
          <w:rFonts w:ascii="Times New Roman" w:hAnsi="Times New Roman" w:cs="Times New Roman"/>
          <w:i/>
          <w:iCs/>
        </w:rPr>
        <w:t>BMC Public Health, 25</w:t>
      </w:r>
      <w:r w:rsidRPr="00667B58">
        <w:rPr>
          <w:rFonts w:ascii="Times New Roman" w:hAnsi="Times New Roman" w:cs="Times New Roman"/>
        </w:rPr>
        <w:t>(1), 1.</w:t>
      </w:r>
      <w:hyperlink r:id="rId9" w:history="1">
        <w:r w:rsidR="007B4A17" w:rsidRPr="00F534ED">
          <w:rPr>
            <w:rStyle w:val="Hyperlink"/>
            <w:rFonts w:ascii="Times New Roman" w:hAnsi="Times New Roman" w:cs="Times New Roman"/>
          </w:rPr>
          <w:t>https://doi.org/10.1186/s12889-024-21210-4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Schlosser-Brandenburg, J., Midha, A., Mugo, R. M., </w:t>
      </w:r>
      <w:proofErr w:type="spellStart"/>
      <w:r w:rsidRPr="00667B58">
        <w:rPr>
          <w:rFonts w:ascii="Times New Roman" w:hAnsi="Times New Roman" w:cs="Times New Roman"/>
        </w:rPr>
        <w:t>Ndombi</w:t>
      </w:r>
      <w:proofErr w:type="spellEnd"/>
      <w:r w:rsidRPr="00667B58">
        <w:rPr>
          <w:rFonts w:ascii="Times New Roman" w:hAnsi="Times New Roman" w:cs="Times New Roman"/>
        </w:rPr>
        <w:t xml:space="preserve">, E. M., Gachara, G., </w:t>
      </w:r>
      <w:proofErr w:type="spellStart"/>
      <w:r w:rsidRPr="00667B58">
        <w:rPr>
          <w:rFonts w:ascii="Times New Roman" w:hAnsi="Times New Roman" w:cs="Times New Roman"/>
        </w:rPr>
        <w:t>Njomo</w:t>
      </w:r>
      <w:proofErr w:type="spellEnd"/>
      <w:r w:rsidRPr="00667B58">
        <w:rPr>
          <w:rFonts w:ascii="Times New Roman" w:hAnsi="Times New Roman" w:cs="Times New Roman"/>
        </w:rPr>
        <w:t xml:space="preserve">, D., Rausch, S., &amp; Hartmann, S. (2023). Infection with soil-transmitted helminths and their impact on coinfections. </w:t>
      </w:r>
      <w:r w:rsidRPr="00667B58">
        <w:rPr>
          <w:rFonts w:ascii="Times New Roman" w:hAnsi="Times New Roman" w:cs="Times New Roman"/>
          <w:i/>
          <w:iCs/>
        </w:rPr>
        <w:t xml:space="preserve">Frontiers in </w:t>
      </w:r>
      <w:proofErr w:type="spellStart"/>
      <w:r w:rsidRPr="00667B58">
        <w:rPr>
          <w:rFonts w:ascii="Times New Roman" w:hAnsi="Times New Roman" w:cs="Times New Roman"/>
          <w:i/>
          <w:iCs/>
        </w:rPr>
        <w:t>Parasitology</w:t>
      </w:r>
      <w:r w:rsidRPr="00667B58">
        <w:rPr>
          <w:rFonts w:ascii="Times New Roman" w:hAnsi="Times New Roman" w:cs="Times New Roman"/>
        </w:rPr>
        <w:t>.</w:t>
      </w:r>
      <w:hyperlink r:id="rId10"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://doi.org/10.3389/fpara.2023.1197956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Agrawal, R., </w:t>
      </w:r>
      <w:proofErr w:type="spellStart"/>
      <w:r w:rsidRPr="00667B58">
        <w:rPr>
          <w:rFonts w:ascii="Times New Roman" w:hAnsi="Times New Roman" w:cs="Times New Roman"/>
        </w:rPr>
        <w:t>Pattnaik</w:t>
      </w:r>
      <w:proofErr w:type="spellEnd"/>
      <w:r w:rsidRPr="00667B58">
        <w:rPr>
          <w:rFonts w:ascii="Times New Roman" w:hAnsi="Times New Roman" w:cs="Times New Roman"/>
        </w:rPr>
        <w:t xml:space="preserve">, S., </w:t>
      </w:r>
      <w:proofErr w:type="spellStart"/>
      <w:r w:rsidRPr="00667B58">
        <w:rPr>
          <w:rFonts w:ascii="Times New Roman" w:hAnsi="Times New Roman" w:cs="Times New Roman"/>
        </w:rPr>
        <w:t>Kshatri</w:t>
      </w:r>
      <w:proofErr w:type="spellEnd"/>
      <w:r w:rsidRPr="00667B58">
        <w:rPr>
          <w:rFonts w:ascii="Times New Roman" w:hAnsi="Times New Roman" w:cs="Times New Roman"/>
        </w:rPr>
        <w:t>, J. S., Kanungo, S., Mandal, N., Palo, S. K., &amp; Pati, S. (2024). Prevalence and correlates of soil-transmitted helminths in schoolchildren aged 5–</w:t>
      </w:r>
      <w:r w:rsidRPr="00667B58">
        <w:rPr>
          <w:rFonts w:ascii="Times New Roman" w:hAnsi="Times New Roman" w:cs="Times New Roman"/>
        </w:rPr>
        <w:lastRenderedPageBreak/>
        <w:t xml:space="preserve">18 years in low- and middle-income countries: A systematic review and meta-analysis. </w:t>
      </w:r>
      <w:r w:rsidRPr="00667B58">
        <w:rPr>
          <w:rFonts w:ascii="Times New Roman" w:hAnsi="Times New Roman" w:cs="Times New Roman"/>
          <w:i/>
          <w:iCs/>
        </w:rPr>
        <w:t>Frontiers in Public Health, 12</w:t>
      </w:r>
      <w:r w:rsidRPr="00667B58">
        <w:rPr>
          <w:rFonts w:ascii="Times New Roman" w:hAnsi="Times New Roman" w:cs="Times New Roman"/>
        </w:rPr>
        <w:t>, 1283054.</w:t>
      </w:r>
      <w:hyperlink r:id="rId11" w:history="1">
        <w:r w:rsidR="007B4A17" w:rsidRPr="00F534ED">
          <w:rPr>
            <w:rStyle w:val="Hyperlink"/>
            <w:rFonts w:ascii="Times New Roman" w:hAnsi="Times New Roman" w:cs="Times New Roman"/>
          </w:rPr>
          <w:t>https://doi.org/10.3389/fpubh.2024.1283054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Gibson, S. B., Ness-Cohn, E., &amp; Andersen, E. C. (2022). Benzimidazoles cause lethality by inhibiting the function of </w:t>
      </w:r>
      <w:r w:rsidRPr="00667B58">
        <w:rPr>
          <w:rFonts w:ascii="Times New Roman" w:hAnsi="Times New Roman" w:cs="Times New Roman"/>
          <w:i/>
          <w:iCs/>
        </w:rPr>
        <w:t>Caenorhabditis elegans</w:t>
      </w:r>
      <w:r w:rsidRPr="00667B58">
        <w:rPr>
          <w:rFonts w:ascii="Times New Roman" w:hAnsi="Times New Roman" w:cs="Times New Roman"/>
        </w:rPr>
        <w:t xml:space="preserve"> neuronal beta-tubulin. </w:t>
      </w:r>
      <w:r w:rsidRPr="00667B58">
        <w:rPr>
          <w:rFonts w:ascii="Times New Roman" w:hAnsi="Times New Roman" w:cs="Times New Roman"/>
          <w:i/>
          <w:iCs/>
        </w:rPr>
        <w:t>International Journal for Parasitology: Drugs and Drug Resistance, 20</w:t>
      </w:r>
      <w:r w:rsidRPr="00667B58">
        <w:rPr>
          <w:rFonts w:ascii="Times New Roman" w:hAnsi="Times New Roman" w:cs="Times New Roman"/>
        </w:rPr>
        <w:t>, 89–96.</w:t>
      </w:r>
      <w:hyperlink r:id="rId12" w:history="1">
        <w:r w:rsidR="007B4A17" w:rsidRPr="00F534ED">
          <w:rPr>
            <w:rStyle w:val="Hyperlink"/>
            <w:rFonts w:ascii="Times New Roman" w:hAnsi="Times New Roman" w:cs="Times New Roman"/>
          </w:rPr>
          <w:t>https://doi.org/10.1016/j.ijpddr.2022.10.004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Choudhary, S., Kashyap, S. S., Martin, R. J., &amp; Robertson, A. P. (2021). Advances in our understanding of nematode ion channels as potential anthelmintic targets. </w:t>
      </w:r>
      <w:r w:rsidRPr="00667B58">
        <w:rPr>
          <w:rFonts w:ascii="Times New Roman" w:hAnsi="Times New Roman" w:cs="Times New Roman"/>
          <w:i/>
          <w:iCs/>
        </w:rPr>
        <w:t>International Journal for Parasitology: Drugs and Drug Resistance, 18</w:t>
      </w:r>
      <w:r w:rsidRPr="00667B58">
        <w:rPr>
          <w:rFonts w:ascii="Times New Roman" w:hAnsi="Times New Roman" w:cs="Times New Roman"/>
        </w:rPr>
        <w:t>, 52–86.</w:t>
      </w:r>
      <w:hyperlink r:id="rId13" w:history="1">
        <w:r w:rsidR="007B4A17" w:rsidRPr="00F534ED">
          <w:rPr>
            <w:rStyle w:val="Hyperlink"/>
            <w:rFonts w:ascii="Times New Roman" w:hAnsi="Times New Roman" w:cs="Times New Roman"/>
          </w:rPr>
          <w:t>https://doi.org/10.1016/j.ijpddr.2021.12.001</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Carlson, A. B., &amp; Kraus, G. P. (2025). Physiology, cholinergic receptors. In </w:t>
      </w:r>
      <w:proofErr w:type="spellStart"/>
      <w:r w:rsidRPr="00667B58">
        <w:rPr>
          <w:rFonts w:ascii="Times New Roman" w:hAnsi="Times New Roman" w:cs="Times New Roman"/>
          <w:i/>
          <w:iCs/>
        </w:rPr>
        <w:t>StatPearls</w:t>
      </w:r>
      <w:proofErr w:type="spellEnd"/>
      <w:r w:rsidRPr="00667B58">
        <w:rPr>
          <w:rFonts w:ascii="Times New Roman" w:hAnsi="Times New Roman" w:cs="Times New Roman"/>
        </w:rPr>
        <w:t xml:space="preserve"> [Internet]. </w:t>
      </w:r>
      <w:proofErr w:type="spellStart"/>
      <w:r w:rsidRPr="00667B58">
        <w:rPr>
          <w:rFonts w:ascii="Times New Roman" w:hAnsi="Times New Roman" w:cs="Times New Roman"/>
        </w:rPr>
        <w:t>StatPearls</w:t>
      </w:r>
      <w:proofErr w:type="spellEnd"/>
      <w:r w:rsidRPr="00667B58">
        <w:rPr>
          <w:rFonts w:ascii="Times New Roman" w:hAnsi="Times New Roman" w:cs="Times New Roman"/>
        </w:rPr>
        <w:t xml:space="preserve"> Publishing.</w:t>
      </w:r>
      <w:r w:rsidRPr="00667B58">
        <w:rPr>
          <w:rFonts w:ascii="Times New Roman" w:hAnsi="Times New Roman" w:cs="Times New Roman"/>
        </w:rPr>
        <w:br/>
        <w:t xml:space="preserve">Available from: </w:t>
      </w:r>
      <w:hyperlink r:id="rId14" w:history="1">
        <w:r w:rsidRPr="00667B58">
          <w:rPr>
            <w:rStyle w:val="Hyperlink"/>
            <w:rFonts w:ascii="Times New Roman" w:hAnsi="Times New Roman" w:cs="Times New Roman"/>
          </w:rPr>
          <w:t>https://www.ncbi.nlm.nih.gov/books/NBK526134/</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Fissiha</w:t>
      </w:r>
      <w:proofErr w:type="spellEnd"/>
      <w:r w:rsidRPr="00667B58">
        <w:rPr>
          <w:rFonts w:ascii="Times New Roman" w:hAnsi="Times New Roman" w:cs="Times New Roman"/>
        </w:rPr>
        <w:t xml:space="preserve">, W., &amp; Kinde, M. Z. (2021). Anthelmintic resistance and its mechanism: A review. </w:t>
      </w:r>
      <w:r w:rsidRPr="00667B58">
        <w:rPr>
          <w:rFonts w:ascii="Times New Roman" w:hAnsi="Times New Roman" w:cs="Times New Roman"/>
          <w:i/>
          <w:iCs/>
        </w:rPr>
        <w:t>Infection and Drug Resistance, 14</w:t>
      </w:r>
      <w:r w:rsidRPr="00667B58">
        <w:rPr>
          <w:rFonts w:ascii="Times New Roman" w:hAnsi="Times New Roman" w:cs="Times New Roman"/>
        </w:rPr>
        <w:t>, 5403–5415.</w:t>
      </w:r>
      <w:hyperlink r:id="rId15" w:history="1">
        <w:r w:rsidR="007B4A17" w:rsidRPr="00F534ED">
          <w:rPr>
            <w:rStyle w:val="Hyperlink"/>
            <w:rFonts w:ascii="Times New Roman" w:hAnsi="Times New Roman" w:cs="Times New Roman"/>
          </w:rPr>
          <w:t>https://doi.org/10.2147/IDR.S332378</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Tenorio, J. C. B., Heikal, M. F., Kafle, A., </w:t>
      </w:r>
      <w:proofErr w:type="spellStart"/>
      <w:r w:rsidRPr="00667B58">
        <w:rPr>
          <w:rFonts w:ascii="Times New Roman" w:hAnsi="Times New Roman" w:cs="Times New Roman"/>
        </w:rPr>
        <w:t>Saichua</w:t>
      </w:r>
      <w:proofErr w:type="spellEnd"/>
      <w:r w:rsidRPr="00667B58">
        <w:rPr>
          <w:rFonts w:ascii="Times New Roman" w:hAnsi="Times New Roman" w:cs="Times New Roman"/>
        </w:rPr>
        <w:t xml:space="preserve">, P., &amp; </w:t>
      </w:r>
      <w:proofErr w:type="spellStart"/>
      <w:r w:rsidRPr="00667B58">
        <w:rPr>
          <w:rFonts w:ascii="Times New Roman" w:hAnsi="Times New Roman" w:cs="Times New Roman"/>
        </w:rPr>
        <w:t>Suttiprapa</w:t>
      </w:r>
      <w:proofErr w:type="spellEnd"/>
      <w:r w:rsidRPr="00667B58">
        <w:rPr>
          <w:rFonts w:ascii="Times New Roman" w:hAnsi="Times New Roman" w:cs="Times New Roman"/>
        </w:rPr>
        <w:t xml:space="preserve">, S. (2024). Benzimidazole resistance-associated mutations in the β-tubulin gene of hookworms: A systematic review. </w:t>
      </w:r>
      <w:r w:rsidRPr="00667B58">
        <w:rPr>
          <w:rFonts w:ascii="Times New Roman" w:hAnsi="Times New Roman" w:cs="Times New Roman"/>
          <w:i/>
          <w:iCs/>
        </w:rPr>
        <w:t>Parasitology Research, 123</w:t>
      </w:r>
      <w:r w:rsidRPr="00667B58">
        <w:rPr>
          <w:rFonts w:ascii="Times New Roman" w:hAnsi="Times New Roman" w:cs="Times New Roman"/>
        </w:rPr>
        <w:t>(12), 405.</w:t>
      </w:r>
      <w:hyperlink r:id="rId16" w:history="1">
        <w:r w:rsidR="007B4A17" w:rsidRPr="00F534ED">
          <w:rPr>
            <w:rStyle w:val="Hyperlink"/>
            <w:rFonts w:ascii="Times New Roman" w:hAnsi="Times New Roman" w:cs="Times New Roman"/>
          </w:rPr>
          <w:t>https://doi.org/10.1007/s00436-024-08432-6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Wolstenholme, A. J., &amp; Rogers, A. T. (2005). Glutamate-gated chloride channels and the mode of action of the </w:t>
      </w:r>
      <w:proofErr w:type="spellStart"/>
      <w:r w:rsidRPr="00667B58">
        <w:rPr>
          <w:rFonts w:ascii="Times New Roman" w:hAnsi="Times New Roman" w:cs="Times New Roman"/>
        </w:rPr>
        <w:t>avermectin</w:t>
      </w:r>
      <w:proofErr w:type="spellEnd"/>
      <w:r w:rsidRPr="00667B58">
        <w:rPr>
          <w:rFonts w:ascii="Times New Roman" w:hAnsi="Times New Roman" w:cs="Times New Roman"/>
        </w:rPr>
        <w:t xml:space="preserve">/milbemycin </w:t>
      </w:r>
      <w:proofErr w:type="spellStart"/>
      <w:r w:rsidRPr="00667B58">
        <w:rPr>
          <w:rFonts w:ascii="Times New Roman" w:hAnsi="Times New Roman" w:cs="Times New Roman"/>
        </w:rPr>
        <w:t>anthelmintics</w:t>
      </w:r>
      <w:proofErr w:type="spellEnd"/>
      <w:r w:rsidRPr="00667B58">
        <w:rPr>
          <w:rFonts w:ascii="Times New Roman" w:hAnsi="Times New Roman" w:cs="Times New Roman"/>
        </w:rPr>
        <w:t xml:space="preserve">. </w:t>
      </w:r>
      <w:r w:rsidRPr="00667B58">
        <w:rPr>
          <w:rFonts w:ascii="Times New Roman" w:hAnsi="Times New Roman" w:cs="Times New Roman"/>
          <w:i/>
          <w:iCs/>
        </w:rPr>
        <w:t>Parasitology, 131</w:t>
      </w:r>
      <w:r w:rsidRPr="00667B58">
        <w:rPr>
          <w:rFonts w:ascii="Times New Roman" w:hAnsi="Times New Roman" w:cs="Times New Roman"/>
        </w:rPr>
        <w:t>(Suppl. 1), S85–S95.</w:t>
      </w:r>
      <w:hyperlink r:id="rId17" w:history="1">
        <w:r w:rsidR="007B4A17" w:rsidRPr="00F534ED">
          <w:rPr>
            <w:rStyle w:val="Hyperlink"/>
            <w:rFonts w:ascii="Times New Roman" w:hAnsi="Times New Roman" w:cs="Times New Roman"/>
          </w:rPr>
          <w:t>https://doi.org/10.1017/S0031182005008218</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Nagampalli</w:t>
      </w:r>
      <w:proofErr w:type="spellEnd"/>
      <w:r w:rsidRPr="00667B58">
        <w:rPr>
          <w:rFonts w:ascii="Times New Roman" w:hAnsi="Times New Roman" w:cs="Times New Roman"/>
        </w:rPr>
        <w:t xml:space="preserve">, R. S. K., Vadla, G. P., &amp; </w:t>
      </w:r>
      <w:proofErr w:type="spellStart"/>
      <w:r w:rsidRPr="00667B58">
        <w:rPr>
          <w:rFonts w:ascii="Times New Roman" w:hAnsi="Times New Roman" w:cs="Times New Roman"/>
        </w:rPr>
        <w:t>Nadendla</w:t>
      </w:r>
      <w:proofErr w:type="spellEnd"/>
      <w:r w:rsidRPr="00667B58">
        <w:rPr>
          <w:rFonts w:ascii="Times New Roman" w:hAnsi="Times New Roman" w:cs="Times New Roman"/>
        </w:rPr>
        <w:t xml:space="preserve">, E. K. (2025). Emerging strategies to overcome chemoresistance: Structural insights and therapeutic targeting of multidrug resistance-linked ATP-binding cassette transporters. </w:t>
      </w:r>
      <w:r w:rsidRPr="00667B58">
        <w:rPr>
          <w:rFonts w:ascii="Times New Roman" w:hAnsi="Times New Roman" w:cs="Times New Roman"/>
          <w:i/>
          <w:iCs/>
        </w:rPr>
        <w:t xml:space="preserve">International Journal of Translational </w:t>
      </w:r>
      <w:proofErr w:type="spellStart"/>
      <w:r w:rsidRPr="00667B58">
        <w:rPr>
          <w:rFonts w:ascii="Times New Roman" w:hAnsi="Times New Roman" w:cs="Times New Roman"/>
          <w:i/>
          <w:iCs/>
        </w:rPr>
        <w:t>Medicine</w:t>
      </w:r>
      <w:r w:rsidRPr="00667B58">
        <w:rPr>
          <w:rFonts w:ascii="Times New Roman" w:hAnsi="Times New Roman" w:cs="Times New Roman"/>
        </w:rPr>
        <w:t>.</w:t>
      </w:r>
      <w:hyperlink r:id="rId18"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://doi.org/10.3390/ijtm5010006</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Aborode</w:t>
      </w:r>
      <w:proofErr w:type="spellEnd"/>
      <w:r w:rsidRPr="00667B58">
        <w:rPr>
          <w:rFonts w:ascii="Times New Roman" w:hAnsi="Times New Roman" w:cs="Times New Roman"/>
        </w:rPr>
        <w:t xml:space="preserve">, A. T., Adesola, R. O., Onifade, I. A., Adesiyan, R., Ibiam, V. A., Jinadu, N. A., &amp; Bakre, A. A. (2025). Outbreak of cholera in Nigeria: The role of One Health. </w:t>
      </w:r>
      <w:r w:rsidRPr="00667B58">
        <w:rPr>
          <w:rFonts w:ascii="Times New Roman" w:hAnsi="Times New Roman" w:cs="Times New Roman"/>
          <w:i/>
          <w:iCs/>
        </w:rPr>
        <w:t>Discover Public Health, 22</w:t>
      </w:r>
      <w:r w:rsidRPr="00667B58">
        <w:rPr>
          <w:rFonts w:ascii="Times New Roman" w:hAnsi="Times New Roman" w:cs="Times New Roman"/>
        </w:rPr>
        <w:t>(1), 125.</w:t>
      </w:r>
      <w:hyperlink r:id="rId19" w:history="1">
        <w:r w:rsidR="007B4A17" w:rsidRPr="00F534ED">
          <w:rPr>
            <w:rStyle w:val="Hyperlink"/>
            <w:rFonts w:ascii="Times New Roman" w:hAnsi="Times New Roman" w:cs="Times New Roman"/>
          </w:rPr>
          <w:t>https://doi.org/10.1186/s12982-025-00526-5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Abdelmonem, B. H., Abdelaal, N. M., Anwer, E. K. E., Rashwan, A. A., Hussein, M. A., Ahmed, Y. F., </w:t>
      </w:r>
      <w:proofErr w:type="spellStart"/>
      <w:r w:rsidRPr="00667B58">
        <w:rPr>
          <w:rFonts w:ascii="Times New Roman" w:hAnsi="Times New Roman" w:cs="Times New Roman"/>
        </w:rPr>
        <w:t>Khashana</w:t>
      </w:r>
      <w:proofErr w:type="spellEnd"/>
      <w:r w:rsidRPr="00667B58">
        <w:rPr>
          <w:rFonts w:ascii="Times New Roman" w:hAnsi="Times New Roman" w:cs="Times New Roman"/>
        </w:rPr>
        <w:t xml:space="preserve">, R., Hanna, M. M., &amp; Abdelnaser, A. (2024). Decoding the role of CYP450 enzymes in metabolism and disease: A comprehensive review. </w:t>
      </w:r>
      <w:r w:rsidRPr="00667B58">
        <w:rPr>
          <w:rFonts w:ascii="Times New Roman" w:hAnsi="Times New Roman" w:cs="Times New Roman"/>
          <w:i/>
          <w:iCs/>
        </w:rPr>
        <w:t>Biomedicines, 12</w:t>
      </w:r>
      <w:r w:rsidRPr="00667B58">
        <w:rPr>
          <w:rFonts w:ascii="Times New Roman" w:hAnsi="Times New Roman" w:cs="Times New Roman"/>
        </w:rPr>
        <w:t>(7), 1467.</w:t>
      </w:r>
      <w:hyperlink r:id="rId20" w:history="1">
        <w:r w:rsidR="007B4A17" w:rsidRPr="00F534ED">
          <w:rPr>
            <w:rStyle w:val="Hyperlink"/>
            <w:rFonts w:ascii="Times New Roman" w:hAnsi="Times New Roman" w:cs="Times New Roman"/>
          </w:rPr>
          <w:t>https://doi.org/10.3390/biomedicines12071467</w:t>
        </w:r>
      </w:hyperlink>
    </w:p>
    <w:p w:rsidR="00667B58" w:rsidRPr="00667B58" w:rsidRDefault="00667B58" w:rsidP="00667B58">
      <w:pPr>
        <w:numPr>
          <w:ilvl w:val="0"/>
          <w:numId w:val="4"/>
        </w:numPr>
        <w:rPr>
          <w:rFonts w:ascii="Times New Roman" w:hAnsi="Times New Roman" w:cs="Times New Roman"/>
        </w:rPr>
      </w:pPr>
      <w:proofErr w:type="spellStart"/>
      <w:r w:rsidRPr="00667B58">
        <w:rPr>
          <w:rFonts w:ascii="Times New Roman" w:hAnsi="Times New Roman" w:cs="Times New Roman"/>
        </w:rPr>
        <w:t>Vosála</w:t>
      </w:r>
      <w:proofErr w:type="spellEnd"/>
      <w:r w:rsidRPr="00667B58">
        <w:rPr>
          <w:rFonts w:ascii="Times New Roman" w:hAnsi="Times New Roman" w:cs="Times New Roman"/>
        </w:rPr>
        <w:t xml:space="preserve">, O., Krátký, J., Matoušková, P., </w:t>
      </w:r>
      <w:proofErr w:type="spellStart"/>
      <w:r w:rsidRPr="00667B58">
        <w:rPr>
          <w:rFonts w:ascii="Times New Roman" w:hAnsi="Times New Roman" w:cs="Times New Roman"/>
        </w:rPr>
        <w:t>Rychlá</w:t>
      </w:r>
      <w:proofErr w:type="spellEnd"/>
      <w:r w:rsidRPr="00667B58">
        <w:rPr>
          <w:rFonts w:ascii="Times New Roman" w:hAnsi="Times New Roman" w:cs="Times New Roman"/>
        </w:rPr>
        <w:t xml:space="preserve">, N., Štěrbová, K., </w:t>
      </w:r>
      <w:proofErr w:type="spellStart"/>
      <w:r w:rsidRPr="00667B58">
        <w:rPr>
          <w:rFonts w:ascii="Times New Roman" w:hAnsi="Times New Roman" w:cs="Times New Roman"/>
        </w:rPr>
        <w:t>Raisová</w:t>
      </w:r>
      <w:proofErr w:type="spellEnd"/>
      <w:r w:rsidRPr="00667B58">
        <w:rPr>
          <w:rFonts w:ascii="Times New Roman" w:hAnsi="Times New Roman" w:cs="Times New Roman"/>
        </w:rPr>
        <w:t xml:space="preserve"> </w:t>
      </w:r>
      <w:proofErr w:type="spellStart"/>
      <w:r w:rsidRPr="00667B58">
        <w:rPr>
          <w:rFonts w:ascii="Times New Roman" w:hAnsi="Times New Roman" w:cs="Times New Roman"/>
        </w:rPr>
        <w:t>Stuchlíková</w:t>
      </w:r>
      <w:proofErr w:type="spellEnd"/>
      <w:r w:rsidRPr="00667B58">
        <w:rPr>
          <w:rFonts w:ascii="Times New Roman" w:hAnsi="Times New Roman" w:cs="Times New Roman"/>
        </w:rPr>
        <w:t xml:space="preserve">, L., </w:t>
      </w:r>
      <w:proofErr w:type="spellStart"/>
      <w:r w:rsidRPr="00667B58">
        <w:rPr>
          <w:rFonts w:ascii="Times New Roman" w:hAnsi="Times New Roman" w:cs="Times New Roman"/>
        </w:rPr>
        <w:t>Vokřál</w:t>
      </w:r>
      <w:proofErr w:type="spellEnd"/>
      <w:r w:rsidRPr="00667B58">
        <w:rPr>
          <w:rFonts w:ascii="Times New Roman" w:hAnsi="Times New Roman" w:cs="Times New Roman"/>
        </w:rPr>
        <w:t xml:space="preserve">, I., &amp; Skálová, L. (2025). Biotransformation of anthelmintics in nematodes in </w:t>
      </w:r>
      <w:r w:rsidRPr="00667B58">
        <w:rPr>
          <w:rFonts w:ascii="Times New Roman" w:hAnsi="Times New Roman" w:cs="Times New Roman"/>
        </w:rPr>
        <w:lastRenderedPageBreak/>
        <w:t xml:space="preserve">relation to drug resistance. </w:t>
      </w:r>
      <w:r w:rsidRPr="00667B58">
        <w:rPr>
          <w:rFonts w:ascii="Times New Roman" w:hAnsi="Times New Roman" w:cs="Times New Roman"/>
          <w:i/>
          <w:iCs/>
        </w:rPr>
        <w:t>International Journal for Parasitology: Drugs and Drug Resistance, 27</w:t>
      </w:r>
      <w:r w:rsidRPr="00667B58">
        <w:rPr>
          <w:rFonts w:ascii="Times New Roman" w:hAnsi="Times New Roman" w:cs="Times New Roman"/>
        </w:rPr>
        <w:t>, 100579.</w:t>
      </w:r>
      <w:hyperlink r:id="rId21" w:history="1">
        <w:r w:rsidR="007B4A17" w:rsidRPr="00F534ED">
          <w:rPr>
            <w:rStyle w:val="Hyperlink"/>
            <w:rFonts w:ascii="Times New Roman" w:hAnsi="Times New Roman" w:cs="Times New Roman"/>
          </w:rPr>
          <w:t>https://doi.org/10.1016/j.ijpddr.2025.100579</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Ramkhelawan, T., Naidoo, P., &amp; Mkhize-</w:t>
      </w:r>
      <w:proofErr w:type="spellStart"/>
      <w:r w:rsidRPr="00667B58">
        <w:rPr>
          <w:rFonts w:ascii="Times New Roman" w:hAnsi="Times New Roman" w:cs="Times New Roman"/>
        </w:rPr>
        <w:t>Kwitshana</w:t>
      </w:r>
      <w:proofErr w:type="spellEnd"/>
      <w:r w:rsidRPr="00667B58">
        <w:rPr>
          <w:rFonts w:ascii="Times New Roman" w:hAnsi="Times New Roman" w:cs="Times New Roman"/>
        </w:rPr>
        <w:t xml:space="preserve">, Z. L. (2025). Single nucleotide polymorphisms associated with benzimidazole resistance of the β-tubulin isotype 1 gene in </w:t>
      </w:r>
      <w:r w:rsidRPr="00667B58">
        <w:rPr>
          <w:rFonts w:ascii="Times New Roman" w:hAnsi="Times New Roman" w:cs="Times New Roman"/>
          <w:i/>
          <w:iCs/>
        </w:rPr>
        <w:t>Ascaris lumbricoides</w:t>
      </w:r>
      <w:r w:rsidRPr="00667B58">
        <w:rPr>
          <w:rFonts w:ascii="Times New Roman" w:hAnsi="Times New Roman" w:cs="Times New Roman"/>
        </w:rPr>
        <w:t xml:space="preserve"> isolated in South Africa. </w:t>
      </w:r>
      <w:r w:rsidRPr="00667B58">
        <w:rPr>
          <w:rFonts w:ascii="Times New Roman" w:hAnsi="Times New Roman" w:cs="Times New Roman"/>
          <w:i/>
          <w:iCs/>
        </w:rPr>
        <w:t xml:space="preserve">Brazilian Journal of Infectious </w:t>
      </w:r>
      <w:proofErr w:type="spellStart"/>
      <w:r w:rsidRPr="00667B58">
        <w:rPr>
          <w:rFonts w:ascii="Times New Roman" w:hAnsi="Times New Roman" w:cs="Times New Roman"/>
          <w:i/>
          <w:iCs/>
        </w:rPr>
        <w:t>Diseases</w:t>
      </w:r>
      <w:r w:rsidRPr="00667B58">
        <w:rPr>
          <w:rFonts w:ascii="Times New Roman" w:hAnsi="Times New Roman" w:cs="Times New Roman"/>
        </w:rPr>
        <w:t>.</w:t>
      </w:r>
      <w:hyperlink r:id="rId22"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://doi.org/10.1016/j.bjid.2025.104556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Raza, A., Williams, A. R., &amp; Abeer, M. M. (2023). Importance of ABC transporters in the survival of parasitic nematodes and prospects for the development of novel control strategies. </w:t>
      </w:r>
      <w:r w:rsidRPr="00667B58">
        <w:rPr>
          <w:rFonts w:ascii="Times New Roman" w:hAnsi="Times New Roman" w:cs="Times New Roman"/>
          <w:i/>
          <w:iCs/>
        </w:rPr>
        <w:t>Pathogens, 12</w:t>
      </w:r>
      <w:r w:rsidRPr="00667B58">
        <w:rPr>
          <w:rFonts w:ascii="Times New Roman" w:hAnsi="Times New Roman" w:cs="Times New Roman"/>
        </w:rPr>
        <w:t>(6), 755.</w:t>
      </w:r>
      <w:hyperlink r:id="rId23" w:history="1">
        <w:r w:rsidR="007B4A17" w:rsidRPr="00F534ED">
          <w:rPr>
            <w:rStyle w:val="Hyperlink"/>
            <w:rFonts w:ascii="Times New Roman" w:hAnsi="Times New Roman" w:cs="Times New Roman"/>
          </w:rPr>
          <w:t>https://doi.org/10.3390/pathogens12060755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World Health Organization. (2020). </w:t>
      </w:r>
      <w:r w:rsidRPr="00667B58">
        <w:rPr>
          <w:rFonts w:ascii="Times New Roman" w:hAnsi="Times New Roman" w:cs="Times New Roman"/>
          <w:i/>
          <w:iCs/>
        </w:rPr>
        <w:t>Guideline: Preventive chemotherapy to control soil-transmitted helminth infections in at-risk population groups</w:t>
      </w:r>
      <w:r w:rsidRPr="00667B58">
        <w:rPr>
          <w:rFonts w:ascii="Times New Roman" w:hAnsi="Times New Roman" w:cs="Times New Roman"/>
        </w:rPr>
        <w:t>. World Health Organization.</w:t>
      </w:r>
      <w:r w:rsidRPr="00667B58">
        <w:rPr>
          <w:rFonts w:ascii="Times New Roman" w:hAnsi="Times New Roman" w:cs="Times New Roman"/>
        </w:rPr>
        <w:br/>
        <w:t xml:space="preserve">Available from: </w:t>
      </w:r>
      <w:hyperlink r:id="rId24" w:history="1">
        <w:r w:rsidRPr="00667B58">
          <w:rPr>
            <w:rStyle w:val="Hyperlink"/>
            <w:rFonts w:ascii="Times New Roman" w:hAnsi="Times New Roman" w:cs="Times New Roman"/>
          </w:rPr>
          <w:t>https://www.who.int/publications/i/item/9789240004083</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Ramos-Martín, F., &amp; D’Amelio, N. (2023). Drug resistance: An incessant fight against evolutionary strategies of survival. </w:t>
      </w:r>
      <w:r w:rsidRPr="00667B58">
        <w:rPr>
          <w:rFonts w:ascii="Times New Roman" w:hAnsi="Times New Roman" w:cs="Times New Roman"/>
          <w:i/>
          <w:iCs/>
        </w:rPr>
        <w:t>Microbiology Research, 14</w:t>
      </w:r>
      <w:r w:rsidRPr="00667B58">
        <w:rPr>
          <w:rFonts w:ascii="Times New Roman" w:hAnsi="Times New Roman" w:cs="Times New Roman"/>
        </w:rPr>
        <w:t>(2), 507–542.</w:t>
      </w:r>
      <w:hyperlink r:id="rId25" w:history="1">
        <w:r w:rsidR="007B4A17" w:rsidRPr="00F534ED">
          <w:rPr>
            <w:rStyle w:val="Hyperlink"/>
            <w:rFonts w:ascii="Times New Roman" w:hAnsi="Times New Roman" w:cs="Times New Roman"/>
          </w:rPr>
          <w:t>https://doi.org/10.3390/microbiolres14020037</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Mordvinov, V., &amp; </w:t>
      </w:r>
      <w:proofErr w:type="spellStart"/>
      <w:r w:rsidRPr="00667B58">
        <w:rPr>
          <w:rFonts w:ascii="Times New Roman" w:hAnsi="Times New Roman" w:cs="Times New Roman"/>
        </w:rPr>
        <w:t>Pakharukova</w:t>
      </w:r>
      <w:proofErr w:type="spellEnd"/>
      <w:r w:rsidRPr="00667B58">
        <w:rPr>
          <w:rFonts w:ascii="Times New Roman" w:hAnsi="Times New Roman" w:cs="Times New Roman"/>
        </w:rPr>
        <w:t xml:space="preserve">, M. (2022). Xenobiotic-metabolizing enzymes in trematodes. </w:t>
      </w:r>
      <w:r w:rsidRPr="00667B58">
        <w:rPr>
          <w:rFonts w:ascii="Times New Roman" w:hAnsi="Times New Roman" w:cs="Times New Roman"/>
          <w:i/>
          <w:iCs/>
        </w:rPr>
        <w:t>Biomedicines, 10</w:t>
      </w:r>
      <w:r w:rsidRPr="00667B58">
        <w:rPr>
          <w:rFonts w:ascii="Times New Roman" w:hAnsi="Times New Roman" w:cs="Times New Roman"/>
        </w:rPr>
        <w:t>(12), 3039.</w:t>
      </w:r>
      <w:hyperlink r:id="rId26" w:history="1">
        <w:r w:rsidR="007B4A17" w:rsidRPr="00F534ED">
          <w:rPr>
            <w:rStyle w:val="Hyperlink"/>
            <w:rFonts w:ascii="Times New Roman" w:hAnsi="Times New Roman" w:cs="Times New Roman"/>
          </w:rPr>
          <w:t>https://doi.org/10.3390/biomedicines10123039</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Deji-Oloruntoba, O. O., </w:t>
      </w:r>
      <w:proofErr w:type="spellStart"/>
      <w:r w:rsidRPr="00667B58">
        <w:rPr>
          <w:rFonts w:ascii="Times New Roman" w:hAnsi="Times New Roman" w:cs="Times New Roman"/>
        </w:rPr>
        <w:t>Elufioye</w:t>
      </w:r>
      <w:proofErr w:type="spellEnd"/>
      <w:r w:rsidRPr="00667B58">
        <w:rPr>
          <w:rFonts w:ascii="Times New Roman" w:hAnsi="Times New Roman" w:cs="Times New Roman"/>
        </w:rPr>
        <w:t xml:space="preserve">, T. O., </w:t>
      </w:r>
      <w:proofErr w:type="spellStart"/>
      <w:r w:rsidRPr="00667B58">
        <w:rPr>
          <w:rFonts w:ascii="Times New Roman" w:hAnsi="Times New Roman" w:cs="Times New Roman"/>
        </w:rPr>
        <w:t>Adefegha</w:t>
      </w:r>
      <w:proofErr w:type="spellEnd"/>
      <w:r w:rsidRPr="00667B58">
        <w:rPr>
          <w:rFonts w:ascii="Times New Roman" w:hAnsi="Times New Roman" w:cs="Times New Roman"/>
        </w:rPr>
        <w:t xml:space="preserve">, S. A., &amp; Jang, M. (2025). Can </w:t>
      </w:r>
      <w:r w:rsidRPr="00667B58">
        <w:rPr>
          <w:rFonts w:ascii="Times New Roman" w:hAnsi="Times New Roman" w:cs="Times New Roman"/>
          <w:i/>
          <w:iCs/>
        </w:rPr>
        <w:t>Caenorhabditis elegans</w:t>
      </w:r>
      <w:r w:rsidRPr="00667B58">
        <w:rPr>
          <w:rFonts w:ascii="Times New Roman" w:hAnsi="Times New Roman" w:cs="Times New Roman"/>
        </w:rPr>
        <w:t xml:space="preserve"> serve as a reliable model for drug and nutraceutical discovery? </w:t>
      </w:r>
      <w:r w:rsidRPr="00667B58">
        <w:rPr>
          <w:rFonts w:ascii="Times New Roman" w:hAnsi="Times New Roman" w:cs="Times New Roman"/>
          <w:i/>
          <w:iCs/>
        </w:rPr>
        <w:t xml:space="preserve">Applied </w:t>
      </w:r>
      <w:proofErr w:type="spellStart"/>
      <w:r w:rsidRPr="00667B58">
        <w:rPr>
          <w:rFonts w:ascii="Times New Roman" w:hAnsi="Times New Roman" w:cs="Times New Roman"/>
          <w:i/>
          <w:iCs/>
        </w:rPr>
        <w:t>Biosciences</w:t>
      </w:r>
      <w:r w:rsidRPr="00667B58">
        <w:rPr>
          <w:rFonts w:ascii="Times New Roman" w:hAnsi="Times New Roman" w:cs="Times New Roman"/>
        </w:rPr>
        <w:t>.</w:t>
      </w:r>
      <w:hyperlink r:id="rId27"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://doi.org/10.3390/applbiosci4020023</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P., Babatunde, J. O., Owusu-Ansah, S., et al. (2025). Antibiogram and molecular characterization of extended-spectrum beta-lactamase-producing </w:t>
      </w:r>
      <w:r w:rsidRPr="00667B58">
        <w:rPr>
          <w:rFonts w:ascii="Times New Roman" w:hAnsi="Times New Roman" w:cs="Times New Roman"/>
          <w:i/>
          <w:iCs/>
        </w:rPr>
        <w:t>Klebsiella pneumoniae</w:t>
      </w:r>
      <w:r w:rsidRPr="00667B58">
        <w:rPr>
          <w:rFonts w:ascii="Times New Roman" w:hAnsi="Times New Roman" w:cs="Times New Roman"/>
        </w:rPr>
        <w:t xml:space="preserve"> in a Nigerian teaching hospital. </w:t>
      </w:r>
      <w:r w:rsidRPr="00667B58">
        <w:rPr>
          <w:rFonts w:ascii="Times New Roman" w:hAnsi="Times New Roman" w:cs="Times New Roman"/>
          <w:i/>
          <w:iCs/>
        </w:rPr>
        <w:t xml:space="preserve">Microbes, Infection and </w:t>
      </w:r>
      <w:proofErr w:type="spellStart"/>
      <w:r w:rsidRPr="00667B58">
        <w:rPr>
          <w:rFonts w:ascii="Times New Roman" w:hAnsi="Times New Roman" w:cs="Times New Roman"/>
          <w:i/>
          <w:iCs/>
        </w:rPr>
        <w:t>Chemotherapy</w:t>
      </w:r>
      <w:r w:rsidRPr="00667B58">
        <w:rPr>
          <w:rFonts w:ascii="Times New Roman" w:hAnsi="Times New Roman" w:cs="Times New Roman"/>
        </w:rPr>
        <w:t>.</w:t>
      </w:r>
      <w:hyperlink r:id="rId28"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://doi.org/10.54034/mic.e2305</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Babatunde, E. T., Muhammed, I., </w:t>
      </w:r>
      <w:proofErr w:type="spellStart"/>
      <w:r w:rsidRPr="00667B58">
        <w:rPr>
          <w:rFonts w:ascii="Times New Roman" w:hAnsi="Times New Roman" w:cs="Times New Roman"/>
        </w:rPr>
        <w:t>Okiki</w:t>
      </w:r>
      <w:proofErr w:type="spellEnd"/>
      <w:r w:rsidRPr="00667B58">
        <w:rPr>
          <w:rFonts w:ascii="Times New Roman" w:hAnsi="Times New Roman" w:cs="Times New Roman"/>
        </w:rPr>
        <w:t xml:space="preserve">, Q. N., Chibueze, E. S., David, V. O., et al. (2025). Comparative genomics of zoonotic pathogens: Genetic determinants of host switching and cross-species transmission. </w:t>
      </w:r>
      <w:r w:rsidRPr="00667B58">
        <w:rPr>
          <w:rFonts w:ascii="Times New Roman" w:hAnsi="Times New Roman" w:cs="Times New Roman"/>
          <w:i/>
          <w:iCs/>
        </w:rPr>
        <w:t>Journal of Clinical Medicine of Kazakhstan, 22</w:t>
      </w:r>
      <w:r w:rsidRPr="00667B58">
        <w:rPr>
          <w:rFonts w:ascii="Times New Roman" w:hAnsi="Times New Roman" w:cs="Times New Roman"/>
        </w:rPr>
        <w:t>(5), 80–92.</w:t>
      </w:r>
      <w:r w:rsidRPr="00667B58">
        <w:rPr>
          <w:rFonts w:ascii="Times New Roman" w:hAnsi="Times New Roman" w:cs="Times New Roman"/>
        </w:rPr>
        <w:br/>
        <w:t xml:space="preserve">Available from: </w:t>
      </w:r>
      <w:hyperlink r:id="rId29" w:history="1">
        <w:r w:rsidRPr="00667B58">
          <w:rPr>
            <w:rStyle w:val="Hyperlink"/>
            <w:rFonts w:ascii="Times New Roman" w:hAnsi="Times New Roman" w:cs="Times New Roman"/>
          </w:rPr>
          <w:t>https://www.clinmedkaz.org</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Lawal, O. P., Igwe, E. P., </w:t>
      </w:r>
      <w:proofErr w:type="spellStart"/>
      <w:r w:rsidRPr="00667B58">
        <w:rPr>
          <w:rFonts w:ascii="Times New Roman" w:hAnsi="Times New Roman" w:cs="Times New Roman"/>
        </w:rPr>
        <w:t>Olosunde</w:t>
      </w:r>
      <w:proofErr w:type="spellEnd"/>
      <w:r w:rsidRPr="00667B58">
        <w:rPr>
          <w:rFonts w:ascii="Times New Roman" w:hAnsi="Times New Roman" w:cs="Times New Roman"/>
        </w:rPr>
        <w:t xml:space="preserve">, A., et al. (2025). Integrating real-time data and machine learning in predicting infectious disease outbreaks: Enhancing response strategies in Sub-Saharan Africa. </w:t>
      </w:r>
      <w:r w:rsidRPr="00667B58">
        <w:rPr>
          <w:rFonts w:ascii="Times New Roman" w:hAnsi="Times New Roman" w:cs="Times New Roman"/>
          <w:i/>
          <w:iCs/>
        </w:rPr>
        <w:t>Asian Journal of Microbiology and Biotechnology, 10</w:t>
      </w:r>
      <w:r w:rsidRPr="00667B58">
        <w:rPr>
          <w:rFonts w:ascii="Times New Roman" w:hAnsi="Times New Roman" w:cs="Times New Roman"/>
        </w:rPr>
        <w:t>(1), 147–163.</w:t>
      </w:r>
      <w:hyperlink r:id="rId30" w:history="1">
        <w:r w:rsidR="007B4A17" w:rsidRPr="00F534ED">
          <w:rPr>
            <w:rStyle w:val="Hyperlink"/>
            <w:rFonts w:ascii="Times New Roman" w:hAnsi="Times New Roman" w:cs="Times New Roman"/>
          </w:rPr>
          <w:t>https://doi.org/10.56557/ajmab/2025/v10i19371</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Balogun, A. K., Ibiam, V. A., </w:t>
      </w:r>
      <w:proofErr w:type="spellStart"/>
      <w:r w:rsidRPr="00667B58">
        <w:rPr>
          <w:rFonts w:ascii="Times New Roman" w:hAnsi="Times New Roman" w:cs="Times New Roman"/>
        </w:rPr>
        <w:t>Otesanya</w:t>
      </w:r>
      <w:proofErr w:type="spellEnd"/>
      <w:r w:rsidRPr="00667B58">
        <w:rPr>
          <w:rFonts w:ascii="Times New Roman" w:hAnsi="Times New Roman" w:cs="Times New Roman"/>
        </w:rPr>
        <w:t xml:space="preserve">, O. A., &amp; Agbo-Adediran, B. E. (2025). Policy advocacy for inclusive healthcare access from a social work perspective. </w:t>
      </w:r>
      <w:r w:rsidRPr="00667B58">
        <w:rPr>
          <w:rFonts w:ascii="Times New Roman" w:hAnsi="Times New Roman" w:cs="Times New Roman"/>
          <w:i/>
          <w:iCs/>
        </w:rPr>
        <w:t xml:space="preserve">International </w:t>
      </w:r>
      <w:r w:rsidRPr="00667B58">
        <w:rPr>
          <w:rFonts w:ascii="Times New Roman" w:hAnsi="Times New Roman" w:cs="Times New Roman"/>
          <w:i/>
          <w:iCs/>
        </w:rPr>
        <w:lastRenderedPageBreak/>
        <w:t>Journal of Science and Research Archive, 14</w:t>
      </w:r>
      <w:r w:rsidRPr="00667B58">
        <w:rPr>
          <w:rFonts w:ascii="Times New Roman" w:hAnsi="Times New Roman" w:cs="Times New Roman"/>
        </w:rPr>
        <w:t>(1), 1407–1415.</w:t>
      </w:r>
      <w:hyperlink r:id="rId31" w:history="1">
        <w:r w:rsidR="007B4A17" w:rsidRPr="00F534ED">
          <w:rPr>
            <w:rStyle w:val="Hyperlink"/>
            <w:rFonts w:ascii="Times New Roman" w:hAnsi="Times New Roman" w:cs="Times New Roman"/>
          </w:rPr>
          <w:t>https://doi.org/10.30574/ijsra.2025.14.1.0224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Nwokedi, V. U., Akanbi, O. O., Ayo-</w:t>
      </w:r>
      <w:proofErr w:type="spellStart"/>
      <w:r w:rsidRPr="00667B58">
        <w:rPr>
          <w:rFonts w:ascii="Times New Roman" w:hAnsi="Times New Roman" w:cs="Times New Roman"/>
        </w:rPr>
        <w:t>ige</w:t>
      </w:r>
      <w:proofErr w:type="spellEnd"/>
      <w:r w:rsidRPr="00667B58">
        <w:rPr>
          <w:rFonts w:ascii="Times New Roman" w:hAnsi="Times New Roman" w:cs="Times New Roman"/>
        </w:rPr>
        <w:t xml:space="preserve">, B. A., et al. (2025). Evaluating the role and impact of international collaboration and partnerships on the control, prevention, and elimination of parasitic diseases: A global health perspective. </w:t>
      </w:r>
      <w:r w:rsidRPr="00667B58">
        <w:rPr>
          <w:rFonts w:ascii="Times New Roman" w:hAnsi="Times New Roman" w:cs="Times New Roman"/>
          <w:i/>
          <w:iCs/>
        </w:rPr>
        <w:t>Australian Journal of Biomedical Research, 1</w:t>
      </w:r>
      <w:r w:rsidRPr="00667B58">
        <w:rPr>
          <w:rFonts w:ascii="Times New Roman" w:hAnsi="Times New Roman" w:cs="Times New Roman"/>
        </w:rPr>
        <w:t>(2), aubm009.</w:t>
      </w:r>
      <w:hyperlink r:id="rId32" w:history="1">
        <w:r w:rsidR="007B4A17" w:rsidRPr="00F534ED">
          <w:rPr>
            <w:rStyle w:val="Hyperlink"/>
            <w:rFonts w:ascii="Times New Roman" w:hAnsi="Times New Roman" w:cs="Times New Roman"/>
          </w:rPr>
          <w:t>https://doi.org/10.63946/aubiomed/17426</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Nwosu, P. C., Egwuatu, E. C., Wright, A. K. A., et al. (2024). Diabetic foot ulcers in Africa: A systematic review of microbial profiles and clinical outcomes in the context of multidrug resistance. </w:t>
      </w:r>
      <w:r w:rsidRPr="00667B58">
        <w:rPr>
          <w:rFonts w:ascii="Times New Roman" w:hAnsi="Times New Roman" w:cs="Times New Roman"/>
          <w:i/>
          <w:iCs/>
        </w:rPr>
        <w:t xml:space="preserve">Epidemiology and Health Data </w:t>
      </w:r>
      <w:proofErr w:type="spellStart"/>
      <w:r w:rsidRPr="00667B58">
        <w:rPr>
          <w:rFonts w:ascii="Times New Roman" w:hAnsi="Times New Roman" w:cs="Times New Roman"/>
          <w:i/>
          <w:iCs/>
        </w:rPr>
        <w:t>Insights</w:t>
      </w:r>
      <w:r w:rsidRPr="00667B58">
        <w:rPr>
          <w:rFonts w:ascii="Times New Roman" w:hAnsi="Times New Roman" w:cs="Times New Roman"/>
        </w:rPr>
        <w:t>.</w:t>
      </w:r>
      <w:hyperlink r:id="rId33"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://doi.org/10.1093/</w:t>
        </w:r>
        <w:proofErr w:type="spellStart"/>
        <w:r w:rsidR="007B4A17" w:rsidRPr="00F534ED">
          <w:rPr>
            <w:rStyle w:val="Hyperlink"/>
            <w:rFonts w:ascii="Times New Roman" w:hAnsi="Times New Roman" w:cs="Times New Roman"/>
          </w:rPr>
          <w:t>ehdi</w:t>
        </w:r>
        <w:proofErr w:type="spellEnd"/>
        <w:r w:rsidR="007B4A17" w:rsidRPr="00F534ED">
          <w:rPr>
            <w:rStyle w:val="Hyperlink"/>
            <w:rFonts w:ascii="Times New Roman" w:hAnsi="Times New Roman" w:cs="Times New Roman"/>
          </w:rPr>
          <w:t>/ehdi022</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Balogun, A. K., Atta, J. A., </w:t>
      </w:r>
      <w:proofErr w:type="spellStart"/>
      <w:r w:rsidRPr="00667B58">
        <w:rPr>
          <w:rFonts w:ascii="Times New Roman" w:hAnsi="Times New Roman" w:cs="Times New Roman"/>
        </w:rPr>
        <w:t>Oyetubo</w:t>
      </w:r>
      <w:proofErr w:type="spellEnd"/>
      <w:r w:rsidRPr="00667B58">
        <w:rPr>
          <w:rFonts w:ascii="Times New Roman" w:hAnsi="Times New Roman" w:cs="Times New Roman"/>
        </w:rPr>
        <w:t>, O. M., Ibiam, V. A., Bakare-</w:t>
      </w:r>
      <w:proofErr w:type="spellStart"/>
      <w:r w:rsidRPr="00667B58">
        <w:rPr>
          <w:rFonts w:ascii="Times New Roman" w:hAnsi="Times New Roman" w:cs="Times New Roman"/>
        </w:rPr>
        <w:t>Adesokan</w:t>
      </w:r>
      <w:proofErr w:type="spellEnd"/>
      <w:r w:rsidRPr="00667B58">
        <w:rPr>
          <w:rFonts w:ascii="Times New Roman" w:hAnsi="Times New Roman" w:cs="Times New Roman"/>
        </w:rPr>
        <w:t xml:space="preserve">, K. A., &amp; Ojo, T. O. (2025). Developing culturally competent models for inclusive social work and healthcare interventions. </w:t>
      </w:r>
      <w:r w:rsidRPr="00667B58">
        <w:rPr>
          <w:rFonts w:ascii="Times New Roman" w:hAnsi="Times New Roman" w:cs="Times New Roman"/>
          <w:i/>
          <w:iCs/>
        </w:rPr>
        <w:t>International Journal of Scientific Research Archive, 14</w:t>
      </w:r>
      <w:r w:rsidRPr="00667B58">
        <w:rPr>
          <w:rFonts w:ascii="Times New Roman" w:hAnsi="Times New Roman" w:cs="Times New Roman"/>
        </w:rPr>
        <w:t>(1), 1396–1406.</w:t>
      </w:r>
      <w:hyperlink r:id="rId34" w:history="1">
        <w:r w:rsidR="007B4A17" w:rsidRPr="00F534ED">
          <w:rPr>
            <w:rStyle w:val="Hyperlink"/>
            <w:rFonts w:ascii="Times New Roman" w:hAnsi="Times New Roman" w:cs="Times New Roman"/>
          </w:rPr>
          <w:t>https://doi.org/10.5281/zenodo.10460000</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Sherry, N. L., Lee, J. Y. H., </w:t>
      </w:r>
      <w:proofErr w:type="spellStart"/>
      <w:r w:rsidRPr="00667B58">
        <w:rPr>
          <w:rFonts w:ascii="Times New Roman" w:hAnsi="Times New Roman" w:cs="Times New Roman"/>
        </w:rPr>
        <w:t>Giulieri</w:t>
      </w:r>
      <w:proofErr w:type="spellEnd"/>
      <w:r w:rsidRPr="00667B58">
        <w:rPr>
          <w:rFonts w:ascii="Times New Roman" w:hAnsi="Times New Roman" w:cs="Times New Roman"/>
        </w:rPr>
        <w:t xml:space="preserve">, S. G., et al. (2025). Genomics for antimicrobial resistance—Progress and future directions. </w:t>
      </w:r>
      <w:r w:rsidRPr="00667B58">
        <w:rPr>
          <w:rFonts w:ascii="Times New Roman" w:hAnsi="Times New Roman" w:cs="Times New Roman"/>
          <w:i/>
          <w:iCs/>
        </w:rPr>
        <w:t>Antimicrobial Agents and Chemotherapy, 69</w:t>
      </w:r>
      <w:r w:rsidRPr="00667B58">
        <w:rPr>
          <w:rFonts w:ascii="Times New Roman" w:hAnsi="Times New Roman" w:cs="Times New Roman"/>
        </w:rPr>
        <w:t>(5), e01082-24.</w:t>
      </w:r>
      <w:hyperlink r:id="rId35" w:history="1">
        <w:r w:rsidR="007B4A17" w:rsidRPr="00F534ED">
          <w:rPr>
            <w:rStyle w:val="Hyperlink"/>
            <w:rFonts w:ascii="Times New Roman" w:hAnsi="Times New Roman" w:cs="Times New Roman"/>
          </w:rPr>
          <w:t>https://doi.org/10.1128/aac.01082-24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Yussuf, M. D., Umeh, I. E., Kolawole, H. O., et al. (2025). The role of hormones in the onset and progression of endocrine and </w:t>
      </w:r>
      <w:proofErr w:type="spellStart"/>
      <w:r w:rsidRPr="00667B58">
        <w:rPr>
          <w:rFonts w:ascii="Times New Roman" w:hAnsi="Times New Roman" w:cs="Times New Roman"/>
        </w:rPr>
        <w:t>gynaecological</w:t>
      </w:r>
      <w:proofErr w:type="spellEnd"/>
      <w:r w:rsidRPr="00667B58">
        <w:rPr>
          <w:rFonts w:ascii="Times New Roman" w:hAnsi="Times New Roman" w:cs="Times New Roman"/>
        </w:rPr>
        <w:t xml:space="preserve"> cancers. </w:t>
      </w:r>
      <w:r w:rsidRPr="00667B58">
        <w:rPr>
          <w:rFonts w:ascii="Times New Roman" w:hAnsi="Times New Roman" w:cs="Times New Roman"/>
          <w:i/>
          <w:iCs/>
        </w:rPr>
        <w:t>International Journal of Advanced Biological and Biomedical Research, 13</w:t>
      </w:r>
      <w:r w:rsidRPr="00667B58">
        <w:rPr>
          <w:rFonts w:ascii="Times New Roman" w:hAnsi="Times New Roman" w:cs="Times New Roman"/>
        </w:rPr>
        <w:t>(5), 573–603.</w:t>
      </w:r>
      <w:r w:rsidRPr="00667B58">
        <w:rPr>
          <w:rFonts w:ascii="Times New Roman" w:hAnsi="Times New Roman" w:cs="Times New Roman"/>
        </w:rPr>
        <w:br/>
        <w:t xml:space="preserve">Available from: </w:t>
      </w:r>
      <w:hyperlink r:id="rId36" w:history="1">
        <w:r w:rsidRPr="00667B58">
          <w:rPr>
            <w:rStyle w:val="Hyperlink"/>
            <w:rFonts w:ascii="Times New Roman" w:hAnsi="Times New Roman" w:cs="Times New Roman"/>
          </w:rPr>
          <w:t>http://www.ijabbr.com</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Lawal, O. P., Opara, I. J., Ayo-</w:t>
      </w:r>
      <w:proofErr w:type="spellStart"/>
      <w:r w:rsidRPr="00667B58">
        <w:rPr>
          <w:rFonts w:ascii="Times New Roman" w:hAnsi="Times New Roman" w:cs="Times New Roman"/>
        </w:rPr>
        <w:t>ige</w:t>
      </w:r>
      <w:proofErr w:type="spellEnd"/>
      <w:r w:rsidRPr="00667B58">
        <w:rPr>
          <w:rFonts w:ascii="Times New Roman" w:hAnsi="Times New Roman" w:cs="Times New Roman"/>
        </w:rPr>
        <w:t xml:space="preserve">, A., et al. (2025). Artificial intelligence-integrated biosensors for antimicrobial resistance detection and surveillance: A review and future perspectives for global biosecurity. </w:t>
      </w:r>
      <w:proofErr w:type="spellStart"/>
      <w:r w:rsidRPr="00667B58">
        <w:rPr>
          <w:rFonts w:ascii="Times New Roman" w:hAnsi="Times New Roman" w:cs="Times New Roman"/>
          <w:i/>
          <w:iCs/>
        </w:rPr>
        <w:t>Cureus</w:t>
      </w:r>
      <w:r w:rsidRPr="00667B58">
        <w:rPr>
          <w:rFonts w:ascii="Times New Roman" w:hAnsi="Times New Roman" w:cs="Times New Roman"/>
        </w:rPr>
        <w:t>.</w:t>
      </w:r>
      <w:hyperlink r:id="rId37"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://doi.org/10.7759/cureus.433730</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Jimoh, T. S., Mensah, E. K., Falakin, T. O., &amp; Blessing, A. A. (2025). Black soldier fly meal as a sustainable alternative to fishmeal in rainbow trout: Impacts on growth, nutrient utilization, and sustainability. </w:t>
      </w:r>
      <w:r w:rsidRPr="00667B58">
        <w:rPr>
          <w:rFonts w:ascii="Times New Roman" w:hAnsi="Times New Roman" w:cs="Times New Roman"/>
          <w:i/>
          <w:iCs/>
        </w:rPr>
        <w:t>Journal of Agriculture, Aquaculture, and Animal Science, 2</w:t>
      </w:r>
      <w:r w:rsidRPr="00667B58">
        <w:rPr>
          <w:rFonts w:ascii="Times New Roman" w:hAnsi="Times New Roman" w:cs="Times New Roman"/>
        </w:rPr>
        <w:t>(2), 103–111.</w:t>
      </w:r>
      <w:hyperlink r:id="rId38" w:history="1">
        <w:r w:rsidR="007B4A17" w:rsidRPr="00F534ED">
          <w:rPr>
            <w:rStyle w:val="Hyperlink"/>
            <w:rFonts w:ascii="Times New Roman" w:hAnsi="Times New Roman" w:cs="Times New Roman"/>
          </w:rPr>
          <w:t>https://doi.org/10.69739/jaaas.v2i2.1054</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Omale, L. E., Ibiam, V. A., </w:t>
      </w:r>
      <w:proofErr w:type="spellStart"/>
      <w:r w:rsidRPr="00667B58">
        <w:rPr>
          <w:rFonts w:ascii="Times New Roman" w:hAnsi="Times New Roman" w:cs="Times New Roman"/>
        </w:rPr>
        <w:t>Sidikat</w:t>
      </w:r>
      <w:proofErr w:type="spellEnd"/>
      <w:r w:rsidRPr="00667B58">
        <w:rPr>
          <w:rFonts w:ascii="Times New Roman" w:hAnsi="Times New Roman" w:cs="Times New Roman"/>
        </w:rPr>
        <w:t xml:space="preserve">, L. W., &amp; Taiwo, O. (2025). Transformative applications of artificial intelligence in infectious disease forecasting and public health decision support systems. </w:t>
      </w:r>
      <w:r w:rsidRPr="00667B58">
        <w:rPr>
          <w:rFonts w:ascii="Times New Roman" w:hAnsi="Times New Roman" w:cs="Times New Roman"/>
          <w:i/>
          <w:iCs/>
        </w:rPr>
        <w:t xml:space="preserve">World Journal of Advanced Research and </w:t>
      </w:r>
      <w:proofErr w:type="spellStart"/>
      <w:r w:rsidRPr="00667B58">
        <w:rPr>
          <w:rFonts w:ascii="Times New Roman" w:hAnsi="Times New Roman" w:cs="Times New Roman"/>
          <w:i/>
          <w:iCs/>
        </w:rPr>
        <w:t>Reviews</w:t>
      </w:r>
      <w:r w:rsidRPr="00667B58">
        <w:rPr>
          <w:rFonts w:ascii="Times New Roman" w:hAnsi="Times New Roman" w:cs="Times New Roman"/>
        </w:rPr>
        <w:t>.</w:t>
      </w:r>
      <w:hyperlink r:id="rId39" w:history="1">
        <w:r w:rsidR="007B4A17" w:rsidRPr="00F534ED">
          <w:rPr>
            <w:rStyle w:val="Hyperlink"/>
            <w:rFonts w:ascii="Times New Roman" w:hAnsi="Times New Roman" w:cs="Times New Roman"/>
          </w:rPr>
          <w:t>https</w:t>
        </w:r>
        <w:proofErr w:type="spellEnd"/>
        <w:r w:rsidR="007B4A17" w:rsidRPr="00F534ED">
          <w:rPr>
            <w:rStyle w:val="Hyperlink"/>
            <w:rFonts w:ascii="Times New Roman" w:hAnsi="Times New Roman" w:cs="Times New Roman"/>
          </w:rPr>
          <w:t>://doi.org/10.30574/wjarr.2025.25.3.1002</w:t>
        </w:r>
      </w:hyperlink>
    </w:p>
    <w:p w:rsidR="00667B58" w:rsidRPr="00667B58" w:rsidRDefault="00667B58" w:rsidP="00667B58">
      <w:pPr>
        <w:numPr>
          <w:ilvl w:val="0"/>
          <w:numId w:val="4"/>
        </w:numPr>
        <w:rPr>
          <w:rFonts w:ascii="Times New Roman" w:hAnsi="Times New Roman" w:cs="Times New Roman"/>
        </w:rPr>
      </w:pPr>
      <w:r w:rsidRPr="00667B58">
        <w:rPr>
          <w:rFonts w:ascii="Times New Roman" w:hAnsi="Times New Roman" w:cs="Times New Roman"/>
        </w:rPr>
        <w:t xml:space="preserve">Ibiam, V. A., Omale, L. E., &amp; Taiwo, O. (2025). The role of artificial intelligence models in clinical decision support for infectious disease diagnosis and personalized treatment planning. </w:t>
      </w:r>
      <w:r w:rsidRPr="00667B58">
        <w:rPr>
          <w:rFonts w:ascii="Times New Roman" w:hAnsi="Times New Roman" w:cs="Times New Roman"/>
          <w:i/>
          <w:iCs/>
        </w:rPr>
        <w:t>International Journal of Science and Research Archive, 14</w:t>
      </w:r>
      <w:r w:rsidRPr="00667B58">
        <w:rPr>
          <w:rFonts w:ascii="Times New Roman" w:hAnsi="Times New Roman" w:cs="Times New Roman"/>
        </w:rPr>
        <w:t>(3), 1337–1347.</w:t>
      </w:r>
      <w:hyperlink r:id="rId40" w:history="1">
        <w:r w:rsidR="007B4A17" w:rsidRPr="00F534ED">
          <w:rPr>
            <w:rStyle w:val="Hyperlink"/>
            <w:rFonts w:ascii="Times New Roman" w:hAnsi="Times New Roman" w:cs="Times New Roman"/>
          </w:rPr>
          <w:t>https://doi.org/10.30574/ijsra.2025.14.3.0769</w:t>
        </w:r>
      </w:hyperlink>
    </w:p>
    <w:p w:rsidR="007A7561" w:rsidRDefault="007A7561" w:rsidP="00667B58">
      <w:bookmarkStart w:id="4" w:name="_GoBack"/>
      <w:bookmarkEnd w:id="4"/>
    </w:p>
    <w:sectPr w:rsidR="007A7561" w:rsidSect="00E82B3A">
      <w:headerReference w:type="even" r:id="rId41"/>
      <w:headerReference w:type="default" r:id="rId42"/>
      <w:footerReference w:type="even" r:id="rId43"/>
      <w:footerReference w:type="default" r:id="rId44"/>
      <w:headerReference w:type="first" r:id="rId45"/>
      <w:footerReference w:type="first" r:id="rId4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23E8D" w:rsidRDefault="00123E8D" w:rsidP="00C37D4A">
      <w:pPr>
        <w:spacing w:after="0" w:line="240" w:lineRule="auto"/>
      </w:pPr>
      <w:r>
        <w:separator/>
      </w:r>
    </w:p>
  </w:endnote>
  <w:endnote w:type="continuationSeparator" w:id="0">
    <w:p w:rsidR="00123E8D" w:rsidRDefault="00123E8D" w:rsidP="00C37D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AE4D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23E8D" w:rsidRDefault="00123E8D" w:rsidP="00C37D4A">
      <w:pPr>
        <w:spacing w:after="0" w:line="240" w:lineRule="auto"/>
      </w:pPr>
      <w:r>
        <w:separator/>
      </w:r>
    </w:p>
  </w:footnote>
  <w:footnote w:type="continuationSeparator" w:id="0">
    <w:p w:rsidR="00123E8D" w:rsidRDefault="00123E8D" w:rsidP="00C37D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123E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4"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123E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5"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D27" w:rsidRDefault="00123E8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0044953"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13270F"/>
    <w:multiLevelType w:val="multilevel"/>
    <w:tmpl w:val="3D94A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F810C7"/>
    <w:multiLevelType w:val="multilevel"/>
    <w:tmpl w:val="C778F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E326CB8"/>
    <w:multiLevelType w:val="multilevel"/>
    <w:tmpl w:val="1974C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CB52EC"/>
    <w:multiLevelType w:val="multilevel"/>
    <w:tmpl w:val="BC827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9639A"/>
    <w:rsid w:val="00027337"/>
    <w:rsid w:val="00036ACE"/>
    <w:rsid w:val="0004444D"/>
    <w:rsid w:val="0009065C"/>
    <w:rsid w:val="000C5212"/>
    <w:rsid w:val="000D014F"/>
    <w:rsid w:val="000F1194"/>
    <w:rsid w:val="00112BA7"/>
    <w:rsid w:val="001222FE"/>
    <w:rsid w:val="00123E8D"/>
    <w:rsid w:val="00126949"/>
    <w:rsid w:val="0013453A"/>
    <w:rsid w:val="0014407D"/>
    <w:rsid w:val="001609A4"/>
    <w:rsid w:val="00181E4C"/>
    <w:rsid w:val="001B5CA0"/>
    <w:rsid w:val="001B5EE7"/>
    <w:rsid w:val="001C08D7"/>
    <w:rsid w:val="002023A9"/>
    <w:rsid w:val="002212F3"/>
    <w:rsid w:val="00221E32"/>
    <w:rsid w:val="00273338"/>
    <w:rsid w:val="00281EAA"/>
    <w:rsid w:val="002A16D9"/>
    <w:rsid w:val="002C3D83"/>
    <w:rsid w:val="002C7E6D"/>
    <w:rsid w:val="002F4B40"/>
    <w:rsid w:val="002F6694"/>
    <w:rsid w:val="00374D0C"/>
    <w:rsid w:val="003C6A47"/>
    <w:rsid w:val="00403C7D"/>
    <w:rsid w:val="004570F4"/>
    <w:rsid w:val="004639AC"/>
    <w:rsid w:val="004875D2"/>
    <w:rsid w:val="004A6AA8"/>
    <w:rsid w:val="004C6E30"/>
    <w:rsid w:val="004D7448"/>
    <w:rsid w:val="005279DA"/>
    <w:rsid w:val="005539B0"/>
    <w:rsid w:val="0057409D"/>
    <w:rsid w:val="0059639A"/>
    <w:rsid w:val="005B26B1"/>
    <w:rsid w:val="005F37DD"/>
    <w:rsid w:val="00601849"/>
    <w:rsid w:val="00626A6E"/>
    <w:rsid w:val="00631CB8"/>
    <w:rsid w:val="00632A40"/>
    <w:rsid w:val="006444E0"/>
    <w:rsid w:val="00667B58"/>
    <w:rsid w:val="006C2338"/>
    <w:rsid w:val="006E547E"/>
    <w:rsid w:val="006F152D"/>
    <w:rsid w:val="00706731"/>
    <w:rsid w:val="007167F2"/>
    <w:rsid w:val="00732315"/>
    <w:rsid w:val="007835DC"/>
    <w:rsid w:val="00784448"/>
    <w:rsid w:val="007A7561"/>
    <w:rsid w:val="007B4A17"/>
    <w:rsid w:val="008143D9"/>
    <w:rsid w:val="00817693"/>
    <w:rsid w:val="00830D98"/>
    <w:rsid w:val="0087183A"/>
    <w:rsid w:val="008B1D54"/>
    <w:rsid w:val="009211BE"/>
    <w:rsid w:val="009A3723"/>
    <w:rsid w:val="009C1FD9"/>
    <w:rsid w:val="00A479AB"/>
    <w:rsid w:val="00A8362C"/>
    <w:rsid w:val="00A8516C"/>
    <w:rsid w:val="00A91706"/>
    <w:rsid w:val="00A93563"/>
    <w:rsid w:val="00A9369D"/>
    <w:rsid w:val="00AA15BA"/>
    <w:rsid w:val="00AD4C89"/>
    <w:rsid w:val="00AD780F"/>
    <w:rsid w:val="00AE4D27"/>
    <w:rsid w:val="00B00273"/>
    <w:rsid w:val="00B3412D"/>
    <w:rsid w:val="00B440CC"/>
    <w:rsid w:val="00B53F44"/>
    <w:rsid w:val="00B60520"/>
    <w:rsid w:val="00BB47BF"/>
    <w:rsid w:val="00BC16F8"/>
    <w:rsid w:val="00C017B6"/>
    <w:rsid w:val="00C03B1C"/>
    <w:rsid w:val="00C07B6A"/>
    <w:rsid w:val="00C120B5"/>
    <w:rsid w:val="00C37D4A"/>
    <w:rsid w:val="00C5330F"/>
    <w:rsid w:val="00C55F66"/>
    <w:rsid w:val="00C758D7"/>
    <w:rsid w:val="00C86CF2"/>
    <w:rsid w:val="00CB0F3D"/>
    <w:rsid w:val="00CB52AD"/>
    <w:rsid w:val="00CB6D4F"/>
    <w:rsid w:val="00CE5D7B"/>
    <w:rsid w:val="00D01819"/>
    <w:rsid w:val="00D23EDF"/>
    <w:rsid w:val="00D47335"/>
    <w:rsid w:val="00D53C9C"/>
    <w:rsid w:val="00D60564"/>
    <w:rsid w:val="00D73669"/>
    <w:rsid w:val="00DB180F"/>
    <w:rsid w:val="00DB2524"/>
    <w:rsid w:val="00DF4418"/>
    <w:rsid w:val="00E34434"/>
    <w:rsid w:val="00E34D38"/>
    <w:rsid w:val="00E6704E"/>
    <w:rsid w:val="00E81DAD"/>
    <w:rsid w:val="00E82B3A"/>
    <w:rsid w:val="00E90F39"/>
    <w:rsid w:val="00E91D8A"/>
    <w:rsid w:val="00EB6340"/>
    <w:rsid w:val="00F03516"/>
    <w:rsid w:val="00F133A4"/>
    <w:rsid w:val="00F23247"/>
    <w:rsid w:val="00F32D87"/>
    <w:rsid w:val="00F51798"/>
    <w:rsid w:val="00F54D3F"/>
    <w:rsid w:val="00F76BD5"/>
    <w:rsid w:val="00F96FF3"/>
    <w:rsid w:val="00F978E7"/>
    <w:rsid w:val="00FE25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5D0A10"/>
  <w15:docId w15:val="{CA5EAA87-4535-4ABB-B8A4-DD9759CE58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82B3A"/>
  </w:style>
  <w:style w:type="paragraph" w:styleId="Heading1">
    <w:name w:val="heading 1"/>
    <w:basedOn w:val="Normal"/>
    <w:next w:val="Normal"/>
    <w:link w:val="Heading1Char"/>
    <w:uiPriority w:val="9"/>
    <w:qFormat/>
    <w:rsid w:val="0059639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639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639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639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639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639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639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639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639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639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639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639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639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639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639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639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639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639A"/>
    <w:rPr>
      <w:rFonts w:eastAsiaTheme="majorEastAsia" w:cstheme="majorBidi"/>
      <w:color w:val="272727" w:themeColor="text1" w:themeTint="D8"/>
    </w:rPr>
  </w:style>
  <w:style w:type="paragraph" w:styleId="Title">
    <w:name w:val="Title"/>
    <w:basedOn w:val="Normal"/>
    <w:next w:val="Normal"/>
    <w:link w:val="TitleChar"/>
    <w:uiPriority w:val="10"/>
    <w:qFormat/>
    <w:rsid w:val="005963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639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639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639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639A"/>
    <w:pPr>
      <w:spacing w:before="160"/>
      <w:jc w:val="center"/>
    </w:pPr>
    <w:rPr>
      <w:i/>
      <w:iCs/>
      <w:color w:val="404040" w:themeColor="text1" w:themeTint="BF"/>
    </w:rPr>
  </w:style>
  <w:style w:type="character" w:customStyle="1" w:styleId="QuoteChar">
    <w:name w:val="Quote Char"/>
    <w:basedOn w:val="DefaultParagraphFont"/>
    <w:link w:val="Quote"/>
    <w:uiPriority w:val="29"/>
    <w:rsid w:val="0059639A"/>
    <w:rPr>
      <w:i/>
      <w:iCs/>
      <w:color w:val="404040" w:themeColor="text1" w:themeTint="BF"/>
    </w:rPr>
  </w:style>
  <w:style w:type="paragraph" w:styleId="ListParagraph">
    <w:name w:val="List Paragraph"/>
    <w:basedOn w:val="Normal"/>
    <w:uiPriority w:val="34"/>
    <w:qFormat/>
    <w:rsid w:val="0059639A"/>
    <w:pPr>
      <w:ind w:left="720"/>
      <w:contextualSpacing/>
    </w:pPr>
  </w:style>
  <w:style w:type="character" w:styleId="IntenseEmphasis">
    <w:name w:val="Intense Emphasis"/>
    <w:basedOn w:val="DefaultParagraphFont"/>
    <w:uiPriority w:val="21"/>
    <w:qFormat/>
    <w:rsid w:val="0059639A"/>
    <w:rPr>
      <w:i/>
      <w:iCs/>
      <w:color w:val="2F5496" w:themeColor="accent1" w:themeShade="BF"/>
    </w:rPr>
  </w:style>
  <w:style w:type="paragraph" w:styleId="IntenseQuote">
    <w:name w:val="Intense Quote"/>
    <w:basedOn w:val="Normal"/>
    <w:next w:val="Normal"/>
    <w:link w:val="IntenseQuoteChar"/>
    <w:uiPriority w:val="30"/>
    <w:qFormat/>
    <w:rsid w:val="0059639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639A"/>
    <w:rPr>
      <w:i/>
      <w:iCs/>
      <w:color w:val="2F5496" w:themeColor="accent1" w:themeShade="BF"/>
    </w:rPr>
  </w:style>
  <w:style w:type="character" w:styleId="IntenseReference">
    <w:name w:val="Intense Reference"/>
    <w:basedOn w:val="DefaultParagraphFont"/>
    <w:uiPriority w:val="32"/>
    <w:qFormat/>
    <w:rsid w:val="0059639A"/>
    <w:rPr>
      <w:b/>
      <w:bCs/>
      <w:smallCaps/>
      <w:color w:val="2F5496" w:themeColor="accent1" w:themeShade="BF"/>
      <w:spacing w:val="5"/>
    </w:rPr>
  </w:style>
  <w:style w:type="paragraph" w:styleId="Bibliography">
    <w:name w:val="Bibliography"/>
    <w:basedOn w:val="Normal"/>
    <w:next w:val="Normal"/>
    <w:uiPriority w:val="37"/>
    <w:unhideWhenUsed/>
    <w:rsid w:val="007A7561"/>
    <w:pPr>
      <w:tabs>
        <w:tab w:val="left" w:pos="504"/>
      </w:tabs>
      <w:spacing w:after="240" w:line="240" w:lineRule="auto"/>
      <w:ind w:left="504" w:hanging="504"/>
    </w:pPr>
  </w:style>
  <w:style w:type="character" w:styleId="Hyperlink">
    <w:name w:val="Hyperlink"/>
    <w:basedOn w:val="DefaultParagraphFont"/>
    <w:uiPriority w:val="99"/>
    <w:unhideWhenUsed/>
    <w:rsid w:val="00C017B6"/>
    <w:rPr>
      <w:color w:val="0563C1" w:themeColor="hyperlink"/>
      <w:u w:val="single"/>
    </w:rPr>
  </w:style>
  <w:style w:type="character" w:customStyle="1" w:styleId="UnresolvedMention1">
    <w:name w:val="Unresolved Mention1"/>
    <w:basedOn w:val="DefaultParagraphFont"/>
    <w:uiPriority w:val="99"/>
    <w:semiHidden/>
    <w:unhideWhenUsed/>
    <w:rsid w:val="00C017B6"/>
    <w:rPr>
      <w:color w:val="605E5C"/>
      <w:shd w:val="clear" w:color="auto" w:fill="E1DFDD"/>
    </w:rPr>
  </w:style>
  <w:style w:type="paragraph" w:styleId="Header">
    <w:name w:val="header"/>
    <w:basedOn w:val="Normal"/>
    <w:link w:val="HeaderChar"/>
    <w:uiPriority w:val="99"/>
    <w:unhideWhenUsed/>
    <w:rsid w:val="00C37D4A"/>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7D4A"/>
  </w:style>
  <w:style w:type="paragraph" w:styleId="Footer">
    <w:name w:val="footer"/>
    <w:basedOn w:val="Normal"/>
    <w:link w:val="FooterChar"/>
    <w:uiPriority w:val="99"/>
    <w:unhideWhenUsed/>
    <w:rsid w:val="00C37D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7D4A"/>
  </w:style>
  <w:style w:type="paragraph" w:styleId="BalloonText">
    <w:name w:val="Balloon Text"/>
    <w:basedOn w:val="Normal"/>
    <w:link w:val="BalloonTextChar"/>
    <w:uiPriority w:val="99"/>
    <w:semiHidden/>
    <w:unhideWhenUsed/>
    <w:rsid w:val="000F11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194"/>
    <w:rPr>
      <w:rFonts w:ascii="Tahoma" w:hAnsi="Tahoma" w:cs="Tahoma"/>
      <w:sz w:val="16"/>
      <w:szCs w:val="16"/>
    </w:rPr>
  </w:style>
  <w:style w:type="character" w:styleId="UnresolvedMention">
    <w:name w:val="Unresolved Mention"/>
    <w:basedOn w:val="DefaultParagraphFont"/>
    <w:uiPriority w:val="99"/>
    <w:semiHidden/>
    <w:unhideWhenUsed/>
    <w:rsid w:val="00667B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16/j.ijpddr.2021.12.001" TargetMode="External"/><Relationship Id="rId18" Type="http://schemas.openxmlformats.org/officeDocument/2006/relationships/hyperlink" Target="https://doi.org/10.3390/ijtm5010006" TargetMode="External"/><Relationship Id="rId26" Type="http://schemas.openxmlformats.org/officeDocument/2006/relationships/hyperlink" Target="https://doi.org/10.3390/biomedicines10123039" TargetMode="External"/><Relationship Id="rId39" Type="http://schemas.openxmlformats.org/officeDocument/2006/relationships/hyperlink" Target="https://doi.org/10.30574/wjarr.2025.25.3.1002" TargetMode="External"/><Relationship Id="rId21" Type="http://schemas.openxmlformats.org/officeDocument/2006/relationships/hyperlink" Target="https://doi.org/10.1016/j.ijpddr.2025.100579" TargetMode="External"/><Relationship Id="rId34" Type="http://schemas.openxmlformats.org/officeDocument/2006/relationships/hyperlink" Target="https://doi.org/10.5281/zenodo.10460000" TargetMode="External"/><Relationship Id="rId42" Type="http://schemas.openxmlformats.org/officeDocument/2006/relationships/header" Target="header2.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07/s00436-024-08432-6" TargetMode="External"/><Relationship Id="rId29" Type="http://schemas.openxmlformats.org/officeDocument/2006/relationships/hyperlink" Target="https://www.clinmedkaz.or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389/fpubh.2024.1283054" TargetMode="External"/><Relationship Id="rId24" Type="http://schemas.openxmlformats.org/officeDocument/2006/relationships/hyperlink" Target="https://www.who.int/publications/i/item/9789240004083" TargetMode="External"/><Relationship Id="rId32" Type="http://schemas.openxmlformats.org/officeDocument/2006/relationships/hyperlink" Target="https://doi.org/10.63946/aubiomed/17426" TargetMode="External"/><Relationship Id="rId37" Type="http://schemas.openxmlformats.org/officeDocument/2006/relationships/hyperlink" Target="https://doi.org/10.7759/cureus.433730" TargetMode="External"/><Relationship Id="rId40" Type="http://schemas.openxmlformats.org/officeDocument/2006/relationships/hyperlink" Target="https://doi.org/10.30574/ijsra.2025.14.3.0769" TargetMode="External"/><Relationship Id="rId45"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https://doi.org/10.2147/IDR.S332378" TargetMode="External"/><Relationship Id="rId23" Type="http://schemas.openxmlformats.org/officeDocument/2006/relationships/hyperlink" Target="https://doi.org/10.3390/pathogens12060755" TargetMode="External"/><Relationship Id="rId28" Type="http://schemas.openxmlformats.org/officeDocument/2006/relationships/hyperlink" Target="https://doi.org/10.54034/mic.e2305" TargetMode="External"/><Relationship Id="rId36" Type="http://schemas.openxmlformats.org/officeDocument/2006/relationships/hyperlink" Target="http://www.ijabbr.com/" TargetMode="External"/><Relationship Id="rId10" Type="http://schemas.openxmlformats.org/officeDocument/2006/relationships/hyperlink" Target="https://doi.org/10.3389/fpara.2023.1197956" TargetMode="External"/><Relationship Id="rId19" Type="http://schemas.openxmlformats.org/officeDocument/2006/relationships/hyperlink" Target="https://doi.org/10.1186/s12982-025-00526-5" TargetMode="External"/><Relationship Id="rId31" Type="http://schemas.openxmlformats.org/officeDocument/2006/relationships/hyperlink" Target="https://doi.org/10.30574/ijsra.2025.14.1.0224" TargetMode="External"/><Relationship Id="rId44"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doi.org/10.1186/s12889-024-21210-4" TargetMode="External"/><Relationship Id="rId14" Type="http://schemas.openxmlformats.org/officeDocument/2006/relationships/hyperlink" Target="https://www.ncbi.nlm.nih.gov/books/NBK526134/" TargetMode="External"/><Relationship Id="rId22" Type="http://schemas.openxmlformats.org/officeDocument/2006/relationships/hyperlink" Target="https://doi.org/10.1016/j.bjid.2025.104556" TargetMode="External"/><Relationship Id="rId27" Type="http://schemas.openxmlformats.org/officeDocument/2006/relationships/hyperlink" Target="https://doi.org/10.3390/applbiosci4020023" TargetMode="External"/><Relationship Id="rId30" Type="http://schemas.openxmlformats.org/officeDocument/2006/relationships/hyperlink" Target="https://doi.org/10.56557/ajmab/2025/v10i19371" TargetMode="External"/><Relationship Id="rId35" Type="http://schemas.openxmlformats.org/officeDocument/2006/relationships/hyperlink" Target="https://doi.org/10.1128/aac.01082-24" TargetMode="External"/><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doi.org/10.1016/j.ijpddr.2022.10.004" TargetMode="External"/><Relationship Id="rId17" Type="http://schemas.openxmlformats.org/officeDocument/2006/relationships/hyperlink" Target="https://doi.org/10.1017/S0031182005008218" TargetMode="External"/><Relationship Id="rId25" Type="http://schemas.openxmlformats.org/officeDocument/2006/relationships/hyperlink" Target="https://doi.org/10.3390/microbiolres14020037" TargetMode="External"/><Relationship Id="rId33" Type="http://schemas.openxmlformats.org/officeDocument/2006/relationships/hyperlink" Target="https://doi.org/10.1093/ehdi/ehdi022" TargetMode="External"/><Relationship Id="rId38" Type="http://schemas.openxmlformats.org/officeDocument/2006/relationships/hyperlink" Target="https://doi.org/10.69739/jaaas.v2i2.1054" TargetMode="External"/><Relationship Id="rId46" Type="http://schemas.openxmlformats.org/officeDocument/2006/relationships/footer" Target="footer3.xml"/><Relationship Id="rId20" Type="http://schemas.openxmlformats.org/officeDocument/2006/relationships/hyperlink" Target="https://doi.org/10.3390/biomedicines12071467" TargetMode="External"/><Relationship Id="rId4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17</Pages>
  <Words>19346</Words>
  <Characters>110275</Characters>
  <Application>Microsoft Office Word</Application>
  <DocSecurity>0</DocSecurity>
  <Lines>918</Lines>
  <Paragraphs>258</Paragraphs>
  <ScaleCrop>false</ScaleCrop>
  <Company/>
  <LinksUpToDate>false</LinksUpToDate>
  <CharactersWithSpaces>129363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1186</cp:lastModifiedBy>
  <cp:revision>126</cp:revision>
  <dcterms:created xsi:type="dcterms:W3CDTF">2025-12-09T02:42:00Z</dcterms:created>
  <dcterms:modified xsi:type="dcterms:W3CDTF">2025-12-20T06:45:00Z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id="Wul5EBW7"/&gt;&lt;style id="http://www.zotero.org/styles/vancouver-brackets" locale="en-US" hasBibliography="1" bibliographyStyleHasBeenSet="1"/&gt;&lt;prefs&gt;&lt;pref name="fieldType" value="Field"/&gt;&lt;/prefs&gt;&lt;/d</vt:lpwstr>
  </property>
  <property fmtid="{D5CDD505-2E9C-101B-9397-08002B2CF9AE}" pid="3" name="ZOTERO_PREF_2">
    <vt:lpwstr>ata&gt;</vt:lpwstr>
  </property>
  <property fmtid="{D5CDD505-2E9C-101B-9397-08002B2CF9AE}" pid="4" name="GrammarlyDocumentId">
    <vt:lpwstr>852927b9-bcd6-465f-ab2e-371962b9a220</vt:lpwstr>
  </property>
</Properties>
</file>