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03C7D" w:rsidRDefault="00403C7D" w:rsidP="00DB180F">
      <w:pPr>
        <w:rPr>
          <w:rFonts w:ascii="Times New Roman" w:hAnsi="Times New Roman" w:cs="Times New Roman"/>
          <w:b/>
          <w:bCs/>
        </w:rPr>
      </w:pPr>
      <w:r>
        <w:rPr>
          <w:rFonts w:ascii="Times New Roman" w:hAnsi="Times New Roman" w:cs="Times New Roman"/>
          <w:b/>
          <w:bCs/>
        </w:rPr>
        <w:t>Review Article</w:t>
      </w:r>
    </w:p>
    <w:p w:rsidR="00DB180F" w:rsidRDefault="00DB180F" w:rsidP="00DB180F">
      <w:pPr>
        <w:rPr>
          <w:rFonts w:ascii="Times New Roman" w:hAnsi="Times New Roman" w:cs="Times New Roman"/>
          <w:b/>
          <w:bCs/>
        </w:rPr>
      </w:pPr>
      <w:r w:rsidRPr="00EB6340">
        <w:rPr>
          <w:rFonts w:ascii="Times New Roman" w:hAnsi="Times New Roman" w:cs="Times New Roman"/>
          <w:b/>
          <w:bCs/>
        </w:rPr>
        <w:t>Identifying Genetic Markers and Molecular Pathways Underlying Emerging Anthelmintic Resistance in Human Helminths</w:t>
      </w:r>
    </w:p>
    <w:p w:rsidR="007835DC" w:rsidRPr="00EB6340" w:rsidRDefault="007835DC" w:rsidP="007835DC">
      <w:pPr>
        <w:rPr>
          <w:rFonts w:ascii="Times New Roman" w:hAnsi="Times New Roman" w:cs="Times New Roman"/>
          <w:b/>
          <w:bCs/>
        </w:rPr>
      </w:pPr>
      <w:r w:rsidRPr="00EB6340">
        <w:rPr>
          <w:rFonts w:ascii="Times New Roman" w:hAnsi="Times New Roman" w:cs="Times New Roman"/>
          <w:b/>
          <w:bCs/>
        </w:rPr>
        <w:t>Abstract</w:t>
      </w:r>
    </w:p>
    <w:p w:rsidR="00A479AB" w:rsidRPr="00A479AB" w:rsidRDefault="00A479AB" w:rsidP="00A479AB">
      <w:pPr>
        <w:rPr>
          <w:rFonts w:ascii="Times New Roman" w:hAnsi="Times New Roman" w:cs="Times New Roman"/>
        </w:rPr>
      </w:pPr>
      <w:r w:rsidRPr="00A479AB">
        <w:rPr>
          <w:rFonts w:ascii="Times New Roman" w:hAnsi="Times New Roman" w:cs="Times New Roman"/>
        </w:rPr>
        <w:t>Helminth infections remain a major cause of morbidity in low- and middle-income regions, despite decades of large-scale preventive chemotherapy programs. Current control strategies rely heavily on a limited number of anthelmintic drug classes</w:t>
      </w:r>
      <w:r w:rsidR="00E81DAD">
        <w:rPr>
          <w:rFonts w:ascii="Times New Roman" w:hAnsi="Times New Roman" w:cs="Times New Roman"/>
        </w:rPr>
        <w:t>:</w:t>
      </w:r>
      <w:r>
        <w:rPr>
          <w:rFonts w:ascii="Times New Roman" w:hAnsi="Times New Roman" w:cs="Times New Roman"/>
        </w:rPr>
        <w:t xml:space="preserve"> </w:t>
      </w:r>
      <w:r w:rsidRPr="00A479AB">
        <w:rPr>
          <w:rFonts w:ascii="Times New Roman" w:hAnsi="Times New Roman" w:cs="Times New Roman"/>
          <w:b/>
          <w:bCs/>
        </w:rPr>
        <w:t>benzimidazoles, macrocyclic lactones, and cholinergic agonists</w:t>
      </w:r>
      <w:r>
        <w:rPr>
          <w:rFonts w:ascii="Times New Roman" w:hAnsi="Times New Roman" w:cs="Times New Roman"/>
        </w:rPr>
        <w:t xml:space="preserve"> </w:t>
      </w:r>
      <w:r w:rsidRPr="00A479AB">
        <w:rPr>
          <w:rFonts w:ascii="Times New Roman" w:hAnsi="Times New Roman" w:cs="Times New Roman"/>
        </w:rPr>
        <w:t xml:space="preserve">administered repeatedly through mass drug administration (MDA). This sustained reliance has increased selective pressure on parasite populations, raising growing concern about the emergence of drug resistance that could undermine long-term program effectiveness. While anthelmintic resistance is well documented in veterinary helminths, molecular evidence in human parasites remains fragmented and </w:t>
      </w:r>
      <w:proofErr w:type="spellStart"/>
      <w:r w:rsidRPr="00A479AB">
        <w:rPr>
          <w:rFonts w:ascii="Times New Roman" w:hAnsi="Times New Roman" w:cs="Times New Roman"/>
        </w:rPr>
        <w:t>undercharacterized</w:t>
      </w:r>
      <w:proofErr w:type="spellEnd"/>
      <w:r w:rsidRPr="00A479AB">
        <w:rPr>
          <w:rFonts w:ascii="Times New Roman" w:hAnsi="Times New Roman" w:cs="Times New Roman"/>
        </w:rPr>
        <w:t>.</w:t>
      </w:r>
      <w:r>
        <w:rPr>
          <w:rFonts w:ascii="Times New Roman" w:hAnsi="Times New Roman" w:cs="Times New Roman"/>
        </w:rPr>
        <w:t xml:space="preserve"> </w:t>
      </w:r>
      <w:r w:rsidRPr="00A479AB">
        <w:rPr>
          <w:rFonts w:ascii="Times New Roman" w:hAnsi="Times New Roman" w:cs="Times New Roman"/>
        </w:rPr>
        <w:t>This review provides an integrative, human-helminth–focused synthesis of current knowledge on genetic markers and molecular pathways associated with emerging anthelmintic resistance. We summarize evidence for β-tubulin polymorphisms linked to benzimidazole resistance, alterations in ligand-gated ion channels affecting macrocyclic lactone sensitivity, and the upregulation of efflux transporter systems that contribute to multidrug tolerance. We also examine transcriptomic, metabolic, and regulatory pathways—including detoxification networks and epigenetic modifications</w:t>
      </w:r>
      <w:r>
        <w:rPr>
          <w:rFonts w:ascii="Times New Roman" w:hAnsi="Times New Roman" w:cs="Times New Roman"/>
        </w:rPr>
        <w:t xml:space="preserve"> </w:t>
      </w:r>
      <w:r w:rsidRPr="00A479AB">
        <w:rPr>
          <w:rFonts w:ascii="Times New Roman" w:hAnsi="Times New Roman" w:cs="Times New Roman"/>
        </w:rPr>
        <w:t>that may stabilize resistance phenotypes and offset associated fitness costs. Advances in genomics, population genetics, and functional approaches are accelerating the detection of resistance signals, although standardized molecular surveillance frameworks for human helminths remain limited.</w:t>
      </w:r>
      <w:r>
        <w:rPr>
          <w:rFonts w:ascii="Times New Roman" w:hAnsi="Times New Roman" w:cs="Times New Roman"/>
        </w:rPr>
        <w:t xml:space="preserve"> </w:t>
      </w:r>
      <w:r w:rsidRPr="00A479AB">
        <w:rPr>
          <w:rFonts w:ascii="Times New Roman" w:hAnsi="Times New Roman" w:cs="Times New Roman"/>
        </w:rPr>
        <w:t>We discuss the public health implications of these findings, highlight vulnerabilities in MDA-based control programs, and outline future strategies—including molecular diagnostics, combination therapies, and genomic surveillance—to support sustainable helminth control and guide anthelmintic development.</w:t>
      </w:r>
    </w:p>
    <w:p w:rsidR="000C5212" w:rsidRPr="00EB6340" w:rsidRDefault="000C5212" w:rsidP="000C5212">
      <w:pPr>
        <w:rPr>
          <w:rFonts w:ascii="Times New Roman" w:hAnsi="Times New Roman" w:cs="Times New Roman"/>
          <w:b/>
          <w:bCs/>
        </w:rPr>
      </w:pPr>
      <w:r w:rsidRPr="00EB6340">
        <w:rPr>
          <w:rFonts w:ascii="Times New Roman" w:hAnsi="Times New Roman" w:cs="Times New Roman"/>
          <w:b/>
          <w:bCs/>
        </w:rPr>
        <w:t xml:space="preserve">Keywords: </w:t>
      </w:r>
      <w:r w:rsidRPr="00EB6340">
        <w:rPr>
          <w:rFonts w:ascii="Times New Roman" w:hAnsi="Times New Roman" w:cs="Times New Roman"/>
        </w:rPr>
        <w:t>Anthelmintic resistance; Helminths; Benzimidazoles; β-tubulin polymorphisms; Macrocyclic lactones; Glutamate-gated chloride channels; ABC transporters; Molecular diagnostics; Mass drug administration; Genomic surveillance; Drug efficacy; Parasite evolution.</w:t>
      </w:r>
    </w:p>
    <w:p w:rsidR="000C5212" w:rsidRPr="00EB6340" w:rsidRDefault="000C5212" w:rsidP="007835DC">
      <w:pPr>
        <w:rPr>
          <w:rFonts w:ascii="Times New Roman" w:hAnsi="Times New Roman" w:cs="Times New Roman"/>
        </w:rPr>
      </w:pPr>
    </w:p>
    <w:p w:rsidR="0059639A" w:rsidRPr="00EB6340" w:rsidRDefault="0059639A" w:rsidP="0059639A">
      <w:pPr>
        <w:rPr>
          <w:rFonts w:ascii="Times New Roman" w:hAnsi="Times New Roman" w:cs="Times New Roman"/>
          <w:b/>
          <w:bCs/>
        </w:rPr>
      </w:pPr>
      <w:r w:rsidRPr="00EB6340">
        <w:rPr>
          <w:rFonts w:ascii="Times New Roman" w:hAnsi="Times New Roman" w:cs="Times New Roman"/>
          <w:b/>
          <w:bCs/>
        </w:rPr>
        <w:t>1. Introduction</w:t>
      </w:r>
    </w:p>
    <w:p w:rsidR="0059639A" w:rsidRPr="00EB6340" w:rsidRDefault="0059639A" w:rsidP="0059639A">
      <w:pPr>
        <w:rPr>
          <w:rFonts w:ascii="Times New Roman" w:hAnsi="Times New Roman" w:cs="Times New Roman"/>
        </w:rPr>
      </w:pPr>
      <w:r w:rsidRPr="00EB6340">
        <w:rPr>
          <w:rFonts w:ascii="Times New Roman" w:hAnsi="Times New Roman" w:cs="Times New Roman"/>
        </w:rPr>
        <w:t xml:space="preserve">Human helminth infections remain among the most widespread neglected tropical diseases, disproportionately affecting populations in low- and middle-income countries. Soil-transmitted helminths such as </w:t>
      </w:r>
      <w:r w:rsidRPr="00EB6340">
        <w:rPr>
          <w:rFonts w:ascii="Times New Roman" w:hAnsi="Times New Roman" w:cs="Times New Roman"/>
          <w:i/>
          <w:iCs/>
        </w:rPr>
        <w:t>Ascaris lumbricoides</w:t>
      </w:r>
      <w:r w:rsidRPr="00EB6340">
        <w:rPr>
          <w:rFonts w:ascii="Times New Roman" w:hAnsi="Times New Roman" w:cs="Times New Roman"/>
        </w:rPr>
        <w:t xml:space="preserve">, </w:t>
      </w:r>
      <w:r w:rsidRPr="00EB6340">
        <w:rPr>
          <w:rFonts w:ascii="Times New Roman" w:hAnsi="Times New Roman" w:cs="Times New Roman"/>
          <w:i/>
          <w:iCs/>
        </w:rPr>
        <w:t xml:space="preserve">Trichuris </w:t>
      </w:r>
      <w:proofErr w:type="spellStart"/>
      <w:r w:rsidRPr="00EB6340">
        <w:rPr>
          <w:rFonts w:ascii="Times New Roman" w:hAnsi="Times New Roman" w:cs="Times New Roman"/>
          <w:i/>
          <w:iCs/>
        </w:rPr>
        <w:t>trichiura</w:t>
      </w:r>
      <w:proofErr w:type="spellEnd"/>
      <w:r w:rsidRPr="00EB6340">
        <w:rPr>
          <w:rFonts w:ascii="Times New Roman" w:hAnsi="Times New Roman" w:cs="Times New Roman"/>
        </w:rPr>
        <w:t xml:space="preserve">, and hookworms, alongside tissue-dwelling species including </w:t>
      </w:r>
      <w:proofErr w:type="spellStart"/>
      <w:r w:rsidRPr="00EB6340">
        <w:rPr>
          <w:rFonts w:ascii="Times New Roman" w:hAnsi="Times New Roman" w:cs="Times New Roman"/>
          <w:i/>
          <w:iCs/>
        </w:rPr>
        <w:t>Strongyloides</w:t>
      </w:r>
      <w:proofErr w:type="spellEnd"/>
      <w:r w:rsidRPr="00EB6340">
        <w:rPr>
          <w:rFonts w:ascii="Times New Roman" w:hAnsi="Times New Roman" w:cs="Times New Roman"/>
          <w:i/>
          <w:iCs/>
        </w:rPr>
        <w:t xml:space="preserve"> </w:t>
      </w:r>
      <w:proofErr w:type="spellStart"/>
      <w:r w:rsidRPr="00EB6340">
        <w:rPr>
          <w:rFonts w:ascii="Times New Roman" w:hAnsi="Times New Roman" w:cs="Times New Roman"/>
          <w:i/>
          <w:iCs/>
        </w:rPr>
        <w:t>stercoralis</w:t>
      </w:r>
      <w:proofErr w:type="spellEnd"/>
      <w:r w:rsidRPr="00EB6340">
        <w:rPr>
          <w:rFonts w:ascii="Times New Roman" w:hAnsi="Times New Roman" w:cs="Times New Roman"/>
        </w:rPr>
        <w:t xml:space="preserve"> and various filarial nematodes, collectively infect hundreds of millions of people worldwide. These infections contribute to chronic morbidity through malnutrition, anemia, impaired cognitive development, and reduced economic productivity. Despite notable progress in expanding preventive chemotherapy programs, </w:t>
      </w:r>
      <w:r w:rsidRPr="00EB6340">
        <w:rPr>
          <w:rFonts w:ascii="Times New Roman" w:hAnsi="Times New Roman" w:cs="Times New Roman"/>
        </w:rPr>
        <w:lastRenderedPageBreak/>
        <w:t>transmission persists in many endemic regions, underscoring the need for durable long-term control strategies</w:t>
      </w:r>
      <w:r w:rsidR="00E82B3A" w:rsidRPr="00EB6340">
        <w:rPr>
          <w:rFonts w:ascii="Times New Roman" w:hAnsi="Times New Roman" w:cs="Times New Roman"/>
        </w:rPr>
        <w:fldChar w:fldCharType="begin"/>
      </w:r>
      <w:r w:rsidR="00DB2524" w:rsidRPr="00EB6340">
        <w:rPr>
          <w:rFonts w:ascii="Times New Roman" w:hAnsi="Times New Roman" w:cs="Times New Roman"/>
        </w:rPr>
        <w:instrText xml:space="preserve"> ADDIN ZOTERO_ITEM CSL_CITATION {"citationID":"Vx8KzE43","properties":{"formattedCitation":"[1]","plainCitation":"[1]","noteIndex":0},"citationItems":[{"id":11851,"uris":["http://zotero.org/users/16652950/items/L5QMNNDB"],"itemData":{"id":11851,"type":"article-journal","abstract":"Background\nSoil-transmitted helminth (STH) infections are a significant public health concern in developing countries, particularly affecting children (5–9 years) and adolescents (10–12 years). This study investigated the prevalence of STH infections, examined associated risk factors, and assessed their impact on the nutritional status of children and adolescents.\n\nMethods\nAn analytical cross-sectional study was conducted within schools and took place from April to June 2023 and involved 382 participants in Calabar, Nigeria. All participants in the study completed a questionnaire designed to gather information on their demographics and knowledge, attitudes, and practices (KAP) regarding STH infections. Anthropometric measurements were taken according to World Health Organisation (WHO) standards. Fresh faecal samples were collected from each study participant and examined via the Kato-Katz technique. The data were analysed using STATA software, version 14. A binomial logistic regression model was used to identify predictors of STH infections and to examine the associations between STH infection status and stunting, underweight, and wasting.\n\nResults\nThe overall prevalence of STHs was 28.8%, with Ascaris lumbricoides (19.6%) being the most prevalent. The prevalence of STHs was greater among males (30.2%) than females (27.7%) and was relatively greater among participants aged 10 years and above (34.8%). All study participants recorded light infection intensities. The prevalence rates of stunting, underweight, and wasting were 10.5%, 8.4%, and 6.3%, respectively. Respondents with no history of deworming were significantly less likely to contract an STH infection (Odds Ratio: 0.2; 95% Confidence Interval: 0.1–0.4; P &lt; 0.001). The use of pit latrines was associated with a greater likelihood of STH infection (OR: 2.1; 95% CI: 1.3–3.4; P = 0.002). Additionally, respondents with poor attitude scores were significantly less likely to contract an STH infection (Adjusted Odds Ratio: 0.6; 95% CI: 0.4–0.8; P = 0.003), and those over 10 years old (OR: 0.1; 95% CI: 0.04–0.82; P = 0.027) were significantly less likely to be underweight than those aged 5–7 years. There was no association between stunting, underweight, wasting, and STH infection.\n\nConclusion\nThese findings highlight the necessity for an integrated approach to STH management and nutrition initiatives in Nigeria.","container-title":"BMC Public Health","DOI":"10.1186/s12889-024-21210-4","ISSN":"1471-2458","journalAbbreviation":"BMC Public Health","note":"PMID: 39743623\nPMCID: PMC11694370","page":"1","source":"PubMed Central","title":"Soil-transmitted helminth infections and nutritional indices among children (5–9 years) and adolescents (10–12 years) in Calabar, Nigeria","volume":"25","author":[{"family":"Usang","given":"Anok Ukam"},{"family":"Imalele","given":"Edema Enogiomwan"},{"family":"Effanga","given":"Emmanuel Offiong"},{"family":"Ukoha","given":"Ukoha Kalu"},{"family":"Eleng","given":"Ituna Emini"}],"issued":{"date-parts":[["2025",1,2]]}}}],"schema":"https://github.com/citation-style-language/schema/raw/master/csl-citation.json"} </w:instrText>
      </w:r>
      <w:r w:rsidR="00E82B3A" w:rsidRPr="00EB6340">
        <w:rPr>
          <w:rFonts w:ascii="Times New Roman" w:hAnsi="Times New Roman" w:cs="Times New Roman"/>
        </w:rPr>
        <w:fldChar w:fldCharType="separate"/>
      </w:r>
      <w:r w:rsidR="00DB2524" w:rsidRPr="00EB6340">
        <w:rPr>
          <w:rFonts w:ascii="Times New Roman" w:hAnsi="Times New Roman" w:cs="Times New Roman"/>
        </w:rPr>
        <w:t>[1]</w:t>
      </w:r>
      <w:r w:rsidR="00E82B3A" w:rsidRPr="00EB6340">
        <w:rPr>
          <w:rFonts w:ascii="Times New Roman" w:hAnsi="Times New Roman" w:cs="Times New Roman"/>
        </w:rPr>
        <w:fldChar w:fldCharType="end"/>
      </w:r>
      <w:r w:rsidRPr="00EB6340">
        <w:rPr>
          <w:rFonts w:ascii="Times New Roman" w:hAnsi="Times New Roman" w:cs="Times New Roman"/>
        </w:rPr>
        <w:t>.</w:t>
      </w:r>
    </w:p>
    <w:p w:rsidR="0059639A" w:rsidRPr="00EB6340" w:rsidRDefault="0059639A" w:rsidP="0059639A">
      <w:pPr>
        <w:rPr>
          <w:rFonts w:ascii="Times New Roman" w:hAnsi="Times New Roman" w:cs="Times New Roman"/>
        </w:rPr>
      </w:pPr>
      <w:r w:rsidRPr="00EB6340">
        <w:rPr>
          <w:rFonts w:ascii="Times New Roman" w:hAnsi="Times New Roman" w:cs="Times New Roman"/>
        </w:rPr>
        <w:t>The global approach to helminth control relies heavily on a limited pharmacological arsenal, primarily benzimidazoles, macrocyclic lactones, and a small number of cholinergic agonists. Mass drug administration (MDA) campaigns, which aim to reduce community-wide worm burden, have intensified selection pressures on parasite populations by repeated reliance on the same drug classes. This restricted therapeutic diversity heightens the risk of developing drug resistance, a problem well documented in veterinary helminths and increasingly suspected in human parasites. Reports of declining cure rates, reduced egg reduction following treatment, and molecular evidence consistent with resistance-associated mutations have raised concern that similar patterns are emerging in human helminth populations</w:t>
      </w:r>
      <w:r w:rsidR="0087183A">
        <w:rPr>
          <w:rFonts w:ascii="Times New Roman" w:hAnsi="Times New Roman" w:cs="Times New Roman"/>
        </w:rPr>
        <w:t>.</w:t>
      </w:r>
      <w:r w:rsidR="00E82B3A" w:rsidRPr="00EB6340">
        <w:rPr>
          <w:rFonts w:ascii="Times New Roman" w:hAnsi="Times New Roman" w:cs="Times New Roman"/>
        </w:rPr>
        <w:fldChar w:fldCharType="begin"/>
      </w:r>
      <w:r w:rsidR="00DB2524" w:rsidRPr="00EB6340">
        <w:rPr>
          <w:rFonts w:ascii="Times New Roman" w:hAnsi="Times New Roman" w:cs="Times New Roman"/>
        </w:rPr>
        <w:instrText xml:space="preserve"> ADDIN ZOTERO_ITEM CSL_CITATION {"citationID":"5WN5YJD4","properties":{"formattedCitation":"[2]","plainCitation":"[2]","noteIndex":0},"citationItems":[{"id":11854,"uris":["http://zotero.org/users/16652950/items/S9STZNZJ"],"itemData":{"id":11854,"type":"article-journal","abstract":"The most important soil-transmitted helminths (STHs) affecting humans are roundworms, whipworms, and hookworms, with a large proportion of the world's population infected with one or more of these intestinal parasites. On top of that, concurrent infections with several viruses, bacteria, protozoa, and other helminths such as trematodes are common in STH-endemic areas. STHs are potent immunomodulators, but knowledge about the effects of STH infection on the direction and extent of coinfections with other pathogens and vice versa is incomplete. By focusing on Kenya, a country where STH infections in humans are widespread, we provide an exemplary overview of the current prevalence of STH and co-occurring infections (e.g. with Human Immunodeficiency Virus, Plasmodium falciparum, Giardia duodenalis and Schistosoma mansoni). Using human data and complemented by experimental studies, we outline the immunomechanistic interactions of coinfections in both acutely STH transmigrated and chronically infected tissues, also highlighting their systemic nature. Depending on the coinfecting pathogen and immunological readout, STH infection may restrain, support, or even override the immune response to another pathogen. Furthermore, the timing of the particular infection and host susceptibility are decisive for the immunopathological consequences. Some examples demonstrated positive outcomes of STH coinfections, where the systemic effects of these helminths mitigate the damage caused by other pathogens. Nevertheless, the data available to date are rather unbalanced, as only a few studies have considered the effects of coinfection on the worm's life cycle and associated host immunity. These interactions are complex and depend largely on the context and biology of the coinfection, which can act in either direction, both to the benefit and detriment of the infected host.","container-title":"Frontiers in Parasitology","DOI":"10.3389/fpara.2023.1197956","ISSN":"2813-2424","journalAbbreviation":"Front. Parasitol.","language":"English","note":"publisher: Frontiers","source":"Frontiers","title":"Infection with soil-transmitted helminths and their impact on coinfections","URL":"https://www.frontiersin.org/journals/parasitology/articles/10.3389/fpara.2023.1197956/full","volume":"2","author":[{"family":"Schlosser-Brandenburg","given":"Josephine"},{"family":"Midha","given":"Ankur"},{"family":"Mugo","given":"Robert M."},{"family":"Ndombi","given":"Eric M."},{"family":"Gachara","given":"George"},{"family":"Njomo","given":"Doris"},{"family":"Rausch","given":"Sebastian"},{"family":"Hartmann","given":"Susanne"}],"accessed":{"date-parts":[["2025",12,8]]},"issued":{"date-parts":[["2023",5,24]]}}}],"schema":"https://github.com/citation-style-language/schema/raw/master/csl-citation.json"} </w:instrText>
      </w:r>
      <w:r w:rsidR="00E82B3A" w:rsidRPr="00EB6340">
        <w:rPr>
          <w:rFonts w:ascii="Times New Roman" w:hAnsi="Times New Roman" w:cs="Times New Roman"/>
        </w:rPr>
        <w:fldChar w:fldCharType="separate"/>
      </w:r>
      <w:r w:rsidR="00DB2524" w:rsidRPr="00EB6340">
        <w:rPr>
          <w:rFonts w:ascii="Times New Roman" w:hAnsi="Times New Roman" w:cs="Times New Roman"/>
        </w:rPr>
        <w:t>[2]</w:t>
      </w:r>
      <w:r w:rsidR="00E82B3A" w:rsidRPr="00EB6340">
        <w:rPr>
          <w:rFonts w:ascii="Times New Roman" w:hAnsi="Times New Roman" w:cs="Times New Roman"/>
        </w:rPr>
        <w:fldChar w:fldCharType="end"/>
      </w:r>
      <w:r w:rsidRPr="00EB6340">
        <w:rPr>
          <w:rFonts w:ascii="Times New Roman" w:hAnsi="Times New Roman" w:cs="Times New Roman"/>
        </w:rPr>
        <w:t>.</w:t>
      </w:r>
    </w:p>
    <w:p w:rsidR="0059639A" w:rsidRPr="00EB6340" w:rsidRDefault="0059639A" w:rsidP="0059639A">
      <w:pPr>
        <w:rPr>
          <w:rFonts w:ascii="Times New Roman" w:hAnsi="Times New Roman" w:cs="Times New Roman"/>
        </w:rPr>
      </w:pPr>
      <w:r w:rsidRPr="00EB6340">
        <w:rPr>
          <w:rFonts w:ascii="Times New Roman" w:hAnsi="Times New Roman" w:cs="Times New Roman"/>
        </w:rPr>
        <w:t>Understanding the genetic and molecular basis of anthelmintic resistance is therefore crucial for safeguarding the long-term efficacy of current treatment strategies. Identifying mutations in drug targets, elucidating pathways that modulate gene expression or metabolic detoxification, and characterizing mechanisms such as drug efflux can provide early warning indicators of reduced drug susceptibility. Such insights also support the development of improved diagnostics, more effective drug combinations, and surveillance systems capable of detecting resistance before widespread clinical failure occurs</w:t>
      </w:r>
      <w:r w:rsidR="0087183A">
        <w:rPr>
          <w:rFonts w:ascii="Times New Roman" w:hAnsi="Times New Roman" w:cs="Times New Roman"/>
        </w:rPr>
        <w:t>.</w:t>
      </w:r>
      <w:r w:rsidR="00E82B3A" w:rsidRPr="00EB6340">
        <w:rPr>
          <w:rFonts w:ascii="Times New Roman" w:hAnsi="Times New Roman" w:cs="Times New Roman"/>
        </w:rPr>
        <w:fldChar w:fldCharType="begin"/>
      </w:r>
      <w:r w:rsidR="00DB2524" w:rsidRPr="00EB6340">
        <w:rPr>
          <w:rFonts w:ascii="Times New Roman" w:hAnsi="Times New Roman" w:cs="Times New Roman"/>
        </w:rPr>
        <w:instrText xml:space="preserve"> ADDIN ZOTERO_ITEM CSL_CITATION {"citationID":"uy1eXyIq","properties":{"formattedCitation":"[3]","plainCitation":"[3]","noteIndex":0},"citationItems":[{"id":11856,"uris":["http://zotero.org/users/16652950/items/HF2XAJXC"],"itemData":{"id":11856,"type":"article-journal","abstract":"Background\nAccording to the Global Burden of Disease (GBD) 2019 report, up to 1.5 million disability-adjusted life years (DALYs) are lost due to soil-transmitted helminths (STHs), and 5.9 million people are at risk of acquiring STHs. Regions with the highest prevalence of STH infections include Sub-Saharan Africa, China, South America, and Asia. While there are numerous fragmented studies on STH, comprehensive information on the prevalence and geographic distribution of different species, as well as their regional variations in the context of STHs is limited. The present systematic review and meta-analysis study attempts to provide a summary of the prevalence, geographical variation, and determinants of STHs among schoolchildren aged 5 to 18 years.\n\nMethods\nAn extensive literature search was carried out using PubMed, Embase, Cinhal, and Psychinfo for studies published between 1999 and 2022 that reported the rate of STH infection in school-going children aged 5–18 years. A random effects model was employed in this meta-analysis due to expected heterogeneity. Subgroup analysis was carried out based on sex and STH species because of expected geographical variation.\n\nResults\nA total of 19,725 of the 49,630 children examined were infected with STH, yielding an overall pooled prevalence of 37.16% (95% CI: 29.74–44.89). The prevalence was highest in the Western Pacific region at 50.41% (95% CI: 33.74–67.04) followed by Europe at 39.74% (95% CI: 20.40–61.0) and Africa at 37.10% (95% CI: 26.84–47.95). Ascaris lumbricoides was found to be the most prevalent helminth with a prevalence of 24.07% (95% CI: 17.07–31.83).\n\nConclusion\nThe Western Pacific region is classified as a High-risk Zone (HRZ), while Southeast Asia, Africa, Europe, and the Eastern Mediterranean are classified as moderate-risk zones (MRZs). We found a 12% reduction in the pooled prevalence of STH infection from 1999 to 2012. Ascaris lumbricoides was the predominant species among schoolchildren. Mass Drug Administration (MDA) of Albendazole tablets and improved water, sanitation, and hygiene (WASH) practices are effective in controlling and preventing STH. Ensuring their implementation and access is crucial to addressing the problem.\n\nSystematic review registration\nhttps://www.crd.york.ac.uk/prospero/#loginpage, CRD42022333341.","container-title":"Frontiers in Public Health","DOI":"10.3389/fpubh.2024.1283054","ISSN":"2296-2565","journalAbbreviation":"Front Public Health","note":"PMID: 38577281\nPMCID: PMC10991833","page":"1283054","source":"PubMed Central","title":"Prevalence and correlates of soil-transmitted helminths in schoolchildren aged 5 to 18 years in low- and middle-income countries: a systematic review and meta-analysis","title-short":"Prevalence and correlates of soil-transmitted helminths in schoolchildren aged 5 to 18 years in low- and middle-income countries","volume":"12","author":[{"family":"Agrawal","given":"Ritik"},{"family":"Pattnaik","given":"Sweta"},{"family":"Kshatri","given":"Jaya Singh"},{"family":"Kanungo","given":"Srikanta"},{"family":"Mandal","given":"Nityananda"},{"family":"Palo","given":"Subrata Kumar"},{"family":"Pati","given":"Sanghamitra"}],"issued":{"date-parts":[["2024",3,21]]}}}],"schema":"https://github.com/citation-style-language/schema/raw/master/csl-citation.json"} </w:instrText>
      </w:r>
      <w:r w:rsidR="00E82B3A" w:rsidRPr="00EB6340">
        <w:rPr>
          <w:rFonts w:ascii="Times New Roman" w:hAnsi="Times New Roman" w:cs="Times New Roman"/>
        </w:rPr>
        <w:fldChar w:fldCharType="separate"/>
      </w:r>
      <w:r w:rsidR="00DB2524" w:rsidRPr="00EB6340">
        <w:rPr>
          <w:rFonts w:ascii="Times New Roman" w:hAnsi="Times New Roman" w:cs="Times New Roman"/>
        </w:rPr>
        <w:t>[3]</w:t>
      </w:r>
      <w:r w:rsidR="00E82B3A" w:rsidRPr="00EB6340">
        <w:rPr>
          <w:rFonts w:ascii="Times New Roman" w:hAnsi="Times New Roman" w:cs="Times New Roman"/>
        </w:rPr>
        <w:fldChar w:fldCharType="end"/>
      </w:r>
      <w:r w:rsidRPr="00EB6340">
        <w:rPr>
          <w:rFonts w:ascii="Times New Roman" w:hAnsi="Times New Roman" w:cs="Times New Roman"/>
        </w:rPr>
        <w:t>.</w:t>
      </w:r>
    </w:p>
    <w:p w:rsidR="0059639A" w:rsidRPr="00EB6340" w:rsidRDefault="0059639A" w:rsidP="0059639A">
      <w:pPr>
        <w:rPr>
          <w:rFonts w:ascii="Times New Roman" w:hAnsi="Times New Roman" w:cs="Times New Roman"/>
        </w:rPr>
      </w:pPr>
      <w:r w:rsidRPr="00EB6340">
        <w:rPr>
          <w:rFonts w:ascii="Times New Roman" w:hAnsi="Times New Roman" w:cs="Times New Roman"/>
        </w:rPr>
        <w:t>This paper reviews current knowledge on the genetic markers and molecular pathways implicated in emerging anthelmintic resistance in human helminths. It synthesizes evidence from genomic, transcriptomic, and population-level studies, and outlines the implications of these findings for public health, surveillance, and future drug development.</w:t>
      </w:r>
    </w:p>
    <w:p w:rsidR="0059639A" w:rsidRPr="00EB6340" w:rsidRDefault="0059639A" w:rsidP="0059639A">
      <w:pPr>
        <w:rPr>
          <w:rFonts w:ascii="Times New Roman" w:hAnsi="Times New Roman" w:cs="Times New Roman"/>
          <w:b/>
          <w:bCs/>
        </w:rPr>
      </w:pPr>
      <w:r w:rsidRPr="00EB6340">
        <w:rPr>
          <w:rFonts w:ascii="Times New Roman" w:hAnsi="Times New Roman" w:cs="Times New Roman"/>
          <w:b/>
          <w:bCs/>
        </w:rPr>
        <w:t>2. Anthelmintic Drug Classes and Their Mechanisms of Action</w:t>
      </w:r>
    </w:p>
    <w:p w:rsidR="0059639A" w:rsidRPr="00EB6340" w:rsidRDefault="0059639A" w:rsidP="0059639A">
      <w:pPr>
        <w:rPr>
          <w:rFonts w:ascii="Times New Roman" w:hAnsi="Times New Roman" w:cs="Times New Roman"/>
        </w:rPr>
      </w:pPr>
      <w:r w:rsidRPr="00EB6340">
        <w:rPr>
          <w:rFonts w:ascii="Times New Roman" w:hAnsi="Times New Roman" w:cs="Times New Roman"/>
        </w:rPr>
        <w:t>Benzimidazoles, macrocyclic lactones, and cholinergic agonists constitute the core of current anthelmintic therapy for human helminths. Each drug class acts on distinct molecular targets, yet all face the risk of diminishing efficacy as selective pressure increases through widespread use in mass drug administration (MDA) programs.</w:t>
      </w:r>
    </w:p>
    <w:p w:rsidR="0059639A" w:rsidRPr="00EB6340" w:rsidRDefault="0059639A" w:rsidP="0059639A">
      <w:pPr>
        <w:rPr>
          <w:rFonts w:ascii="Times New Roman" w:hAnsi="Times New Roman" w:cs="Times New Roman"/>
          <w:b/>
          <w:bCs/>
        </w:rPr>
      </w:pPr>
      <w:r w:rsidRPr="00EB6340">
        <w:rPr>
          <w:rFonts w:ascii="Times New Roman" w:hAnsi="Times New Roman" w:cs="Times New Roman"/>
          <w:b/>
          <w:bCs/>
        </w:rPr>
        <w:t>2.1 Benzimidazoles</w:t>
      </w:r>
    </w:p>
    <w:p w:rsidR="0059639A" w:rsidRPr="00EB6340" w:rsidRDefault="0059639A" w:rsidP="0059639A">
      <w:pPr>
        <w:rPr>
          <w:rFonts w:ascii="Times New Roman" w:hAnsi="Times New Roman" w:cs="Times New Roman"/>
        </w:rPr>
      </w:pPr>
      <w:r w:rsidRPr="00EB6340">
        <w:rPr>
          <w:rFonts w:ascii="Times New Roman" w:hAnsi="Times New Roman" w:cs="Times New Roman"/>
        </w:rPr>
        <w:t>Benzimidazoles, including albendazole and mebendazole, exert their activity by binding to β-tubulin, a critical component of the parasite’s microtubule cytoskeleton. This binding disrupts microtubule assembly and compromises essential cellular processes such as nutrient uptake. Resistance in multiple helminth species has been linked to single-nucleotide polymorphisms (SNPs) in the β-tubulin gene, particularly at codons 167, 198, and 200. These mutations reduce drug–target affinity and are increasingly reported in human soil-transmitted helminths, mirroring well-established patterns observed in veterinary parasites</w:t>
      </w:r>
      <w:r w:rsidR="00E82B3A" w:rsidRPr="00EB6340">
        <w:rPr>
          <w:rFonts w:ascii="Times New Roman" w:hAnsi="Times New Roman" w:cs="Times New Roman"/>
        </w:rPr>
        <w:fldChar w:fldCharType="begin"/>
      </w:r>
      <w:r w:rsidR="00E6704E" w:rsidRPr="00EB6340">
        <w:rPr>
          <w:rFonts w:ascii="Times New Roman" w:hAnsi="Times New Roman" w:cs="Times New Roman"/>
        </w:rPr>
        <w:instrText xml:space="preserve"> ADDIN ZOTERO_ITEM CSL_CITATION {"citationID":"VUUakBI0","properties":{"formattedCitation":"[4]","plainCitation":"[4]","noteIndex":0},"citationItems":[{"id":11859,"uris":["http://zotero.org/users/16652950/items/QHZ4MDC7"],"itemData":{"id":11859,"type":"article-journal","abstract":"Parasitic nematode infections cause an enormous global burden to both humans and livestock. Resistance to the limited arsenal of anthelmintic drugs used to combat these infections is widespread, including benzimidazole (BZ) compounds. Previous studies using the free-living nematode Caenorhabditis elegans to model parasitic nematode resistance have shown that loss-of-function mutations in the beta-tubulin gene ben-1 confer resistance to BZ drugs. However, the mechanism of resistance and the tissue-specific susceptibility are not well known in any nematode species. To identify in which tissue(s) ben-1 function underlies BZ susceptibility, transgenic strains that express ben-1 in different tissues, including hypodermis, muscles, neurons, intestine, and ubiquitous expression were generated. High-throughput fitness assays were performed to measure and compare the quantitative responses to BZ compounds among different transgenic lines. Significant BZ susceptibility was observed in animals expressing ben-1 in neurons, comparable to expression using the ben-1 promoter. This result suggests that ben-1 function in neurons underlies susceptibility to BZ. Subsetting neuronal expression of ben-1 based on the neurotransmitter system further restricted ben-1 function in cholinergic neurons to cause BZ susceptibility. These results better inform our current understanding of the cellular mode of action of BZs and also suggest additional treatments that might potentiate the effects of BZs in neurons., Image 1, •Expressing wild-type ben-1 only in neurons restores susceptibility to benzimidazoles.•Expression of ben-1 in cholinergic neurons restores susceptibility to benzimidazoles.•GABAergic neurons might also play a role in benzimidazole sensitivity.•Broad implications for molecular mechanisms of benzimidazole mode of action.","container-title":"International Journal for Parasitology: Drugs and Drug Resistance","DOI":"10.1016/j.ijpddr.2022.10.004","ISSN":"2211-3207","journalAbbreviation":"Int J Parasitol Drugs Drug Resist","note":"PMID: 36332489\nPMCID: PMC9771835","page":"89-96","source":"PubMed Central","title":"Benzimidazoles cause lethality by inhibiting the function of Caenorhabditis elegans neuronal beta-tubulin","volume":"20","author":[{"family":"Gibson","given":"Sophia B."},{"family":"Ness-Cohn","given":"Elan"},{"family":"Andersen","given":"Erik C."}],"issued":{"date-parts":[["2022",10,29]]}}}],"schema":"https://github.com/citation-style-language/schema/raw/master/csl-citation.json"} </w:instrText>
      </w:r>
      <w:r w:rsidR="00E82B3A" w:rsidRPr="00EB6340">
        <w:rPr>
          <w:rFonts w:ascii="Times New Roman" w:hAnsi="Times New Roman" w:cs="Times New Roman"/>
        </w:rPr>
        <w:fldChar w:fldCharType="separate"/>
      </w:r>
      <w:r w:rsidR="00E6704E" w:rsidRPr="00EB6340">
        <w:rPr>
          <w:rFonts w:ascii="Times New Roman" w:hAnsi="Times New Roman" w:cs="Times New Roman"/>
        </w:rPr>
        <w:t>[4]</w:t>
      </w:r>
      <w:r w:rsidR="00E82B3A" w:rsidRPr="00EB6340">
        <w:rPr>
          <w:rFonts w:ascii="Times New Roman" w:hAnsi="Times New Roman" w:cs="Times New Roman"/>
        </w:rPr>
        <w:fldChar w:fldCharType="end"/>
      </w:r>
      <w:r w:rsidRPr="00EB6340">
        <w:rPr>
          <w:rFonts w:ascii="Times New Roman" w:hAnsi="Times New Roman" w:cs="Times New Roman"/>
        </w:rPr>
        <w:t>.</w:t>
      </w:r>
    </w:p>
    <w:p w:rsidR="0059639A" w:rsidRPr="00EB6340" w:rsidRDefault="0059639A" w:rsidP="0059639A">
      <w:pPr>
        <w:rPr>
          <w:rFonts w:ascii="Times New Roman" w:hAnsi="Times New Roman" w:cs="Times New Roman"/>
          <w:b/>
          <w:bCs/>
        </w:rPr>
      </w:pPr>
      <w:r w:rsidRPr="00EB6340">
        <w:rPr>
          <w:rFonts w:ascii="Times New Roman" w:hAnsi="Times New Roman" w:cs="Times New Roman"/>
          <w:b/>
          <w:bCs/>
        </w:rPr>
        <w:t>2.2 Macrocyclic Lactones</w:t>
      </w:r>
    </w:p>
    <w:p w:rsidR="0059639A" w:rsidRPr="00EB6340" w:rsidRDefault="0059639A" w:rsidP="0059639A">
      <w:pPr>
        <w:rPr>
          <w:rFonts w:ascii="Times New Roman" w:hAnsi="Times New Roman" w:cs="Times New Roman"/>
        </w:rPr>
      </w:pPr>
      <w:r w:rsidRPr="00EB6340">
        <w:rPr>
          <w:rFonts w:ascii="Times New Roman" w:hAnsi="Times New Roman" w:cs="Times New Roman"/>
        </w:rPr>
        <w:lastRenderedPageBreak/>
        <w:t>Macrocyclic lactones, such as ivermectin, primarily target glutamate-gated chloride channels, leading to hyperpolarization and paralysis of the worm. Reduced susceptibility in human helminths has been inferred from declining treatment responses and early evidence of changes in ion-channel gene expression or subunit composition. Although definitive markers remain under investigation, observations from related nematodes strongly support the plausibility of emerging resistance</w:t>
      </w:r>
      <w:r w:rsidR="0087183A">
        <w:rPr>
          <w:rFonts w:ascii="Times New Roman" w:hAnsi="Times New Roman" w:cs="Times New Roman"/>
        </w:rPr>
        <w:t>.</w:t>
      </w:r>
      <w:r w:rsidR="00E82B3A" w:rsidRPr="00EB6340">
        <w:rPr>
          <w:rFonts w:ascii="Times New Roman" w:hAnsi="Times New Roman" w:cs="Times New Roman"/>
        </w:rPr>
        <w:fldChar w:fldCharType="begin"/>
      </w:r>
      <w:r w:rsidR="001B5CA0" w:rsidRPr="00EB6340">
        <w:rPr>
          <w:rFonts w:ascii="Times New Roman" w:hAnsi="Times New Roman" w:cs="Times New Roman"/>
        </w:rPr>
        <w:instrText xml:space="preserve"> ADDIN ZOTERO_ITEM CSL_CITATION {"citationID":"mnAXsJKP","properties":{"formattedCitation":"[5]","plainCitation":"[5]","noteIndex":0},"citationItems":[{"id":11862,"uris":["http://zotero.org/users/16652950/items/NPVXMLNZ"],"itemData":{"id":11862,"type":"article-journal","abstract":"Ion channels are specialized multimeric proteins that underlie cell excitability. These channels integrate with a variety of neuromuscular and biological functions. In nematodes, the physiological behaviors including locomotion, navigation, feeding and reproduction, are regulated by these protein entities. Majority of the antinematodal chemotherapeutics target the ion channels to disrupt essential biological functions. Here, we have summarized current advances in our understanding of nematode ion channel pharmacology. We review cys-loop ligand gated ion channels (LGICs), including nicotinic acetylcholine receptors (nAChRs), acetylcholine-chloride gated ion channels (ACCs), glutamate-gated chloride channels (GluCls), and GABA (γ-aminobutyric acid) receptors, and other ionotropic receptors (transient receptor potential (TRP) channels and potassium ion channels). We have provided an update on the pharmacological properties of these channels from various nematodes. This article catalogs the differences in ion channel composition and resulting pharmacology in the phylum Nematoda. This diversity in ion channel subunit repertoire and pharmacology emphasizes the importance of pursuing species-specific drug target research. In this review, we have provided an overview of recent advances in techniques and functional assays available for screening ion channel properties and their application., Image 1","container-title":"International Journal for Parasitology: Drugs and Drug Resistance","DOI":"10.1016/j.ijpddr.2021.12.001","ISSN":"2211-3207","journalAbbreviation":"Int J Parasitol Drugs Drug Resist","note":"PMID: 35149380\nPMCID: PMC8841521","page":"52-86","source":"PubMed Central","title":"Advances in our understanding of nematode ion channels as potential anthelmintic targets","volume":"18","author":[{"family":"Choudhary","given":"Shivani"},{"family":"Kashyap","given":"Sudhanva S."},{"family":"Martin","given":"Richard J."},{"family":"Robertson","given":"Alan P."}],"issued":{"date-parts":[["2021",12,25]]}}}],"schema":"https://github.com/citation-style-language/schema/raw/master/csl-citation.json"} </w:instrText>
      </w:r>
      <w:r w:rsidR="00E82B3A" w:rsidRPr="00EB6340">
        <w:rPr>
          <w:rFonts w:ascii="Times New Roman" w:hAnsi="Times New Roman" w:cs="Times New Roman"/>
        </w:rPr>
        <w:fldChar w:fldCharType="separate"/>
      </w:r>
      <w:r w:rsidR="001B5CA0" w:rsidRPr="00EB6340">
        <w:rPr>
          <w:rFonts w:ascii="Times New Roman" w:hAnsi="Times New Roman" w:cs="Times New Roman"/>
        </w:rPr>
        <w:t>[5]</w:t>
      </w:r>
      <w:r w:rsidR="00E82B3A" w:rsidRPr="00EB6340">
        <w:rPr>
          <w:rFonts w:ascii="Times New Roman" w:hAnsi="Times New Roman" w:cs="Times New Roman"/>
        </w:rPr>
        <w:fldChar w:fldCharType="end"/>
      </w:r>
      <w:r w:rsidRPr="00EB6340">
        <w:rPr>
          <w:rFonts w:ascii="Times New Roman" w:hAnsi="Times New Roman" w:cs="Times New Roman"/>
        </w:rPr>
        <w:t>.</w:t>
      </w:r>
    </w:p>
    <w:p w:rsidR="0059639A" w:rsidRPr="00EB6340" w:rsidRDefault="0059639A" w:rsidP="0059639A">
      <w:pPr>
        <w:rPr>
          <w:rFonts w:ascii="Times New Roman" w:hAnsi="Times New Roman" w:cs="Times New Roman"/>
          <w:b/>
          <w:bCs/>
        </w:rPr>
      </w:pPr>
      <w:r w:rsidRPr="00EB6340">
        <w:rPr>
          <w:rFonts w:ascii="Times New Roman" w:hAnsi="Times New Roman" w:cs="Times New Roman"/>
          <w:b/>
          <w:bCs/>
        </w:rPr>
        <w:t>2.3 Nicotinic Acetylcholine Receptor Agonists and Other Drug Classes</w:t>
      </w:r>
    </w:p>
    <w:p w:rsidR="0059639A" w:rsidRPr="00EB6340" w:rsidRDefault="0059639A" w:rsidP="0059639A">
      <w:pPr>
        <w:rPr>
          <w:rFonts w:ascii="Times New Roman" w:hAnsi="Times New Roman" w:cs="Times New Roman"/>
        </w:rPr>
      </w:pPr>
      <w:r w:rsidRPr="00EB6340">
        <w:rPr>
          <w:rFonts w:ascii="Times New Roman" w:hAnsi="Times New Roman" w:cs="Times New Roman"/>
        </w:rPr>
        <w:t>Cholinergic agonists, including pyrantel, act by stimulating nicotinic acetylcholine receptors at the neuromuscular junction, causing sustained depolarization and paralysis. Their effectiveness varies across species, and limited evidence exists regarding resistance mechanisms in human helminths. Additional drug classes remain underutilized or have narrow spectra, further constraining therapeutic options</w:t>
      </w:r>
      <w:r w:rsidR="0087183A">
        <w:rPr>
          <w:rFonts w:ascii="Times New Roman" w:hAnsi="Times New Roman" w:cs="Times New Roman"/>
        </w:rPr>
        <w:t>.</w:t>
      </w:r>
      <w:r w:rsidR="00E82B3A" w:rsidRPr="00EB6340">
        <w:rPr>
          <w:rFonts w:ascii="Times New Roman" w:hAnsi="Times New Roman" w:cs="Times New Roman"/>
        </w:rPr>
        <w:fldChar w:fldCharType="begin"/>
      </w:r>
      <w:r w:rsidR="001B5CA0" w:rsidRPr="00EB6340">
        <w:rPr>
          <w:rFonts w:ascii="Times New Roman" w:hAnsi="Times New Roman" w:cs="Times New Roman"/>
        </w:rPr>
        <w:instrText xml:space="preserve"> ADDIN ZOTERO_ITEM CSL_CITATION {"citationID":"vcxPkj2i","properties":{"formattedCitation":"[6]","plainCitation":"[6]","noteIndex":0},"citationItems":[{"id":11865,"uris":["http://zotero.org/users/16652950/items/ACRS2KPU"],"itemData":{"id":11865,"type":"chapter","abstract":"Cholinergic receptors function in signal transduction of the somatic and autonomic nervous systems. The receptors are named because they become activated by the ligand acetylcholine. These receptors subdivide into nicotinic and muscarinic receptors, which are named secondary to separate activating ligands that contributed to their study. Nicotinic receptors are responsive to the agonist nicotine, while muscarinic receptors are responsive to muscarine.  The two receptors differ in function as ionotropic ligand-gated and G-protein coupled receptors, respectively. Nicotinic receptors function within the central nervous system and at the neuromuscular junction. While muscarinic receptors function in both the peripheral and central nervous systems, mediating innervation to visceral organs. The difference in signal transduction of the two receptor types confers separate physiological functions upon receptor activation. Furthermore, differences in receptor subtypes create unique implications for pharmacologic targets and pathogenesis of the disease.","call-number":"NBK526134","container-title":"StatPearls","event-place":"Treasure Island (FL)","language":"eng","license":"Copyright © 2025, StatPearls Publishing LLC.","note":"PMID: 30252390","publisher":"StatPearls Publishing","publisher-place":"Treasure Island (FL)","source":"PubMed","title":"Physiology, Cholinergic Receptors","URL":"http://www.ncbi.nlm.nih.gov/books/NBK526134/","author":[{"family":"Carlson","given":"Adlei B."},{"family":"Kraus","given":"Gregory P."}],"accessed":{"date-parts":[["2025",12,8]]},"issued":{"date-parts":[["2025"]]}}}],"schema":"https://github.com/citation-style-language/schema/raw/master/csl-citation.json"} </w:instrText>
      </w:r>
      <w:r w:rsidR="00E82B3A" w:rsidRPr="00EB6340">
        <w:rPr>
          <w:rFonts w:ascii="Times New Roman" w:hAnsi="Times New Roman" w:cs="Times New Roman"/>
        </w:rPr>
        <w:fldChar w:fldCharType="separate"/>
      </w:r>
      <w:r w:rsidR="001B5CA0" w:rsidRPr="00EB6340">
        <w:rPr>
          <w:rFonts w:ascii="Times New Roman" w:hAnsi="Times New Roman" w:cs="Times New Roman"/>
        </w:rPr>
        <w:t>[6]</w:t>
      </w:r>
      <w:r w:rsidR="00E82B3A" w:rsidRPr="00EB6340">
        <w:rPr>
          <w:rFonts w:ascii="Times New Roman" w:hAnsi="Times New Roman" w:cs="Times New Roman"/>
        </w:rPr>
        <w:fldChar w:fldCharType="end"/>
      </w:r>
      <w:r w:rsidRPr="00EB6340">
        <w:rPr>
          <w:rFonts w:ascii="Times New Roman" w:hAnsi="Times New Roman" w:cs="Times New Roman"/>
        </w:rPr>
        <w:t>.</w:t>
      </w:r>
    </w:p>
    <w:p w:rsidR="0059639A" w:rsidRPr="00EB6340" w:rsidRDefault="0059639A" w:rsidP="0059639A">
      <w:pPr>
        <w:rPr>
          <w:rFonts w:ascii="Times New Roman" w:hAnsi="Times New Roman" w:cs="Times New Roman"/>
          <w:b/>
          <w:bCs/>
        </w:rPr>
      </w:pPr>
      <w:r w:rsidRPr="00EB6340">
        <w:rPr>
          <w:rFonts w:ascii="Times New Roman" w:hAnsi="Times New Roman" w:cs="Times New Roman"/>
          <w:b/>
          <w:bCs/>
        </w:rPr>
        <w:t>2.4 Selective Pressures Created by MDA Programs</w:t>
      </w:r>
    </w:p>
    <w:p w:rsidR="00F133A4" w:rsidRPr="00EB6340" w:rsidRDefault="004570F4" w:rsidP="0059639A">
      <w:pPr>
        <w:rPr>
          <w:rFonts w:ascii="Times New Roman" w:hAnsi="Times New Roman" w:cs="Times New Roman"/>
        </w:rPr>
      </w:pPr>
      <w:r w:rsidRPr="004F45D8">
        <w:rPr>
          <w:i/>
          <w:iCs/>
        </w:rPr>
        <w:t>Figure 1 provides a schematic overview of the major anthelmintic drug classes, their molecular targets, and the resistance-associated mechanisms discussed in this section.</w:t>
      </w:r>
      <w:r>
        <w:rPr>
          <w:i/>
          <w:iCs/>
        </w:rPr>
        <w:t xml:space="preserve"> </w:t>
      </w:r>
      <w:r w:rsidR="0059639A" w:rsidRPr="00EB6340">
        <w:rPr>
          <w:rFonts w:ascii="Times New Roman" w:hAnsi="Times New Roman" w:cs="Times New Roman"/>
        </w:rPr>
        <w:t xml:space="preserve">The repeated community-wide administration of the same drug classes intensifies evolutionary pressure on helminth populations. High-frequency exposure, often with suboptimal coverage, favors the survival and spread of resistant genotypes. As MDA continues to expand globally, understanding </w:t>
      </w:r>
      <w:r w:rsidR="0059639A" w:rsidRPr="00EB6340">
        <w:rPr>
          <w:rFonts w:ascii="Times New Roman" w:hAnsi="Times New Roman" w:cs="Times New Roman"/>
        </w:rPr>
        <w:lastRenderedPageBreak/>
        <w:t>drug mechanisms and resistance markers becomes essential for sustaining treatment efficacy.</w:t>
      </w:r>
      <w:r w:rsidR="00F133A4" w:rsidRPr="00EB6340">
        <w:rPr>
          <w:rFonts w:ascii="Times New Roman" w:hAnsi="Times New Roman" w:cs="Times New Roman"/>
          <w:noProof/>
        </w:rPr>
        <w:drawing>
          <wp:inline distT="0" distB="0" distL="0" distR="0">
            <wp:extent cx="5943600" cy="3962400"/>
            <wp:effectExtent l="0" t="0" r="0" b="0"/>
            <wp:docPr id="17516346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634652" name="Picture 1751634652"/>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rsidR="00F133A4" w:rsidRPr="00EB6340" w:rsidRDefault="00F133A4" w:rsidP="0059639A">
      <w:pPr>
        <w:rPr>
          <w:rFonts w:ascii="Times New Roman" w:hAnsi="Times New Roman" w:cs="Times New Roman"/>
        </w:rPr>
      </w:pPr>
    </w:p>
    <w:p w:rsidR="007B4A17" w:rsidRDefault="007B4A17" w:rsidP="0059639A">
      <w:pPr>
        <w:rPr>
          <w:rFonts w:ascii="Times New Roman" w:hAnsi="Times New Roman" w:cs="Times New Roman"/>
          <w:b/>
          <w:bCs/>
        </w:rPr>
      </w:pPr>
      <w:r>
        <w:rPr>
          <w:rFonts w:ascii="Times New Roman" w:hAnsi="Times New Roman" w:cs="Times New Roman"/>
          <w:b/>
          <w:bCs/>
        </w:rPr>
        <w:t>Fig 1:Mechanisms of action of Major Anthelmintic Drug Classes</w:t>
      </w:r>
      <w:bookmarkStart w:id="0" w:name="_GoBack"/>
      <w:bookmarkEnd w:id="0"/>
    </w:p>
    <w:p w:rsidR="0059639A" w:rsidRPr="00EB6340" w:rsidRDefault="0059639A" w:rsidP="0059639A">
      <w:pPr>
        <w:rPr>
          <w:rFonts w:ascii="Times New Roman" w:hAnsi="Times New Roman" w:cs="Times New Roman"/>
          <w:b/>
          <w:bCs/>
        </w:rPr>
      </w:pPr>
      <w:r w:rsidRPr="00EB6340">
        <w:rPr>
          <w:rFonts w:ascii="Times New Roman" w:hAnsi="Times New Roman" w:cs="Times New Roman"/>
          <w:b/>
          <w:bCs/>
        </w:rPr>
        <w:t xml:space="preserve">3. Genetic Markers Associated </w:t>
      </w:r>
      <w:proofErr w:type="gramStart"/>
      <w:r w:rsidRPr="00EB6340">
        <w:rPr>
          <w:rFonts w:ascii="Times New Roman" w:hAnsi="Times New Roman" w:cs="Times New Roman"/>
          <w:b/>
          <w:bCs/>
        </w:rPr>
        <w:t>With</w:t>
      </w:r>
      <w:proofErr w:type="gramEnd"/>
      <w:r w:rsidRPr="00EB6340">
        <w:rPr>
          <w:rFonts w:ascii="Times New Roman" w:hAnsi="Times New Roman" w:cs="Times New Roman"/>
          <w:b/>
          <w:bCs/>
        </w:rPr>
        <w:t xml:space="preserve"> Anthelmintic Resistance</w:t>
      </w:r>
    </w:p>
    <w:p w:rsidR="0059639A" w:rsidRPr="00EB6340" w:rsidRDefault="0059639A" w:rsidP="0059639A">
      <w:pPr>
        <w:rPr>
          <w:rFonts w:ascii="Times New Roman" w:hAnsi="Times New Roman" w:cs="Times New Roman"/>
        </w:rPr>
      </w:pPr>
      <w:r w:rsidRPr="00EB6340">
        <w:rPr>
          <w:rFonts w:ascii="Times New Roman" w:hAnsi="Times New Roman" w:cs="Times New Roman"/>
        </w:rPr>
        <w:t>The emergence of anthelmintic resistance in human helminths appears to be driven by a combination of target-site mutations, altered gene regulation, and enhanced protective pathways that collectively reduce drug susceptibility. Although the molecular evidence is still developing compared with the extensive data available for veterinary parasites, several genetic markers have gained prominence as potential indicators of resistance</w:t>
      </w:r>
      <w:r w:rsidR="0087183A">
        <w:rPr>
          <w:rFonts w:ascii="Times New Roman" w:hAnsi="Times New Roman" w:cs="Times New Roman"/>
        </w:rPr>
        <w:t>.</w:t>
      </w:r>
      <w:r w:rsidR="00E82B3A" w:rsidRPr="00EB6340">
        <w:rPr>
          <w:rFonts w:ascii="Times New Roman" w:hAnsi="Times New Roman" w:cs="Times New Roman"/>
        </w:rPr>
        <w:fldChar w:fldCharType="begin"/>
      </w:r>
      <w:r w:rsidR="005F37DD" w:rsidRPr="00EB6340">
        <w:rPr>
          <w:rFonts w:ascii="Times New Roman" w:hAnsi="Times New Roman" w:cs="Times New Roman"/>
        </w:rPr>
        <w:instrText xml:space="preserve"> ADDIN ZOTERO_ITEM CSL_CITATION {"citationID":"aBRXkXQY","properties":{"formattedCitation":"[7]","plainCitation":"[7]","noteIndex":0},"citationItems":[{"id":11868,"uris":["http://zotero.org/users/16652950/items/47HFYHL4"],"itemData":{"id":11868,"type":"article-journal","abstract":"Helminths are a various types of parasites causing a major health problem for animals in different parts of the globe. Control of helminthiasis has largely relied on the use of pharmaceutical anthelmintics. Unfortunately, the exhaustive use of anthelmintic drugs has led to a serious and dramatic level of anthelmintic resistance. Anthelmintic resistance is a heritable loss of sensitivity of an anthelmintic in a parasite population that was in the past susceptible to the same anthelmintic. The development of anthelmintic resistance is evident to different helminths of almost every animal species and to different groups of anthelmintic in several continents. Frequent treatment, underdosing, genetics of the parasite, and targeting and timing of mass treatment are predisposing factors for anthelmintic resistance. Upregulation of cellular efflux mechanisms, an increase in drug metabolism, a change in drug receptor sites that reduces drug binding or the functional consequences of drug binding, and a decrease in drug receptor abundance through reduced expression within the parasite are the main mechanisms of anthelmintic resistance. In vivo method like fecal egg count reduction test and in vitro method such as egg hatch assays, larval motility test, larval development test and PCR can be used for the detection of anthelmintic resistance. Proper utilization of anthelmintic drugs, using combined anthelmintic and applying other alternatives are essential strategies to slow down the development of anthelmintic resistance. As anthelmintic resistance is a serious challenge throughout the world, proper utilization of the existing anthelmintics and reducing dependence on anthelmintics should be implemented to reduce its challenge.","container-title":"Infection and Drug Resistance","DOI":"10.2147/IDR.S332378","ISSN":"1178-6973","journalAbbreviation":"Infect Drug Resist","note":"PMID: 34938088\nPMCID: PMC8687516","page":"5403-5410","source":"PubMed Central","title":"Anthelmintic Resistance and Its Mechanism: A Review","title-short":"Anthelmintic Resistance and Its Mechanism","volume":"14","author":[{"family":"Fissiha","given":"Workye"},{"family":"Kinde","given":"Mebrie Zemene"}],"issued":{"date-parts":[["2021",12,15]]}}}],"schema":"https://github.com/citation-style-language/schema/raw/master/csl-citation.json"} </w:instrText>
      </w:r>
      <w:r w:rsidR="00E82B3A" w:rsidRPr="00EB6340">
        <w:rPr>
          <w:rFonts w:ascii="Times New Roman" w:hAnsi="Times New Roman" w:cs="Times New Roman"/>
        </w:rPr>
        <w:fldChar w:fldCharType="separate"/>
      </w:r>
      <w:r w:rsidR="005F37DD" w:rsidRPr="00EB6340">
        <w:rPr>
          <w:rFonts w:ascii="Times New Roman" w:hAnsi="Times New Roman" w:cs="Times New Roman"/>
        </w:rPr>
        <w:t>[7]</w:t>
      </w:r>
      <w:r w:rsidR="00E82B3A" w:rsidRPr="00EB6340">
        <w:rPr>
          <w:rFonts w:ascii="Times New Roman" w:hAnsi="Times New Roman" w:cs="Times New Roman"/>
        </w:rPr>
        <w:fldChar w:fldCharType="end"/>
      </w:r>
      <w:r w:rsidRPr="00EB6340">
        <w:rPr>
          <w:rFonts w:ascii="Times New Roman" w:hAnsi="Times New Roman" w:cs="Times New Roman"/>
        </w:rPr>
        <w:t>.</w:t>
      </w:r>
    </w:p>
    <w:p w:rsidR="0059639A" w:rsidRPr="00EB6340" w:rsidRDefault="0059639A" w:rsidP="0059639A">
      <w:pPr>
        <w:rPr>
          <w:rFonts w:ascii="Times New Roman" w:hAnsi="Times New Roman" w:cs="Times New Roman"/>
          <w:b/>
          <w:bCs/>
        </w:rPr>
      </w:pPr>
      <w:r w:rsidRPr="00EB6340">
        <w:rPr>
          <w:rFonts w:ascii="Times New Roman" w:hAnsi="Times New Roman" w:cs="Times New Roman"/>
          <w:b/>
          <w:bCs/>
        </w:rPr>
        <w:t>3.1 β-Tubulin Polymorphisms</w:t>
      </w:r>
    </w:p>
    <w:p w:rsidR="0059639A" w:rsidRDefault="0059639A" w:rsidP="0059639A">
      <w:pPr>
        <w:rPr>
          <w:rFonts w:ascii="Times New Roman" w:hAnsi="Times New Roman" w:cs="Times New Roman"/>
        </w:rPr>
      </w:pPr>
      <w:r w:rsidRPr="00EB6340">
        <w:rPr>
          <w:rFonts w:ascii="Times New Roman" w:hAnsi="Times New Roman" w:cs="Times New Roman"/>
        </w:rPr>
        <w:t>Mutations in the β-tubulin gene remain the most widely studied markers of benzimidazole resistance. Three single-nucleotide polymorphisms—</w:t>
      </w:r>
      <w:r w:rsidRPr="00EB6340">
        <w:rPr>
          <w:rFonts w:ascii="Times New Roman" w:hAnsi="Times New Roman" w:cs="Times New Roman"/>
          <w:b/>
          <w:bCs/>
        </w:rPr>
        <w:t>F167Y, E198A, and F200Y</w:t>
      </w:r>
      <w:r w:rsidRPr="00EB6340">
        <w:rPr>
          <w:rFonts w:ascii="Times New Roman" w:hAnsi="Times New Roman" w:cs="Times New Roman"/>
        </w:rPr>
        <w:t xml:space="preserve">—have been repeatedly implicated in reduced benzimidazole efficacy. These polymorphisms alter amino acid residues in the drug-binding domain, diminishing the interaction between benzimidazoles and β-tubulin. Evidence from multiple endemic regions suggests </w:t>
      </w:r>
      <w:r w:rsidRPr="00EB6340">
        <w:rPr>
          <w:rFonts w:ascii="Times New Roman" w:hAnsi="Times New Roman" w:cs="Times New Roman"/>
          <w:b/>
          <w:bCs/>
        </w:rPr>
        <w:t>parallel evolution</w:t>
      </w:r>
      <w:r w:rsidRPr="00EB6340">
        <w:rPr>
          <w:rFonts w:ascii="Times New Roman" w:hAnsi="Times New Roman" w:cs="Times New Roman"/>
        </w:rPr>
        <w:t xml:space="preserve"> of these mutations in human soil-transmitted helminths, particularly </w:t>
      </w:r>
      <w:r w:rsidRPr="00EB6340">
        <w:rPr>
          <w:rFonts w:ascii="Times New Roman" w:hAnsi="Times New Roman" w:cs="Times New Roman"/>
          <w:i/>
          <w:iCs/>
        </w:rPr>
        <w:t xml:space="preserve">Trichuris </w:t>
      </w:r>
      <w:proofErr w:type="spellStart"/>
      <w:r w:rsidRPr="00EB6340">
        <w:rPr>
          <w:rFonts w:ascii="Times New Roman" w:hAnsi="Times New Roman" w:cs="Times New Roman"/>
          <w:i/>
          <w:iCs/>
        </w:rPr>
        <w:t>trichiura</w:t>
      </w:r>
      <w:proofErr w:type="spellEnd"/>
      <w:r w:rsidRPr="00EB6340">
        <w:rPr>
          <w:rFonts w:ascii="Times New Roman" w:hAnsi="Times New Roman" w:cs="Times New Roman"/>
        </w:rPr>
        <w:t xml:space="preserve"> and hookworms, mirroring patterns long recognized in livestock nematodes. Field studies report </w:t>
      </w:r>
      <w:r w:rsidRPr="00EB6340">
        <w:rPr>
          <w:rFonts w:ascii="Times New Roman" w:hAnsi="Times New Roman" w:cs="Times New Roman"/>
          <w:b/>
          <w:bCs/>
        </w:rPr>
        <w:t>population-level variation in allele frequencies</w:t>
      </w:r>
      <w:r w:rsidRPr="00EB6340">
        <w:rPr>
          <w:rFonts w:ascii="Times New Roman" w:hAnsi="Times New Roman" w:cs="Times New Roman"/>
        </w:rPr>
        <w:t xml:space="preserve">, with some communities showing low prevalence of resistance-associated </w:t>
      </w:r>
      <w:r w:rsidRPr="00EB6340">
        <w:rPr>
          <w:rFonts w:ascii="Times New Roman" w:hAnsi="Times New Roman" w:cs="Times New Roman"/>
        </w:rPr>
        <w:lastRenderedPageBreak/>
        <w:t>alleles, while others demonstrate substantial increases following repeated rounds of mass drug administration (MDA). Although the presence of these SNPs does not always correlate perfectly with treatment failure, their rising frequency is considered an important early warning sign of emerging resistance</w:t>
      </w:r>
      <w:r w:rsidR="00E82B3A" w:rsidRPr="00EB6340">
        <w:rPr>
          <w:rFonts w:ascii="Times New Roman" w:hAnsi="Times New Roman" w:cs="Times New Roman"/>
        </w:rPr>
        <w:fldChar w:fldCharType="begin"/>
      </w:r>
      <w:r w:rsidR="00784448" w:rsidRPr="00EB6340">
        <w:rPr>
          <w:rFonts w:ascii="Times New Roman" w:hAnsi="Times New Roman" w:cs="Times New Roman"/>
        </w:rPr>
        <w:instrText xml:space="preserve"> ADDIN ZOTERO_ITEM CSL_CITATION {"citationID":"nHNOAfXb","properties":{"formattedCitation":"[8]","plainCitation":"[8]","noteIndex":0},"citationItems":[{"id":11871,"uris":["http://zotero.org/users/16652950/items/SUZXXLXP"],"itemData":{"id":11871,"type":"article-journal","abstract":"There is a growing number of reports on the occurrence of benzimidazole resistance-associated single nucleotide polymorphisms (SNPs) in the β-tubulin isotype 1 gene of various helminths of veterinary, and public health concerns. However, a comprehensive analysis of their occurrence, and their contributions to conferring benzimidazole resistance among hookworms has yet to be done. The objectives of this systematic review are to summarize and synthesize peer-reviewed evidence on the occurrence of these resistance-associated mutations in hookworms, document their geographical distribution, and assess their contributions to conferring phenotypic resistance. Three databases were systematically searched using specific keywords. Research that assessed the occurrence of benzimidazole resistance-associated SNPs in hookworms, papers that reported the geographical distribution of these SNPs, and studies that investigated the SNPs' resistance-associated phenotypic effects were included in the review. Research that was not done in hookworms, papers not in the English language, and literature reviews and book chapters were excluded. Critical appraisal checklists were used to determine the risk of bias in the selected papers. Data were extracted from the selected studies and analyzed. PROSPERO Systematic Review Protocol Registration No.: CRD42024510924. A total of 29 studies were included and analyzed. Of these, four were conducted in a laboratory setting, eight described the development and validation of SNP detection methods, and the remaining 17 involved field research. Seven SNP-induced amino acid substitutions at four loci were reported among several hookworm species: Q134H, F167Y, E198A, E198K, E198V, F200Y, and F200L. SNPs have been reported in isolates occurring in the United States, Canada, Brazil, Haiti, Australia, New Zealand, Kenya, Ghana, Mozambique, and Tanzania. Resistance mutations have not been reported in Asia. E198A and F200L were reported in Ancylostoma ceylanicum with laboratory-induced resistance. F167Y and Q134H conferred resistance in A. caninum, as revealed by in vitro investigations and field assessments. There is insufficient peer-reviewed evidence to prove the association between SNP occurrence and resistance. Mutations in the β-tubulin isotype 1 gene confer benzimidazole resistance in A. caninum and A. ceylanicum, but similar evidence is lacking for other human hookworms. Understanding benzimidazole resistance through further research can better inform treatment, prevention, and control strategies.","container-title":"Parasitology Research","DOI":"10.1007/s00436-024-08432-6","ISSN":"1432-1955","issue":"12","journalAbbreviation":"Parasitol Res","language":"eng","note":"PMID: 39652258","page":"405","source":"PubMed","title":"Benzimidazole Resistance-Associated Mutations in the β-tubulin Gene of Hookworms: A Systematic Review","title-short":"Benzimidazole Resistance-Associated Mutations in the β-tubulin Gene of Hookworms","volume":"123","author":[{"family":"Tenorio","given":"Jan Clyden B."},{"family":"Heikal","given":"Muhammad Fikri"},{"family":"Kafle","given":"Alok"},{"family":"Saichua","given":"Prasert"},{"family":"Suttiprapa","given":"Sutas"}],"issued":{"date-parts":[["2024",12,9]]}}}],"schema":"https://github.com/citation-style-language/schema/raw/master/csl-citation.json"} </w:instrText>
      </w:r>
      <w:r w:rsidR="00E82B3A" w:rsidRPr="00EB6340">
        <w:rPr>
          <w:rFonts w:ascii="Times New Roman" w:hAnsi="Times New Roman" w:cs="Times New Roman"/>
        </w:rPr>
        <w:fldChar w:fldCharType="separate"/>
      </w:r>
      <w:r w:rsidR="00784448" w:rsidRPr="00EB6340">
        <w:rPr>
          <w:rFonts w:ascii="Times New Roman" w:hAnsi="Times New Roman" w:cs="Times New Roman"/>
        </w:rPr>
        <w:t>[8]</w:t>
      </w:r>
      <w:r w:rsidR="00E82B3A" w:rsidRPr="00EB6340">
        <w:rPr>
          <w:rFonts w:ascii="Times New Roman" w:hAnsi="Times New Roman" w:cs="Times New Roman"/>
        </w:rPr>
        <w:fldChar w:fldCharType="end"/>
      </w:r>
      <w:r w:rsidRPr="00EB6340">
        <w:rPr>
          <w:rFonts w:ascii="Times New Roman" w:hAnsi="Times New Roman" w:cs="Times New Roman"/>
        </w:rPr>
        <w:t>.</w:t>
      </w:r>
    </w:p>
    <w:p w:rsidR="004C6E30" w:rsidRPr="004F45D8" w:rsidRDefault="004C6E30" w:rsidP="004C6E30">
      <w:r w:rsidRPr="004F45D8">
        <w:rPr>
          <w:i/>
          <w:iCs/>
        </w:rPr>
        <w:t>However, it is important to note that the presence of resistance-associated β-tubulin SNPs does not always directly translate into clinical treatment failure, as phenotypic outcomes may be influenced by parasite population structure, drug exposure intensity, and host-related factors.”</w:t>
      </w:r>
    </w:p>
    <w:p w:rsidR="004C6E30" w:rsidRPr="00EB6340" w:rsidRDefault="004C6E30" w:rsidP="0059639A">
      <w:pPr>
        <w:rPr>
          <w:rFonts w:ascii="Times New Roman" w:hAnsi="Times New Roman" w:cs="Times New Roman"/>
        </w:rPr>
      </w:pPr>
    </w:p>
    <w:p w:rsidR="0059639A" w:rsidRPr="00EB6340" w:rsidRDefault="0059639A" w:rsidP="0059639A">
      <w:pPr>
        <w:rPr>
          <w:rFonts w:ascii="Times New Roman" w:hAnsi="Times New Roman" w:cs="Times New Roman"/>
          <w:b/>
          <w:bCs/>
        </w:rPr>
      </w:pPr>
      <w:r w:rsidRPr="00EB6340">
        <w:rPr>
          <w:rFonts w:ascii="Times New Roman" w:hAnsi="Times New Roman" w:cs="Times New Roman"/>
          <w:b/>
          <w:bCs/>
        </w:rPr>
        <w:t>3.2 Mutations and Regulation of Ligand-Gated Ion Channels</w:t>
      </w:r>
    </w:p>
    <w:p w:rsidR="0059639A" w:rsidRPr="00EB6340" w:rsidRDefault="0059639A" w:rsidP="0059639A">
      <w:pPr>
        <w:rPr>
          <w:rFonts w:ascii="Times New Roman" w:hAnsi="Times New Roman" w:cs="Times New Roman"/>
        </w:rPr>
      </w:pPr>
      <w:r w:rsidRPr="00EB6340">
        <w:rPr>
          <w:rFonts w:ascii="Times New Roman" w:hAnsi="Times New Roman" w:cs="Times New Roman"/>
        </w:rPr>
        <w:t>Macrocyclic lactones such as ivermectin target glutamate-gated chloride channels (</w:t>
      </w:r>
      <w:proofErr w:type="spellStart"/>
      <w:r w:rsidRPr="00EB6340">
        <w:rPr>
          <w:rFonts w:ascii="Times New Roman" w:hAnsi="Times New Roman" w:cs="Times New Roman"/>
        </w:rPr>
        <w:t>GluCl</w:t>
      </w:r>
      <w:proofErr w:type="spellEnd"/>
      <w:r w:rsidRPr="00EB6340">
        <w:rPr>
          <w:rFonts w:ascii="Times New Roman" w:hAnsi="Times New Roman" w:cs="Times New Roman"/>
        </w:rPr>
        <w:t xml:space="preserve">), and alterations in these channels have been associated with reduced responsiveness. Potential resistance mechanisms include </w:t>
      </w:r>
      <w:r w:rsidRPr="00EB6340">
        <w:rPr>
          <w:rFonts w:ascii="Times New Roman" w:hAnsi="Times New Roman" w:cs="Times New Roman"/>
          <w:b/>
          <w:bCs/>
        </w:rPr>
        <w:t>changes in subunit composition</w:t>
      </w:r>
      <w:r w:rsidRPr="00EB6340">
        <w:rPr>
          <w:rFonts w:ascii="Times New Roman" w:hAnsi="Times New Roman" w:cs="Times New Roman"/>
        </w:rPr>
        <w:t xml:space="preserve">, </w:t>
      </w:r>
      <w:r w:rsidRPr="00EB6340">
        <w:rPr>
          <w:rFonts w:ascii="Times New Roman" w:hAnsi="Times New Roman" w:cs="Times New Roman"/>
          <w:b/>
          <w:bCs/>
        </w:rPr>
        <w:t>structural variants affecting channel gating</w:t>
      </w:r>
      <w:r w:rsidRPr="00EB6340">
        <w:rPr>
          <w:rFonts w:ascii="Times New Roman" w:hAnsi="Times New Roman" w:cs="Times New Roman"/>
        </w:rPr>
        <w:t xml:space="preserve">, and </w:t>
      </w:r>
      <w:r w:rsidRPr="00EB6340">
        <w:rPr>
          <w:rFonts w:ascii="Times New Roman" w:hAnsi="Times New Roman" w:cs="Times New Roman"/>
          <w:b/>
          <w:bCs/>
        </w:rPr>
        <w:t xml:space="preserve">downregulation of genes encoding </w:t>
      </w:r>
      <w:proofErr w:type="spellStart"/>
      <w:r w:rsidRPr="00EB6340">
        <w:rPr>
          <w:rFonts w:ascii="Times New Roman" w:hAnsi="Times New Roman" w:cs="Times New Roman"/>
          <w:b/>
          <w:bCs/>
        </w:rPr>
        <w:t>GluCl</w:t>
      </w:r>
      <w:proofErr w:type="spellEnd"/>
      <w:r w:rsidRPr="00EB6340">
        <w:rPr>
          <w:rFonts w:ascii="Times New Roman" w:hAnsi="Times New Roman" w:cs="Times New Roman"/>
          <w:b/>
          <w:bCs/>
        </w:rPr>
        <w:t xml:space="preserve"> receptors</w:t>
      </w:r>
      <w:r w:rsidRPr="00EB6340">
        <w:rPr>
          <w:rFonts w:ascii="Times New Roman" w:hAnsi="Times New Roman" w:cs="Times New Roman"/>
        </w:rPr>
        <w:t xml:space="preserve">. While definitive causal mutations have not yet been unequivocally validated in human helminths, transcriptomic studies indicate that some populations exhibit altered expression patterns consistent with reduced channel sensitivity. These changes may decrease the efficacy of ivermectin-induced hyperpolarization, contributing to the </w:t>
      </w:r>
      <w:r w:rsidRPr="00EB6340">
        <w:rPr>
          <w:rFonts w:ascii="Times New Roman" w:hAnsi="Times New Roman" w:cs="Times New Roman"/>
          <w:b/>
          <w:bCs/>
        </w:rPr>
        <w:t>gradual erosion of treatment effectiveness</w:t>
      </w:r>
      <w:r w:rsidRPr="00EB6340">
        <w:rPr>
          <w:rFonts w:ascii="Times New Roman" w:hAnsi="Times New Roman" w:cs="Times New Roman"/>
        </w:rPr>
        <w:t xml:space="preserve"> observed in several endemic settings</w:t>
      </w:r>
      <w:r w:rsidR="0087183A">
        <w:rPr>
          <w:rFonts w:ascii="Times New Roman" w:hAnsi="Times New Roman" w:cs="Times New Roman"/>
        </w:rPr>
        <w:t>.</w:t>
      </w:r>
      <w:r w:rsidR="00E82B3A" w:rsidRPr="00EB6340">
        <w:rPr>
          <w:rFonts w:ascii="Times New Roman" w:hAnsi="Times New Roman" w:cs="Times New Roman"/>
        </w:rPr>
        <w:fldChar w:fldCharType="begin"/>
      </w:r>
      <w:r w:rsidR="009C1FD9" w:rsidRPr="00EB6340">
        <w:rPr>
          <w:rFonts w:ascii="Times New Roman" w:hAnsi="Times New Roman" w:cs="Times New Roman"/>
        </w:rPr>
        <w:instrText xml:space="preserve"> ADDIN ZOTERO_ITEM CSL_CITATION {"citationID":"CBsNpMki","properties":{"formattedCitation":"[9]","plainCitation":"[9]","noteIndex":0},"citationItems":[{"id":11873,"uris":["http://zotero.org/users/16652950/items/GBJJFET6"],"itemData":{"id":11873,"type":"article-journal","abstract":"The macrocyclic lactones are the biggest selling and arguably most effective anthelmintics currently available. They are good substrates for the P-glycoproteins, which might explain their selective toxicity for parasites over their vertebrate hosts. Changes in the expression of these pumps have been implicated in resistance to the macrocyclic lactones, but it is clear that they exert their anthelmintic effects by binding to glutamate-gated chloride channels expressed on nematode neurones and pharyngeal muscle cells. This effect is quite distinct from the channel opening induced by glutamate, the endogenous transmitter acting at these receptors, which produces rapidly opening and desensitising channels. Ivermectin-activated channels open very slowly but essentially irreversibly, leading to a very long-lasting hyperpolarisation or depolarisation of the neurone or muscle cell and therefore blocking further function. Molecular and genetic studies have shown that there are multiple GluCl isoforms in both free-living and parasitic nematodes: the exact genetic make-up and functions of the GluCl may vary between species. The known expression patterns of the GluCl explain most of the observed biological effects of treatment with the macrocyclic lactones, though the reason for the long-lasting inhibition of larval production in filarial species is still poorly understood.","container-title":"Parasitology","DOI":"10.1017/S0031182005008218","ISSN":"1469-8161, 0031-1820","issue":"S1","language":"en","page":"S85-S95","source":"Cambridge University Press","title":"Glutamate-gated chloride channels and the mode of action of the avermectin/milbemycin anthelmintics","volume":"131","author":[{"family":"Wolstenholme","given":"A. J."},{"family":"Rogers","given":"A. T."}],"issued":{"date-parts":[["2005",10]]}}}],"schema":"https://github.com/citation-style-language/schema/raw/master/csl-citation.json"} </w:instrText>
      </w:r>
      <w:r w:rsidR="00E82B3A" w:rsidRPr="00EB6340">
        <w:rPr>
          <w:rFonts w:ascii="Times New Roman" w:hAnsi="Times New Roman" w:cs="Times New Roman"/>
        </w:rPr>
        <w:fldChar w:fldCharType="separate"/>
      </w:r>
      <w:r w:rsidR="009C1FD9" w:rsidRPr="00EB6340">
        <w:rPr>
          <w:rFonts w:ascii="Times New Roman" w:hAnsi="Times New Roman" w:cs="Times New Roman"/>
        </w:rPr>
        <w:t>[9]</w:t>
      </w:r>
      <w:r w:rsidR="00E82B3A" w:rsidRPr="00EB6340">
        <w:rPr>
          <w:rFonts w:ascii="Times New Roman" w:hAnsi="Times New Roman" w:cs="Times New Roman"/>
        </w:rPr>
        <w:fldChar w:fldCharType="end"/>
      </w:r>
      <w:r w:rsidRPr="00EB6340">
        <w:rPr>
          <w:rFonts w:ascii="Times New Roman" w:hAnsi="Times New Roman" w:cs="Times New Roman"/>
        </w:rPr>
        <w:t>.</w:t>
      </w:r>
    </w:p>
    <w:p w:rsidR="0059639A" w:rsidRPr="00EB6340" w:rsidRDefault="0059639A" w:rsidP="0059639A">
      <w:pPr>
        <w:rPr>
          <w:rFonts w:ascii="Times New Roman" w:hAnsi="Times New Roman" w:cs="Times New Roman"/>
          <w:b/>
          <w:bCs/>
        </w:rPr>
      </w:pPr>
      <w:r w:rsidRPr="00EB6340">
        <w:rPr>
          <w:rFonts w:ascii="Times New Roman" w:hAnsi="Times New Roman" w:cs="Times New Roman"/>
          <w:b/>
          <w:bCs/>
        </w:rPr>
        <w:t>3.3 Efflux Transporters (ABC Transporters)</w:t>
      </w:r>
    </w:p>
    <w:p w:rsidR="0059639A" w:rsidRPr="00EB6340" w:rsidRDefault="0059639A" w:rsidP="0059639A">
      <w:pPr>
        <w:rPr>
          <w:rFonts w:ascii="Times New Roman" w:hAnsi="Times New Roman" w:cs="Times New Roman"/>
        </w:rPr>
      </w:pPr>
      <w:r w:rsidRPr="00EB6340">
        <w:rPr>
          <w:rFonts w:ascii="Times New Roman" w:hAnsi="Times New Roman" w:cs="Times New Roman"/>
        </w:rPr>
        <w:t xml:space="preserve">Another important class of candidate markers involves </w:t>
      </w:r>
      <w:r w:rsidRPr="00EB6340">
        <w:rPr>
          <w:rFonts w:ascii="Times New Roman" w:hAnsi="Times New Roman" w:cs="Times New Roman"/>
          <w:b/>
          <w:bCs/>
        </w:rPr>
        <w:t>ATP-binding cassette (ABC) transporters</w:t>
      </w:r>
      <w:r w:rsidRPr="00EB6340">
        <w:rPr>
          <w:rFonts w:ascii="Times New Roman" w:hAnsi="Times New Roman" w:cs="Times New Roman"/>
        </w:rPr>
        <w:t>, particularly P-glycoproteins (</w:t>
      </w:r>
      <w:proofErr w:type="spellStart"/>
      <w:r w:rsidRPr="00EB6340">
        <w:rPr>
          <w:rFonts w:ascii="Times New Roman" w:hAnsi="Times New Roman" w:cs="Times New Roman"/>
        </w:rPr>
        <w:t>Pgp</w:t>
      </w:r>
      <w:proofErr w:type="spellEnd"/>
      <w:r w:rsidRPr="00EB6340">
        <w:rPr>
          <w:rFonts w:ascii="Times New Roman" w:hAnsi="Times New Roman" w:cs="Times New Roman"/>
        </w:rPr>
        <w:t xml:space="preserve">). Upregulation of these transporters can enhance drug efflux, thereby reducing intracellular drug concentrations. Genomic and transcriptomic analyses from both model nematodes and human helminths have identified </w:t>
      </w:r>
      <w:r w:rsidRPr="00EB6340">
        <w:rPr>
          <w:rFonts w:ascii="Times New Roman" w:hAnsi="Times New Roman" w:cs="Times New Roman"/>
          <w:b/>
          <w:bCs/>
        </w:rPr>
        <w:t xml:space="preserve">elevated expression of </w:t>
      </w:r>
      <w:proofErr w:type="spellStart"/>
      <w:r w:rsidRPr="00EB6340">
        <w:rPr>
          <w:rFonts w:ascii="Times New Roman" w:hAnsi="Times New Roman" w:cs="Times New Roman"/>
          <w:b/>
          <w:bCs/>
        </w:rPr>
        <w:t>Pgp</w:t>
      </w:r>
      <w:proofErr w:type="spellEnd"/>
      <w:r w:rsidRPr="00EB6340">
        <w:rPr>
          <w:rFonts w:ascii="Times New Roman" w:hAnsi="Times New Roman" w:cs="Times New Roman"/>
          <w:b/>
          <w:bCs/>
        </w:rPr>
        <w:t xml:space="preserve"> genes</w:t>
      </w:r>
      <w:r w:rsidRPr="00EB6340">
        <w:rPr>
          <w:rFonts w:ascii="Times New Roman" w:hAnsi="Times New Roman" w:cs="Times New Roman"/>
        </w:rPr>
        <w:t xml:space="preserve"> in populations with suspected reduced susceptibility. Such transporters may contribute to </w:t>
      </w:r>
      <w:r w:rsidRPr="00EB6340">
        <w:rPr>
          <w:rFonts w:ascii="Times New Roman" w:hAnsi="Times New Roman" w:cs="Times New Roman"/>
          <w:b/>
          <w:bCs/>
        </w:rPr>
        <w:t>multi-drug resistance</w:t>
      </w:r>
      <w:r w:rsidRPr="00EB6340">
        <w:rPr>
          <w:rFonts w:ascii="Times New Roman" w:hAnsi="Times New Roman" w:cs="Times New Roman"/>
        </w:rPr>
        <w:t>, given their broad substrate range and ability to decrease the effective concentration of structurally diverse anthelmintics</w:t>
      </w:r>
      <w:r w:rsidR="0087183A">
        <w:rPr>
          <w:rFonts w:ascii="Times New Roman" w:hAnsi="Times New Roman" w:cs="Times New Roman"/>
        </w:rPr>
        <w:t>.</w:t>
      </w:r>
      <w:r w:rsidR="00E82B3A" w:rsidRPr="00EB6340">
        <w:rPr>
          <w:rFonts w:ascii="Times New Roman" w:hAnsi="Times New Roman" w:cs="Times New Roman"/>
        </w:rPr>
        <w:fldChar w:fldCharType="begin"/>
      </w:r>
      <w:r w:rsidR="009C1FD9" w:rsidRPr="00EB6340">
        <w:rPr>
          <w:rFonts w:ascii="Times New Roman" w:hAnsi="Times New Roman" w:cs="Times New Roman"/>
        </w:rPr>
        <w:instrText xml:space="preserve"> ADDIN ZOTERO_ITEM CSL_CITATION {"citationID":"xh0o5MOm","properties":{"formattedCitation":"[10]","plainCitation":"[10]","noteIndex":0},"citationItems":[{"id":11874,"uris":["http://zotero.org/users/16652950/items/UQTYY7N9"],"itemData":{"id":11874,"type":"article-journal","abstract":"The ATP-binding cassette (ABC) transporter superfamily, one of the largest membrane protein families, plays a crucial role in multidrug resistance (MD...","container-title":"International Journal of Translational Medicine","DOI":"10.3390/ijtm5010006","ISSN":"2673-8937","issue":"1","language":"en","license":"http://creativecommons.org/licenses/by/3.0/","note":"Company: Multidisciplinary Digital Publishing Institute\nDistributor: Multidisciplinary Digital Publishing Institute\nInstitution: Multidisciplinary Digital Publishing Institute\nLabel: Multidisciplinary Digital Publishing Institute\npublisher: publisher","source":"www.mdpi.com","title":"Emerging Strategies to Overcome Chemoresistance: Structural Insights and Therapeutic Targeting of Multidrug Resistance-Linked ATP-Binding Cassette Transporters","title-short":"Emerging Strategies to Overcome Chemoresistance","URL":"https://www.mdpi.com/2673-8937/5/1/6","volume":"5","author":[{"family":"Nagampalli","given":"Raghavendra Sashi Krishna"},{"family":"Vadla","given":"Gangadhar P."},{"family":"Nadendla","given":"Eswar Kumar"},{"family":"Nagampalli","given":"Raghavendra Sashi Krishna"},{"family":"Vadla","given":"Gangadhar P."},{"family":"Nadendla","given":"Eswar Kumar"}],"accessed":{"date-parts":[["2025",12,8]]},"issued":{"date-parts":[["2025",1,9]]}}}],"schema":"https://github.com/citation-style-language/schema/raw/master/csl-citation.json"} </w:instrText>
      </w:r>
      <w:r w:rsidR="00E82B3A" w:rsidRPr="00EB6340">
        <w:rPr>
          <w:rFonts w:ascii="Times New Roman" w:hAnsi="Times New Roman" w:cs="Times New Roman"/>
        </w:rPr>
        <w:fldChar w:fldCharType="separate"/>
      </w:r>
      <w:r w:rsidR="009C1FD9" w:rsidRPr="00EB6340">
        <w:rPr>
          <w:rFonts w:ascii="Times New Roman" w:hAnsi="Times New Roman" w:cs="Times New Roman"/>
        </w:rPr>
        <w:t>[10]</w:t>
      </w:r>
      <w:r w:rsidR="00E82B3A" w:rsidRPr="00EB6340">
        <w:rPr>
          <w:rFonts w:ascii="Times New Roman" w:hAnsi="Times New Roman" w:cs="Times New Roman"/>
        </w:rPr>
        <w:fldChar w:fldCharType="end"/>
      </w:r>
      <w:r w:rsidRPr="00EB6340">
        <w:rPr>
          <w:rFonts w:ascii="Times New Roman" w:hAnsi="Times New Roman" w:cs="Times New Roman"/>
        </w:rPr>
        <w:t>.</w:t>
      </w:r>
    </w:p>
    <w:p w:rsidR="0059639A" w:rsidRPr="00EB6340" w:rsidRDefault="0059639A" w:rsidP="0059639A">
      <w:pPr>
        <w:rPr>
          <w:rFonts w:ascii="Times New Roman" w:hAnsi="Times New Roman" w:cs="Times New Roman"/>
          <w:b/>
          <w:bCs/>
        </w:rPr>
      </w:pPr>
      <w:r w:rsidRPr="00EB6340">
        <w:rPr>
          <w:rFonts w:ascii="Times New Roman" w:hAnsi="Times New Roman" w:cs="Times New Roman"/>
          <w:b/>
          <w:bCs/>
        </w:rPr>
        <w:t>3.4 Other Candidate Genetic Markers</w:t>
      </w:r>
    </w:p>
    <w:p w:rsidR="0059639A" w:rsidRPr="00EB6340" w:rsidRDefault="0059639A" w:rsidP="0059639A">
      <w:pPr>
        <w:rPr>
          <w:rFonts w:ascii="Times New Roman" w:hAnsi="Times New Roman" w:cs="Times New Roman"/>
        </w:rPr>
      </w:pPr>
      <w:r w:rsidRPr="00EB6340">
        <w:rPr>
          <w:rFonts w:ascii="Times New Roman" w:hAnsi="Times New Roman" w:cs="Times New Roman"/>
        </w:rPr>
        <w:t xml:space="preserve">A growing number of additional molecular markers are under investigation. </w:t>
      </w:r>
      <w:r w:rsidRPr="00EB6340">
        <w:rPr>
          <w:rFonts w:ascii="Times New Roman" w:hAnsi="Times New Roman" w:cs="Times New Roman"/>
          <w:b/>
          <w:bCs/>
        </w:rPr>
        <w:t>Detoxification enzyme families</w:t>
      </w:r>
      <w:r w:rsidRPr="00EB6340">
        <w:rPr>
          <w:rFonts w:ascii="Times New Roman" w:hAnsi="Times New Roman" w:cs="Times New Roman"/>
        </w:rPr>
        <w:t>, including cytochrome P450s and glutathione-related enzymes, may play roles in metabolic drug breakdown</w:t>
      </w:r>
      <w:r w:rsidR="0087183A">
        <w:rPr>
          <w:rFonts w:ascii="Times New Roman" w:hAnsi="Times New Roman" w:cs="Times New Roman"/>
        </w:rPr>
        <w:t>.</w:t>
      </w:r>
      <w:r w:rsidR="00E82B3A">
        <w:rPr>
          <w:rFonts w:ascii="Times New Roman" w:hAnsi="Times New Roman" w:cs="Times New Roman"/>
        </w:rPr>
        <w:fldChar w:fldCharType="begin"/>
      </w:r>
      <w:r w:rsidR="00C758D7">
        <w:rPr>
          <w:rFonts w:ascii="Times New Roman" w:hAnsi="Times New Roman" w:cs="Times New Roman"/>
        </w:rPr>
        <w:instrText xml:space="preserve"> ADDIN ZOTERO_ITEM CSL_CITATION {"citationID":"v84vLbd1","properties":{"formattedCitation":"[11]","plainCitation":"[11]","noteIndex":0},"citationItems":[{"id":11353,"uris":["http://zotero.org/users/16652950/items/F2S6AR5Y"],"itemData":{"id":11353,"type":"article-journal","abstract":"The outbreak of cholera in Nigeria represents a significant public health challenge, worsened by factors such as poor sanitation, inadequate clean water supply, and climate variability. This study explores multiple approaches required to address this epidemic through the lens of the One Health framework, which recognizes the interconnection between human, animal, and environmental health. Integrating epidemiological data, environmental studies, and veterinary science, the One Health approach offers a holistic strategy to combat cholera. This study examines the current cholera outbreak in Nigeria, identifying key contributing factors and evaluating the effectiveness of One Health interventions. The findings underscore the importance of collaborative efforts across sectors, including improved water, sanitation, and hygiene (WASH) practices, robust surveillance systems, and community engagement. Additionally, the study highlights the role of climate change in increasing cholera outbreaks and the necessity of incorporating environmental health strategies into public health planning. The One Health approach not only enhances understanding of cholera dynamics but also promotes sustainable solutions to prevent future outbreaks, ultimately contributing to the broader goal of global health security.","container-title":"Discover Public Health","DOI":"10.1186/s12982-025-00526-5","ISSN":"3005-0774","issue":"1","journalAbbreviation":"Discov Public Health","language":"en","page":"125","source":"Springer Link","title":"Outbreak of cholera in Nigeria: the role of One Health","title-short":"Outbreak of cholera in Nigeria","volume":"22","author":[{"family":"Aborode","given":"Abdullahi Tunde"},{"family":"Adesola","given":"Ridwan Olamilekan"},{"family":"Onifade","given":"Isreal Ayobami"},{"family":"Adesiyan","given":"Raphael"},{"family":"Ibiam","given":"Victor Akachukwu"},{"family":"Jinadu","given":"Noimat Abeni"},{"family":"Bakre","given":"Adetolase Azizat"}],"issued":{"date-parts":[["2025",3,31]]}}}],"schema":"https://github.com/citation-style-language/schema/raw/master/csl-citation.json"} </w:instrText>
      </w:r>
      <w:r w:rsidR="00E82B3A">
        <w:rPr>
          <w:rFonts w:ascii="Times New Roman" w:hAnsi="Times New Roman" w:cs="Times New Roman"/>
        </w:rPr>
        <w:fldChar w:fldCharType="separate"/>
      </w:r>
      <w:r w:rsidR="00C758D7" w:rsidRPr="00C758D7">
        <w:rPr>
          <w:rFonts w:ascii="Times New Roman" w:hAnsi="Times New Roman" w:cs="Times New Roman"/>
        </w:rPr>
        <w:t>[11]</w:t>
      </w:r>
      <w:r w:rsidR="00E82B3A">
        <w:rPr>
          <w:rFonts w:ascii="Times New Roman" w:hAnsi="Times New Roman" w:cs="Times New Roman"/>
        </w:rPr>
        <w:fldChar w:fldCharType="end"/>
      </w:r>
      <w:r w:rsidRPr="00EB6340">
        <w:rPr>
          <w:rFonts w:ascii="Times New Roman" w:hAnsi="Times New Roman" w:cs="Times New Roman"/>
        </w:rPr>
        <w:t xml:space="preserve">. </w:t>
      </w:r>
      <w:r w:rsidRPr="00EB6340">
        <w:rPr>
          <w:rFonts w:ascii="Times New Roman" w:hAnsi="Times New Roman" w:cs="Times New Roman"/>
          <w:b/>
          <w:bCs/>
        </w:rPr>
        <w:t>Polymorphisms in regulatory regions</w:t>
      </w:r>
      <w:r w:rsidRPr="00EB6340">
        <w:rPr>
          <w:rFonts w:ascii="Times New Roman" w:hAnsi="Times New Roman" w:cs="Times New Roman"/>
        </w:rPr>
        <w:t xml:space="preserve"> could influence gene expression related to drug response, although the functional significance of many such variants remains unclear. Emerging interest also surrounds </w:t>
      </w:r>
      <w:r w:rsidRPr="00EB6340">
        <w:rPr>
          <w:rFonts w:ascii="Times New Roman" w:hAnsi="Times New Roman" w:cs="Times New Roman"/>
          <w:b/>
          <w:bCs/>
        </w:rPr>
        <w:t>mitochondrial markers</w:t>
      </w:r>
      <w:r w:rsidRPr="00EB6340">
        <w:rPr>
          <w:rFonts w:ascii="Times New Roman" w:hAnsi="Times New Roman" w:cs="Times New Roman"/>
        </w:rPr>
        <w:t>, which may capture population bottlenecks, selective sweeps, or lineage-specific susceptibility patterns</w:t>
      </w:r>
      <w:r w:rsidR="0087183A">
        <w:rPr>
          <w:rFonts w:ascii="Times New Roman" w:hAnsi="Times New Roman" w:cs="Times New Roman"/>
        </w:rPr>
        <w:t>.</w:t>
      </w:r>
      <w:r w:rsidR="00E82B3A" w:rsidRPr="00EB6340">
        <w:rPr>
          <w:rFonts w:ascii="Times New Roman" w:hAnsi="Times New Roman" w:cs="Times New Roman"/>
        </w:rPr>
        <w:fldChar w:fldCharType="begin"/>
      </w:r>
      <w:r w:rsidR="00C758D7">
        <w:rPr>
          <w:rFonts w:ascii="Times New Roman" w:hAnsi="Times New Roman" w:cs="Times New Roman"/>
        </w:rPr>
        <w:instrText xml:space="preserve"> ADDIN ZOTERO_ITEM CSL_CITATION {"citationID":"YijYrSkf","properties":{"formattedCitation":"[12]","plainCitation":"[12]","noteIndex":0},"citationItems":[{"id":11876,"uris":["http://zotero.org/users/16652950/items/33D4VK66"],"itemData":{"id":11876,"type":"article-journal","abstract":"Cytochrome P450 (CYP450) is a group of enzymes that play an essential role in Phase I metabolism, with 57 functional genes classified into 18 families...","container-title":"Biomedicines","DOI":"10.3390/biomedicines12071467","ISSN":"2227-9059","issue":"7","language":"en","license":"http://creativecommons.org/licenses/by/3.0/","note":"Company: Multidisciplinary Digital Publishing Institute\nDistributor: Multidisciplinary Digital Publishing Institute\nInstitution: Multidisciplinary Digital Publishing Institute\nLabel: Multidisciplinary Digital Publishing Institute\npublisher: publisher","source":"www.mdpi.com","title":"Decoding the Role of CYP450 Enzymes in Metabolism and Disease: A Comprehensive Review","title-short":"Decoding the Role of CYP450 Enzymes in Metabolism and Disease","URL":"https://www.mdpi.com/2227-9059/12/7/1467","volume":"12","author":[{"family":"Abdelmonem","given":"Basma Hossam"},{"family":"Abdelaal","given":"Noha M."},{"family":"Anwer","given":"Eman K. E."},{"family":"Rashwan","given":"Alaa A."},{"family":"Hussein","given":"Mohamed Ali"},{"family":"Ahmed","given":"Yasmin F."},{"family":"Khashana","given":"Rana"},{"family":"Hanna","given":"Mireille M."},{"family":"Abdelnaser","given":"Anwar"},{"family":"Abdelmonem","given":"Basma Hossam"},{"family":"Abdelaal","given":"Noha M."},{"family":"Anwer","given":"Eman K. E."},{"family":"Rashwan","given":"Alaa A."},{"family":"Hussein","given":"Mohamed Ali"},{"family":"Ahmed","given":"Yasmin F."},{"family":"Khashana","given":"Rana"},{"family":"Hanna","given":"Mireille M."},{"family":"Abdelnaser","given":"Anwar"}],"accessed":{"date-parts":[["2025",12,8]]},"issued":{"date-parts":[["2024",7,1]]}}}],"schema":"https://github.com/citation-style-language/schema/raw/master/csl-citation.json"} </w:instrText>
      </w:r>
      <w:r w:rsidR="00E82B3A" w:rsidRPr="00EB6340">
        <w:rPr>
          <w:rFonts w:ascii="Times New Roman" w:hAnsi="Times New Roman" w:cs="Times New Roman"/>
        </w:rPr>
        <w:fldChar w:fldCharType="separate"/>
      </w:r>
      <w:r w:rsidR="00C758D7" w:rsidRPr="00C758D7">
        <w:rPr>
          <w:rFonts w:ascii="Times New Roman" w:hAnsi="Times New Roman" w:cs="Times New Roman"/>
        </w:rPr>
        <w:t>[12]</w:t>
      </w:r>
      <w:r w:rsidR="00E82B3A" w:rsidRPr="00EB6340">
        <w:rPr>
          <w:rFonts w:ascii="Times New Roman" w:hAnsi="Times New Roman" w:cs="Times New Roman"/>
        </w:rPr>
        <w:fldChar w:fldCharType="end"/>
      </w:r>
      <w:r w:rsidRPr="00EB6340">
        <w:rPr>
          <w:rFonts w:ascii="Times New Roman" w:hAnsi="Times New Roman" w:cs="Times New Roman"/>
        </w:rPr>
        <w:t>.</w:t>
      </w:r>
    </w:p>
    <w:p w:rsidR="0059639A" w:rsidRPr="00EB6340" w:rsidRDefault="0059639A" w:rsidP="0059639A">
      <w:pPr>
        <w:rPr>
          <w:rFonts w:ascii="Times New Roman" w:hAnsi="Times New Roman" w:cs="Times New Roman"/>
        </w:rPr>
      </w:pPr>
      <w:r w:rsidRPr="00EB6340">
        <w:rPr>
          <w:rFonts w:ascii="Times New Roman" w:hAnsi="Times New Roman" w:cs="Times New Roman"/>
        </w:rPr>
        <w:lastRenderedPageBreak/>
        <w:t>Table 1 summarizes the principal genetic markers associated with emerging anthelmintic resistance across major human helminths, highlighting species-specific variants, their proposed functional impacts, and the current strength of evidence supporting their roles.”</w:t>
      </w:r>
    </w:p>
    <w:p w:rsidR="002212F3" w:rsidRPr="00EB6340" w:rsidRDefault="002212F3" w:rsidP="002212F3">
      <w:pPr>
        <w:rPr>
          <w:rFonts w:ascii="Times New Roman" w:hAnsi="Times New Roman" w:cs="Times New Roman"/>
          <w:b/>
          <w:bCs/>
        </w:rPr>
      </w:pPr>
      <w:r w:rsidRPr="00EB6340">
        <w:rPr>
          <w:rFonts w:ascii="Times New Roman" w:hAnsi="Times New Roman" w:cs="Times New Roman"/>
          <w:b/>
          <w:bCs/>
        </w:rPr>
        <w:t>Table 1. Key Genetic Markers Implicated in Anthelmintic Resistance Across Major Human Helminths</w:t>
      </w:r>
    </w:p>
    <w:tbl>
      <w:tblPr>
        <w:tblW w:w="0" w:type="auto"/>
        <w:tblCellSpacing w:w="15" w:type="dxa"/>
        <w:tblBorders>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563"/>
        <w:gridCol w:w="1658"/>
        <w:gridCol w:w="1992"/>
        <w:gridCol w:w="2187"/>
        <w:gridCol w:w="2050"/>
      </w:tblGrid>
      <w:tr w:rsidR="008143D9" w:rsidRPr="00EB6340" w:rsidTr="0014407D">
        <w:trPr>
          <w:tblHeader/>
          <w:tblCellSpacing w:w="15" w:type="dxa"/>
        </w:trPr>
        <w:tc>
          <w:tcPr>
            <w:tcW w:w="0" w:type="auto"/>
            <w:vAlign w:val="center"/>
            <w:hideMark/>
          </w:tcPr>
          <w:p w:rsidR="002212F3" w:rsidRPr="00EB6340" w:rsidRDefault="002212F3" w:rsidP="002212F3">
            <w:pPr>
              <w:rPr>
                <w:rFonts w:ascii="Times New Roman" w:hAnsi="Times New Roman" w:cs="Times New Roman"/>
                <w:b/>
                <w:bCs/>
              </w:rPr>
            </w:pPr>
            <w:r w:rsidRPr="00EB6340">
              <w:rPr>
                <w:rFonts w:ascii="Times New Roman" w:hAnsi="Times New Roman" w:cs="Times New Roman"/>
                <w:b/>
                <w:bCs/>
              </w:rPr>
              <w:t>Helminth Species</w:t>
            </w:r>
          </w:p>
        </w:tc>
        <w:tc>
          <w:tcPr>
            <w:tcW w:w="0" w:type="auto"/>
            <w:vAlign w:val="center"/>
            <w:hideMark/>
          </w:tcPr>
          <w:p w:rsidR="002212F3" w:rsidRPr="00EB6340" w:rsidRDefault="002212F3" w:rsidP="002212F3">
            <w:pPr>
              <w:rPr>
                <w:rFonts w:ascii="Times New Roman" w:hAnsi="Times New Roman" w:cs="Times New Roman"/>
                <w:b/>
                <w:bCs/>
              </w:rPr>
            </w:pPr>
            <w:r w:rsidRPr="00EB6340">
              <w:rPr>
                <w:rFonts w:ascii="Times New Roman" w:hAnsi="Times New Roman" w:cs="Times New Roman"/>
                <w:b/>
                <w:bCs/>
              </w:rPr>
              <w:t>Drug Class Affected</w:t>
            </w:r>
          </w:p>
        </w:tc>
        <w:tc>
          <w:tcPr>
            <w:tcW w:w="0" w:type="auto"/>
            <w:vAlign w:val="center"/>
            <w:hideMark/>
          </w:tcPr>
          <w:p w:rsidR="002212F3" w:rsidRPr="00EB6340" w:rsidRDefault="002212F3" w:rsidP="002212F3">
            <w:pPr>
              <w:rPr>
                <w:rFonts w:ascii="Times New Roman" w:hAnsi="Times New Roman" w:cs="Times New Roman"/>
                <w:b/>
                <w:bCs/>
              </w:rPr>
            </w:pPr>
            <w:r w:rsidRPr="00EB6340">
              <w:rPr>
                <w:rFonts w:ascii="Times New Roman" w:hAnsi="Times New Roman" w:cs="Times New Roman"/>
                <w:b/>
                <w:bCs/>
              </w:rPr>
              <w:t>Primary Genetic Marker(s)</w:t>
            </w:r>
          </w:p>
        </w:tc>
        <w:tc>
          <w:tcPr>
            <w:tcW w:w="0" w:type="auto"/>
            <w:vAlign w:val="center"/>
            <w:hideMark/>
          </w:tcPr>
          <w:p w:rsidR="002212F3" w:rsidRPr="00EB6340" w:rsidRDefault="002212F3" w:rsidP="002212F3">
            <w:pPr>
              <w:rPr>
                <w:rFonts w:ascii="Times New Roman" w:hAnsi="Times New Roman" w:cs="Times New Roman"/>
                <w:b/>
                <w:bCs/>
              </w:rPr>
            </w:pPr>
            <w:r w:rsidRPr="00EB6340">
              <w:rPr>
                <w:rFonts w:ascii="Times New Roman" w:hAnsi="Times New Roman" w:cs="Times New Roman"/>
                <w:b/>
                <w:bCs/>
              </w:rPr>
              <w:t>Proposed Functional Impact</w:t>
            </w:r>
          </w:p>
        </w:tc>
        <w:tc>
          <w:tcPr>
            <w:tcW w:w="0" w:type="auto"/>
            <w:vAlign w:val="center"/>
            <w:hideMark/>
          </w:tcPr>
          <w:p w:rsidR="002212F3" w:rsidRPr="00EB6340" w:rsidRDefault="002212F3" w:rsidP="002212F3">
            <w:pPr>
              <w:rPr>
                <w:rFonts w:ascii="Times New Roman" w:hAnsi="Times New Roman" w:cs="Times New Roman"/>
                <w:b/>
                <w:bCs/>
              </w:rPr>
            </w:pPr>
            <w:r w:rsidRPr="00EB6340">
              <w:rPr>
                <w:rFonts w:ascii="Times New Roman" w:hAnsi="Times New Roman" w:cs="Times New Roman"/>
                <w:b/>
                <w:bCs/>
              </w:rPr>
              <w:t>Evidence Strength</w:t>
            </w:r>
          </w:p>
        </w:tc>
      </w:tr>
      <w:tr w:rsidR="008143D9" w:rsidRPr="00EB6340" w:rsidTr="0014407D">
        <w:trPr>
          <w:tblCellSpacing w:w="15" w:type="dxa"/>
        </w:trPr>
        <w:tc>
          <w:tcPr>
            <w:tcW w:w="0" w:type="auto"/>
            <w:vAlign w:val="center"/>
            <w:hideMark/>
          </w:tcPr>
          <w:p w:rsidR="002212F3" w:rsidRPr="00EB6340" w:rsidRDefault="002212F3" w:rsidP="002212F3">
            <w:pPr>
              <w:rPr>
                <w:rFonts w:ascii="Times New Roman" w:hAnsi="Times New Roman" w:cs="Times New Roman"/>
              </w:rPr>
            </w:pPr>
            <w:r w:rsidRPr="00EB6340">
              <w:rPr>
                <w:rFonts w:ascii="Times New Roman" w:hAnsi="Times New Roman" w:cs="Times New Roman"/>
                <w:i/>
                <w:iCs/>
              </w:rPr>
              <w:t xml:space="preserve">Trichuris </w:t>
            </w:r>
            <w:proofErr w:type="spellStart"/>
            <w:r w:rsidRPr="00EB6340">
              <w:rPr>
                <w:rFonts w:ascii="Times New Roman" w:hAnsi="Times New Roman" w:cs="Times New Roman"/>
                <w:i/>
                <w:iCs/>
              </w:rPr>
              <w:t>trichiura</w:t>
            </w:r>
            <w:proofErr w:type="spellEnd"/>
          </w:p>
        </w:tc>
        <w:tc>
          <w:tcPr>
            <w:tcW w:w="0" w:type="auto"/>
            <w:vAlign w:val="center"/>
            <w:hideMark/>
          </w:tcPr>
          <w:p w:rsidR="002212F3" w:rsidRPr="00EB6340" w:rsidRDefault="002212F3" w:rsidP="002212F3">
            <w:pPr>
              <w:rPr>
                <w:rFonts w:ascii="Times New Roman" w:hAnsi="Times New Roman" w:cs="Times New Roman"/>
              </w:rPr>
            </w:pPr>
            <w:r w:rsidRPr="00EB6340">
              <w:rPr>
                <w:rFonts w:ascii="Times New Roman" w:hAnsi="Times New Roman" w:cs="Times New Roman"/>
              </w:rPr>
              <w:t>Benzimidazoles</w:t>
            </w:r>
          </w:p>
        </w:tc>
        <w:tc>
          <w:tcPr>
            <w:tcW w:w="0" w:type="auto"/>
            <w:vAlign w:val="center"/>
            <w:hideMark/>
          </w:tcPr>
          <w:p w:rsidR="002212F3" w:rsidRPr="00EB6340" w:rsidRDefault="002212F3" w:rsidP="002212F3">
            <w:pPr>
              <w:rPr>
                <w:rFonts w:ascii="Times New Roman" w:hAnsi="Times New Roman" w:cs="Times New Roman"/>
              </w:rPr>
            </w:pPr>
            <w:r w:rsidRPr="00EB6340">
              <w:rPr>
                <w:rFonts w:ascii="Times New Roman" w:hAnsi="Times New Roman" w:cs="Times New Roman"/>
              </w:rPr>
              <w:t xml:space="preserve">β-tubulin </w:t>
            </w:r>
            <w:r w:rsidRPr="00EB6340">
              <w:rPr>
                <w:rFonts w:ascii="Times New Roman" w:hAnsi="Times New Roman" w:cs="Times New Roman"/>
                <w:b/>
                <w:bCs/>
              </w:rPr>
              <w:t>E198A</w:t>
            </w:r>
          </w:p>
        </w:tc>
        <w:tc>
          <w:tcPr>
            <w:tcW w:w="0" w:type="auto"/>
            <w:vAlign w:val="center"/>
            <w:hideMark/>
          </w:tcPr>
          <w:p w:rsidR="002212F3" w:rsidRPr="00EB6340" w:rsidRDefault="002212F3" w:rsidP="002212F3">
            <w:pPr>
              <w:rPr>
                <w:rFonts w:ascii="Times New Roman" w:hAnsi="Times New Roman" w:cs="Times New Roman"/>
              </w:rPr>
            </w:pPr>
            <w:r w:rsidRPr="00EB6340">
              <w:rPr>
                <w:rFonts w:ascii="Times New Roman" w:hAnsi="Times New Roman" w:cs="Times New Roman"/>
              </w:rPr>
              <w:t xml:space="preserve">Alters </w:t>
            </w:r>
            <w:r w:rsidR="00E81DAD">
              <w:rPr>
                <w:rFonts w:ascii="Times New Roman" w:hAnsi="Times New Roman" w:cs="Times New Roman"/>
              </w:rPr>
              <w:t xml:space="preserve">the </w:t>
            </w:r>
            <w:r w:rsidRPr="00EB6340">
              <w:rPr>
                <w:rFonts w:ascii="Times New Roman" w:hAnsi="Times New Roman" w:cs="Times New Roman"/>
              </w:rPr>
              <w:t>drug-interaction site, lowering affinity for benzimidazoles</w:t>
            </w:r>
          </w:p>
        </w:tc>
        <w:tc>
          <w:tcPr>
            <w:tcW w:w="0" w:type="auto"/>
            <w:vAlign w:val="center"/>
            <w:hideMark/>
          </w:tcPr>
          <w:p w:rsidR="002212F3" w:rsidRPr="00EB6340" w:rsidRDefault="002212F3" w:rsidP="002212F3">
            <w:pPr>
              <w:rPr>
                <w:rFonts w:ascii="Times New Roman" w:hAnsi="Times New Roman" w:cs="Times New Roman"/>
              </w:rPr>
            </w:pPr>
            <w:r w:rsidRPr="00EB6340">
              <w:rPr>
                <w:rFonts w:ascii="Times New Roman" w:hAnsi="Times New Roman" w:cs="Times New Roman"/>
              </w:rPr>
              <w:t>Strong, multiple field studies</w:t>
            </w:r>
            <w:r w:rsidR="00E82B3A" w:rsidRPr="00EB6340">
              <w:rPr>
                <w:rFonts w:ascii="Times New Roman" w:hAnsi="Times New Roman" w:cs="Times New Roman"/>
              </w:rPr>
              <w:fldChar w:fldCharType="begin"/>
            </w:r>
            <w:r w:rsidR="00C758D7">
              <w:rPr>
                <w:rFonts w:ascii="Times New Roman" w:hAnsi="Times New Roman" w:cs="Times New Roman"/>
              </w:rPr>
              <w:instrText xml:space="preserve"> ADDIN ZOTERO_ITEM CSL_CITATION {"citationID":"xOIczePn","properties":{"formattedCitation":"[13]","plainCitation":"[13]","noteIndex":0},"citationItems":[{"id":11878,"uris":["http://zotero.org/users/16652950/items/GBU6T93Y"],"itemData":{"id":11878,"type":"article-journal","abstract":"In all organisms, the biotransformation of xenobiotics to less toxic and more hydrophilic compounds represents an effective defense strategy. In pathogens, the biotransformation of drugs (used for their elimination from the host) may provide undesirable protective effects that could potentially compromise the drug's efficacy. Accordingly, increased drug deactivation via accelerated biotransformation is now considered as one of the mechanisms of drug resistance. The present study summarizes the current knowledge regarding the biotransformation of anthelmintics, specifically drugs used to treat mainly nematodes, a group of parasites that are a significant health concern for humans and animals. The main biotransformation enzymes are introduced and their roles in anthelmintics metabolism in nematodes are discussed with a particular focus on their potential participation in drug resistance. Similarly, the inducibility of biotransformation enzymes with sublethal doses of anthelmintics is presented in view of its potential contribution to drug resistance development. In the conclusion, the main tasks awaiting scientists in this area are outlined.","container-title":"International Journal for Parasitology: Drugs and Drug Resistance","DOI":"10.1016/j.ijpddr.2025.100579","ISSN":"2211-3207","journalAbbreviation":"International Journal for Parasitology: Drugs and Drug Resistance","page":"100579","source":"ScienceDirect","title":"Biotransformation of anthelmintics in nematodes in relation to drug resistance","volume":"27","author":[{"family":"Vosála","given":"Ondřej"},{"family":"Krátký","given":"Josef"},{"family":"Matoušková","given":"Petra"},{"family":"Rychlá","given":"Nikola"},{"family":"Štěrbová","given":"Karolína"},{"family":"Raisová Stuchlíková","given":"Lucie"},{"family":"Vokřál","given":"Ivan"},{"family":"Skálová","given":"Lenka"}],"issued":{"date-parts":[["2025",4,1]]}}}],"schema":"https://github.com/citation-style-language/schema/raw/master/csl-citation.json"} </w:instrText>
            </w:r>
            <w:r w:rsidR="00E82B3A" w:rsidRPr="00EB6340">
              <w:rPr>
                <w:rFonts w:ascii="Times New Roman" w:hAnsi="Times New Roman" w:cs="Times New Roman"/>
              </w:rPr>
              <w:fldChar w:fldCharType="separate"/>
            </w:r>
            <w:r w:rsidR="00C758D7" w:rsidRPr="00C758D7">
              <w:rPr>
                <w:rFonts w:ascii="Times New Roman" w:hAnsi="Times New Roman" w:cs="Times New Roman"/>
              </w:rPr>
              <w:t>[13]</w:t>
            </w:r>
            <w:r w:rsidR="00E82B3A" w:rsidRPr="00EB6340">
              <w:rPr>
                <w:rFonts w:ascii="Times New Roman" w:hAnsi="Times New Roman" w:cs="Times New Roman"/>
              </w:rPr>
              <w:fldChar w:fldCharType="end"/>
            </w:r>
          </w:p>
        </w:tc>
      </w:tr>
      <w:tr w:rsidR="008143D9" w:rsidRPr="00EB6340" w:rsidTr="0014407D">
        <w:trPr>
          <w:tblCellSpacing w:w="15" w:type="dxa"/>
        </w:trPr>
        <w:tc>
          <w:tcPr>
            <w:tcW w:w="0" w:type="auto"/>
            <w:vAlign w:val="center"/>
            <w:hideMark/>
          </w:tcPr>
          <w:p w:rsidR="002212F3" w:rsidRPr="00EB6340" w:rsidRDefault="002212F3" w:rsidP="002212F3">
            <w:pPr>
              <w:rPr>
                <w:rFonts w:ascii="Times New Roman" w:hAnsi="Times New Roman" w:cs="Times New Roman"/>
              </w:rPr>
            </w:pPr>
            <w:proofErr w:type="spellStart"/>
            <w:r w:rsidRPr="00EB6340">
              <w:rPr>
                <w:rFonts w:ascii="Times New Roman" w:hAnsi="Times New Roman" w:cs="Times New Roman"/>
                <w:i/>
                <w:iCs/>
              </w:rPr>
              <w:t>Necator</w:t>
            </w:r>
            <w:proofErr w:type="spellEnd"/>
            <w:r w:rsidRPr="00EB6340">
              <w:rPr>
                <w:rFonts w:ascii="Times New Roman" w:hAnsi="Times New Roman" w:cs="Times New Roman"/>
                <w:i/>
                <w:iCs/>
              </w:rPr>
              <w:t xml:space="preserve"> </w:t>
            </w:r>
            <w:proofErr w:type="spellStart"/>
            <w:r w:rsidRPr="00EB6340">
              <w:rPr>
                <w:rFonts w:ascii="Times New Roman" w:hAnsi="Times New Roman" w:cs="Times New Roman"/>
                <w:i/>
                <w:iCs/>
              </w:rPr>
              <w:t>americanus</w:t>
            </w:r>
            <w:proofErr w:type="spellEnd"/>
            <w:r w:rsidRPr="00EB6340">
              <w:rPr>
                <w:rFonts w:ascii="Times New Roman" w:hAnsi="Times New Roman" w:cs="Times New Roman"/>
              </w:rPr>
              <w:t xml:space="preserve"> (Hookworm)</w:t>
            </w:r>
          </w:p>
        </w:tc>
        <w:tc>
          <w:tcPr>
            <w:tcW w:w="0" w:type="auto"/>
            <w:vAlign w:val="center"/>
            <w:hideMark/>
          </w:tcPr>
          <w:p w:rsidR="002212F3" w:rsidRPr="00EB6340" w:rsidRDefault="002212F3" w:rsidP="002212F3">
            <w:pPr>
              <w:rPr>
                <w:rFonts w:ascii="Times New Roman" w:hAnsi="Times New Roman" w:cs="Times New Roman"/>
              </w:rPr>
            </w:pPr>
            <w:r w:rsidRPr="00EB6340">
              <w:rPr>
                <w:rFonts w:ascii="Times New Roman" w:hAnsi="Times New Roman" w:cs="Times New Roman"/>
              </w:rPr>
              <w:t>Benzimidazoles</w:t>
            </w:r>
          </w:p>
        </w:tc>
        <w:tc>
          <w:tcPr>
            <w:tcW w:w="0" w:type="auto"/>
            <w:vAlign w:val="center"/>
            <w:hideMark/>
          </w:tcPr>
          <w:p w:rsidR="002212F3" w:rsidRPr="00EB6340" w:rsidRDefault="002212F3" w:rsidP="002212F3">
            <w:pPr>
              <w:rPr>
                <w:rFonts w:ascii="Times New Roman" w:hAnsi="Times New Roman" w:cs="Times New Roman"/>
              </w:rPr>
            </w:pPr>
            <w:r w:rsidRPr="00EB6340">
              <w:rPr>
                <w:rFonts w:ascii="Times New Roman" w:hAnsi="Times New Roman" w:cs="Times New Roman"/>
              </w:rPr>
              <w:t xml:space="preserve">β-tubulin </w:t>
            </w:r>
            <w:r w:rsidRPr="00EB6340">
              <w:rPr>
                <w:rFonts w:ascii="Times New Roman" w:hAnsi="Times New Roman" w:cs="Times New Roman"/>
                <w:b/>
                <w:bCs/>
              </w:rPr>
              <w:t>F167Y</w:t>
            </w:r>
            <w:r w:rsidRPr="00EB6340">
              <w:rPr>
                <w:rFonts w:ascii="Times New Roman" w:hAnsi="Times New Roman" w:cs="Times New Roman"/>
              </w:rPr>
              <w:t xml:space="preserve">, </w:t>
            </w:r>
            <w:r w:rsidRPr="00EB6340">
              <w:rPr>
                <w:rFonts w:ascii="Times New Roman" w:hAnsi="Times New Roman" w:cs="Times New Roman"/>
                <w:b/>
                <w:bCs/>
              </w:rPr>
              <w:t>F200Y</w:t>
            </w:r>
          </w:p>
        </w:tc>
        <w:tc>
          <w:tcPr>
            <w:tcW w:w="0" w:type="auto"/>
            <w:vAlign w:val="center"/>
            <w:hideMark/>
          </w:tcPr>
          <w:p w:rsidR="002212F3" w:rsidRPr="00EB6340" w:rsidRDefault="002212F3" w:rsidP="002212F3">
            <w:pPr>
              <w:rPr>
                <w:rFonts w:ascii="Times New Roman" w:hAnsi="Times New Roman" w:cs="Times New Roman"/>
              </w:rPr>
            </w:pPr>
            <w:r w:rsidRPr="00EB6340">
              <w:rPr>
                <w:rFonts w:ascii="Times New Roman" w:hAnsi="Times New Roman" w:cs="Times New Roman"/>
              </w:rPr>
              <w:t>Reduces microtubule destabilization by modifying target conformation</w:t>
            </w:r>
          </w:p>
        </w:tc>
        <w:tc>
          <w:tcPr>
            <w:tcW w:w="0" w:type="auto"/>
            <w:vAlign w:val="center"/>
            <w:hideMark/>
          </w:tcPr>
          <w:p w:rsidR="002212F3" w:rsidRPr="00EB6340" w:rsidRDefault="002212F3" w:rsidP="002212F3">
            <w:pPr>
              <w:rPr>
                <w:rFonts w:ascii="Times New Roman" w:hAnsi="Times New Roman" w:cs="Times New Roman"/>
              </w:rPr>
            </w:pPr>
            <w:r w:rsidRPr="00EB6340">
              <w:rPr>
                <w:rFonts w:ascii="Times New Roman" w:hAnsi="Times New Roman" w:cs="Times New Roman"/>
              </w:rPr>
              <w:t>Moderate, increasing field detection</w:t>
            </w:r>
            <w:r w:rsidR="00E82B3A" w:rsidRPr="00EB6340">
              <w:rPr>
                <w:rFonts w:ascii="Times New Roman" w:hAnsi="Times New Roman" w:cs="Times New Roman"/>
              </w:rPr>
              <w:fldChar w:fldCharType="begin"/>
            </w:r>
            <w:r w:rsidR="00C758D7">
              <w:rPr>
                <w:rFonts w:ascii="Times New Roman" w:hAnsi="Times New Roman" w:cs="Times New Roman"/>
              </w:rPr>
              <w:instrText xml:space="preserve"> ADDIN ZOTERO_ITEM CSL_CITATION {"citationID":"gFH3alD4","properties":{"formattedCitation":"[14]","plainCitation":"[14]","noteIndex":0},"citationItems":[{"id":11881,"uris":["http://zotero.org/users/16652950/items/A4TQUK4Q"],"itemData":{"id":11881,"type":"article-journal","abstract":"Background\nAscariasis is a parasitic infection caused by Ascaris lumbricoides and infects over 1.2 billion people worldwide. Benzimidazole (BZ) drugs remain the standard treatment in large-scale deworming programs globally. The prevalence of Single Nucleotide Polymorphisms (SNPs) in the β-tubulin gene of A. lumbricoides (F200Y, E198A and F167Y) is increasing due to the widespread use of BZ drugs.\n\nAim\nTo investigate the prevalence of the above-mentioned SNPs in a South African adult population.\n\nMethods\nThis was a sub-study of the main cross-sectional study with participants (n = 414) who had been recruited from five public health clinics in the peri‑urban areas South of Durban, KwaZulu-Natal, South Africa. For the current study, a purposive selection of 20 stool samples that were positive for A. lumbricoides eggs was made. A. lumbricoides worm extracts (n = 4) were used as a positive control. Sanger sequencing and RFLP-PCR were used to identify the presence of mutations.\n\nResults\nNo mutations were detected, and all genotypes observed at codons F167Y, E198A and F200Y were the homozygous wild-type genotype.\n\nConclusion\nAlthough no mutations were found in this small study, the potential occurrence of mutations in a larger sample subset cannot be ruled out.","container-title":"The Brazilian Journal of Infectious Diseases","DOI":"10.1016/j.bjid.2025.104556","ISSN":"1413-8670","issue":"5","journalAbbreviation":"Braz J Infect Dis","note":"PMID: 40582181\nPMCID: PMC12266506","page":"104556","source":"PubMed Central","title":"Single nucleotide polymorphisms associated with benzimidazole resistance of the β-tubulin isotype 1 gene in Ascaris lumbricoides isolated in South Africa","volume":"29","author":[{"family":"Ramkhelawan","given":"Teniel"},{"family":"Naidoo","given":"Pragalathan"},{"family":"Mkhize-Kwitshana","given":"Zilungile L."}],"issued":{"date-parts":[["2025",6,28]]}}}],"schema":"https://github.com/citation-style-language/schema/raw/master/csl-citation.json"} </w:instrText>
            </w:r>
            <w:r w:rsidR="00E82B3A" w:rsidRPr="00EB6340">
              <w:rPr>
                <w:rFonts w:ascii="Times New Roman" w:hAnsi="Times New Roman" w:cs="Times New Roman"/>
              </w:rPr>
              <w:fldChar w:fldCharType="separate"/>
            </w:r>
            <w:r w:rsidR="00C758D7" w:rsidRPr="00C758D7">
              <w:rPr>
                <w:rFonts w:ascii="Times New Roman" w:hAnsi="Times New Roman" w:cs="Times New Roman"/>
              </w:rPr>
              <w:t>[14]</w:t>
            </w:r>
            <w:r w:rsidR="00E82B3A" w:rsidRPr="00EB6340">
              <w:rPr>
                <w:rFonts w:ascii="Times New Roman" w:hAnsi="Times New Roman" w:cs="Times New Roman"/>
              </w:rPr>
              <w:fldChar w:fldCharType="end"/>
            </w:r>
          </w:p>
        </w:tc>
      </w:tr>
      <w:tr w:rsidR="008143D9" w:rsidRPr="00EB6340" w:rsidTr="0014407D">
        <w:trPr>
          <w:tblCellSpacing w:w="15" w:type="dxa"/>
        </w:trPr>
        <w:tc>
          <w:tcPr>
            <w:tcW w:w="0" w:type="auto"/>
            <w:vAlign w:val="center"/>
            <w:hideMark/>
          </w:tcPr>
          <w:p w:rsidR="002212F3" w:rsidRPr="00EB6340" w:rsidRDefault="002212F3" w:rsidP="002212F3">
            <w:pPr>
              <w:rPr>
                <w:rFonts w:ascii="Times New Roman" w:hAnsi="Times New Roman" w:cs="Times New Roman"/>
              </w:rPr>
            </w:pPr>
            <w:r w:rsidRPr="00EB6340">
              <w:rPr>
                <w:rFonts w:ascii="Times New Roman" w:hAnsi="Times New Roman" w:cs="Times New Roman"/>
                <w:i/>
                <w:iCs/>
              </w:rPr>
              <w:t>Ascaris lumbricoides</w:t>
            </w:r>
          </w:p>
        </w:tc>
        <w:tc>
          <w:tcPr>
            <w:tcW w:w="0" w:type="auto"/>
            <w:vAlign w:val="center"/>
            <w:hideMark/>
          </w:tcPr>
          <w:p w:rsidR="002212F3" w:rsidRPr="00EB6340" w:rsidRDefault="002212F3" w:rsidP="002212F3">
            <w:pPr>
              <w:rPr>
                <w:rFonts w:ascii="Times New Roman" w:hAnsi="Times New Roman" w:cs="Times New Roman"/>
              </w:rPr>
            </w:pPr>
            <w:r w:rsidRPr="00EB6340">
              <w:rPr>
                <w:rFonts w:ascii="Times New Roman" w:hAnsi="Times New Roman" w:cs="Times New Roman"/>
              </w:rPr>
              <w:t>Benzimidazoles</w:t>
            </w:r>
          </w:p>
        </w:tc>
        <w:tc>
          <w:tcPr>
            <w:tcW w:w="0" w:type="auto"/>
            <w:vAlign w:val="center"/>
            <w:hideMark/>
          </w:tcPr>
          <w:p w:rsidR="002212F3" w:rsidRPr="00EB6340" w:rsidRDefault="002212F3" w:rsidP="002212F3">
            <w:pPr>
              <w:rPr>
                <w:rFonts w:ascii="Times New Roman" w:hAnsi="Times New Roman" w:cs="Times New Roman"/>
              </w:rPr>
            </w:pPr>
            <w:r w:rsidRPr="00EB6340">
              <w:rPr>
                <w:rFonts w:ascii="Times New Roman" w:hAnsi="Times New Roman" w:cs="Times New Roman"/>
              </w:rPr>
              <w:t>β-tubulin variants (candidate SNPs)</w:t>
            </w:r>
          </w:p>
        </w:tc>
        <w:tc>
          <w:tcPr>
            <w:tcW w:w="0" w:type="auto"/>
            <w:vAlign w:val="center"/>
            <w:hideMark/>
          </w:tcPr>
          <w:p w:rsidR="002212F3" w:rsidRPr="00EB6340" w:rsidRDefault="002212F3" w:rsidP="002212F3">
            <w:pPr>
              <w:rPr>
                <w:rFonts w:ascii="Times New Roman" w:hAnsi="Times New Roman" w:cs="Times New Roman"/>
              </w:rPr>
            </w:pPr>
            <w:r w:rsidRPr="00EB6340">
              <w:rPr>
                <w:rFonts w:ascii="Times New Roman" w:hAnsi="Times New Roman" w:cs="Times New Roman"/>
              </w:rPr>
              <w:t>Potential alteration of structural binding regions; requires validation</w:t>
            </w:r>
          </w:p>
        </w:tc>
        <w:tc>
          <w:tcPr>
            <w:tcW w:w="0" w:type="auto"/>
            <w:vAlign w:val="center"/>
            <w:hideMark/>
          </w:tcPr>
          <w:p w:rsidR="002212F3" w:rsidRPr="00EB6340" w:rsidRDefault="002212F3" w:rsidP="002212F3">
            <w:pPr>
              <w:rPr>
                <w:rFonts w:ascii="Times New Roman" w:hAnsi="Times New Roman" w:cs="Times New Roman"/>
              </w:rPr>
            </w:pPr>
            <w:r w:rsidRPr="00EB6340">
              <w:rPr>
                <w:rFonts w:ascii="Times New Roman" w:hAnsi="Times New Roman" w:cs="Times New Roman"/>
              </w:rPr>
              <w:t>Limited, preliminary</w:t>
            </w:r>
            <w:r w:rsidR="00E82B3A" w:rsidRPr="00EB6340">
              <w:rPr>
                <w:rFonts w:ascii="Times New Roman" w:hAnsi="Times New Roman" w:cs="Times New Roman"/>
              </w:rPr>
              <w:fldChar w:fldCharType="begin"/>
            </w:r>
            <w:r w:rsidR="00C758D7">
              <w:rPr>
                <w:rFonts w:ascii="Times New Roman" w:hAnsi="Times New Roman" w:cs="Times New Roman"/>
              </w:rPr>
              <w:instrText xml:space="preserve"> ADDIN ZOTERO_ITEM CSL_CITATION {"citationID":"a68uNHI8","properties":{"formattedCitation":"[14]","plainCitation":"[14]","noteIndex":0},"citationItems":[{"id":11881,"uris":["http://zotero.org/users/16652950/items/A4TQUK4Q"],"itemData":{"id":11881,"type":"article-journal","abstract":"Background\nAscariasis is a parasitic infection caused by Ascaris lumbricoides and infects over 1.2 billion people worldwide. Benzimidazole (BZ) drugs remain the standard treatment in large-scale deworming programs globally. The prevalence of Single Nucleotide Polymorphisms (SNPs) in the β-tubulin gene of A. lumbricoides (F200Y, E198A and F167Y) is increasing due to the widespread use of BZ drugs.\n\nAim\nTo investigate the prevalence of the above-mentioned SNPs in a South African adult population.\n\nMethods\nThis was a sub-study of the main cross-sectional study with participants (n = 414) who had been recruited from five public health clinics in the peri‑urban areas South of Durban, KwaZulu-Natal, South Africa. For the current study, a purposive selection of 20 stool samples that were positive for A. lumbricoides eggs was made. A. lumbricoides worm extracts (n = 4) were used as a positive control. Sanger sequencing and RFLP-PCR were used to identify the presence of mutations.\n\nResults\nNo mutations were detected, and all genotypes observed at codons F167Y, E198A and F200Y were the homozygous wild-type genotype.\n\nConclusion\nAlthough no mutations were found in this small study, the potential occurrence of mutations in a larger sample subset cannot be ruled out.","container-title":"The Brazilian Journal of Infectious Diseases","DOI":"10.1016/j.bjid.2025.104556","ISSN":"1413-8670","issue":"5","journalAbbreviation":"Braz J Infect Dis","note":"PMID: 40582181\nPMCID: PMC12266506","page":"104556","source":"PubMed Central","title":"Single nucleotide polymorphisms associated with benzimidazole resistance of the β-tubulin isotype 1 gene in Ascaris lumbricoides isolated in South Africa","volume":"29","author":[{"family":"Ramkhelawan","given":"Teniel"},{"family":"Naidoo","given":"Pragalathan"},{"family":"Mkhize-Kwitshana","given":"Zilungile L."}],"issued":{"date-parts":[["2025",6,28]]}}}],"schema":"https://github.com/citation-style-language/schema/raw/master/csl-citation.json"} </w:instrText>
            </w:r>
            <w:r w:rsidR="00E82B3A" w:rsidRPr="00EB6340">
              <w:rPr>
                <w:rFonts w:ascii="Times New Roman" w:hAnsi="Times New Roman" w:cs="Times New Roman"/>
              </w:rPr>
              <w:fldChar w:fldCharType="separate"/>
            </w:r>
            <w:r w:rsidR="00C758D7" w:rsidRPr="00C758D7">
              <w:rPr>
                <w:rFonts w:ascii="Times New Roman" w:hAnsi="Times New Roman" w:cs="Times New Roman"/>
              </w:rPr>
              <w:t>[14]</w:t>
            </w:r>
            <w:r w:rsidR="00E82B3A" w:rsidRPr="00EB6340">
              <w:rPr>
                <w:rFonts w:ascii="Times New Roman" w:hAnsi="Times New Roman" w:cs="Times New Roman"/>
              </w:rPr>
              <w:fldChar w:fldCharType="end"/>
            </w:r>
          </w:p>
        </w:tc>
      </w:tr>
      <w:tr w:rsidR="008143D9" w:rsidRPr="00EB6340" w:rsidTr="0014407D">
        <w:trPr>
          <w:tblCellSpacing w:w="15" w:type="dxa"/>
        </w:trPr>
        <w:tc>
          <w:tcPr>
            <w:tcW w:w="0" w:type="auto"/>
            <w:vAlign w:val="center"/>
            <w:hideMark/>
          </w:tcPr>
          <w:p w:rsidR="002212F3" w:rsidRPr="00EB6340" w:rsidRDefault="002212F3" w:rsidP="002212F3">
            <w:pPr>
              <w:rPr>
                <w:rFonts w:ascii="Times New Roman" w:hAnsi="Times New Roman" w:cs="Times New Roman"/>
              </w:rPr>
            </w:pPr>
            <w:proofErr w:type="spellStart"/>
            <w:r w:rsidRPr="00EB6340">
              <w:rPr>
                <w:rFonts w:ascii="Times New Roman" w:hAnsi="Times New Roman" w:cs="Times New Roman"/>
                <w:i/>
                <w:iCs/>
              </w:rPr>
              <w:t>Strongyloides</w:t>
            </w:r>
            <w:proofErr w:type="spellEnd"/>
            <w:r w:rsidRPr="00EB6340">
              <w:rPr>
                <w:rFonts w:ascii="Times New Roman" w:hAnsi="Times New Roman" w:cs="Times New Roman"/>
                <w:i/>
                <w:iCs/>
              </w:rPr>
              <w:t xml:space="preserve"> </w:t>
            </w:r>
            <w:proofErr w:type="spellStart"/>
            <w:r w:rsidRPr="00EB6340">
              <w:rPr>
                <w:rFonts w:ascii="Times New Roman" w:hAnsi="Times New Roman" w:cs="Times New Roman"/>
                <w:i/>
                <w:iCs/>
              </w:rPr>
              <w:t>stercoralis</w:t>
            </w:r>
            <w:proofErr w:type="spellEnd"/>
          </w:p>
        </w:tc>
        <w:tc>
          <w:tcPr>
            <w:tcW w:w="0" w:type="auto"/>
            <w:vAlign w:val="center"/>
            <w:hideMark/>
          </w:tcPr>
          <w:p w:rsidR="002212F3" w:rsidRPr="00EB6340" w:rsidRDefault="002212F3" w:rsidP="002212F3">
            <w:pPr>
              <w:rPr>
                <w:rFonts w:ascii="Times New Roman" w:hAnsi="Times New Roman" w:cs="Times New Roman"/>
              </w:rPr>
            </w:pPr>
            <w:r w:rsidRPr="00EB6340">
              <w:rPr>
                <w:rFonts w:ascii="Times New Roman" w:hAnsi="Times New Roman" w:cs="Times New Roman"/>
              </w:rPr>
              <w:t>Macrocyclic lactones</w:t>
            </w:r>
          </w:p>
        </w:tc>
        <w:tc>
          <w:tcPr>
            <w:tcW w:w="0" w:type="auto"/>
            <w:vAlign w:val="center"/>
            <w:hideMark/>
          </w:tcPr>
          <w:p w:rsidR="002212F3" w:rsidRPr="00EB6340" w:rsidRDefault="002212F3" w:rsidP="002212F3">
            <w:pPr>
              <w:rPr>
                <w:rFonts w:ascii="Times New Roman" w:hAnsi="Times New Roman" w:cs="Times New Roman"/>
              </w:rPr>
            </w:pPr>
            <w:proofErr w:type="spellStart"/>
            <w:r w:rsidRPr="00EB6340">
              <w:rPr>
                <w:rFonts w:ascii="Times New Roman" w:hAnsi="Times New Roman" w:cs="Times New Roman"/>
              </w:rPr>
              <w:t>GluCl</w:t>
            </w:r>
            <w:proofErr w:type="spellEnd"/>
            <w:r w:rsidRPr="00EB6340">
              <w:rPr>
                <w:rFonts w:ascii="Times New Roman" w:hAnsi="Times New Roman" w:cs="Times New Roman"/>
              </w:rPr>
              <w:t xml:space="preserve"> receptor subunit changes (expression or sequence variants)</w:t>
            </w:r>
          </w:p>
        </w:tc>
        <w:tc>
          <w:tcPr>
            <w:tcW w:w="0" w:type="auto"/>
            <w:vAlign w:val="center"/>
            <w:hideMark/>
          </w:tcPr>
          <w:p w:rsidR="002212F3" w:rsidRPr="00EB6340" w:rsidRDefault="002212F3" w:rsidP="002212F3">
            <w:pPr>
              <w:rPr>
                <w:rFonts w:ascii="Times New Roman" w:hAnsi="Times New Roman" w:cs="Times New Roman"/>
              </w:rPr>
            </w:pPr>
            <w:r w:rsidRPr="00EB6340">
              <w:rPr>
                <w:rFonts w:ascii="Times New Roman" w:hAnsi="Times New Roman" w:cs="Times New Roman"/>
              </w:rPr>
              <w:t>May influence channel sensitivity and reduce ivermectin-induced signaling</w:t>
            </w:r>
          </w:p>
        </w:tc>
        <w:tc>
          <w:tcPr>
            <w:tcW w:w="0" w:type="auto"/>
            <w:vAlign w:val="center"/>
            <w:hideMark/>
          </w:tcPr>
          <w:p w:rsidR="002212F3" w:rsidRPr="00EB6340" w:rsidRDefault="002212F3" w:rsidP="002212F3">
            <w:pPr>
              <w:rPr>
                <w:rFonts w:ascii="Times New Roman" w:hAnsi="Times New Roman" w:cs="Times New Roman"/>
              </w:rPr>
            </w:pPr>
            <w:r w:rsidRPr="00EB6340">
              <w:rPr>
                <w:rFonts w:ascii="Times New Roman" w:hAnsi="Times New Roman" w:cs="Times New Roman"/>
              </w:rPr>
              <w:t>Emerging, largely transcriptomic</w:t>
            </w:r>
            <w:r w:rsidR="00E82B3A" w:rsidRPr="00EB6340">
              <w:rPr>
                <w:rFonts w:ascii="Times New Roman" w:hAnsi="Times New Roman" w:cs="Times New Roman"/>
              </w:rPr>
              <w:fldChar w:fldCharType="begin"/>
            </w:r>
            <w:r w:rsidR="00C758D7">
              <w:rPr>
                <w:rFonts w:ascii="Times New Roman" w:hAnsi="Times New Roman" w:cs="Times New Roman"/>
              </w:rPr>
              <w:instrText xml:space="preserve"> ADDIN ZOTERO_ITEM CSL_CITATION {"citationID":"Uk3l1kyK","properties":{"formattedCitation":"[13]","plainCitation":"[13]","noteIndex":0},"citationItems":[{"id":11878,"uris":["http://zotero.org/users/16652950/items/GBU6T93Y"],"itemData":{"id":11878,"type":"article-journal","abstract":"In all organisms, the biotransformation of xenobiotics to less toxic and more hydrophilic compounds represents an effective defense strategy. In pathogens, the biotransformation of drugs (used for their elimination from the host) may provide undesirable protective effects that could potentially compromise the drug's efficacy. Accordingly, increased drug deactivation via accelerated biotransformation is now considered as one of the mechanisms of drug resistance. The present study summarizes the current knowledge regarding the biotransformation of anthelmintics, specifically drugs used to treat mainly nematodes, a group of parasites that are a significant health concern for humans and animals. The main biotransformation enzymes are introduced and their roles in anthelmintics metabolism in nematodes are discussed with a particular focus on their potential participation in drug resistance. Similarly, the inducibility of biotransformation enzymes with sublethal doses of anthelmintics is presented in view of its potential contribution to drug resistance development. In the conclusion, the main tasks awaiting scientists in this area are outlined.","container-title":"International Journal for Parasitology: Drugs and Drug Resistance","DOI":"10.1016/j.ijpddr.2025.100579","ISSN":"2211-3207","journalAbbreviation":"International Journal for Parasitology: Drugs and Drug Resistance","page":"100579","source":"ScienceDirect","title":"Biotransformation of anthelmintics in nematodes in relation to drug resistance","volume":"27","author":[{"family":"Vosála","given":"Ondřej"},{"family":"Krátký","given":"Josef"},{"family":"Matoušková","given":"Petra"},{"family":"Rychlá","given":"Nikola"},{"family":"Štěrbová","given":"Karolína"},{"family":"Raisová Stuchlíková","given":"Lucie"},{"family":"Vokřál","given":"Ivan"},{"family":"Skálová","given":"Lenka"}],"issued":{"date-parts":[["2025",4,1]]}}}],"schema":"https://github.com/citation-style-language/schema/raw/master/csl-citation.json"} </w:instrText>
            </w:r>
            <w:r w:rsidR="00E82B3A" w:rsidRPr="00EB6340">
              <w:rPr>
                <w:rFonts w:ascii="Times New Roman" w:hAnsi="Times New Roman" w:cs="Times New Roman"/>
              </w:rPr>
              <w:fldChar w:fldCharType="separate"/>
            </w:r>
            <w:r w:rsidR="00C758D7" w:rsidRPr="00C758D7">
              <w:rPr>
                <w:rFonts w:ascii="Times New Roman" w:hAnsi="Times New Roman" w:cs="Times New Roman"/>
              </w:rPr>
              <w:t>[13]</w:t>
            </w:r>
            <w:r w:rsidR="00E82B3A" w:rsidRPr="00EB6340">
              <w:rPr>
                <w:rFonts w:ascii="Times New Roman" w:hAnsi="Times New Roman" w:cs="Times New Roman"/>
              </w:rPr>
              <w:fldChar w:fldCharType="end"/>
            </w:r>
          </w:p>
        </w:tc>
      </w:tr>
      <w:tr w:rsidR="008143D9" w:rsidRPr="00EB6340" w:rsidTr="0014407D">
        <w:trPr>
          <w:tblCellSpacing w:w="15" w:type="dxa"/>
        </w:trPr>
        <w:tc>
          <w:tcPr>
            <w:tcW w:w="0" w:type="auto"/>
            <w:vAlign w:val="center"/>
            <w:hideMark/>
          </w:tcPr>
          <w:p w:rsidR="002212F3" w:rsidRPr="00EB6340" w:rsidRDefault="002212F3" w:rsidP="002212F3">
            <w:pPr>
              <w:rPr>
                <w:rFonts w:ascii="Times New Roman" w:hAnsi="Times New Roman" w:cs="Times New Roman"/>
              </w:rPr>
            </w:pPr>
            <w:r w:rsidRPr="00EB6340">
              <w:rPr>
                <w:rFonts w:ascii="Times New Roman" w:hAnsi="Times New Roman" w:cs="Times New Roman"/>
              </w:rPr>
              <w:t>Multiple nematode species</w:t>
            </w:r>
          </w:p>
        </w:tc>
        <w:tc>
          <w:tcPr>
            <w:tcW w:w="0" w:type="auto"/>
            <w:vAlign w:val="center"/>
            <w:hideMark/>
          </w:tcPr>
          <w:p w:rsidR="002212F3" w:rsidRPr="00EB6340" w:rsidRDefault="002212F3" w:rsidP="002212F3">
            <w:pPr>
              <w:rPr>
                <w:rFonts w:ascii="Times New Roman" w:hAnsi="Times New Roman" w:cs="Times New Roman"/>
              </w:rPr>
            </w:pPr>
            <w:r w:rsidRPr="00EB6340">
              <w:rPr>
                <w:rFonts w:ascii="Times New Roman" w:hAnsi="Times New Roman" w:cs="Times New Roman"/>
              </w:rPr>
              <w:t>Multiple drug classes</w:t>
            </w:r>
          </w:p>
        </w:tc>
        <w:tc>
          <w:tcPr>
            <w:tcW w:w="0" w:type="auto"/>
            <w:vAlign w:val="center"/>
            <w:hideMark/>
          </w:tcPr>
          <w:p w:rsidR="002212F3" w:rsidRPr="00EB6340" w:rsidRDefault="002212F3" w:rsidP="002212F3">
            <w:pPr>
              <w:rPr>
                <w:rFonts w:ascii="Times New Roman" w:hAnsi="Times New Roman" w:cs="Times New Roman"/>
              </w:rPr>
            </w:pPr>
            <w:r w:rsidRPr="00EB6340">
              <w:rPr>
                <w:rFonts w:ascii="Times New Roman" w:hAnsi="Times New Roman" w:cs="Times New Roman"/>
              </w:rPr>
              <w:t xml:space="preserve">Upregulated </w:t>
            </w:r>
            <w:r w:rsidRPr="00EB6340">
              <w:rPr>
                <w:rFonts w:ascii="Times New Roman" w:hAnsi="Times New Roman" w:cs="Times New Roman"/>
                <w:b/>
                <w:bCs/>
              </w:rPr>
              <w:t>ABC/P-glycoprotein transporters</w:t>
            </w:r>
          </w:p>
        </w:tc>
        <w:tc>
          <w:tcPr>
            <w:tcW w:w="0" w:type="auto"/>
            <w:vAlign w:val="center"/>
            <w:hideMark/>
          </w:tcPr>
          <w:p w:rsidR="002212F3" w:rsidRPr="00EB6340" w:rsidRDefault="002212F3" w:rsidP="002212F3">
            <w:pPr>
              <w:rPr>
                <w:rFonts w:ascii="Times New Roman" w:hAnsi="Times New Roman" w:cs="Times New Roman"/>
              </w:rPr>
            </w:pPr>
            <w:r w:rsidRPr="00EB6340">
              <w:rPr>
                <w:rFonts w:ascii="Times New Roman" w:hAnsi="Times New Roman" w:cs="Times New Roman"/>
              </w:rPr>
              <w:t xml:space="preserve">Enhances </w:t>
            </w:r>
            <w:r w:rsidR="00E81DAD">
              <w:rPr>
                <w:rFonts w:ascii="Times New Roman" w:hAnsi="Times New Roman" w:cs="Times New Roman"/>
              </w:rPr>
              <w:t xml:space="preserve">the </w:t>
            </w:r>
            <w:r w:rsidRPr="00EB6340">
              <w:rPr>
                <w:rFonts w:ascii="Times New Roman" w:hAnsi="Times New Roman" w:cs="Times New Roman"/>
              </w:rPr>
              <w:t>efflux of diverse anthelmintic compounds, lowering intracellular drug levels</w:t>
            </w:r>
          </w:p>
        </w:tc>
        <w:tc>
          <w:tcPr>
            <w:tcW w:w="0" w:type="auto"/>
            <w:vAlign w:val="center"/>
            <w:hideMark/>
          </w:tcPr>
          <w:p w:rsidR="002212F3" w:rsidRPr="00EB6340" w:rsidRDefault="002212F3" w:rsidP="002212F3">
            <w:pPr>
              <w:rPr>
                <w:rFonts w:ascii="Times New Roman" w:hAnsi="Times New Roman" w:cs="Times New Roman"/>
              </w:rPr>
            </w:pPr>
            <w:r w:rsidRPr="00EB6340">
              <w:rPr>
                <w:rFonts w:ascii="Times New Roman" w:hAnsi="Times New Roman" w:cs="Times New Roman"/>
              </w:rPr>
              <w:t>Moderate, consistent across species</w:t>
            </w:r>
            <w:r w:rsidR="00E82B3A" w:rsidRPr="00EB6340">
              <w:rPr>
                <w:rFonts w:ascii="Times New Roman" w:hAnsi="Times New Roman" w:cs="Times New Roman"/>
              </w:rPr>
              <w:fldChar w:fldCharType="begin"/>
            </w:r>
            <w:r w:rsidR="00C758D7">
              <w:rPr>
                <w:rFonts w:ascii="Times New Roman" w:hAnsi="Times New Roman" w:cs="Times New Roman"/>
              </w:rPr>
              <w:instrText xml:space="preserve"> ADDIN ZOTERO_ITEM CSL_CITATION {"citationID":"AlVnZPAh","properties":{"formattedCitation":"[15]","plainCitation":"[15]","noteIndex":0},"citationItems":[{"id":11884,"uris":["http://zotero.org/users/16652950/items/UH4X22PE"],"itemData":{"id":11884,"type":"article-journal","abstract":"ABC transporters, a family of ATP-dependent transmembrane proteins, are responsible for the active transport of a wide range of molecules across cell membranes, including drugs, toxins, and nutrients. Nematodes possess a great diversity of ABC transporters; however, only P-glycoproteins have been well-characterized compared to other classes. The ABC transport proteins have been implicated in developing resistance to various classes of anthelmintic drugs in parasitic nematodes; their role in plant and human parasitic nematodes still needs further investigation. Therefore, ABC transport proteins offer a potential opportunity to develop nematode control strategies. Multidrug resistance inhibitors are becoming more attractive for controlling nematodes due to their potential to increase drug efficacy in two ways: (i) by limiting drug efflux from nematodes, thereby increasing the amount of drug that reaches its target site, and (ii) by reducing drug excretion by host animals, thereby enhancing drug bioavailability. This article reviews the role of ABC transporters in the survival of parasitic nematodes, including the genes involved, their regulation and physiological roles, as well as recent developments in their characterization. It also discusses the association of ABC transporters with anthelmintic resistance and the possibility of targeting them with next-generation inhibitors or nutraceuticals (e.g., polyphenols) to control parasitic infections.","container-title":"Pathogens","DOI":"10.3390/pathogens12060755","ISSN":"2076-0817","issue":"6","journalAbbreviation":"Pathogens","note":"PMID: 37375445\nPMCID: PMC10300789","page":"755","source":"PubMed Central","title":"Importance of ABC Transporters in the Survival of Parasitic Nematodes and the Prospect for the Development of Novel Control Strategies","volume":"12","author":[{"family":"Raza","given":"Ali"},{"family":"Williams","given":"Andrew R."},{"family":"Abeer","given":"Muhammad Mustafa"}],"issued":{"date-parts":[["2023",5,24]]}}}],"schema":"https://github.com/citation-style-language/schema/raw/master/csl-citation.json"} </w:instrText>
            </w:r>
            <w:r w:rsidR="00E82B3A" w:rsidRPr="00EB6340">
              <w:rPr>
                <w:rFonts w:ascii="Times New Roman" w:hAnsi="Times New Roman" w:cs="Times New Roman"/>
              </w:rPr>
              <w:fldChar w:fldCharType="separate"/>
            </w:r>
            <w:r w:rsidR="00C758D7" w:rsidRPr="00C758D7">
              <w:rPr>
                <w:rFonts w:ascii="Times New Roman" w:hAnsi="Times New Roman" w:cs="Times New Roman"/>
              </w:rPr>
              <w:t>[15]</w:t>
            </w:r>
            <w:r w:rsidR="00E82B3A" w:rsidRPr="00EB6340">
              <w:rPr>
                <w:rFonts w:ascii="Times New Roman" w:hAnsi="Times New Roman" w:cs="Times New Roman"/>
              </w:rPr>
              <w:fldChar w:fldCharType="end"/>
            </w:r>
          </w:p>
        </w:tc>
      </w:tr>
      <w:tr w:rsidR="008143D9" w:rsidRPr="00EB6340" w:rsidTr="0014407D">
        <w:trPr>
          <w:tblCellSpacing w:w="15" w:type="dxa"/>
        </w:trPr>
        <w:tc>
          <w:tcPr>
            <w:tcW w:w="0" w:type="auto"/>
            <w:vAlign w:val="center"/>
            <w:hideMark/>
          </w:tcPr>
          <w:p w:rsidR="002212F3" w:rsidRPr="00EB6340" w:rsidRDefault="002212F3" w:rsidP="002212F3">
            <w:pPr>
              <w:rPr>
                <w:rFonts w:ascii="Times New Roman" w:hAnsi="Times New Roman" w:cs="Times New Roman"/>
              </w:rPr>
            </w:pPr>
            <w:r w:rsidRPr="00EB6340">
              <w:rPr>
                <w:rFonts w:ascii="Times New Roman" w:hAnsi="Times New Roman" w:cs="Times New Roman"/>
              </w:rPr>
              <w:t>Various species (broad category)</w:t>
            </w:r>
          </w:p>
        </w:tc>
        <w:tc>
          <w:tcPr>
            <w:tcW w:w="0" w:type="auto"/>
            <w:vAlign w:val="center"/>
            <w:hideMark/>
          </w:tcPr>
          <w:p w:rsidR="002212F3" w:rsidRPr="00EB6340" w:rsidRDefault="002212F3" w:rsidP="002212F3">
            <w:pPr>
              <w:rPr>
                <w:rFonts w:ascii="Times New Roman" w:hAnsi="Times New Roman" w:cs="Times New Roman"/>
              </w:rPr>
            </w:pPr>
            <w:r w:rsidRPr="00EB6340">
              <w:rPr>
                <w:rFonts w:ascii="Times New Roman" w:hAnsi="Times New Roman" w:cs="Times New Roman"/>
              </w:rPr>
              <w:t>Multiple</w:t>
            </w:r>
          </w:p>
        </w:tc>
        <w:tc>
          <w:tcPr>
            <w:tcW w:w="0" w:type="auto"/>
            <w:vAlign w:val="center"/>
            <w:hideMark/>
          </w:tcPr>
          <w:p w:rsidR="002212F3" w:rsidRPr="00EB6340" w:rsidRDefault="002212F3" w:rsidP="002212F3">
            <w:pPr>
              <w:rPr>
                <w:rFonts w:ascii="Times New Roman" w:hAnsi="Times New Roman" w:cs="Times New Roman"/>
              </w:rPr>
            </w:pPr>
            <w:r w:rsidRPr="00EB6340">
              <w:rPr>
                <w:rFonts w:ascii="Times New Roman" w:hAnsi="Times New Roman" w:cs="Times New Roman"/>
              </w:rPr>
              <w:t xml:space="preserve">Detoxification-related gene variants (e.g., cytochrome P450 </w:t>
            </w:r>
            <w:r w:rsidRPr="00EB6340">
              <w:rPr>
                <w:rFonts w:ascii="Times New Roman" w:hAnsi="Times New Roman" w:cs="Times New Roman"/>
              </w:rPr>
              <w:lastRenderedPageBreak/>
              <w:t>families)</w:t>
            </w:r>
          </w:p>
        </w:tc>
        <w:tc>
          <w:tcPr>
            <w:tcW w:w="0" w:type="auto"/>
            <w:vAlign w:val="center"/>
            <w:hideMark/>
          </w:tcPr>
          <w:p w:rsidR="002212F3" w:rsidRPr="00EB6340" w:rsidRDefault="002212F3" w:rsidP="002212F3">
            <w:pPr>
              <w:rPr>
                <w:rFonts w:ascii="Times New Roman" w:hAnsi="Times New Roman" w:cs="Times New Roman"/>
              </w:rPr>
            </w:pPr>
            <w:r w:rsidRPr="00EB6340">
              <w:rPr>
                <w:rFonts w:ascii="Times New Roman" w:hAnsi="Times New Roman" w:cs="Times New Roman"/>
              </w:rPr>
              <w:lastRenderedPageBreak/>
              <w:t xml:space="preserve">Alters </w:t>
            </w:r>
            <w:r w:rsidR="00E81DAD">
              <w:rPr>
                <w:rFonts w:ascii="Times New Roman" w:hAnsi="Times New Roman" w:cs="Times New Roman"/>
              </w:rPr>
              <w:t xml:space="preserve">the </w:t>
            </w:r>
            <w:r w:rsidRPr="00EB6340">
              <w:rPr>
                <w:rFonts w:ascii="Times New Roman" w:hAnsi="Times New Roman" w:cs="Times New Roman"/>
              </w:rPr>
              <w:t>metabolic processing of drugs, potentially diminishing potency</w:t>
            </w:r>
          </w:p>
        </w:tc>
        <w:tc>
          <w:tcPr>
            <w:tcW w:w="0" w:type="auto"/>
            <w:vAlign w:val="center"/>
            <w:hideMark/>
          </w:tcPr>
          <w:p w:rsidR="002212F3" w:rsidRPr="00EB6340" w:rsidRDefault="002212F3" w:rsidP="002212F3">
            <w:pPr>
              <w:rPr>
                <w:rFonts w:ascii="Times New Roman" w:hAnsi="Times New Roman" w:cs="Times New Roman"/>
              </w:rPr>
            </w:pPr>
            <w:r w:rsidRPr="00EB6340">
              <w:rPr>
                <w:rFonts w:ascii="Times New Roman" w:hAnsi="Times New Roman" w:cs="Times New Roman"/>
              </w:rPr>
              <w:t>Preliminary, under investigation</w:t>
            </w:r>
            <w:r w:rsidR="00E82B3A" w:rsidRPr="00EB6340">
              <w:rPr>
                <w:rFonts w:ascii="Times New Roman" w:hAnsi="Times New Roman" w:cs="Times New Roman"/>
              </w:rPr>
              <w:fldChar w:fldCharType="begin"/>
            </w:r>
            <w:r w:rsidR="00C758D7">
              <w:rPr>
                <w:rFonts w:ascii="Times New Roman" w:hAnsi="Times New Roman" w:cs="Times New Roman"/>
              </w:rPr>
              <w:instrText xml:space="preserve"> ADDIN ZOTERO_ITEM CSL_CITATION {"citationID":"3rzELrns","properties":{"formattedCitation":"[16]","plainCitation":"[16]","noteIndex":0},"citationItems":[{"id":11887,"uris":["http://zotero.org/users/16652950/items/JTTZZK27"],"itemData":{"id":11887,"type":"article-journal","abstract":"Cytochrome P450 (CYP450) is a group of enzymes that play an essential role in Phase I metabolism, with 57 functional genes classified into 18 families in the human genome, of which the CYP1, CYP2, and CYP3 families are prominent. Beyond drug metabolism, CYP enzymes metabolize endogenous compounds such as lipids, proteins, and hormones to maintain physiological homeostasis. Thus, dysregulation of CYP450 enzymes can lead to different endocrine disorders. Moreover, CYP450 enzymes significantly contribute to fatty acid metabolism, cholesterol synthesis, and bile acid biosynthesis, impacting cellular physiology and disease pathogenesis. Their diverse functions emphasize their therapeutic potential in managing hypercholesterolemia and neurodegenerative diseases. Additionally, CYP450 enzymes are implicated in the onset and development of illnesses such as cancer, influencing chemotherapy outcomes. Assessment of CYP450 enzyme expression and activity aids in evaluating liver health state and differentiating between liver diseases, guiding therapeutic decisions, and optimizing drug efficacy. Understanding the roles of CYP450 enzymes and the clinical effect of their genetic polymorphisms is crucial for developing personalized therapeutic strategies and enhancing drug responses in diverse patient populations.","container-title":"Biomedicines","DOI":"10.3390/biomedicines12071467","ISSN":"2227-9059","issue":"7","journalAbbreviation":"Biomedicines","note":"PMID: 39062040\nPMCID: PMC11275228","page":"1467","source":"PubMed Central","title":"Decoding the Role of CYP450 Enzymes in Metabolism and Disease: A Comprehensive Review","title-short":"Decoding the Role of CYP450 Enzymes in Metabolism and Disease","volume":"12","author":[{"family":"Hossam Abdelmonem","given":"Basma"},{"family":"Abdelaal","given":"Noha M."},{"family":"Anwer","given":"Eman K. E."},{"family":"Rashwan","given":"Alaa A."},{"family":"Hussein","given":"Mohamed Ali"},{"family":"Ahmed","given":"Yasmin F."},{"family":"Khashana","given":"Rana"},{"family":"Hanna","given":"Mireille M."},{"family":"Abdelnaser","given":"Anwar"}],"issued":{"date-parts":[["2024",7,2]]}}}],"schema":"https://github.com/citation-style-language/schema/raw/master/csl-citation.json"} </w:instrText>
            </w:r>
            <w:r w:rsidR="00E82B3A" w:rsidRPr="00EB6340">
              <w:rPr>
                <w:rFonts w:ascii="Times New Roman" w:hAnsi="Times New Roman" w:cs="Times New Roman"/>
              </w:rPr>
              <w:fldChar w:fldCharType="separate"/>
            </w:r>
            <w:r w:rsidR="00C758D7" w:rsidRPr="00C758D7">
              <w:rPr>
                <w:rFonts w:ascii="Times New Roman" w:hAnsi="Times New Roman" w:cs="Times New Roman"/>
              </w:rPr>
              <w:t>[16]</w:t>
            </w:r>
            <w:r w:rsidR="00E82B3A" w:rsidRPr="00EB6340">
              <w:rPr>
                <w:rFonts w:ascii="Times New Roman" w:hAnsi="Times New Roman" w:cs="Times New Roman"/>
              </w:rPr>
              <w:fldChar w:fldCharType="end"/>
            </w:r>
          </w:p>
        </w:tc>
      </w:tr>
    </w:tbl>
    <w:p w:rsidR="00112BA7" w:rsidRDefault="00112BA7" w:rsidP="0059639A">
      <w:pPr>
        <w:rPr>
          <w:rFonts w:ascii="Times New Roman" w:hAnsi="Times New Roman" w:cs="Times New Roman"/>
          <w:b/>
          <w:bCs/>
        </w:rPr>
      </w:pPr>
    </w:p>
    <w:p w:rsidR="00112BA7" w:rsidRDefault="00112BA7" w:rsidP="0059639A">
      <w:pPr>
        <w:rPr>
          <w:rFonts w:ascii="Times New Roman" w:hAnsi="Times New Roman" w:cs="Times New Roman"/>
        </w:rPr>
      </w:pPr>
      <w:r w:rsidRPr="00112BA7">
        <w:rPr>
          <w:rFonts w:ascii="Times New Roman" w:hAnsi="Times New Roman" w:cs="Times New Roman"/>
        </w:rPr>
        <w:t>Importantly, the identification of these resistance-associated genetic markers has direct public health relevance, as they provide molecular targets for surveillance tools capable of detecting early reductions in drug susceptibility before widespread treatment failure occurs.</w:t>
      </w:r>
    </w:p>
    <w:p w:rsidR="006F152D" w:rsidRPr="00B3412D" w:rsidRDefault="006F152D" w:rsidP="0059639A">
      <w:r w:rsidRPr="004F45D8">
        <w:rPr>
          <w:i/>
          <w:iCs/>
        </w:rPr>
        <w:t>Evidence strength categories were assigned based on the volume and consistency of available data: ‘strong’ indicates multiple independent field and/or functional studies; ‘moderate’ reflects repeated field detection with limited functional validation; ‘emerging’ denotes transcriptomic or indirect molecular evidence; and ‘preliminary’ refers to early or single-study observations requiring further validation</w:t>
      </w:r>
      <w:r w:rsidR="00B3412D">
        <w:rPr>
          <w:i/>
          <w:iCs/>
        </w:rPr>
        <w:t xml:space="preserve">. </w:t>
      </w:r>
    </w:p>
    <w:p w:rsidR="0059639A" w:rsidRPr="00EB6340" w:rsidRDefault="0059639A" w:rsidP="0059639A">
      <w:pPr>
        <w:rPr>
          <w:rFonts w:ascii="Times New Roman" w:hAnsi="Times New Roman" w:cs="Times New Roman"/>
          <w:b/>
          <w:bCs/>
        </w:rPr>
      </w:pPr>
      <w:r w:rsidRPr="00EB6340">
        <w:rPr>
          <w:rFonts w:ascii="Times New Roman" w:hAnsi="Times New Roman" w:cs="Times New Roman"/>
          <w:b/>
          <w:bCs/>
        </w:rPr>
        <w:t>4. Molecular Pathways Contributing to Resistance Phenotypes</w:t>
      </w:r>
    </w:p>
    <w:p w:rsidR="0059639A" w:rsidRPr="00EB6340" w:rsidRDefault="0059639A" w:rsidP="0059639A">
      <w:pPr>
        <w:rPr>
          <w:rFonts w:ascii="Times New Roman" w:hAnsi="Times New Roman" w:cs="Times New Roman"/>
        </w:rPr>
      </w:pPr>
      <w:r w:rsidRPr="00EB6340">
        <w:rPr>
          <w:rFonts w:ascii="Times New Roman" w:hAnsi="Times New Roman" w:cs="Times New Roman"/>
        </w:rPr>
        <w:t>Anthelmintic resistance in human helminths arises from a network of interacting molecular pathways that collectively reduce drug sensitivity and maintain parasite viability under therapeutic pressure. These pathways encompass modifications in drug–target interactions, altered gene expression, enhanced metabolic defenses, and mechanisms that offset the fitness costs often associated with resistance mutations</w:t>
      </w:r>
      <w:r w:rsidR="0087183A">
        <w:rPr>
          <w:rFonts w:ascii="Times New Roman" w:hAnsi="Times New Roman" w:cs="Times New Roman"/>
        </w:rPr>
        <w:t>.</w:t>
      </w:r>
      <w:r w:rsidR="00E82B3A" w:rsidRPr="00EB6340">
        <w:rPr>
          <w:rFonts w:ascii="Times New Roman" w:hAnsi="Times New Roman" w:cs="Times New Roman"/>
        </w:rPr>
        <w:fldChar w:fldCharType="begin"/>
      </w:r>
      <w:r w:rsidR="00D73669" w:rsidRPr="00EB6340">
        <w:rPr>
          <w:rFonts w:ascii="Times New Roman" w:hAnsi="Times New Roman" w:cs="Times New Roman"/>
        </w:rPr>
        <w:instrText xml:space="preserve"> ADDIN ZOTERO_ITEM CSL_CITATION {"citationID":"0erxqBA7","properties":{"formattedCitation":"[7]","plainCitation":"[7]","noteIndex":0},"citationItems":[{"id":11868,"uris":["http://zotero.org/users/16652950/items/47HFYHL4"],"itemData":{"id":11868,"type":"article-journal","abstract":"Helminths are a various types of parasites causing a major health problem for animals in different parts of the globe. Control of helminthiasis has largely relied on the use of pharmaceutical anthelmintics. Unfortunately, the exhaustive use of anthelmintic drugs has led to a serious and dramatic level of anthelmintic resistance. Anthelmintic resistance is a heritable loss of sensitivity of an anthelmintic in a parasite population that was in the past susceptible to the same anthelmintic. The development of anthelmintic resistance is evident to different helminths of almost every animal species and to different groups of anthelmintic in several continents. Frequent treatment, underdosing, genetics of the parasite, and targeting and timing of mass treatment are predisposing factors for anthelmintic resistance. Upregulation of cellular efflux mechanisms, an increase in drug metabolism, a change in drug receptor sites that reduces drug binding or the functional consequences of drug binding, and a decrease in drug receptor abundance through reduced expression within the parasite are the main mechanisms of anthelmintic resistance. In vivo method like fecal egg count reduction test and in vitro method such as egg hatch assays, larval motility test, larval development test and PCR can be used for the detection of anthelmintic resistance. Proper utilization of anthelmintic drugs, using combined anthelmintic and applying other alternatives are essential strategies to slow down the development of anthelmintic resistance. As anthelmintic resistance is a serious challenge throughout the world, proper utilization of the existing anthelmintics and reducing dependence on anthelmintics should be implemented to reduce its challenge.","container-title":"Infection and Drug Resistance","DOI":"10.2147/IDR.S332378","ISSN":"1178-6973","journalAbbreviation":"Infect Drug Resist","note":"PMID: 34938088\nPMCID: PMC8687516","page":"5403-5410","source":"PubMed Central","title":"Anthelmintic Resistance and Its Mechanism: A Review","title-short":"Anthelmintic Resistance and Its Mechanism","volume":"14","author":[{"family":"Fissiha","given":"Workye"},{"family":"Kinde","given":"Mebrie Zemene"}],"issued":{"date-parts":[["2021",12,15]]}}}],"schema":"https://github.com/citation-style-language/schema/raw/master/csl-citation.json"} </w:instrText>
      </w:r>
      <w:r w:rsidR="00E82B3A" w:rsidRPr="00EB6340">
        <w:rPr>
          <w:rFonts w:ascii="Times New Roman" w:hAnsi="Times New Roman" w:cs="Times New Roman"/>
        </w:rPr>
        <w:fldChar w:fldCharType="separate"/>
      </w:r>
      <w:r w:rsidR="00D73669" w:rsidRPr="00EB6340">
        <w:rPr>
          <w:rFonts w:ascii="Times New Roman" w:hAnsi="Times New Roman" w:cs="Times New Roman"/>
        </w:rPr>
        <w:t>[7]</w:t>
      </w:r>
      <w:r w:rsidR="00E82B3A" w:rsidRPr="00EB6340">
        <w:rPr>
          <w:rFonts w:ascii="Times New Roman" w:hAnsi="Times New Roman" w:cs="Times New Roman"/>
        </w:rPr>
        <w:fldChar w:fldCharType="end"/>
      </w:r>
      <w:r w:rsidRPr="00EB6340">
        <w:rPr>
          <w:rFonts w:ascii="Times New Roman" w:hAnsi="Times New Roman" w:cs="Times New Roman"/>
        </w:rPr>
        <w:t>.</w:t>
      </w:r>
    </w:p>
    <w:p w:rsidR="00F133A4" w:rsidRPr="00EB6340" w:rsidRDefault="00F133A4" w:rsidP="00F133A4">
      <w:pPr>
        <w:rPr>
          <w:rFonts w:ascii="Times New Roman" w:hAnsi="Times New Roman" w:cs="Times New Roman"/>
        </w:rPr>
      </w:pPr>
      <w:r w:rsidRPr="00EB6340">
        <w:rPr>
          <w:rFonts w:ascii="Times New Roman" w:hAnsi="Times New Roman" w:cs="Times New Roman"/>
        </w:rPr>
        <w:t>Figure 2 illustrates the integrated molecular pathways that contribute to the development and persistence of anthelmintic resistance in helminths.”</w:t>
      </w:r>
    </w:p>
    <w:p w:rsidR="00F133A4" w:rsidRPr="00EB6340" w:rsidRDefault="00F133A4" w:rsidP="0059639A">
      <w:pPr>
        <w:rPr>
          <w:rFonts w:ascii="Times New Roman" w:hAnsi="Times New Roman" w:cs="Times New Roman"/>
        </w:rPr>
      </w:pPr>
      <w:r w:rsidRPr="00EB6340">
        <w:rPr>
          <w:rFonts w:ascii="Times New Roman" w:hAnsi="Times New Roman" w:cs="Times New Roman"/>
          <w:noProof/>
        </w:rPr>
        <w:lastRenderedPageBreak/>
        <w:drawing>
          <wp:inline distT="0" distB="0" distL="0" distR="0">
            <wp:extent cx="5943600" cy="3947160"/>
            <wp:effectExtent l="0" t="0" r="0" b="0"/>
            <wp:docPr id="20658798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3947160"/>
                    </a:xfrm>
                    <a:prstGeom prst="rect">
                      <a:avLst/>
                    </a:prstGeom>
                    <a:noFill/>
                    <a:ln>
                      <a:noFill/>
                    </a:ln>
                  </pic:spPr>
                </pic:pic>
              </a:graphicData>
            </a:graphic>
          </wp:inline>
        </w:drawing>
      </w:r>
    </w:p>
    <w:p w:rsidR="00F133A4" w:rsidRPr="00EB6340" w:rsidRDefault="00F133A4" w:rsidP="00F133A4">
      <w:pPr>
        <w:rPr>
          <w:rFonts w:ascii="Times New Roman" w:hAnsi="Times New Roman" w:cs="Times New Roman"/>
        </w:rPr>
      </w:pPr>
      <w:r w:rsidRPr="00EB6340">
        <w:rPr>
          <w:rFonts w:ascii="Times New Roman" w:hAnsi="Times New Roman" w:cs="Times New Roman"/>
          <w:b/>
          <w:bCs/>
        </w:rPr>
        <w:t>Figure 2. Conceptual illustration of molecular pathways contributing to anthelmintic resistance in helminths.</w:t>
      </w:r>
      <w:r w:rsidRPr="00EB6340">
        <w:rPr>
          <w:rFonts w:ascii="Times New Roman" w:hAnsi="Times New Roman" w:cs="Times New Roman"/>
        </w:rPr>
        <w:br/>
        <w:t>This schematic depicts how genetic and molecular alterations can accumulate within parasite populations under drug pressure. DNA replication errors, damage, or modifications may result in mutations affecting key proteins, such as receptors or enzymes targeted by anthelmintics. Amino-acid substitutions and receptor reconfiguration can reduce drug binding or alter signaling pathways. Gene expression changes and DNA modifications contribute to phenotypic plasticity and long-term stabilization of resistance traits. Modified enzymes may enable parasites to deactivate or tolerate drug exposure. Genetic changes can be inherited across generations, facilitating the spread of resistant genotypes within parasite populations. Together, these pathways highlight the multifactorial and evolving nature of anthelmintic resistance.</w:t>
      </w:r>
    </w:p>
    <w:p w:rsidR="0059639A" w:rsidRPr="00EB6340" w:rsidRDefault="0059639A" w:rsidP="0059639A">
      <w:pPr>
        <w:rPr>
          <w:rFonts w:ascii="Times New Roman" w:hAnsi="Times New Roman" w:cs="Times New Roman"/>
          <w:b/>
          <w:bCs/>
        </w:rPr>
      </w:pPr>
      <w:r w:rsidRPr="00EB6340">
        <w:rPr>
          <w:rFonts w:ascii="Times New Roman" w:hAnsi="Times New Roman" w:cs="Times New Roman"/>
          <w:b/>
          <w:bCs/>
        </w:rPr>
        <w:t>4.1 Altered Drug Binding Affinity</w:t>
      </w:r>
    </w:p>
    <w:p w:rsidR="0059639A" w:rsidRPr="00EB6340" w:rsidRDefault="0059639A" w:rsidP="0059639A">
      <w:pPr>
        <w:rPr>
          <w:rFonts w:ascii="Times New Roman" w:hAnsi="Times New Roman" w:cs="Times New Roman"/>
        </w:rPr>
      </w:pPr>
      <w:r w:rsidRPr="00EB6340">
        <w:rPr>
          <w:rFonts w:ascii="Times New Roman" w:hAnsi="Times New Roman" w:cs="Times New Roman"/>
        </w:rPr>
        <w:t xml:space="preserve">A primary driver of resistance involves structural alterations in drug targets that reduce binding affinity. Mutations in β-tubulin or ligand-gated ion channels can modify amino acid residues critical for drug interaction, leading to </w:t>
      </w:r>
      <w:r w:rsidRPr="00EB6340">
        <w:rPr>
          <w:rFonts w:ascii="Times New Roman" w:hAnsi="Times New Roman" w:cs="Times New Roman"/>
          <w:b/>
          <w:bCs/>
        </w:rPr>
        <w:t>conformational changes</w:t>
      </w:r>
      <w:r w:rsidRPr="00EB6340">
        <w:rPr>
          <w:rFonts w:ascii="Times New Roman" w:hAnsi="Times New Roman" w:cs="Times New Roman"/>
        </w:rPr>
        <w:t xml:space="preserve"> that diminish drug attachment. Such structural impacts can impair the ability of benzimidazoles to disrupt microtubule formation or reduce the capacity of macrocyclic lactones to induce chloride influx. As a result, helminths maintain core physiological processes despite drug exposure. These target-site </w:t>
      </w:r>
      <w:r w:rsidRPr="00EB6340">
        <w:rPr>
          <w:rFonts w:ascii="Times New Roman" w:hAnsi="Times New Roman" w:cs="Times New Roman"/>
        </w:rPr>
        <w:lastRenderedPageBreak/>
        <w:t xml:space="preserve">modifications often serve as the </w:t>
      </w:r>
      <w:r w:rsidRPr="00EB6340">
        <w:rPr>
          <w:rFonts w:ascii="Times New Roman" w:hAnsi="Times New Roman" w:cs="Times New Roman"/>
          <w:b/>
          <w:bCs/>
        </w:rPr>
        <w:t>first step</w:t>
      </w:r>
      <w:r w:rsidRPr="00EB6340">
        <w:rPr>
          <w:rFonts w:ascii="Times New Roman" w:hAnsi="Times New Roman" w:cs="Times New Roman"/>
        </w:rPr>
        <w:t xml:space="preserve"> in resistance evolution, providing the parasite with a measurable survival advantage</w:t>
      </w:r>
      <w:r w:rsidR="0087183A">
        <w:rPr>
          <w:rFonts w:ascii="Times New Roman" w:hAnsi="Times New Roman" w:cs="Times New Roman"/>
        </w:rPr>
        <w:t>.</w:t>
      </w:r>
      <w:r w:rsidR="00E82B3A" w:rsidRPr="00EB6340">
        <w:rPr>
          <w:rFonts w:ascii="Times New Roman" w:hAnsi="Times New Roman" w:cs="Times New Roman"/>
        </w:rPr>
        <w:fldChar w:fldCharType="begin"/>
      </w:r>
      <w:r w:rsidR="00C758D7">
        <w:rPr>
          <w:rFonts w:ascii="Times New Roman" w:hAnsi="Times New Roman" w:cs="Times New Roman"/>
        </w:rPr>
        <w:instrText xml:space="preserve"> ADDIN ZOTERO_ITEM CSL_CITATION {"citationID":"nzyRlBJe","properties":{"formattedCitation":"[17]","plainCitation":"[17]","noteIndex":0},"citationItems":[{"id":11890,"uris":["http://zotero.org/users/16652950/items/75EEU8PM"],"itemData":{"id":11890,"type":"article-journal","abstract":"The inherent capacity of all organisms to evolve under selective pressure has created multidrug-resistant microbes and cells that are now threatening ...","container-title":"Microbiology Research","DOI":"10.3390/microbiolres14020037","ISSN":"2036-7481","issue":"2","language":"en","license":"http://creativecommons.org/licenses/by/3.0/","note":"Company: Multidisciplinary Digital Publishing Institute\nDistributor: Multidisciplinary Digital Publishing Institute\nInstitution: Multidisciplinary Digital Publishing Institute\nLabel: Multidisciplinary Digital Publishing Institute\npublisher: publisher","page":"507-542","source":"www.mdpi.com","title":"Drug Resistance: An Incessant Fight against Evolutionary Strategies of Survival","title-short":"Drug Resistance","volume":"14","author":[{"family":"Ramos-Martín","given":"Francisco"},{"family":"D’Amelio","given":"Nicola"},{"family":"Ramos-Martín","given":"Francisco"},{"family":"D’Amelio","given":"Nicola"}],"issued":{"date-parts":[["2023",4,5]]}}}],"schema":"https://github.com/citation-style-language/schema/raw/master/csl-citation.json"} </w:instrText>
      </w:r>
      <w:r w:rsidR="00E82B3A" w:rsidRPr="00EB6340">
        <w:rPr>
          <w:rFonts w:ascii="Times New Roman" w:hAnsi="Times New Roman" w:cs="Times New Roman"/>
        </w:rPr>
        <w:fldChar w:fldCharType="separate"/>
      </w:r>
      <w:r w:rsidR="00C758D7" w:rsidRPr="00C758D7">
        <w:rPr>
          <w:rFonts w:ascii="Times New Roman" w:hAnsi="Times New Roman" w:cs="Times New Roman"/>
        </w:rPr>
        <w:t>[17]</w:t>
      </w:r>
      <w:r w:rsidR="00E82B3A" w:rsidRPr="00EB6340">
        <w:rPr>
          <w:rFonts w:ascii="Times New Roman" w:hAnsi="Times New Roman" w:cs="Times New Roman"/>
        </w:rPr>
        <w:fldChar w:fldCharType="end"/>
      </w:r>
      <w:r w:rsidRPr="00EB6340">
        <w:rPr>
          <w:rFonts w:ascii="Times New Roman" w:hAnsi="Times New Roman" w:cs="Times New Roman"/>
        </w:rPr>
        <w:t>.</w:t>
      </w:r>
    </w:p>
    <w:p w:rsidR="0059639A" w:rsidRPr="00EB6340" w:rsidRDefault="0059639A" w:rsidP="0059639A">
      <w:pPr>
        <w:rPr>
          <w:rFonts w:ascii="Times New Roman" w:hAnsi="Times New Roman" w:cs="Times New Roman"/>
          <w:b/>
          <w:bCs/>
        </w:rPr>
      </w:pPr>
      <w:r w:rsidRPr="00EB6340">
        <w:rPr>
          <w:rFonts w:ascii="Times New Roman" w:hAnsi="Times New Roman" w:cs="Times New Roman"/>
          <w:b/>
          <w:bCs/>
        </w:rPr>
        <w:t>4.2 Gene Expression Modulation and Epigenetic Inputs</w:t>
      </w:r>
    </w:p>
    <w:p w:rsidR="0059639A" w:rsidRPr="00EB6340" w:rsidRDefault="0059639A" w:rsidP="0059639A">
      <w:pPr>
        <w:rPr>
          <w:rFonts w:ascii="Times New Roman" w:hAnsi="Times New Roman" w:cs="Times New Roman"/>
        </w:rPr>
      </w:pPr>
      <w:r w:rsidRPr="00EB6340">
        <w:rPr>
          <w:rFonts w:ascii="Times New Roman" w:hAnsi="Times New Roman" w:cs="Times New Roman"/>
        </w:rPr>
        <w:t xml:space="preserve">Drug exposure frequently triggers </w:t>
      </w:r>
      <w:r w:rsidRPr="00EB6340">
        <w:rPr>
          <w:rFonts w:ascii="Times New Roman" w:hAnsi="Times New Roman" w:cs="Times New Roman"/>
          <w:b/>
          <w:bCs/>
        </w:rPr>
        <w:t>stress-response pathways</w:t>
      </w:r>
      <w:r w:rsidRPr="00EB6340">
        <w:rPr>
          <w:rFonts w:ascii="Times New Roman" w:hAnsi="Times New Roman" w:cs="Times New Roman"/>
        </w:rPr>
        <w:t>, prompting helminths to adjust gene expression profiles that promote survival. Upregulation of protective genes, such as those involved in detoxification or membrane transport, can enhance resilience to repeated drug challenges. Epigenetic changes—including DNA methylation shifts and chromatin remodeling—may further influence the expression of resistance-associated genes. Such modifications can stabilize resistance phenotypes across parasite generations, even in the absence of continued drug pressure, thereby contributing to long-term persistence of reduced susceptibility within populations</w:t>
      </w:r>
      <w:r w:rsidR="0087183A">
        <w:rPr>
          <w:rFonts w:ascii="Times New Roman" w:hAnsi="Times New Roman" w:cs="Times New Roman"/>
        </w:rPr>
        <w:t>.</w:t>
      </w:r>
      <w:r w:rsidR="00E82B3A" w:rsidRPr="00EB6340">
        <w:rPr>
          <w:rFonts w:ascii="Times New Roman" w:hAnsi="Times New Roman" w:cs="Times New Roman"/>
        </w:rPr>
        <w:fldChar w:fldCharType="begin"/>
      </w:r>
      <w:r w:rsidR="00C758D7">
        <w:rPr>
          <w:rFonts w:ascii="Times New Roman" w:hAnsi="Times New Roman" w:cs="Times New Roman"/>
        </w:rPr>
        <w:instrText xml:space="preserve"> ADDIN ZOTERO_ITEM CSL_CITATION {"citationID":"0dVtXwRa","properties":{"formattedCitation":"[18]","plainCitation":"[18]","noteIndex":0},"citationItems":[{"id":11892,"uris":["http://zotero.org/users/16652950/items/33C2IYU8"],"itemData":{"id":11892,"type":"article-journal","abstract":"Experimental research demands the selection of appropriate models to align with study objectives and conditions. Traditional experimental models, such...","container-title":"Applied Biosciences","DOI":"10.3390/applbiosci4020023","ISSN":"2813-0464","issue":"2","language":"en","license":"http://creativecommons.org/licenses/by/3.0/","note":"Company: Multidisciplinary Digital Publishing Institute\nDistributor: Multidisciplinary Digital Publishing Institute\nInstitution: Multidisciplinary Digital Publishing Institute\nLabel: Multidisciplinary Digital Publishing Institute\npublisher: publisher","source":"www.mdpi.com","title":"Can Caenorhabditis elegans Serve as a Reliable Model for Drug and Nutraceutical Discovery?","URL":"https://www.mdpi.com/2813-0464/4/2/23","volume":"4","author":[{"family":"Deji-Oloruntoba","given":"Opeyemi O."},{"family":"Elufioye","given":"Taiwo O."},{"family":"Adefegha","given":"Stephen Adeniyi"},{"family":"Jang","given":"Miran"},{"family":"Deji-Oloruntoba","given":"Opeyemi O."},{"family":"Elufioye","given":"Taiwo O."},{"family":"Adefegha","given":"Stephen Adeniyi"},{"family":"Jang","given":"Miran"}],"accessed":{"date-parts":[["2025",12,8]]},"issued":{"date-parts":[["2025",5,1]]}}}],"schema":"https://github.com/citation-style-language/schema/raw/master/csl-citation.json"} </w:instrText>
      </w:r>
      <w:r w:rsidR="00E82B3A" w:rsidRPr="00EB6340">
        <w:rPr>
          <w:rFonts w:ascii="Times New Roman" w:hAnsi="Times New Roman" w:cs="Times New Roman"/>
        </w:rPr>
        <w:fldChar w:fldCharType="separate"/>
      </w:r>
      <w:r w:rsidR="00C758D7" w:rsidRPr="00C758D7">
        <w:rPr>
          <w:rFonts w:ascii="Times New Roman" w:hAnsi="Times New Roman" w:cs="Times New Roman"/>
        </w:rPr>
        <w:t>[18]</w:t>
      </w:r>
      <w:r w:rsidR="00E82B3A" w:rsidRPr="00EB6340">
        <w:rPr>
          <w:rFonts w:ascii="Times New Roman" w:hAnsi="Times New Roman" w:cs="Times New Roman"/>
        </w:rPr>
        <w:fldChar w:fldCharType="end"/>
      </w:r>
      <w:r w:rsidRPr="00EB6340">
        <w:rPr>
          <w:rFonts w:ascii="Times New Roman" w:hAnsi="Times New Roman" w:cs="Times New Roman"/>
        </w:rPr>
        <w:t>.</w:t>
      </w:r>
    </w:p>
    <w:p w:rsidR="0059639A" w:rsidRPr="00EB6340" w:rsidRDefault="0059639A" w:rsidP="0059639A">
      <w:pPr>
        <w:rPr>
          <w:rFonts w:ascii="Times New Roman" w:hAnsi="Times New Roman" w:cs="Times New Roman"/>
          <w:b/>
          <w:bCs/>
        </w:rPr>
      </w:pPr>
      <w:r w:rsidRPr="00EB6340">
        <w:rPr>
          <w:rFonts w:ascii="Times New Roman" w:hAnsi="Times New Roman" w:cs="Times New Roman"/>
          <w:b/>
          <w:bCs/>
        </w:rPr>
        <w:t>4.3 Enhanced Metabolic Detoxification</w:t>
      </w:r>
    </w:p>
    <w:p w:rsidR="0059639A" w:rsidRPr="00EB6340" w:rsidRDefault="0059639A" w:rsidP="0059639A">
      <w:pPr>
        <w:rPr>
          <w:rFonts w:ascii="Times New Roman" w:hAnsi="Times New Roman" w:cs="Times New Roman"/>
        </w:rPr>
      </w:pPr>
      <w:r w:rsidRPr="00EB6340">
        <w:rPr>
          <w:rFonts w:ascii="Times New Roman" w:hAnsi="Times New Roman" w:cs="Times New Roman"/>
        </w:rPr>
        <w:t>Many helminths employ metabolic strategies to diminish the potency of anthelmintic compounds. Upregulation of detoxification enzyme families, such as cytochrome P450s</w:t>
      </w:r>
      <w:r w:rsidR="0087183A">
        <w:rPr>
          <w:rFonts w:ascii="Times New Roman" w:hAnsi="Times New Roman" w:cs="Times New Roman"/>
        </w:rPr>
        <w:t xml:space="preserve"> and glutathione-S-transferases, along with their</w:t>
      </w:r>
      <w:r w:rsidRPr="00EB6340">
        <w:rPr>
          <w:rFonts w:ascii="Times New Roman" w:hAnsi="Times New Roman" w:cs="Times New Roman"/>
        </w:rPr>
        <w:t xml:space="preserve"> related pathways, can increase the rate at which drugs are neutralized or transformed into less active forms. These changes may be accompanied by </w:t>
      </w:r>
      <w:r w:rsidRPr="00EB6340">
        <w:rPr>
          <w:rFonts w:ascii="Times New Roman" w:hAnsi="Times New Roman" w:cs="Times New Roman"/>
          <w:b/>
          <w:bCs/>
        </w:rPr>
        <w:t>metabolic re-routing</w:t>
      </w:r>
      <w:r w:rsidRPr="00EB6340">
        <w:rPr>
          <w:rFonts w:ascii="Times New Roman" w:hAnsi="Times New Roman" w:cs="Times New Roman"/>
        </w:rPr>
        <w:t>, allowing the parasite to compensate for drug-imposed stress while maintaining essential biochemical functions. Together, these adaptations create a chemical environment less conducive to effective drug activity</w:t>
      </w:r>
      <w:r w:rsidR="0087183A">
        <w:rPr>
          <w:rFonts w:ascii="Times New Roman" w:hAnsi="Times New Roman" w:cs="Times New Roman"/>
        </w:rPr>
        <w:t>.</w:t>
      </w:r>
      <w:r w:rsidR="00E82B3A" w:rsidRPr="00EB6340">
        <w:rPr>
          <w:rFonts w:ascii="Times New Roman" w:hAnsi="Times New Roman" w:cs="Times New Roman"/>
        </w:rPr>
        <w:fldChar w:fldCharType="begin"/>
      </w:r>
      <w:r w:rsidR="00C758D7">
        <w:rPr>
          <w:rFonts w:ascii="Times New Roman" w:hAnsi="Times New Roman" w:cs="Times New Roman"/>
        </w:rPr>
        <w:instrText xml:space="preserve"> ADDIN ZOTERO_ITEM CSL_CITATION {"citationID":"PG2bS4AT","properties":{"formattedCitation":"[19]","plainCitation":"[19]","noteIndex":0},"citationItems":[{"id":11894,"uris":["http://zotero.org/users/16652950/items/FYBV4RWN"],"itemData":{"id":11894,"type":"article-journal","abstract":"Trematode infections occur worldwide causing considerable deterioration of human health and placing a substantial financial burden on the livestock industry. The hundreds of millions of people afflicted with trematode infections rely entirely on only two drugs (praziquantel and triclabendazole) for treatment. An understanding of anthelmintic biotransformation pathways in parasites should clarify factors that can modulate therapeutic potency of anthelmintics currently in use and may lead to the discovery of synergistic compounds for combination treatments. Despite the pronounced epidemiological significance of trematodes, there is still no adequate understanding of the functionality of their metabolic systems, including xenobiotic-metabolizing enzymes. The review is focused on the structure and functional significance of the xenobiotic-metabolizing system in trematodes. Knowledge in this field can solve practical problems related to the search for new targets for antiparasitic therapy based on a focused action on certain elements of the parasite’s metabolic system. Knowledge of the functionality of this system is required to understand the adaptation of the biochemical processes of parasites residing in the host and mechanisms of drug resistance development, as well as to select a promising molecular target for the discovery and development of new anthelmintic drugs.","container-title":"Biomedicines","DOI":"10.3390/biomedicines10123039","ISSN":"2227-9059","issue":"12","journalAbbreviation":"Biomedicines","note":"PMID: 36551794\nPMCID: PMC9775572","page":"3039","source":"PubMed Central","title":"Xenobiotic-Metabolizing Enzymes in Trematodes","volume":"10","author":[{"family":"Mordvinov","given":"Viatcheslav"},{"family":"Pakharukova","given":"Maria"}],"issued":{"date-parts":[["2022",11,24]]}}}],"schema":"https://github.com/citation-style-language/schema/raw/master/csl-citation.json"} </w:instrText>
      </w:r>
      <w:r w:rsidR="00E82B3A" w:rsidRPr="00EB6340">
        <w:rPr>
          <w:rFonts w:ascii="Times New Roman" w:hAnsi="Times New Roman" w:cs="Times New Roman"/>
        </w:rPr>
        <w:fldChar w:fldCharType="separate"/>
      </w:r>
      <w:r w:rsidR="00C758D7" w:rsidRPr="00C758D7">
        <w:rPr>
          <w:rFonts w:ascii="Times New Roman" w:hAnsi="Times New Roman" w:cs="Times New Roman"/>
        </w:rPr>
        <w:t>[19]</w:t>
      </w:r>
      <w:r w:rsidR="00E82B3A" w:rsidRPr="00EB6340">
        <w:rPr>
          <w:rFonts w:ascii="Times New Roman" w:hAnsi="Times New Roman" w:cs="Times New Roman"/>
        </w:rPr>
        <w:fldChar w:fldCharType="end"/>
      </w:r>
      <w:r w:rsidRPr="00EB6340">
        <w:rPr>
          <w:rFonts w:ascii="Times New Roman" w:hAnsi="Times New Roman" w:cs="Times New Roman"/>
        </w:rPr>
        <w:t>.</w:t>
      </w:r>
    </w:p>
    <w:p w:rsidR="0059639A" w:rsidRPr="00EB6340" w:rsidRDefault="0059639A" w:rsidP="0059639A">
      <w:pPr>
        <w:rPr>
          <w:rFonts w:ascii="Times New Roman" w:hAnsi="Times New Roman" w:cs="Times New Roman"/>
          <w:b/>
          <w:bCs/>
        </w:rPr>
      </w:pPr>
      <w:r w:rsidRPr="00EB6340">
        <w:rPr>
          <w:rFonts w:ascii="Times New Roman" w:hAnsi="Times New Roman" w:cs="Times New Roman"/>
          <w:b/>
          <w:bCs/>
        </w:rPr>
        <w:t>4.4 Compensatory Fitness Mechanisms</w:t>
      </w:r>
    </w:p>
    <w:p w:rsidR="0059639A" w:rsidRDefault="0059639A" w:rsidP="0059639A">
      <w:pPr>
        <w:rPr>
          <w:rFonts w:ascii="Times New Roman" w:hAnsi="Times New Roman" w:cs="Times New Roman"/>
        </w:rPr>
      </w:pPr>
      <w:r w:rsidRPr="00EB6340">
        <w:rPr>
          <w:rFonts w:ascii="Times New Roman" w:hAnsi="Times New Roman" w:cs="Times New Roman"/>
        </w:rPr>
        <w:t xml:space="preserve">Resistance mutations and metabolic shifts may carry fitness costs, such as reduced reproductive output or altered energy balance. To overcome these disadvantages, helminths may evolve </w:t>
      </w:r>
      <w:r w:rsidRPr="00EB6340">
        <w:rPr>
          <w:rFonts w:ascii="Times New Roman" w:hAnsi="Times New Roman" w:cs="Times New Roman"/>
          <w:b/>
          <w:bCs/>
        </w:rPr>
        <w:t>compensatory mechanisms</w:t>
      </w:r>
      <w:r w:rsidRPr="00EB6340">
        <w:rPr>
          <w:rFonts w:ascii="Times New Roman" w:hAnsi="Times New Roman" w:cs="Times New Roman"/>
        </w:rPr>
        <w:t xml:space="preserve"> that restore physiological performance. These include adjustments in metabolic pathways, optimized resource allocation, and enhanced stress resilience. The interplay between compensatory adaptations and resistance pathways enables resistant parasites not only to survive drug exposure but also to compete effectively within treated host populations, facilitating the spread and entrenchment of resistance traits</w:t>
      </w:r>
      <w:r w:rsidR="0087183A">
        <w:rPr>
          <w:rFonts w:ascii="Times New Roman" w:hAnsi="Times New Roman" w:cs="Times New Roman"/>
        </w:rPr>
        <w:t>.</w:t>
      </w:r>
      <w:r w:rsidR="00E82B3A" w:rsidRPr="00EB6340">
        <w:rPr>
          <w:rFonts w:ascii="Times New Roman" w:hAnsi="Times New Roman" w:cs="Times New Roman"/>
        </w:rPr>
        <w:fldChar w:fldCharType="begin"/>
      </w:r>
      <w:r w:rsidR="00C758D7">
        <w:rPr>
          <w:rFonts w:ascii="Times New Roman" w:hAnsi="Times New Roman" w:cs="Times New Roman"/>
        </w:rPr>
        <w:instrText xml:space="preserve"> ADDIN ZOTERO_ITEM CSL_CITATION {"citationID":"0ZmlUIrT","properties":{"formattedCitation":"[20]","plainCitation":"[20]","noteIndex":0},"citationItems":[{"id":2482,"uris":["http://zotero.org/users/16652950/items/VR3VPVH8"],"itemData":{"id":2482,"type":"article-journal","abstract":"Background: Klebsiella pneumoniae is a gram-negative bacterium responsible for infections like urinary tract infections (UTIs) and is a leading cause of nosocomial infections in immunocompromised patients. Data on resistance profiles in Nigeria is limited. This study investigated the antibiogram and molecular characteristics of ESBL-producing Klebsiella pneumoniae at the University of Medical Sciences Teaching Hospital, Ondo State. Methods: A cross-sectional study analyzed 300 samples from urine, sputum, and wound infections. Isolates were cultured on MacConkey agar, followed by biochemical tests. The Kirby-Bauer method assessed resistance, and the double-disk synergy test confirmed ESBL production. PCR identified blaTEM, blaSHV, and blaCTX-M genes. SPSS was used for statistical analysis (P &amp;lt; 0.05). Results: Of 300 samples, 185 showed bacterial growth, with 54 confirmed as Klebsiella pneumoniae. Among these, 22 were multidrug-resistant (MDR), and 8 (14.8%) were ESBL producers. The blaTEM gene was present in all ESBL isolates, and the blaSHV gene in 7 of 8 (87.5%). Resistance to β-lactam antibiotics and aminoglycosides was high. Older patients and prolonged hospital stays correlated with higher MDR rates. A slight female predominance was noted. Conclusions: The high prevalence of MDR Klebsiella pneumoniae highlights the need for enhanced surveillance and deeper understanding of resistance patterns in the region.","container-title":"Microbes, Infection and Chemotherapy","DOI":"10.54034/mic.e2305","ISSN":"2789-4274","language":"en","license":"Copyright (c) 2025 Olabisi Promise Lawal, Joshua Odunayo Babatunde , Sandra Owusu-Ansah, Chinaemerem Precious Ani, Abiodun Christopher Adegbesan, Hajara Hashim, Jenifer Chiagozie Okeke, Nyerovwo Charity Okei, Aimuanmwosa Andrew Igunma, Daniel Osezuwa Ubebe, Kingsley Ugonna Ugoagwu, Okabeonye Sunday Agbo, Charissa Favour Ani","page":"e2305-e2305","source":"revistas.unheval.edu.pe","title":"Antibiogram and Molecular Characterization of Extended-Spectrum Beta-Lactamase-Producing Klebsiella pneumoniae in a Nigerian Teaching Hospital","volume":"5","author":[{"family":"Lawal","given":"Olabisi Promise"},{"family":"Babatunde","given":"Joshua Odunayo"},{"family":"Owusu-Ansah","given":"Sandra"},{"family":"Ani","given":"Chinaemerem Precious"},{"family":"Adegbesan","given":"Abiodun Christopher"},{"family":"Hashim","given":"Hajara"},{"family":"Okeke","given":"Jenifer Chiagozie"},{"family":"Okei","given":"Nyerovwo Charity"},{"family":"Igunma","given":"Aimuanmwosa Andrew"},{"family":"Ubebe","given":"Daniel Osezuwa"},{"family":"Ugoagwu","given":"Kingsley Ugonna"},{"family":"Agbo","given":"Okabeonye Sunday"},{"family":"Ani","given":"Charissa Favour"}],"issued":{"date-parts":[["2025",3,24]]}}}],"schema":"https://github.com/citation-style-language/schema/raw/master/csl-citation.json"} </w:instrText>
      </w:r>
      <w:r w:rsidR="00E82B3A" w:rsidRPr="00EB6340">
        <w:rPr>
          <w:rFonts w:ascii="Times New Roman" w:hAnsi="Times New Roman" w:cs="Times New Roman"/>
        </w:rPr>
        <w:fldChar w:fldCharType="separate"/>
      </w:r>
      <w:r w:rsidR="00C758D7" w:rsidRPr="00C758D7">
        <w:rPr>
          <w:rFonts w:ascii="Times New Roman" w:hAnsi="Times New Roman" w:cs="Times New Roman"/>
        </w:rPr>
        <w:t>[20]</w:t>
      </w:r>
      <w:r w:rsidR="00E82B3A" w:rsidRPr="00EB6340">
        <w:rPr>
          <w:rFonts w:ascii="Times New Roman" w:hAnsi="Times New Roman" w:cs="Times New Roman"/>
        </w:rPr>
        <w:fldChar w:fldCharType="end"/>
      </w:r>
      <w:r w:rsidRPr="00EB6340">
        <w:rPr>
          <w:rFonts w:ascii="Times New Roman" w:hAnsi="Times New Roman" w:cs="Times New Roman"/>
        </w:rPr>
        <w:t>.</w:t>
      </w:r>
    </w:p>
    <w:p w:rsidR="00601849" w:rsidRDefault="00601849" w:rsidP="0059639A">
      <w:pPr>
        <w:rPr>
          <w:rFonts w:ascii="Times New Roman" w:hAnsi="Times New Roman" w:cs="Times New Roman"/>
        </w:rPr>
      </w:pPr>
    </w:p>
    <w:p w:rsidR="00601849" w:rsidRPr="00EB6340" w:rsidRDefault="00601849" w:rsidP="0059639A">
      <w:pPr>
        <w:rPr>
          <w:rFonts w:ascii="Times New Roman" w:hAnsi="Times New Roman" w:cs="Times New Roman"/>
        </w:rPr>
      </w:pPr>
      <w:r w:rsidRPr="00601849">
        <w:rPr>
          <w:rFonts w:ascii="Times New Roman" w:hAnsi="Times New Roman" w:cs="Times New Roman"/>
          <w:i/>
          <w:iCs/>
        </w:rPr>
        <w:t>From a public health perspective, understanding these interconnected molecular pathways is essential for predicting resistance trajectories and informing adaptive mass drug administration strategies in endemic settings.</w:t>
      </w:r>
    </w:p>
    <w:p w:rsidR="0059639A" w:rsidRPr="00EB6340" w:rsidRDefault="0059639A" w:rsidP="0059639A">
      <w:pPr>
        <w:rPr>
          <w:rFonts w:ascii="Times New Roman" w:hAnsi="Times New Roman" w:cs="Times New Roman"/>
          <w:b/>
          <w:bCs/>
        </w:rPr>
      </w:pPr>
      <w:r w:rsidRPr="00EB6340">
        <w:rPr>
          <w:rFonts w:ascii="Times New Roman" w:hAnsi="Times New Roman" w:cs="Times New Roman"/>
          <w:b/>
          <w:bCs/>
        </w:rPr>
        <w:t>5. Methods Used to Identify and Validate Resistance Mechanisms</w:t>
      </w:r>
    </w:p>
    <w:p w:rsidR="0059639A" w:rsidRPr="00EB6340" w:rsidRDefault="0059639A" w:rsidP="0059639A">
      <w:pPr>
        <w:rPr>
          <w:rFonts w:ascii="Times New Roman" w:hAnsi="Times New Roman" w:cs="Times New Roman"/>
        </w:rPr>
      </w:pPr>
      <w:r w:rsidRPr="00EB6340">
        <w:rPr>
          <w:rFonts w:ascii="Times New Roman" w:hAnsi="Times New Roman" w:cs="Times New Roman"/>
        </w:rPr>
        <w:t xml:space="preserve">Understanding anthelmintic resistance in human helminths requires an integrated methodological framework that combines genomic, transcriptomic, population-level, and functional approaches. Collectively, these methodologies allow researchers to identify candidate resistance markers, </w:t>
      </w:r>
      <w:r w:rsidRPr="00EB6340">
        <w:rPr>
          <w:rFonts w:ascii="Times New Roman" w:hAnsi="Times New Roman" w:cs="Times New Roman"/>
        </w:rPr>
        <w:lastRenderedPageBreak/>
        <w:t>characterize their biological significance, and evaluate their relevance in natural parasite populations.</w:t>
      </w:r>
    </w:p>
    <w:p w:rsidR="0059639A" w:rsidRPr="00EB6340" w:rsidRDefault="0059639A" w:rsidP="0059639A">
      <w:pPr>
        <w:rPr>
          <w:rFonts w:ascii="Times New Roman" w:hAnsi="Times New Roman" w:cs="Times New Roman"/>
          <w:b/>
          <w:bCs/>
        </w:rPr>
      </w:pPr>
      <w:r w:rsidRPr="00EB6340">
        <w:rPr>
          <w:rFonts w:ascii="Times New Roman" w:hAnsi="Times New Roman" w:cs="Times New Roman"/>
          <w:b/>
          <w:bCs/>
        </w:rPr>
        <w:t>5.1 Genomic Sequencing and Comparative Genomics</w:t>
      </w:r>
    </w:p>
    <w:p w:rsidR="0059639A" w:rsidRPr="00EB6340" w:rsidRDefault="0059639A" w:rsidP="0059639A">
      <w:pPr>
        <w:rPr>
          <w:rFonts w:ascii="Times New Roman" w:hAnsi="Times New Roman" w:cs="Times New Roman"/>
        </w:rPr>
      </w:pPr>
      <w:r w:rsidRPr="00EB6340">
        <w:rPr>
          <w:rFonts w:ascii="Times New Roman" w:hAnsi="Times New Roman" w:cs="Times New Roman"/>
        </w:rPr>
        <w:t xml:space="preserve">Advances in whole-genome sequencing have transformed the study of resistance by enabling detailed comparisons between susceptible and putatively resistant parasite populations. Comparative genomics allows the identification of </w:t>
      </w:r>
      <w:r w:rsidRPr="00EB6340">
        <w:rPr>
          <w:rFonts w:ascii="Times New Roman" w:hAnsi="Times New Roman" w:cs="Times New Roman"/>
          <w:b/>
          <w:bCs/>
        </w:rPr>
        <w:t>single-nucleotide polymorphisms (SNPs)</w:t>
      </w:r>
      <w:r w:rsidRPr="00EB6340">
        <w:rPr>
          <w:rFonts w:ascii="Times New Roman" w:hAnsi="Times New Roman" w:cs="Times New Roman"/>
        </w:rPr>
        <w:t>, structural variants, and copy-number changes that may influence drug response. These analyses can highlight genes under selection pressure and reveal parallel evolutionary patterns across geographic regions or species, providing strong circumstantial evidence for resistance-associated loci</w:t>
      </w:r>
      <w:r w:rsidR="00E82B3A" w:rsidRPr="00EB6340">
        <w:rPr>
          <w:rFonts w:ascii="Times New Roman" w:hAnsi="Times New Roman" w:cs="Times New Roman"/>
        </w:rPr>
        <w:fldChar w:fldCharType="begin"/>
      </w:r>
      <w:r w:rsidR="00C758D7">
        <w:rPr>
          <w:rFonts w:ascii="Times New Roman" w:hAnsi="Times New Roman" w:cs="Times New Roman"/>
        </w:rPr>
        <w:instrText xml:space="preserve"> ADDIN ZOTERO_ITEM CSL_CITATION {"citationID":"f3wadN2b","properties":{"formattedCitation":"[21]","plainCitation":"[21]","noteIndex":0},"citationItems":[{"id":11897,"uris":["http://zotero.org/users/16652950/items/FQFCURS3"],"itemData":{"id":11897,"type":"article-journal","abstract":"Emerging infectious diseases of animals that spread to humans (zoonoses) continue to represent a major threat to public health throughout the world. Knowledge of genetic elements that enable pathogens to navigate host shifts and species jumps is crucial for predicting and preventing zoonotic cross-species transmission. Comparative genomics, comparing whole-genome sequences across a range of hosts and pathogens, provides a powerful means to dissect the molecular determinants of zoonotic emergence. Here, we summarize and discuss recent advances in the understanding of genetic modifications that enable host switching and cross-species transmission by selected zoonotic pathogens. We review how comparative genomic analyses revealed the critical importance of factors such as receptor-binding domain evolution, immune evasion genes, and virulence determinants in improving pathogen fitness in new hosts.The review also highlights the integration of genomic data into One Health surveillance frameworks, enabling real-time monitoring, early detection, and improved outbreak response. Despite these advances, challenges including sampling bias, incomplete genomic databases, misannotation, and the complexity of predicting phenotype from genotype limit the field’s potential. Furthermore, ethical and biosafety concerns in studying high-risk zoonotic pathogens necessitate careful governance. We outline future directions, emphasizing the need for expanded wildlife sampling, longitudinal studies of host-pathogen co-evolution, and the application of artificial intelligence in zoonotic risk assessment. Building comprehensive, globally accessible genomic databases is essential for coordinated pathogen tracking and risk mitigation. Ultimately, comparative genomics is indispensable for understanding and managing zoonotic threats, and its continued advancement, integrated within interdisciplinary, data-driven One Health strategies, will be critical to preventing future pandemics.","container-title":"Journal of Clinical Medicine of Kazakhstan","DOI":"10.23950/jcmk/16937","ISSN":"1812-2892, 2313-1519","issue":"5","journalAbbreviation":"J CLIN MED KAZ","language":"english","note":"publisher: JSC National Scientific Medical Center","page":"80-92","source":"www.clinmedkaz.org","title":"Comparative Genomics of Zoonotic Pathogens: Genetic Determinants of Host Switching and Cross-Species Transmission","title-short":"Comparative Genomics of Zoonotic Pathogens","volume":"22","author":[{"family":"Lawal","given":"Olabisi"},{"family":"Babatunde","given":"Ezekiel Tosin"},{"family":"Muhammed","given":"Ismaila"},{"family":"Okiki","given":"Quadri N."},{"family":"Chibueze","given":"Eze Samson"},{"family":"David","given":"Victor Omeiza"},{"family":"Otabil","given":"Caleb"},{"family":"Agbo","given":"Okabeonye Sunday"},{"family":"Kanu","given":"Ikechukwu"},{"family":"Ololade","given":"Oyebamiji Abdulhalim"}],"issued":{"date-parts":[["2025",9,14]]}}}],"schema":"https://github.com/citation-style-language/schema/raw/master/csl-citation.json"} </w:instrText>
      </w:r>
      <w:r w:rsidR="00E82B3A" w:rsidRPr="00EB6340">
        <w:rPr>
          <w:rFonts w:ascii="Times New Roman" w:hAnsi="Times New Roman" w:cs="Times New Roman"/>
        </w:rPr>
        <w:fldChar w:fldCharType="separate"/>
      </w:r>
      <w:r w:rsidR="00C758D7" w:rsidRPr="00C758D7">
        <w:rPr>
          <w:rFonts w:ascii="Times New Roman" w:hAnsi="Times New Roman" w:cs="Times New Roman"/>
        </w:rPr>
        <w:t>[21]</w:t>
      </w:r>
      <w:r w:rsidR="00E82B3A" w:rsidRPr="00EB6340">
        <w:rPr>
          <w:rFonts w:ascii="Times New Roman" w:hAnsi="Times New Roman" w:cs="Times New Roman"/>
        </w:rPr>
        <w:fldChar w:fldCharType="end"/>
      </w:r>
      <w:r w:rsidRPr="00EB6340">
        <w:rPr>
          <w:rFonts w:ascii="Times New Roman" w:hAnsi="Times New Roman" w:cs="Times New Roman"/>
        </w:rPr>
        <w:t>.</w:t>
      </w:r>
    </w:p>
    <w:p w:rsidR="0059639A" w:rsidRPr="00EB6340" w:rsidRDefault="0059639A" w:rsidP="0059639A">
      <w:pPr>
        <w:rPr>
          <w:rFonts w:ascii="Times New Roman" w:hAnsi="Times New Roman" w:cs="Times New Roman"/>
          <w:b/>
          <w:bCs/>
        </w:rPr>
      </w:pPr>
      <w:r w:rsidRPr="00EB6340">
        <w:rPr>
          <w:rFonts w:ascii="Times New Roman" w:hAnsi="Times New Roman" w:cs="Times New Roman"/>
          <w:b/>
          <w:bCs/>
        </w:rPr>
        <w:t>5.2 Transcriptomic Profiling and Differential Expression Mapping</w:t>
      </w:r>
    </w:p>
    <w:p w:rsidR="0059639A" w:rsidRPr="00EB6340" w:rsidRDefault="0059639A" w:rsidP="0059639A">
      <w:pPr>
        <w:rPr>
          <w:rFonts w:ascii="Times New Roman" w:hAnsi="Times New Roman" w:cs="Times New Roman"/>
        </w:rPr>
      </w:pPr>
      <w:r w:rsidRPr="00EB6340">
        <w:rPr>
          <w:rFonts w:ascii="Times New Roman" w:hAnsi="Times New Roman" w:cs="Times New Roman"/>
        </w:rPr>
        <w:t xml:space="preserve">Transcriptomic approaches examine genome-wide changes in gene expression following drug exposure or across populations with differing susceptibility profiles. Differential expression mapping can reveal </w:t>
      </w:r>
      <w:r w:rsidRPr="00EB6340">
        <w:rPr>
          <w:rFonts w:ascii="Times New Roman" w:hAnsi="Times New Roman" w:cs="Times New Roman"/>
          <w:b/>
          <w:bCs/>
        </w:rPr>
        <w:t>upregulated detoxification genes</w:t>
      </w:r>
      <w:r w:rsidRPr="00EB6340">
        <w:rPr>
          <w:rFonts w:ascii="Times New Roman" w:hAnsi="Times New Roman" w:cs="Times New Roman"/>
        </w:rPr>
        <w:t>, alterations in receptor or channel subunit expression, or activation of stress-related pathways. Such patterns offer insights into the dynamic biological responses that facilitate survival under pharmacological pressure.</w:t>
      </w:r>
    </w:p>
    <w:p w:rsidR="0059639A" w:rsidRPr="00EB6340" w:rsidRDefault="0059639A" w:rsidP="0059639A">
      <w:pPr>
        <w:rPr>
          <w:rFonts w:ascii="Times New Roman" w:hAnsi="Times New Roman" w:cs="Times New Roman"/>
          <w:b/>
          <w:bCs/>
        </w:rPr>
      </w:pPr>
      <w:r w:rsidRPr="00EB6340">
        <w:rPr>
          <w:rFonts w:ascii="Times New Roman" w:hAnsi="Times New Roman" w:cs="Times New Roman"/>
          <w:b/>
          <w:bCs/>
        </w:rPr>
        <w:t>5.3 Population Genetics Approaches for Resistance Surveillance</w:t>
      </w:r>
    </w:p>
    <w:p w:rsidR="0059639A" w:rsidRPr="00EB6340" w:rsidRDefault="0059639A" w:rsidP="0059639A">
      <w:pPr>
        <w:rPr>
          <w:rFonts w:ascii="Times New Roman" w:hAnsi="Times New Roman" w:cs="Times New Roman"/>
        </w:rPr>
      </w:pPr>
      <w:r w:rsidRPr="00EB6340">
        <w:rPr>
          <w:rFonts w:ascii="Times New Roman" w:hAnsi="Times New Roman" w:cs="Times New Roman"/>
        </w:rPr>
        <w:t xml:space="preserve">Population genetics adds a crucial epidemiological dimension to resistance research. By tracking allele frequencies of resistance-associated markers in field populations, researchers can assess the </w:t>
      </w:r>
      <w:r w:rsidRPr="00EB6340">
        <w:rPr>
          <w:rFonts w:ascii="Times New Roman" w:hAnsi="Times New Roman" w:cs="Times New Roman"/>
          <w:b/>
          <w:bCs/>
        </w:rPr>
        <w:t>spread, persistence, and selective advantage</w:t>
      </w:r>
      <w:r w:rsidRPr="00EB6340">
        <w:rPr>
          <w:rFonts w:ascii="Times New Roman" w:hAnsi="Times New Roman" w:cs="Times New Roman"/>
        </w:rPr>
        <w:t xml:space="preserve"> of candidate mutations. Measurements of genetic diversity, population structure, and selective sweeps contribute to understanding how resistance emerges and disseminates within communities exposed to mass drug administration programs.</w:t>
      </w:r>
    </w:p>
    <w:p w:rsidR="0059639A" w:rsidRPr="00EB6340" w:rsidRDefault="0059639A" w:rsidP="0059639A">
      <w:pPr>
        <w:rPr>
          <w:rFonts w:ascii="Times New Roman" w:hAnsi="Times New Roman" w:cs="Times New Roman"/>
          <w:b/>
          <w:bCs/>
        </w:rPr>
      </w:pPr>
      <w:r w:rsidRPr="00EB6340">
        <w:rPr>
          <w:rFonts w:ascii="Times New Roman" w:hAnsi="Times New Roman" w:cs="Times New Roman"/>
          <w:b/>
          <w:bCs/>
        </w:rPr>
        <w:t>5.4 In Vitro and Model-Organism Functional Validation Frameworks</w:t>
      </w:r>
    </w:p>
    <w:p w:rsidR="0059639A" w:rsidRPr="00EB6340" w:rsidRDefault="0059639A" w:rsidP="0059639A">
      <w:pPr>
        <w:rPr>
          <w:rFonts w:ascii="Times New Roman" w:hAnsi="Times New Roman" w:cs="Times New Roman"/>
        </w:rPr>
      </w:pPr>
      <w:r w:rsidRPr="00EB6340">
        <w:rPr>
          <w:rFonts w:ascii="Times New Roman" w:hAnsi="Times New Roman" w:cs="Times New Roman"/>
        </w:rPr>
        <w:t>Although direct experimental manipulation of human helminths is limited, conceptual frameworks involving model nematodes or surrogate systems allow researchers to evaluate the functional consequences of candidate resistance genes. These systems help clarify whether specific mutations reduce drug susceptibility or alter key physiological pathways, offering critical evidence for causality.</w:t>
      </w:r>
    </w:p>
    <w:p w:rsidR="0059639A" w:rsidRPr="00EB6340" w:rsidRDefault="0059639A" w:rsidP="0059639A">
      <w:pPr>
        <w:rPr>
          <w:rFonts w:ascii="Times New Roman" w:hAnsi="Times New Roman" w:cs="Times New Roman"/>
          <w:b/>
          <w:bCs/>
        </w:rPr>
      </w:pPr>
      <w:r w:rsidRPr="00EB6340">
        <w:rPr>
          <w:rFonts w:ascii="Times New Roman" w:hAnsi="Times New Roman" w:cs="Times New Roman"/>
          <w:b/>
          <w:bCs/>
        </w:rPr>
        <w:t>5.5 Bioinformatic Tools for Integrating Multi-</w:t>
      </w:r>
      <w:proofErr w:type="spellStart"/>
      <w:r w:rsidRPr="00EB6340">
        <w:rPr>
          <w:rFonts w:ascii="Times New Roman" w:hAnsi="Times New Roman" w:cs="Times New Roman"/>
          <w:b/>
          <w:bCs/>
        </w:rPr>
        <w:t>Omic</w:t>
      </w:r>
      <w:proofErr w:type="spellEnd"/>
      <w:r w:rsidRPr="00EB6340">
        <w:rPr>
          <w:rFonts w:ascii="Times New Roman" w:hAnsi="Times New Roman" w:cs="Times New Roman"/>
          <w:b/>
          <w:bCs/>
        </w:rPr>
        <w:t xml:space="preserve"> Datasets</w:t>
      </w:r>
    </w:p>
    <w:p w:rsidR="0059639A" w:rsidRPr="00EB6340" w:rsidRDefault="0059639A" w:rsidP="0059639A">
      <w:pPr>
        <w:rPr>
          <w:rFonts w:ascii="Times New Roman" w:hAnsi="Times New Roman" w:cs="Times New Roman"/>
        </w:rPr>
      </w:pPr>
      <w:r w:rsidRPr="00EB6340">
        <w:rPr>
          <w:rFonts w:ascii="Times New Roman" w:hAnsi="Times New Roman" w:cs="Times New Roman"/>
        </w:rPr>
        <w:t>As genomic and transcriptomic datasets grow, bioinformatic integration becomes essential. Multi-</w:t>
      </w:r>
      <w:proofErr w:type="spellStart"/>
      <w:r w:rsidRPr="00EB6340">
        <w:rPr>
          <w:rFonts w:ascii="Times New Roman" w:hAnsi="Times New Roman" w:cs="Times New Roman"/>
        </w:rPr>
        <w:t>omic</w:t>
      </w:r>
      <w:proofErr w:type="spellEnd"/>
      <w:r w:rsidRPr="00EB6340">
        <w:rPr>
          <w:rFonts w:ascii="Times New Roman" w:hAnsi="Times New Roman" w:cs="Times New Roman"/>
        </w:rPr>
        <w:t xml:space="preserve"> analysis platforms enable researchers to connect genetic variants with expression changes, pathway alterations, and population-level trends. Such integrative approaches provide a comprehensive understanding of resistance mechanisms and help refine targets for surveillance and future drug development</w:t>
      </w:r>
      <w:r w:rsidR="00E82B3A" w:rsidRPr="00EB6340">
        <w:rPr>
          <w:rFonts w:ascii="Times New Roman" w:hAnsi="Times New Roman" w:cs="Times New Roman"/>
        </w:rPr>
        <w:fldChar w:fldCharType="begin"/>
      </w:r>
      <w:r w:rsidR="00C758D7">
        <w:rPr>
          <w:rFonts w:ascii="Times New Roman" w:hAnsi="Times New Roman" w:cs="Times New Roman"/>
        </w:rPr>
        <w:instrText xml:space="preserve"> ADDIN ZOTERO_ITEM CSL_CITATION {"citationID":"0g7AHUzb","properties":{"formattedCitation":"[22]","plainCitation":"[22]","noteIndex":0},"citationItems":[{"id":3122,"uris":["http://zotero.org/users/16652950/items/3RZR4GGY"],"itemData":{"id":3122,"type":"article-journal","abstract":"The field of infectious disease prediction and public health response is changing due to the integration of real-time data with machine learning (ML). This paper examines how diverse real-time data types — including mobility patterns, social media activity, wearable sensor data, environmental signals, and electronic health records — can be successfully combined with machine learning approaches to enhance early diagnosis, forecast illness trajectories, and optimize intervention options. The potential of key machine learning models, such as reinforcement learning, deep learning, and supervised learning, to improve forecasting accuracy and facilitate dynamic decision-making is investigated. There is a critical discussion of issues such as algorithmic opacity, privacy problems, data inconsistencies, and a lack of standards. The COVID-19 pandemic case study demonstrates how these tools have already aided in resource allocation and policy planning. A forward-looking outlook on developments in data collecting, explainable Artificial Intelligence, and the necessity of global cooperation is presented in the manuscript's conclusion. When taken as a whole, these elements emphasize how crucial it is to combine technology and international collaboration to fortify public health systems and better prepare for future epidemics. This paper examines how diverse real-time data types — including mobility patterns, social media activity, wearable sensor data, environmental signals, and electronic health records — can be successfully combined with machine learning approaches to enhance early diagnosis, forecast illness trajectories, and optimize intervention options.","container-title":"Asian Journal of Microbiology and Biotechnology","DOI":"10.56557/ajmab/2025/v10i19371","issue":"1","page":"147-163","source":"HAL Archives Ouvertes","title":"Integrating Real-Time Data and Machine Learning in Predicting Infectious Disease Outbreaks: Enhancing Response Strategies in Sub-Saharan Africa","title-short":"Integrating Real-Time Data and Machine Learning in Predicting Infectious Disease Outbreaks","volume":"10","author":[{"family":"Lawal","given":"Olabisi Promise"},{"family":"Igwe","given":"Ejikeme Peter"},{"family":"Olosunde","given":"Adedapo"},{"family":"Chisom","given":"Ezeamii Patra"},{"family":"Okeh","given":"Debra Ukamaka"},{"family":"Olowookere","given":"Adepeju Kafayat"},{"family":"Adedayo","given":"Olufemi Adesola"},{"family":"Agu","given":"Chiamaka Pamela"},{"family":"Mustapha","given":"Fatimah Adeola"},{"family":"Odubo","given":"Favour"},{"family":"Orobator","given":"Enibokun Theresa"}],"issued":{"date-parts":[["2025",5]]}}}],"schema":"https://github.com/citation-style-language/schema/raw/master/csl-citation.json"} </w:instrText>
      </w:r>
      <w:r w:rsidR="00E82B3A" w:rsidRPr="00EB6340">
        <w:rPr>
          <w:rFonts w:ascii="Times New Roman" w:hAnsi="Times New Roman" w:cs="Times New Roman"/>
        </w:rPr>
        <w:fldChar w:fldCharType="separate"/>
      </w:r>
      <w:r w:rsidR="00C758D7" w:rsidRPr="00C758D7">
        <w:rPr>
          <w:rFonts w:ascii="Times New Roman" w:hAnsi="Times New Roman" w:cs="Times New Roman"/>
        </w:rPr>
        <w:t>[22]</w:t>
      </w:r>
      <w:r w:rsidR="00E82B3A" w:rsidRPr="00EB6340">
        <w:rPr>
          <w:rFonts w:ascii="Times New Roman" w:hAnsi="Times New Roman" w:cs="Times New Roman"/>
        </w:rPr>
        <w:fldChar w:fldCharType="end"/>
      </w:r>
      <w:r w:rsidRPr="00EB6340">
        <w:rPr>
          <w:rFonts w:ascii="Times New Roman" w:hAnsi="Times New Roman" w:cs="Times New Roman"/>
        </w:rPr>
        <w:t>.</w:t>
      </w:r>
    </w:p>
    <w:p w:rsidR="0059639A" w:rsidRPr="00EB6340" w:rsidRDefault="0059639A" w:rsidP="0059639A">
      <w:pPr>
        <w:rPr>
          <w:rFonts w:ascii="Times New Roman" w:hAnsi="Times New Roman" w:cs="Times New Roman"/>
          <w:b/>
          <w:bCs/>
        </w:rPr>
      </w:pPr>
      <w:r w:rsidRPr="00EB6340">
        <w:rPr>
          <w:rFonts w:ascii="Times New Roman" w:hAnsi="Times New Roman" w:cs="Times New Roman"/>
          <w:b/>
          <w:bCs/>
        </w:rPr>
        <w:lastRenderedPageBreak/>
        <w:t>6. Implications for Public Health, Surveillance, and Drug Development</w:t>
      </w:r>
    </w:p>
    <w:p w:rsidR="0059639A" w:rsidRPr="00EB6340" w:rsidRDefault="0059639A" w:rsidP="0059639A">
      <w:pPr>
        <w:rPr>
          <w:rFonts w:ascii="Times New Roman" w:hAnsi="Times New Roman" w:cs="Times New Roman"/>
        </w:rPr>
      </w:pPr>
      <w:r w:rsidRPr="00EB6340">
        <w:rPr>
          <w:rFonts w:ascii="Times New Roman" w:hAnsi="Times New Roman" w:cs="Times New Roman"/>
        </w:rPr>
        <w:t>The emergence of anthelmintic resistance in human helminths has significant implications for global public health, particularly in regions where mass drug administration (MDA) serves as the cornerstone of control strategies</w:t>
      </w:r>
      <w:r w:rsidR="0087183A">
        <w:rPr>
          <w:rFonts w:ascii="Times New Roman" w:hAnsi="Times New Roman" w:cs="Times New Roman"/>
        </w:rPr>
        <w:t>.</w:t>
      </w:r>
      <w:r w:rsidR="00E82B3A">
        <w:rPr>
          <w:rFonts w:ascii="Times New Roman" w:hAnsi="Times New Roman" w:cs="Times New Roman"/>
        </w:rPr>
        <w:fldChar w:fldCharType="begin"/>
      </w:r>
      <w:r w:rsidR="00221E32">
        <w:rPr>
          <w:rFonts w:ascii="Times New Roman" w:hAnsi="Times New Roman" w:cs="Times New Roman"/>
        </w:rPr>
        <w:instrText xml:space="preserve"> ADDIN ZOTERO_ITEM CSL_CITATION {"citationID":"CQkSS8AE","properties":{"formattedCitation":"[23]","plainCitation":"[23]","noteIndex":0},"citationItems":[{"id":11361,"uris":["http://zotero.org/users/16652950/items/2RTQXP5P"],"itemData":{"id":11361,"type":"article-journal","abstract":"Access to healthcare is a basic human right, yet systemic barriers like poverty, discrimination, and policy shortcomings continue to create disparities. This paper examines the essential role of social workers in championing healthcare policies that are inclusive and responsive to the needs of vulnerable groups such as low-income families, ethnic minorities, and individuals with disabilities. It explores the limitations of current healthcare frameworks, highlights the methods social workers use to promote equity, and offers evidence-based strategies for reform.","container-title":"International Journal of Science and Research Archive","DOI":"10.30574/ijsra.2025.14.1.0224","ISSN":"2582-8185","issue":"1","language":"en","license":"Copyrights to International Journal of Science and Research Archive","page":"1407-1415","source":"journalijsra.com","title":"Policy advocacy for inclusive healthcare access from a social work perspective","volume":"14","author":[{"family":"Balogun","given":"Adeseun Kafayat"},{"family":"Ibiam","given":"Victor Akachukwu"},{"family":"Otesanya","given":"Olayinka Abdulganiu"},{"family":"Agbo-Adediran","given":"Bemiwo Elisha"}],"issued":{"date-parts":[["2025"]]}}}],"schema":"https://github.com/citation-style-language/schema/raw/master/csl-citation.json"} </w:instrText>
      </w:r>
      <w:r w:rsidR="00E82B3A">
        <w:rPr>
          <w:rFonts w:ascii="Times New Roman" w:hAnsi="Times New Roman" w:cs="Times New Roman"/>
        </w:rPr>
        <w:fldChar w:fldCharType="separate"/>
      </w:r>
      <w:r w:rsidR="00221E32" w:rsidRPr="00221E32">
        <w:rPr>
          <w:rFonts w:ascii="Times New Roman" w:hAnsi="Times New Roman" w:cs="Times New Roman"/>
        </w:rPr>
        <w:t>[23]</w:t>
      </w:r>
      <w:r w:rsidR="00E82B3A">
        <w:rPr>
          <w:rFonts w:ascii="Times New Roman" w:hAnsi="Times New Roman" w:cs="Times New Roman"/>
        </w:rPr>
        <w:fldChar w:fldCharType="end"/>
      </w:r>
      <w:r w:rsidRPr="00EB6340">
        <w:rPr>
          <w:rFonts w:ascii="Times New Roman" w:hAnsi="Times New Roman" w:cs="Times New Roman"/>
        </w:rPr>
        <w:t>. These programs depend heavily on a narrow range of drug classes, and increasing evidence of reduced drug susceptibility threatens their long-term effectiveness. Should resistance become widespread, the ability of MDA campaigns to suppress worm burden, reduce transmission, and protect vulnerable populations could be substantially compromised</w:t>
      </w:r>
      <w:r w:rsidR="0087183A">
        <w:rPr>
          <w:rFonts w:ascii="Times New Roman" w:hAnsi="Times New Roman" w:cs="Times New Roman"/>
        </w:rPr>
        <w:t>.</w:t>
      </w:r>
      <w:r w:rsidR="00E82B3A" w:rsidRPr="00EB6340">
        <w:rPr>
          <w:rFonts w:ascii="Times New Roman" w:hAnsi="Times New Roman" w:cs="Times New Roman"/>
        </w:rPr>
        <w:fldChar w:fldCharType="begin"/>
      </w:r>
      <w:r w:rsidR="00221E32">
        <w:rPr>
          <w:rFonts w:ascii="Times New Roman" w:hAnsi="Times New Roman" w:cs="Times New Roman"/>
        </w:rPr>
        <w:instrText xml:space="preserve"> ADDIN ZOTERO_ITEM CSL_CITATION {"citationID":"w99sHcEt","properties":{"formattedCitation":"[24]","plainCitation":"[24]","noteIndex":0},"citationItems":[{"id":11345,"uris":["http://zotero.org/users/16652950/items/G9DE6WH8"],"itemData":{"id":11345,"type":"article-journal","abstract":"Parasitic diseases continue to represent a significant public health challenge, particularly in tropical and subtropical regions, where they disproportionately affect low- and middle-income countries. Despite significant advancements in global collaborations, diseases such as malaria, schistosomiasis, and leishmaniasis continue to present substantial challenges. This study evaluates the role of international collaborations such as the World Health Organization (WHO) and the Global Fund, alongside bilateral and multilateral initiatives, including the U.S. President's Malaria Initiative (PMI) in managing, preventing, and eliminating parasitic diseases, highlighting the successes, challenges, and potential areas for improvement within these partnerships. Critical challenges to effective collaborations, such as political instability, economic disparities, cultural barriers, and resource inequities were identified. Additionally discussed are the necessity of developing local skills, promoting innovative financing methods for projects, and ensuring their sustainability. Moreover, the necessity of a unified global health governance framework and sustained commitments to ensure that multinational collaborations yield enduring impacts were emphasized. However, policy recommendations such as prioritizing equity, and addressing the root causes of parasite infections aimed at enhancing international cooperation should be embraced in order to achieve sustainable health improvements. The findings suggest that ongoing global cooperation, combined with improvements in technology, funding, and resource allocation, is crucial for the total elimination of parasitic diseases and the advancement of health equity worldwide.","container-title":"Australian Journal of Biomedical Research","DOI":"10.63946/aubiomed/17426","ISSN":"3083-4708","issue":"2","language":"english","note":"publisher: Australasia Publishing Group","page":"aubm009","source":"www.aubiomed.org","title":"Evaluating the Role and Impact of International Collaboration and Partnerships on the Control, Prevention, and Elimination of Parasitic Diseases: A Global Health Perspective","title-short":"Evaluating the Role and Impact of International Collaboration and Partnerships on the Control, Prevention, and Elimination of Parasitic Diseases","volume":"1","author":[{"family":"Nwokedi","given":"Vivian Ukamaka"},{"family":"Akanbi","given":"Olukunle O."},{"family":"Ayo-ige","given":"Blessing Ayodele"},{"family":"Aderounmu","given":"Rahmatallahi Ajike"},{"family":"Kassim","given":"Nimotalai Olusola"},{"family":"Aneke","given":"Oluchi Beatrice"},{"family":"Inumimo","given":"Ogunmekan"},{"family":"Ilesanmi","given":"Olawale Johnson"},{"family":"Luper","given":"Tyoakosu"},{"family":"Farinde","given":"Tobi David"}],"issued":{"date-parts":[["2025",11,18]]}}}],"schema":"https://github.com/citation-style-language/schema/raw/master/csl-citation.json"} </w:instrText>
      </w:r>
      <w:r w:rsidR="00E82B3A" w:rsidRPr="00EB6340">
        <w:rPr>
          <w:rFonts w:ascii="Times New Roman" w:hAnsi="Times New Roman" w:cs="Times New Roman"/>
        </w:rPr>
        <w:fldChar w:fldCharType="separate"/>
      </w:r>
      <w:r w:rsidR="00221E32" w:rsidRPr="00221E32">
        <w:rPr>
          <w:rFonts w:ascii="Times New Roman" w:hAnsi="Times New Roman" w:cs="Times New Roman"/>
        </w:rPr>
        <w:t>[24]</w:t>
      </w:r>
      <w:r w:rsidR="00E82B3A" w:rsidRPr="00EB6340">
        <w:rPr>
          <w:rFonts w:ascii="Times New Roman" w:hAnsi="Times New Roman" w:cs="Times New Roman"/>
        </w:rPr>
        <w:fldChar w:fldCharType="end"/>
      </w:r>
      <w:r w:rsidRPr="00EB6340">
        <w:rPr>
          <w:rFonts w:ascii="Times New Roman" w:hAnsi="Times New Roman" w:cs="Times New Roman"/>
        </w:rPr>
        <w:t>.</w:t>
      </w:r>
    </w:p>
    <w:p w:rsidR="0059639A" w:rsidRPr="00EB6340" w:rsidRDefault="0059639A" w:rsidP="0059639A">
      <w:pPr>
        <w:rPr>
          <w:rFonts w:ascii="Times New Roman" w:hAnsi="Times New Roman" w:cs="Times New Roman"/>
          <w:b/>
          <w:bCs/>
        </w:rPr>
      </w:pPr>
      <w:r w:rsidRPr="00EB6340">
        <w:rPr>
          <w:rFonts w:ascii="Times New Roman" w:hAnsi="Times New Roman" w:cs="Times New Roman"/>
          <w:b/>
          <w:bCs/>
        </w:rPr>
        <w:t>6.1 Threats to MDA-Based Control Programs for Soil-Transmitted Helminths</w:t>
      </w:r>
    </w:p>
    <w:p w:rsidR="0059639A" w:rsidRPr="00EB6340" w:rsidRDefault="0059639A" w:rsidP="0059639A">
      <w:pPr>
        <w:rPr>
          <w:rFonts w:ascii="Times New Roman" w:hAnsi="Times New Roman" w:cs="Times New Roman"/>
        </w:rPr>
      </w:pPr>
      <w:r w:rsidRPr="00EB6340">
        <w:rPr>
          <w:rFonts w:ascii="Times New Roman" w:hAnsi="Times New Roman" w:cs="Times New Roman"/>
        </w:rPr>
        <w:t>Declining treatment efficacy, even when modest, may undermine progress toward morbidity reduction goals. Persistent infections in treated communities create conditions for sustained transmission and may erode public confidence in control programs.</w:t>
      </w:r>
    </w:p>
    <w:p w:rsidR="0059639A" w:rsidRPr="00EB6340" w:rsidRDefault="0059639A" w:rsidP="0059639A">
      <w:pPr>
        <w:rPr>
          <w:rFonts w:ascii="Times New Roman" w:hAnsi="Times New Roman" w:cs="Times New Roman"/>
          <w:b/>
          <w:bCs/>
        </w:rPr>
      </w:pPr>
      <w:r w:rsidRPr="00EB6340">
        <w:rPr>
          <w:rFonts w:ascii="Times New Roman" w:hAnsi="Times New Roman" w:cs="Times New Roman"/>
          <w:b/>
          <w:bCs/>
        </w:rPr>
        <w:t>6.2 Need for Early-Detection Molecular Diagnostics</w:t>
      </w:r>
    </w:p>
    <w:p w:rsidR="0059639A" w:rsidRPr="00EB6340" w:rsidRDefault="0059639A" w:rsidP="0059639A">
      <w:pPr>
        <w:rPr>
          <w:rFonts w:ascii="Times New Roman" w:hAnsi="Times New Roman" w:cs="Times New Roman"/>
        </w:rPr>
      </w:pPr>
      <w:r w:rsidRPr="00EB6340">
        <w:rPr>
          <w:rFonts w:ascii="Times New Roman" w:hAnsi="Times New Roman" w:cs="Times New Roman"/>
        </w:rPr>
        <w:t>Early detection of resistance is essential to prevent programmatic failure. Molecular diagnostics capable of identifying resistance-associated markers</w:t>
      </w:r>
      <w:r w:rsidR="0087183A">
        <w:rPr>
          <w:rFonts w:ascii="Times New Roman" w:hAnsi="Times New Roman" w:cs="Times New Roman"/>
        </w:rPr>
        <w:t xml:space="preserve">, such as β-tubulin polymorphisms or efflux-related gene expression patterns, </w:t>
      </w:r>
      <w:r w:rsidRPr="00EB6340">
        <w:rPr>
          <w:rFonts w:ascii="Times New Roman" w:hAnsi="Times New Roman" w:cs="Times New Roman"/>
        </w:rPr>
        <w:t>would enable timely responses. Such tools could guide adaptive adjustments in treatment strategies before clinical failures become widespread.</w:t>
      </w:r>
    </w:p>
    <w:p w:rsidR="0059639A" w:rsidRPr="00EB6340" w:rsidRDefault="0059639A" w:rsidP="0059639A">
      <w:pPr>
        <w:rPr>
          <w:rFonts w:ascii="Times New Roman" w:hAnsi="Times New Roman" w:cs="Times New Roman"/>
          <w:b/>
          <w:bCs/>
        </w:rPr>
      </w:pPr>
      <w:r w:rsidRPr="00EB6340">
        <w:rPr>
          <w:rFonts w:ascii="Times New Roman" w:hAnsi="Times New Roman" w:cs="Times New Roman"/>
          <w:b/>
          <w:bCs/>
        </w:rPr>
        <w:t>6.3 Strategies to Slow Resistance Evolution</w:t>
      </w:r>
    </w:p>
    <w:p w:rsidR="0059639A" w:rsidRPr="00EB6340" w:rsidRDefault="0059639A" w:rsidP="0059639A">
      <w:pPr>
        <w:rPr>
          <w:rFonts w:ascii="Times New Roman" w:hAnsi="Times New Roman" w:cs="Times New Roman"/>
        </w:rPr>
      </w:pPr>
      <w:r w:rsidRPr="00EB6340">
        <w:rPr>
          <w:rFonts w:ascii="Times New Roman" w:hAnsi="Times New Roman" w:cs="Times New Roman"/>
        </w:rPr>
        <w:t xml:space="preserve">A range of interventions may help mitigate resistance development. </w:t>
      </w:r>
      <w:r w:rsidRPr="00EB6340">
        <w:rPr>
          <w:rFonts w:ascii="Times New Roman" w:hAnsi="Times New Roman" w:cs="Times New Roman"/>
          <w:b/>
          <w:bCs/>
        </w:rPr>
        <w:t>Rotational drug strategies</w:t>
      </w:r>
      <w:r w:rsidRPr="00EB6340">
        <w:rPr>
          <w:rFonts w:ascii="Times New Roman" w:hAnsi="Times New Roman" w:cs="Times New Roman"/>
        </w:rPr>
        <w:t xml:space="preserve"> aim to reduce continuous selection for resistance to a single drug class. </w:t>
      </w:r>
      <w:r w:rsidRPr="00EB6340">
        <w:rPr>
          <w:rFonts w:ascii="Times New Roman" w:hAnsi="Times New Roman" w:cs="Times New Roman"/>
          <w:b/>
          <w:bCs/>
        </w:rPr>
        <w:t>Combination therapies</w:t>
      </w:r>
      <w:r w:rsidRPr="00EB6340">
        <w:rPr>
          <w:rFonts w:ascii="Times New Roman" w:hAnsi="Times New Roman" w:cs="Times New Roman"/>
        </w:rPr>
        <w:t xml:space="preserve">, widely successful in malaria and HIV control, may also provide synergistic effects or reduce the likelihood that any single mutation can confer broad protection. </w:t>
      </w:r>
      <w:r w:rsidRPr="00EB6340">
        <w:rPr>
          <w:rFonts w:ascii="Times New Roman" w:hAnsi="Times New Roman" w:cs="Times New Roman"/>
          <w:b/>
          <w:bCs/>
        </w:rPr>
        <w:t>Targeted treatment approaches</w:t>
      </w:r>
      <w:r w:rsidRPr="00EB6340">
        <w:rPr>
          <w:rFonts w:ascii="Times New Roman" w:hAnsi="Times New Roman" w:cs="Times New Roman"/>
        </w:rPr>
        <w:t>, such as treating only high-risk groups or using treatment thresholds based on prevalence, can reduce overall drug pressure on parasite populations</w:t>
      </w:r>
      <w:r w:rsidR="00E82B3A" w:rsidRPr="00EB6340">
        <w:rPr>
          <w:rFonts w:ascii="Times New Roman" w:hAnsi="Times New Roman" w:cs="Times New Roman"/>
        </w:rPr>
        <w:fldChar w:fldCharType="begin"/>
      </w:r>
      <w:r w:rsidR="00221E32">
        <w:rPr>
          <w:rFonts w:ascii="Times New Roman" w:hAnsi="Times New Roman" w:cs="Times New Roman"/>
        </w:rPr>
        <w:instrText xml:space="preserve"> ADDIN ZOTERO_ITEM CSL_CITATION {"citationID":"dRAsfo7G","properties":{"formattedCitation":"[25]","plainCitation":"[25]","noteIndex":0},"citationItems":[{"id":11351,"uris":["http://zotero.org/users/16652950/items/WWK84N4K"],"itemData":{"id":11351,"type":"article-journal","abstract":"Diabetic foot ulcers (DFUs) are among the most severe complications of diabetes mellitus, contributing to infection, limb loss, and premature mortality. In Africa, the rising prevalence of diabetes, combined with limited laboratory capacity and frequent empirical antibiotic use, has intensified the problem of multidrug-resistant (MDR) infections. Understanding the microbial spectrum and associated outcomes is critical for guiding evidence-based management. This review systematically synthesizes data on microbial etiologies, antimicrobial-resistance patterns, and clinical outcomes of DFUs in African populations. Methods: Following PRISMA 2020 guidelines, PubMed, Scopus, Embase, Web of Science, African Journals Online, and Google Scholar were searched for studies published between 2000 and 2025. Eligible studies included adults with DFUs in African settings that reported bacterial isolates, resistance profiles, or clinical outcomes. Two reviewers independently screened and extracted data, and study quality was appraised using the Joanna Briggs Institute checklist. Data were synthesized narratively and summarized using descriptive statistics. Sixteen verified studies from ten African countries, encompassing approximately 2,700 participants, were included. Staphylococcus aureus and Pseudomonas aeruginosa were the predominant isolates, followed by Escherichia coli, Klebsiella pneumoniae, and Proteus mirabilis. MDR prevalence was high, with methicillin-resistant S. aureus (MRSA) detected in 25–45% of isolates and extended-spectrum β-lactamase (ESBL)–producing Enterobacterales in 30–50%. Among studies reporting outcomes, amputation rates ranged from 15% to 38% and mortality from 7% to 16%, with poorer outcomes in MDR infections. Considerable heterogeneity existed in sampling and testing methods across studies. Saureus remains the dominant pathogen in African DFUs, but AMR is pervasive across bacterial species. Strengthening diagnostic laboratory systems, infection-control practices, and antimicrobial stewardship (alongside integrated diabetic foot care) is essential to reduce preventable amputations, mortality, and the continent’s growing burden of drug-resistant infections. Keywords: Diabetic","container-title":"Epidemiology and Health Data Insights","DOI":"10.63946/ehdi/17471","ISSN":"3080-8111","issue":"6","language":"english","note":"publisher: Australasia Publishing Group","page":"ehdi022","source":"www.journalehdi.com","title":"Diabetic Foot Ulcers in Africa: A Systematic Review of Microbial Profiles and Clinical Outcomes in the Context of Multidrug Resistance","title-short":"Diabetic Foot Ulcers in Africa","volume":"1","author":[{"family":"Nwosu","given":"Patrick Chinazam"},{"family":"Egwuatu","given":"Emmanuel Cherechi"},{"family":"Wright","given":"Alliah Kris-Ann"},{"family":"Ebiala","given":"Fortune Itoje"},{"family":"Yaro","given":"Gloria Ogbeyi"},{"family":"Sone","given":"Precious Esong"},{"family":"Ayo-ige","given":"Ayodele Blessing"},{"family":"Olokede","given":"Esther Uyoyooghene"}],"issued":{"date-parts":[["2025",12,1]]}}}],"schema":"https://github.com/citation-style-language/schema/raw/master/csl-citation.json"} </w:instrText>
      </w:r>
      <w:r w:rsidR="00E82B3A" w:rsidRPr="00EB6340">
        <w:rPr>
          <w:rFonts w:ascii="Times New Roman" w:hAnsi="Times New Roman" w:cs="Times New Roman"/>
        </w:rPr>
        <w:fldChar w:fldCharType="separate"/>
      </w:r>
      <w:r w:rsidR="00221E32" w:rsidRPr="00221E32">
        <w:rPr>
          <w:rFonts w:ascii="Times New Roman" w:hAnsi="Times New Roman" w:cs="Times New Roman"/>
        </w:rPr>
        <w:t>[25]</w:t>
      </w:r>
      <w:r w:rsidR="00E82B3A" w:rsidRPr="00EB6340">
        <w:rPr>
          <w:rFonts w:ascii="Times New Roman" w:hAnsi="Times New Roman" w:cs="Times New Roman"/>
        </w:rPr>
        <w:fldChar w:fldCharType="end"/>
      </w:r>
      <w:r w:rsidRPr="00EB6340">
        <w:rPr>
          <w:rFonts w:ascii="Times New Roman" w:hAnsi="Times New Roman" w:cs="Times New Roman"/>
        </w:rPr>
        <w:t>.</w:t>
      </w:r>
    </w:p>
    <w:p w:rsidR="0059639A" w:rsidRPr="00EB6340" w:rsidRDefault="0059639A" w:rsidP="0059639A">
      <w:pPr>
        <w:rPr>
          <w:rFonts w:ascii="Times New Roman" w:hAnsi="Times New Roman" w:cs="Times New Roman"/>
          <w:b/>
          <w:bCs/>
        </w:rPr>
      </w:pPr>
      <w:r w:rsidRPr="00EB6340">
        <w:rPr>
          <w:rFonts w:ascii="Times New Roman" w:hAnsi="Times New Roman" w:cs="Times New Roman"/>
          <w:b/>
          <w:bCs/>
        </w:rPr>
        <w:t>6.4 Opportunities for Novel Drug Discovery Targeting Less Mutable Pathways</w:t>
      </w:r>
    </w:p>
    <w:p w:rsidR="0059639A" w:rsidRPr="00EB6340" w:rsidRDefault="0059639A" w:rsidP="0059639A">
      <w:pPr>
        <w:rPr>
          <w:rFonts w:ascii="Times New Roman" w:hAnsi="Times New Roman" w:cs="Times New Roman"/>
        </w:rPr>
      </w:pPr>
      <w:r w:rsidRPr="00EB6340">
        <w:rPr>
          <w:rFonts w:ascii="Times New Roman" w:hAnsi="Times New Roman" w:cs="Times New Roman"/>
        </w:rPr>
        <w:t>The identification of molecular pathways that are less prone to mutation offers opportunities for innovative therapeutics. Drugs that target conserved metabolic processes or regulatory pathways essential for helminth survival could exhibit greater resilience to resistance evolution</w:t>
      </w:r>
      <w:r w:rsidR="0087183A">
        <w:rPr>
          <w:rFonts w:ascii="Times New Roman" w:hAnsi="Times New Roman" w:cs="Times New Roman"/>
        </w:rPr>
        <w:t>.</w:t>
      </w:r>
      <w:r w:rsidR="00E82B3A">
        <w:rPr>
          <w:rFonts w:ascii="Times New Roman" w:hAnsi="Times New Roman" w:cs="Times New Roman"/>
        </w:rPr>
        <w:fldChar w:fldCharType="begin"/>
      </w:r>
      <w:r w:rsidR="00221E32">
        <w:rPr>
          <w:rFonts w:ascii="Times New Roman" w:hAnsi="Times New Roman" w:cs="Times New Roman"/>
        </w:rPr>
        <w:instrText xml:space="preserve"> ADDIN ZOTERO_ITEM CSL_CITATION {"citationID":"VkZZx8fs","properties":{"formattedCitation":"[26]","plainCitation":"[26]","noteIndex":0},"citationItems":[{"id":11360,"uris":["http://zotero.org/users/16652950/items/HZYDEHTC"],"itemData":{"id":11360,"type":"article-journal","abstract":"Cultural competence has become a cornerstone of effective social work and healthcare practices in increasingly diverse societies. This review explores the development of culturally competent models to enhance inclusive interventions in these fields. Drawing on interdisciplinary frameworks and empirical studies, the paper examines key concepts, such as cultural awareness, humility, and intersectionality, while analyzing their practical applications in various settings. Current models, including the Purnell Model for Cultural Competence and the Cultural Competence Continuum, are critically evaluated to highlight their strengths and limitations. Challenges such as implicit bias, resource inequities, and the absence of standardized assessment tools are identified as significant barriers to implementation. The review also discusses innovative strategies, including technology-assisted training and community-driven approaches, as potential solutions to address these gaps.","container-title":"International Journal of Science and Research Archive","DOI":"10.30574/ijsra.2025.14.1.0226","ISSN":"25828185","issue":"1","journalAbbreviation":"Int. J. Sci. Res. Arch.","language":"en","page":"1396-1406","source":"DOI.org (Crossref)","title":"Developing culturally competent models for inclusive social work and healthcare interventions","volume":"14","author":[{"literal":"Adeseun Kafayat Balogun"},{"literal":"Julie Alaere Atta"},{"literal":"Oreoluwa Mary Oyetubo"},{"literal":"Victor Akachukwu Ibiam"},{"literal":"Kehinde Abiola Bakare-Adesokan"},{"literal":"Taiwo Ololade Ojo"}],"issued":{"date-parts":[["2025",1,30]]}}}],"schema":"https://github.com/citation-style-language/schema/raw/master/csl-citation.json"} </w:instrText>
      </w:r>
      <w:r w:rsidR="00E82B3A">
        <w:rPr>
          <w:rFonts w:ascii="Times New Roman" w:hAnsi="Times New Roman" w:cs="Times New Roman"/>
        </w:rPr>
        <w:fldChar w:fldCharType="separate"/>
      </w:r>
      <w:r w:rsidR="00221E32" w:rsidRPr="00221E32">
        <w:rPr>
          <w:rFonts w:ascii="Times New Roman" w:hAnsi="Times New Roman" w:cs="Times New Roman"/>
        </w:rPr>
        <w:t>[26]</w:t>
      </w:r>
      <w:r w:rsidR="00E82B3A">
        <w:rPr>
          <w:rFonts w:ascii="Times New Roman" w:hAnsi="Times New Roman" w:cs="Times New Roman"/>
        </w:rPr>
        <w:fldChar w:fldCharType="end"/>
      </w:r>
      <w:r w:rsidRPr="00EB6340">
        <w:rPr>
          <w:rFonts w:ascii="Times New Roman" w:hAnsi="Times New Roman" w:cs="Times New Roman"/>
        </w:rPr>
        <w:t>.</w:t>
      </w:r>
    </w:p>
    <w:p w:rsidR="0059639A" w:rsidRPr="00EB6340" w:rsidRDefault="0059639A" w:rsidP="0059639A">
      <w:pPr>
        <w:rPr>
          <w:rFonts w:ascii="Times New Roman" w:hAnsi="Times New Roman" w:cs="Times New Roman"/>
          <w:b/>
          <w:bCs/>
        </w:rPr>
      </w:pPr>
      <w:r w:rsidRPr="00EB6340">
        <w:rPr>
          <w:rFonts w:ascii="Times New Roman" w:hAnsi="Times New Roman" w:cs="Times New Roman"/>
          <w:b/>
          <w:bCs/>
        </w:rPr>
        <w:t xml:space="preserve">6.5 Integrating Genomic Surveillance </w:t>
      </w:r>
      <w:proofErr w:type="gramStart"/>
      <w:r w:rsidRPr="00EB6340">
        <w:rPr>
          <w:rFonts w:ascii="Times New Roman" w:hAnsi="Times New Roman" w:cs="Times New Roman"/>
          <w:b/>
          <w:bCs/>
        </w:rPr>
        <w:t>Into</w:t>
      </w:r>
      <w:proofErr w:type="gramEnd"/>
      <w:r w:rsidRPr="00EB6340">
        <w:rPr>
          <w:rFonts w:ascii="Times New Roman" w:hAnsi="Times New Roman" w:cs="Times New Roman"/>
          <w:b/>
          <w:bCs/>
        </w:rPr>
        <w:t xml:space="preserve"> Global Health Policy</w:t>
      </w:r>
    </w:p>
    <w:p w:rsidR="0059639A" w:rsidRPr="00EB6340" w:rsidRDefault="0059639A" w:rsidP="0059639A">
      <w:pPr>
        <w:rPr>
          <w:rFonts w:ascii="Times New Roman" w:hAnsi="Times New Roman" w:cs="Times New Roman"/>
        </w:rPr>
      </w:pPr>
      <w:r w:rsidRPr="00EB6340">
        <w:rPr>
          <w:rFonts w:ascii="Times New Roman" w:hAnsi="Times New Roman" w:cs="Times New Roman"/>
        </w:rPr>
        <w:t>Genomic surveillance systems are increasingly feasible and can provide real-time insights into resistance emergence and spread. Integrating these systems into national and international health policies would support evidence-based decision-making, improve MDA program design, and ensure rapid responses to emerging threats</w:t>
      </w:r>
      <w:r w:rsidR="0087183A">
        <w:rPr>
          <w:rFonts w:ascii="Times New Roman" w:hAnsi="Times New Roman" w:cs="Times New Roman"/>
        </w:rPr>
        <w:t>.</w:t>
      </w:r>
      <w:r w:rsidR="00E82B3A" w:rsidRPr="00EB6340">
        <w:rPr>
          <w:rFonts w:ascii="Times New Roman" w:hAnsi="Times New Roman" w:cs="Times New Roman"/>
        </w:rPr>
        <w:fldChar w:fldCharType="begin"/>
      </w:r>
      <w:r w:rsidR="00221E32">
        <w:rPr>
          <w:rFonts w:ascii="Times New Roman" w:hAnsi="Times New Roman" w:cs="Times New Roman"/>
        </w:rPr>
        <w:instrText xml:space="preserve"> ADDIN ZOTERO_ITEM CSL_CITATION {"citationID":"W6xIqdPj","properties":{"formattedCitation":"[27]","plainCitation":"[27]","noteIndex":0},"citationItems":[{"id":11899,"uris":["http://zotero.org/users/16652950/items/MR4Y54NR"],"itemData":{"id":11899,"type":"article-journal","abstract":"Antimicrobial resistance (AMR) is a critical global public health threat, with bacterial pathogens of primary concern. Pathogen genomics has revolutionized the study of bacterial pathogens and provided deep insights into the mechanisms and dissemination of AMR, with the precision of whole-genome sequencing informing better control strategies. However, generating actionable data from genomic surveillance and diagnostic efforts requires integration at the public health and clinical interface that goes beyond academic efforts to identify resistance mechanisms, undertake post hoc analyses of outbreaks, and share data after research publications. In addition to timely genomics data, consideration also needs to be given to epidemiological sampling frames, analysis, and reporting mechanisms that meet International Organization for Standardization (ISO) standards and generation of reports that are interpretable and actionable for public health and clinical “end-users.” Importantly, ensuring all countries have equitable access to data and technology is critical, through timely data sharing following the FAIR principles (findable, accessible, interoperable, and re-usable). In this review, we describe (i) advances in genomic approaches for AMR research and surveillance to understand emergence, evolution, and transmission of AMR and the key requirements to enable this work and (ii) discuss emerging and future applications of genomics at the clinical and public health interface, including barriers to implementation. Harnessing advances in genomics-enhanced AMR research and embedding robust and reproducible workflows within clinical and public health practice promises to maximize the impact of pathogen genomics for AMR globally in the coming decade.","container-title":"Antimicrobial Agents and Chemotherapy","DOI":"10.1128/aac.01082-24","ISSN":"0066-4804","issue":"5","journalAbbreviation":"Antimicrob Agents Chemother","note":"PMID: 40227048\nPMCID: PMC12057382","page":"e01082-24","source":"PubMed Central","title":"Genomics for antimicrobial resistance—progress and future directions","volume":"69","author":[{"family":"Sherry","given":"Norelle L."},{"family":"Lee","given":"Jean Y. H."},{"family":"Giulieri","given":"Stefano G."},{"family":"Connor","given":"Christopher H."},{"family":"Horan","given":"Kristy"},{"family":"Lacey","given":"Jake A."},{"family":"Lane","given":"Courtney R."},{"family":"Carter","given":"Glen P."},{"family":"Seemann","given":"Torsten"},{"family":"Egli","given":"Adrian"},{"family":"Stinear","given":"Timothy P."},{"family":"Howden","given":"Benjamin P."}]}}],"schema":"https://github.com/citation-style-language/schema/raw/master/csl-citation.json"} </w:instrText>
      </w:r>
      <w:r w:rsidR="00E82B3A" w:rsidRPr="00EB6340">
        <w:rPr>
          <w:rFonts w:ascii="Times New Roman" w:hAnsi="Times New Roman" w:cs="Times New Roman"/>
        </w:rPr>
        <w:fldChar w:fldCharType="separate"/>
      </w:r>
      <w:r w:rsidR="00221E32" w:rsidRPr="00221E32">
        <w:rPr>
          <w:rFonts w:ascii="Times New Roman" w:hAnsi="Times New Roman" w:cs="Times New Roman"/>
        </w:rPr>
        <w:t>[27]</w:t>
      </w:r>
      <w:r w:rsidR="00E82B3A" w:rsidRPr="00EB6340">
        <w:rPr>
          <w:rFonts w:ascii="Times New Roman" w:hAnsi="Times New Roman" w:cs="Times New Roman"/>
        </w:rPr>
        <w:fldChar w:fldCharType="end"/>
      </w:r>
      <w:r w:rsidRPr="00EB6340">
        <w:rPr>
          <w:rFonts w:ascii="Times New Roman" w:hAnsi="Times New Roman" w:cs="Times New Roman"/>
        </w:rPr>
        <w:t>.</w:t>
      </w:r>
    </w:p>
    <w:p w:rsidR="0059639A" w:rsidRPr="00EB6340" w:rsidRDefault="0059639A" w:rsidP="0059639A">
      <w:pPr>
        <w:rPr>
          <w:rFonts w:ascii="Times New Roman" w:hAnsi="Times New Roman" w:cs="Times New Roman"/>
          <w:b/>
          <w:bCs/>
        </w:rPr>
      </w:pPr>
      <w:r w:rsidRPr="00EB6340">
        <w:rPr>
          <w:rFonts w:ascii="Times New Roman" w:hAnsi="Times New Roman" w:cs="Times New Roman"/>
          <w:b/>
          <w:bCs/>
        </w:rPr>
        <w:t>8. Conclusion</w:t>
      </w:r>
    </w:p>
    <w:p w:rsidR="0059639A" w:rsidRPr="00EB6340" w:rsidRDefault="0059639A" w:rsidP="0059639A">
      <w:pPr>
        <w:rPr>
          <w:rFonts w:ascii="Times New Roman" w:hAnsi="Times New Roman" w:cs="Times New Roman"/>
        </w:rPr>
      </w:pPr>
      <w:r w:rsidRPr="00EB6340">
        <w:rPr>
          <w:rFonts w:ascii="Times New Roman" w:hAnsi="Times New Roman" w:cs="Times New Roman"/>
        </w:rPr>
        <w:lastRenderedPageBreak/>
        <w:t xml:space="preserve">Growing evidence of anthelmintic resistance in human helminths highlights the need for a deeper understanding of the genetic markers and molecular pathways that underlie reduced drug susceptibility. Mutations in β-tubulin, alterations in ligand-gated ion channels, upregulation of efflux transporters, and shifts in metabolic and regulatory networks collectively demonstrate that resistance is a multifaceted phenomenon shaped by complex biological interactions. These insights underscore the urgent need for </w:t>
      </w:r>
      <w:r w:rsidRPr="00EB6340">
        <w:rPr>
          <w:rFonts w:ascii="Times New Roman" w:hAnsi="Times New Roman" w:cs="Times New Roman"/>
          <w:b/>
          <w:bCs/>
        </w:rPr>
        <w:t>coordinated global surveillance</w:t>
      </w:r>
      <w:r w:rsidRPr="00EB6340">
        <w:rPr>
          <w:rFonts w:ascii="Times New Roman" w:hAnsi="Times New Roman" w:cs="Times New Roman"/>
        </w:rPr>
        <w:t xml:space="preserve"> capable of detecting early molecular signals of resistance before widespread treatment failure occurs. Robust genomic monitoring systems, integrated with epidemiological data, will be essential for guiding adaptive responses in regions heavily reliant on mass drug administration.</w:t>
      </w:r>
    </w:p>
    <w:p w:rsidR="0059639A" w:rsidRDefault="0059639A" w:rsidP="0059639A">
      <w:pPr>
        <w:rPr>
          <w:rFonts w:ascii="Times New Roman" w:hAnsi="Times New Roman" w:cs="Times New Roman"/>
        </w:rPr>
      </w:pPr>
      <w:r w:rsidRPr="00EB6340">
        <w:rPr>
          <w:rFonts w:ascii="Times New Roman" w:hAnsi="Times New Roman" w:cs="Times New Roman"/>
        </w:rPr>
        <w:t xml:space="preserve">Incorporating molecular knowledge into </w:t>
      </w:r>
      <w:r w:rsidRPr="00EB6340">
        <w:rPr>
          <w:rFonts w:ascii="Times New Roman" w:hAnsi="Times New Roman" w:cs="Times New Roman"/>
          <w:b/>
          <w:bCs/>
        </w:rPr>
        <w:t>drug-policy and control strategies</w:t>
      </w:r>
      <w:r w:rsidRPr="00EB6340">
        <w:rPr>
          <w:rFonts w:ascii="Times New Roman" w:hAnsi="Times New Roman" w:cs="Times New Roman"/>
        </w:rPr>
        <w:t xml:space="preserve"> can help optimize treatment regimens, inform the development of diagnostic tools, and support evidence-based stewardship of existing anthelmintics. As genomic technologies advance and global cooperation strengthens, harnessing these molecular insights will be critical for sustaining the long-term effectiveness of helminth control programs and safeguarding vulnerable populations worldwide.</w:t>
      </w:r>
    </w:p>
    <w:p w:rsidR="00E34D38" w:rsidRPr="00E34D38" w:rsidRDefault="00E34D38" w:rsidP="00E34D38">
      <w:pPr>
        <w:rPr>
          <w:rFonts w:ascii="Times New Roman" w:hAnsi="Times New Roman" w:cs="Times New Roman"/>
        </w:rPr>
      </w:pPr>
      <w:r w:rsidRPr="00E34D38">
        <w:rPr>
          <w:rFonts w:ascii="Times New Roman" w:hAnsi="Times New Roman" w:cs="Times New Roman"/>
          <w:i/>
          <w:iCs/>
        </w:rPr>
        <w:t>Embedding molecular resistance markers into routine surveillance frameworks will be critical for guiding evidence-based policy decisions, optimizing mass drug administration programs, and preserving the long-term effectiveness of existing anthelmintics.</w:t>
      </w:r>
    </w:p>
    <w:p w:rsidR="00E34D38" w:rsidRDefault="00E34D38" w:rsidP="0059639A">
      <w:pPr>
        <w:rPr>
          <w:rFonts w:ascii="Times New Roman" w:hAnsi="Times New Roman" w:cs="Times New Roman"/>
        </w:rPr>
      </w:pPr>
    </w:p>
    <w:p w:rsidR="006444E0" w:rsidRDefault="006444E0" w:rsidP="0059639A">
      <w:pPr>
        <w:rPr>
          <w:rFonts w:ascii="Times New Roman" w:hAnsi="Times New Roman" w:cs="Times New Roman"/>
        </w:rPr>
      </w:pPr>
    </w:p>
    <w:p w:rsidR="006444E0" w:rsidRPr="00EB6340" w:rsidRDefault="006444E0" w:rsidP="006444E0">
      <w:pPr>
        <w:rPr>
          <w:rFonts w:ascii="Times New Roman" w:hAnsi="Times New Roman" w:cs="Times New Roman"/>
          <w:b/>
          <w:bCs/>
        </w:rPr>
      </w:pPr>
      <w:r w:rsidRPr="00EB6340">
        <w:rPr>
          <w:rFonts w:ascii="Times New Roman" w:hAnsi="Times New Roman" w:cs="Times New Roman"/>
          <w:b/>
          <w:bCs/>
        </w:rPr>
        <w:t>7. Future Directions</w:t>
      </w:r>
    </w:p>
    <w:p w:rsidR="006444E0" w:rsidRPr="00EB6340" w:rsidRDefault="006444E0" w:rsidP="006444E0">
      <w:pPr>
        <w:rPr>
          <w:rFonts w:ascii="Times New Roman" w:hAnsi="Times New Roman" w:cs="Times New Roman"/>
        </w:rPr>
      </w:pPr>
      <w:r w:rsidRPr="00EB6340">
        <w:rPr>
          <w:rFonts w:ascii="Times New Roman" w:hAnsi="Times New Roman" w:cs="Times New Roman"/>
        </w:rPr>
        <w:t xml:space="preserve">Future progress in understanding and mitigating anthelmintic resistance will depend on expanding the genomic and epidemiological foundations that support resistance research and surveillance. A key priority is </w:t>
      </w:r>
      <w:r w:rsidRPr="00EB6340">
        <w:rPr>
          <w:rFonts w:ascii="Times New Roman" w:hAnsi="Times New Roman" w:cs="Times New Roman"/>
          <w:b/>
          <w:bCs/>
        </w:rPr>
        <w:t>filling genomic data gaps for neglected human helminth species</w:t>
      </w:r>
      <w:r w:rsidRPr="00EB6340">
        <w:rPr>
          <w:rFonts w:ascii="Times New Roman" w:hAnsi="Times New Roman" w:cs="Times New Roman"/>
        </w:rPr>
        <w:t>, many of which currently lack high-quality reference genomes or sufficient population-level sequence data. Improved genomic resources will allow more robust comparative analyses and enhance the detection of resistance-associated variants</w:t>
      </w:r>
      <w:r w:rsidR="0087183A">
        <w:rPr>
          <w:rFonts w:ascii="Times New Roman" w:hAnsi="Times New Roman" w:cs="Times New Roman"/>
        </w:rPr>
        <w:t>.</w:t>
      </w:r>
      <w:r w:rsidR="00E82B3A" w:rsidRPr="00EB6340">
        <w:rPr>
          <w:rFonts w:ascii="Times New Roman" w:hAnsi="Times New Roman" w:cs="Times New Roman"/>
        </w:rPr>
        <w:fldChar w:fldCharType="begin"/>
      </w:r>
      <w:r>
        <w:rPr>
          <w:rFonts w:ascii="Times New Roman" w:hAnsi="Times New Roman" w:cs="Times New Roman"/>
        </w:rPr>
        <w:instrText xml:space="preserve"> ADDIN ZOTERO_ITEM CSL_CITATION {"citationID":"bHnSREHz","properties":{"formattedCitation":"[28]","plainCitation":"[28]","noteIndex":0},"citationItems":[{"id":11347,"uris":["http://zotero.org/users/16652950/items/3H7EMJZ3"],"itemData":{"id":11347,"type":"article-journal","abstract":"The disease progression and pathogenesis of endocrine and gynaecological cancers rely heavily on hormonal mechanisms that control cell growth while determining differentiation and metabolic functions. Scientific research has proven extensive studies of hormonal signalling in cancer development by describing the effects of estrogen and progesterone hormones alongside androgens and other endocrine substances on cellular growth and genome instability. Endocrine cancers including thyroid and adrenal cancers, show uncontrolled cell development because feedback regulators and gene mutations cause dysregulation. The hormonal imbalances resulting from early menarche alongside late menopause and hormonal replacement therapy emerge as primary drivers of tumorigenesis in gynaecological cancers including ovarian cancer, cervical cancer, and uterine cancer. New findings demonstrate that signals transmitted via hormones impact cancer cell metastasis while influencing treatment response inside cancer cell habitats. New therapies using anti-oestrogen medication and androgen-deprivation treatments show strong potential to combat cancer effectively. Regarding hormone-driven carcinogenesis, we face limitations in our understanding of molecular mechanisms and our ability to optimize hormone-based therapeutic approaches. This review investigates the complex contributions of hormones to both endocrine and gynaecological cancers while presenting their clinical value for developing future innovative therapeutic approaches. However, current hormone-based therapies present limitations such as resistance and non-specific targeting. Future research should focus on novel biomarkers and personalized treatment approaches.","container-title":"International Journal of Advanced Biological and Biomedical Research","DOI":"10.48309/ijabbr.2025.2056347.1585","ISSN":"2383-2762","issue":"5","language":"en","note":"publisher: Sami Publishing Company","page":"573-603","source":"www.ijabbr.com","title":"The Role of Hormones in the Onset and Progression of Endocrine and Gynaecological Cancers","volume":"13","author":[{"family":"Yussuf","given":"Mubaraq D."},{"family":"Umeh","given":"Ikechukwu Emmanuel"},{"family":"Kolawole","given":"Habib Olaniran"},{"family":"Adisa","given":"Ayobami Abdul Razak"},{"family":"Ashimi","given":"Abdullah Aderemi"},{"family":"Oladosu","given":"Michael Abimbola"},{"family":"Ebubechi","given":"Daniel Obasi"},{"family":"Olumide","given":"Mololuwa Kehinde"},{"family":"Ayo-ige","given":"Ayodele Blessing"}],"issued":{"date-parts":[["2025",6,18]]}}}],"schema":"https://github.com/citation-style-language/schema/raw/master/csl-citation.json"} </w:instrText>
      </w:r>
      <w:r w:rsidR="00E82B3A" w:rsidRPr="00EB6340">
        <w:rPr>
          <w:rFonts w:ascii="Times New Roman" w:hAnsi="Times New Roman" w:cs="Times New Roman"/>
        </w:rPr>
        <w:fldChar w:fldCharType="separate"/>
      </w:r>
      <w:r w:rsidRPr="00221E32">
        <w:rPr>
          <w:rFonts w:ascii="Times New Roman" w:hAnsi="Times New Roman" w:cs="Times New Roman"/>
        </w:rPr>
        <w:t>[28]</w:t>
      </w:r>
      <w:r w:rsidR="00E82B3A" w:rsidRPr="00EB6340">
        <w:rPr>
          <w:rFonts w:ascii="Times New Roman" w:hAnsi="Times New Roman" w:cs="Times New Roman"/>
        </w:rPr>
        <w:fldChar w:fldCharType="end"/>
      </w:r>
      <w:r w:rsidRPr="00EB6340">
        <w:rPr>
          <w:rFonts w:ascii="Times New Roman" w:hAnsi="Times New Roman" w:cs="Times New Roman"/>
        </w:rPr>
        <w:t>.</w:t>
      </w:r>
    </w:p>
    <w:p w:rsidR="006444E0" w:rsidRPr="00EB6340" w:rsidRDefault="006444E0" w:rsidP="006444E0">
      <w:pPr>
        <w:rPr>
          <w:rFonts w:ascii="Times New Roman" w:hAnsi="Times New Roman" w:cs="Times New Roman"/>
          <w:b/>
          <w:bCs/>
        </w:rPr>
      </w:pPr>
      <w:r w:rsidRPr="00EB6340">
        <w:rPr>
          <w:rFonts w:ascii="Times New Roman" w:hAnsi="Times New Roman" w:cs="Times New Roman"/>
          <w:b/>
          <w:bCs/>
        </w:rPr>
        <w:t>7.2 Expanding Global Surveillance Networks in Endemic Regions</w:t>
      </w:r>
    </w:p>
    <w:p w:rsidR="006444E0" w:rsidRPr="00EB6340" w:rsidRDefault="006444E0" w:rsidP="006444E0">
      <w:pPr>
        <w:rPr>
          <w:rFonts w:ascii="Times New Roman" w:hAnsi="Times New Roman" w:cs="Times New Roman"/>
        </w:rPr>
      </w:pPr>
      <w:r w:rsidRPr="00EB6340">
        <w:rPr>
          <w:rFonts w:ascii="Times New Roman" w:hAnsi="Times New Roman" w:cs="Times New Roman"/>
        </w:rPr>
        <w:t xml:space="preserve">Building </w:t>
      </w:r>
      <w:r w:rsidRPr="00EB6340">
        <w:rPr>
          <w:rFonts w:ascii="Times New Roman" w:hAnsi="Times New Roman" w:cs="Times New Roman"/>
          <w:b/>
          <w:bCs/>
        </w:rPr>
        <w:t>comprehensive surveillance systems</w:t>
      </w:r>
      <w:r w:rsidRPr="00EB6340">
        <w:rPr>
          <w:rFonts w:ascii="Times New Roman" w:hAnsi="Times New Roman" w:cs="Times New Roman"/>
        </w:rPr>
        <w:t xml:space="preserve"> in regions where helminth infections are most prevalent will be essential for tracking the emergence and spread of resistance. Coordinated international networks can facilitate standardized sampling, data sharing, and rapid response to early warning signals.</w:t>
      </w:r>
    </w:p>
    <w:p w:rsidR="006444E0" w:rsidRPr="00EB6340" w:rsidRDefault="006444E0" w:rsidP="006444E0">
      <w:pPr>
        <w:rPr>
          <w:rFonts w:ascii="Times New Roman" w:hAnsi="Times New Roman" w:cs="Times New Roman"/>
          <w:b/>
          <w:bCs/>
        </w:rPr>
      </w:pPr>
      <w:r w:rsidRPr="00EB6340">
        <w:rPr>
          <w:rFonts w:ascii="Times New Roman" w:hAnsi="Times New Roman" w:cs="Times New Roman"/>
          <w:b/>
          <w:bCs/>
        </w:rPr>
        <w:t>7.3 Standardizing Genetic Markers for Resistance Reporting</w:t>
      </w:r>
    </w:p>
    <w:p w:rsidR="006444E0" w:rsidRPr="00EB6340" w:rsidRDefault="006444E0" w:rsidP="006444E0">
      <w:pPr>
        <w:rPr>
          <w:rFonts w:ascii="Times New Roman" w:hAnsi="Times New Roman" w:cs="Times New Roman"/>
        </w:rPr>
      </w:pPr>
      <w:r w:rsidRPr="00EB6340">
        <w:rPr>
          <w:rFonts w:ascii="Times New Roman" w:hAnsi="Times New Roman" w:cs="Times New Roman"/>
        </w:rPr>
        <w:t xml:space="preserve">To ensure comparability across studies, the field must work toward </w:t>
      </w:r>
      <w:r w:rsidRPr="00EB6340">
        <w:rPr>
          <w:rFonts w:ascii="Times New Roman" w:hAnsi="Times New Roman" w:cs="Times New Roman"/>
          <w:b/>
          <w:bCs/>
        </w:rPr>
        <w:t>harmonized frameworks</w:t>
      </w:r>
      <w:r w:rsidRPr="00EB6340">
        <w:rPr>
          <w:rFonts w:ascii="Times New Roman" w:hAnsi="Times New Roman" w:cs="Times New Roman"/>
        </w:rPr>
        <w:t xml:space="preserve"> for defining and reporting genetic markers of resistance. This includes establishing consensus on </w:t>
      </w:r>
      <w:r w:rsidRPr="00EB6340">
        <w:rPr>
          <w:rFonts w:ascii="Times New Roman" w:hAnsi="Times New Roman" w:cs="Times New Roman"/>
        </w:rPr>
        <w:lastRenderedPageBreak/>
        <w:t>which mutations represent validated markers, how evidence levels should be classified, and how allele frequency data should be interpreted in public health contexts</w:t>
      </w:r>
      <w:r w:rsidR="00E82B3A" w:rsidRPr="00EB6340">
        <w:rPr>
          <w:rFonts w:ascii="Times New Roman" w:hAnsi="Times New Roman" w:cs="Times New Roman"/>
        </w:rPr>
        <w:fldChar w:fldCharType="begin"/>
      </w:r>
      <w:r>
        <w:rPr>
          <w:rFonts w:ascii="Times New Roman" w:hAnsi="Times New Roman" w:cs="Times New Roman"/>
        </w:rPr>
        <w:instrText xml:space="preserve"> ADDIN ZOTERO_ITEM CSL_CITATION {"citationID":"UhxEmhMO","properties":{"formattedCitation":"[29]","plainCitation":"[29]","noteIndex":0},"citationItems":[{"id":11285,"uris":["http://zotero.org/users/16652950/items/CUK8F6VT"],"itemData":{"id":11285,"type":"article-journal","abstract":"Antimicrobial resistance (AMR) poses a critical threat to global health, undermining the efficacy of modern medicine. The escalating global epidemic of AMR jeopardizes the efficacy of contemporary medicine and undermines health systems globally. The swift, precise, and scalable identification of resistance determinants is essential for containment and stewardship initiatives; yet, existing surveillance techniques are constrained by time, expense, and accessibility. Recent advancements in biosensor technology and artificial intelligence (AI) provide a revolutionary approach to decentralized, intelligent AMR monitoring. This review consolidates recent advancements in biosensor platforms-encompassing electrochemical, optical, piezoelectric, paper-based, and nanomaterial-based modalities-and their incorporation with AI and machine learning techniques for improved detection, signal interpretation, and predictive analytics. This study investigates the utilization of hybrid systems in clinical, veterinary, and environmental settings under the One Health surveillance framework. The research also examines the integration of AI-enabled biosensors within digital and Internet of Things (IoT) frameworks, emphasizing its capacity to produce real-time, data-intensive insights for public health decision-making. Critical analysis is conducted on key problems, including sensor repeatability, data scarcity, algorithmic transparency, and regulatory adaptation, in conjunction with socioeconomic and ethical considerations. The report delineates prospective avenues for research, policy, and implementation, highlighting open data standards, equitable access, and interdisciplinary collaboration. These breakthroughs collectively indicate the emergence of AI-driven biosensing networks, which provide predictive, adaptive, and globally coordinated AMR surveillance.","container-title":"Cureus","DOI":"10.7759/cureus.98098","ISSN":"2168-8184","language":"en","note":"publisher: Cureus","source":"www.cureus.com","title":"Artificial Intelligence-Integrated Biosensors for Antimicrobial Resistance Detection and Surveillance: A Review and Future Perspectives for Global Biosecurity","title-short":"Artificial Intelligence-Integrated Biosensors for Antimicrobial Resistance Detection and Surveillance","URL":"https://cureus.com/articles/433730-artificial-intelligence-integrated-biosensors-for-antimicrobial-resistance-detection-and-surveillance-a-review-and-future-perspectives-for-global-biosecurity","volume":"17","author":[{"family":"Lawal","given":"Olabisi P."},{"family":"Opara","given":"Innocent J."},{"family":"Ayo-ige","given":"Ayodele"},{"family":"Eboh","given":"Ndidi A."},{"family":"Cos-Ibe","given":"Uchechukwu"},{"family":"Forson","given":"Kwesi Akonu Adom Mensah"},{"family":"Mensah","given":"Elijah Kordieh"},{"family":"Olaitan","given":"Ololade F."},{"family":"Nii-Okai","given":"Enoch"},{"family":"Yeboah","given":"Alfred"},{"family":"Gabriels","given":"Nazeem"},{"family":"Olaniyi","given":"Aliyu O."},{"family":"Lawal","given":"Olabisi P."},{"family":"Opara","given":"Innocent J."},{"family":"Ayo-ige","given":"Ayodele"},{"family":"Eboh","given":"Firstname A."},{"family":"Cos-Ibe","given":"Uchechukwu"},{"family":"Forson","given":"Kwesi"},{"family":"Mensah","given":"Elijah Kordieh"},{"family":"Olaitan","given":"Ololade F."},{"family":"Nii-Okai","given":"Enoch"},{"family":"Yeboah","given":"Alfred"},{"family":"Gabriels","given":"Nazeem"},{"family":"Olaniyi","given":"Aliyu O."}],"accessed":{"date-parts":[["2025",12,3]]},"issued":{"date-parts":[["2025",11,29]]}}}],"schema":"https://github.com/citation-style-language/schema/raw/master/csl-citation.json"} </w:instrText>
      </w:r>
      <w:r w:rsidR="00E82B3A" w:rsidRPr="00EB6340">
        <w:rPr>
          <w:rFonts w:ascii="Times New Roman" w:hAnsi="Times New Roman" w:cs="Times New Roman"/>
        </w:rPr>
        <w:fldChar w:fldCharType="separate"/>
      </w:r>
      <w:r w:rsidRPr="00221E32">
        <w:rPr>
          <w:rFonts w:ascii="Times New Roman" w:hAnsi="Times New Roman" w:cs="Times New Roman"/>
        </w:rPr>
        <w:t>[29]</w:t>
      </w:r>
      <w:r w:rsidR="00E82B3A" w:rsidRPr="00EB6340">
        <w:rPr>
          <w:rFonts w:ascii="Times New Roman" w:hAnsi="Times New Roman" w:cs="Times New Roman"/>
        </w:rPr>
        <w:fldChar w:fldCharType="end"/>
      </w:r>
      <w:r w:rsidRPr="00EB6340">
        <w:rPr>
          <w:rFonts w:ascii="Times New Roman" w:hAnsi="Times New Roman" w:cs="Times New Roman"/>
        </w:rPr>
        <w:t>.</w:t>
      </w:r>
    </w:p>
    <w:p w:rsidR="006444E0" w:rsidRPr="00EB6340" w:rsidRDefault="006444E0" w:rsidP="006444E0">
      <w:pPr>
        <w:rPr>
          <w:rFonts w:ascii="Times New Roman" w:hAnsi="Times New Roman" w:cs="Times New Roman"/>
          <w:b/>
          <w:bCs/>
        </w:rPr>
      </w:pPr>
      <w:r w:rsidRPr="00EB6340">
        <w:rPr>
          <w:rFonts w:ascii="Times New Roman" w:hAnsi="Times New Roman" w:cs="Times New Roman"/>
          <w:b/>
          <w:bCs/>
        </w:rPr>
        <w:t>7.4 Emerging Technologies</w:t>
      </w:r>
    </w:p>
    <w:p w:rsidR="006444E0" w:rsidRPr="00EB6340" w:rsidRDefault="006444E0" w:rsidP="006444E0">
      <w:pPr>
        <w:rPr>
          <w:rFonts w:ascii="Times New Roman" w:hAnsi="Times New Roman" w:cs="Times New Roman"/>
        </w:rPr>
      </w:pPr>
      <w:r w:rsidRPr="00EB6340">
        <w:rPr>
          <w:rFonts w:ascii="Times New Roman" w:hAnsi="Times New Roman" w:cs="Times New Roman"/>
        </w:rPr>
        <w:t xml:space="preserve">Technological advances such as </w:t>
      </w:r>
      <w:r w:rsidRPr="00EB6340">
        <w:rPr>
          <w:rFonts w:ascii="Times New Roman" w:hAnsi="Times New Roman" w:cs="Times New Roman"/>
          <w:b/>
          <w:bCs/>
        </w:rPr>
        <w:t>AI-guided target identification</w:t>
      </w:r>
      <w:r w:rsidRPr="00EB6340">
        <w:rPr>
          <w:rFonts w:ascii="Times New Roman" w:hAnsi="Times New Roman" w:cs="Times New Roman"/>
        </w:rPr>
        <w:t xml:space="preserve">, </w:t>
      </w:r>
      <w:r w:rsidRPr="00EB6340">
        <w:rPr>
          <w:rFonts w:ascii="Times New Roman" w:hAnsi="Times New Roman" w:cs="Times New Roman"/>
          <w:b/>
          <w:bCs/>
        </w:rPr>
        <w:t>long-read sequencing</w:t>
      </w:r>
      <w:r w:rsidRPr="00EB6340">
        <w:rPr>
          <w:rFonts w:ascii="Times New Roman" w:hAnsi="Times New Roman" w:cs="Times New Roman"/>
        </w:rPr>
        <w:t xml:space="preserve">, and improved annotation pipelines hold promise for accelerating </w:t>
      </w:r>
      <w:r w:rsidR="0087183A">
        <w:rPr>
          <w:rFonts w:ascii="Times New Roman" w:hAnsi="Times New Roman" w:cs="Times New Roman"/>
        </w:rPr>
        <w:t xml:space="preserve">the </w:t>
      </w:r>
      <w:r w:rsidRPr="00EB6340">
        <w:rPr>
          <w:rFonts w:ascii="Times New Roman" w:hAnsi="Times New Roman" w:cs="Times New Roman"/>
        </w:rPr>
        <w:t>discovery and characterization of resistance pathways. These tools may uncover previously unrecognized molecular targets and provide deeper insight into helminth population structure and evolution</w:t>
      </w:r>
      <w:r w:rsidR="0087183A">
        <w:rPr>
          <w:rFonts w:ascii="Times New Roman" w:hAnsi="Times New Roman" w:cs="Times New Roman"/>
        </w:rPr>
        <w:t>.</w:t>
      </w:r>
      <w:r w:rsidR="00E82B3A" w:rsidRPr="00EB6340">
        <w:rPr>
          <w:rFonts w:ascii="Times New Roman" w:hAnsi="Times New Roman" w:cs="Times New Roman"/>
        </w:rPr>
        <w:fldChar w:fldCharType="begin"/>
      </w:r>
      <w:r>
        <w:rPr>
          <w:rFonts w:ascii="Times New Roman" w:hAnsi="Times New Roman" w:cs="Times New Roman"/>
        </w:rPr>
        <w:instrText xml:space="preserve"> ADDIN ZOTERO_ITEM CSL_CITATION {"citationID":"4abP4atx","properties":{"formattedCitation":"[30,31]","plainCitation":"[30,31]","noteIndex":0},"citationItems":[{"id":11022,"uris":["http://zotero.org/users/16652950/items/8X6GU735"],"itemData":{"id":11022,"type":"article-journal","abstract":"This review evaluates the potential of Black Soldier Fly Meal (BSFM) as a sustainable alternative to fishmeal in the diets of rainbow trout (Oncorhynchus mykiss), a key species in global aquaculture. The objective is to assess the effects of BSFM on trout growth, nutrient utilization, and its environmental sustainability, as compared to traditional fishmeal. A comprehensive literature synthesis was conducted, focusing on studies published from 2019 to 2025, covering BSFM’s nutritional composition, growth performance, and its environmental impact through Life Cycle Assessment (LCA). Key findings indicate that BSFM can effectively support growth in rainbow trout, with up to 50% fishmeal replacement showing comparable or improved growth performance. Nutritionally, BSFM is rich in protein, amino acids, and essential fatty acids, though supplementation with methionine and omega-3 fatty acids may be necessary. LCA results reveal that BSFM production significantly reduces greenhouse gas emissions, water usage, and land requirements compared to conventional fishmeal. In conclusion, BSFM represents a promising, environmentally sustainable protein source for rainbow trout aquaculture, although further research on optimal inclusion rates, long-term effects, and regulatory approval is needed for broader commercial adoption.","container-title":"Journal of Agriculture, Aquaculture, and Animal Science","DOI":"10.69739/jaaas.v2i2.1054","ISSN":"3079-2533","issue":"2","language":"en","license":"Copyright (c) 2025 Taofeek Saka Jimoh, Elijah Kordieh Mensah, Toheeb Olaniyi Falakin, AyoIge Ayodele Blessing (Author)","page":"103-111","source":"journals.stecab.com","title":"Black Soldier Fly Meal as a Sustainable Alternative to Fishmeal in Rainbow Trout: Impacts on Growth, Nutrient Utilization, and Sustainability","title-short":"Black Soldier Fly Meal as a Sustainable Alternative to Fishmeal in Rainbow Trout","volume":"2","author":[{"family":"Jimoh","given":"Taofeek Saka"},{"family":"Mensah","given":"Elijah Kordieh"},{"family":"Falakin","given":"Toheeb Olaniyi"},{"family":"Blessing","given":"AyoIge Ayodele"}],"issued":{"date-parts":[["2025",10,15]]}}},{"id":11356,"uris":["http://zotero.org/users/16652950/items/RJH8IM84"],"itemData":{"id":11356,"type":"article-journal","abstract":"This research review examines the transformative role of artificial intelligence in infectious disease forecasting and public health decision support systems. Through analysis of current implementations, technological frameworks, and operational outcomes, this study evaluates the impact of AI-driven solutions on public health management. The research reveals significant advances in three key areas: predictive modeling accuracy, real-time surveillance capabilities, and automated decision support systems. Notable findings include the successful integration of machine learning algorithms for outbreak prediction, the effective use of natural language processing in early warning systems, and the development of AI-driven resource allocation models. The study highlights critical factors for successful implementation, including data quality, ethical considerations, and system interoperability. Implementation challenges identified include data standardization issues, privacy concerns, and the need for specialized training. The findings suggest that strategic integration of AI technologies could substantially improve public health response capabilities while enhancing the efficiency of resource allocation during disease outbreaks. This research provides valuable insights for public health organizations seeking to leverage AI technologies in their disease surveillance and response systems.","container-title":"World Journal of Advanced Research and Reviews","DOI":"10.30574/wjarr.2025.25.3.1002","ISSN":"25819615","issue":"3","journalAbbreviation":"World J. Adv. Res. Rev.","language":"en","page":"2250-2258","source":"DOI.org (Crossref)","title":"Transformative applications of Artificial Intelligence in infectious disease forecasting and public health decision support systems","volume":"25","author":[{"literal":"Lauretta Ekanem Omale"},{"literal":"Victor Akachukwu Ibiam"},{"literal":"Lasisi Wuraola Sidikat"},{"literal":"Oladimeji Taiwo"}],"issued":{"date-parts":[["2025",3,30]]}}}],"schema":"https://github.com/citation-style-language/schema/raw/master/csl-citation.json"} </w:instrText>
      </w:r>
      <w:r w:rsidR="00E82B3A" w:rsidRPr="00EB6340">
        <w:rPr>
          <w:rFonts w:ascii="Times New Roman" w:hAnsi="Times New Roman" w:cs="Times New Roman"/>
        </w:rPr>
        <w:fldChar w:fldCharType="separate"/>
      </w:r>
      <w:r w:rsidRPr="00221E32">
        <w:rPr>
          <w:rFonts w:ascii="Times New Roman" w:hAnsi="Times New Roman" w:cs="Times New Roman"/>
        </w:rPr>
        <w:t>[30,31]</w:t>
      </w:r>
      <w:r w:rsidR="00E82B3A" w:rsidRPr="00EB6340">
        <w:rPr>
          <w:rFonts w:ascii="Times New Roman" w:hAnsi="Times New Roman" w:cs="Times New Roman"/>
        </w:rPr>
        <w:fldChar w:fldCharType="end"/>
      </w:r>
      <w:r w:rsidRPr="00EB6340">
        <w:rPr>
          <w:rFonts w:ascii="Times New Roman" w:hAnsi="Times New Roman" w:cs="Times New Roman"/>
        </w:rPr>
        <w:t>.</w:t>
      </w:r>
    </w:p>
    <w:p w:rsidR="006444E0" w:rsidRPr="00EB6340" w:rsidRDefault="006444E0" w:rsidP="006444E0">
      <w:pPr>
        <w:rPr>
          <w:rFonts w:ascii="Times New Roman" w:hAnsi="Times New Roman" w:cs="Times New Roman"/>
          <w:b/>
          <w:bCs/>
        </w:rPr>
      </w:pPr>
      <w:r w:rsidRPr="00EB6340">
        <w:rPr>
          <w:rFonts w:ascii="Times New Roman" w:hAnsi="Times New Roman" w:cs="Times New Roman"/>
          <w:b/>
          <w:bCs/>
        </w:rPr>
        <w:t>7.5 Moving Toward Precision Anthelmintic Stewardship</w:t>
      </w:r>
    </w:p>
    <w:p w:rsidR="006444E0" w:rsidRDefault="006444E0" w:rsidP="006444E0">
      <w:pPr>
        <w:rPr>
          <w:rFonts w:ascii="Times New Roman" w:hAnsi="Times New Roman" w:cs="Times New Roman"/>
        </w:rPr>
      </w:pPr>
      <w:r w:rsidRPr="00EB6340">
        <w:rPr>
          <w:rFonts w:ascii="Times New Roman" w:hAnsi="Times New Roman" w:cs="Times New Roman"/>
        </w:rPr>
        <w:t xml:space="preserve">Ultimately, integrating molecular insights with treatment strategies may enable </w:t>
      </w:r>
      <w:r w:rsidRPr="00EB6340">
        <w:rPr>
          <w:rFonts w:ascii="Times New Roman" w:hAnsi="Times New Roman" w:cs="Times New Roman"/>
          <w:b/>
          <w:bCs/>
        </w:rPr>
        <w:t>precision anthelmintic stewardship</w:t>
      </w:r>
      <w:r w:rsidRPr="00EB6340">
        <w:rPr>
          <w:rFonts w:ascii="Times New Roman" w:hAnsi="Times New Roman" w:cs="Times New Roman"/>
        </w:rPr>
        <w:t>, where interventions are tailored to local parasite populations, resistance patterns, and transmission dynamics. Such an approach could maximize drug effectiveness, slow resistance evolution, and improve the sustainability of helminth control efforts</w:t>
      </w:r>
      <w:r w:rsidR="0087183A">
        <w:rPr>
          <w:rFonts w:ascii="Times New Roman" w:hAnsi="Times New Roman" w:cs="Times New Roman"/>
        </w:rPr>
        <w:t>.</w:t>
      </w:r>
      <w:r w:rsidR="00E82B3A">
        <w:rPr>
          <w:rFonts w:ascii="Times New Roman" w:hAnsi="Times New Roman" w:cs="Times New Roman"/>
        </w:rPr>
        <w:fldChar w:fldCharType="begin"/>
      </w:r>
      <w:r>
        <w:rPr>
          <w:rFonts w:ascii="Times New Roman" w:hAnsi="Times New Roman" w:cs="Times New Roman"/>
        </w:rPr>
        <w:instrText xml:space="preserve"> ADDIN ZOTERO_ITEM CSL_CITATION {"citationID":"HR3whqy9","properties":{"formattedCitation":"[32]","plainCitation":"[32]","noteIndex":0},"citationItems":[{"id":11358,"uris":["http://zotero.org/users/16652950/items/GTQM5J2S"],"itemData":{"id":11358,"type":"article-journal","abstract":"Artificial intelligence is revolutionizing infectious disease management through innovative approaches to diagnosis, treatment optimization, and epidemiological surveillance. This systematic review examines AI applications in clinical decision support systems, evaluating their implementation across diverse healthcare settings while identifying critical adoption barriers. Recent advancements demonstrate remarkable success in rapid pathogen identification, early warning systems for conditions like sepsis, and personalized antimicrobial selection based on local resistance patterns. Despite these promising developments, significant challenges persist in translating AI solutions into clinical practice, including data quality issues, implementation barriers, and ethical concerns regarding algorithmic fairness and global health equity. Looking forward, explainable AI architectures, federated learning approaches, and treatment simulation through digital twins show potential for transforming care delivery, particularly in resource-limited settings. We propose targeted recommendations across three domains: standardized validation methodologies, comprehensive stakeholder engagement strategies, and equity-centered development frameworks. Successful integration requires coordinated efforts among healthcare organizations, researchers, policymakers, and clinicians to ensure AI enhances rather than complicates clinical decision-making. With appropriate attention to technical rigor, implementation science, and ethical considerations, AI-based systems can become valuable tools in combating infectious diseases while optimizing resource utilization.","container-title":"International Journal of Science and Research Archive","DOI":"10.30574/ijsra.2025.14.3.0769","ISSN":"25828185","issue":"3","journalAbbreviation":"Int. J. Sci. Res. Arch.","language":"en","page":"1337-1347","source":"DOI.org (Crossref)","title":"The role of Artificial Intelligence models in clinical decision support for infectious disease diagnosis and personalized treatment planning","volume":"14","author":[{"literal":"Victor Akachukwu Ibiam"},{"literal":"Lauretta Ekanem Omale"},{"literal":"Oladimeji Taiwo"}],"issued":{"date-parts":[["2025",3,30]]}}}],"schema":"https://github.com/citation-style-language/schema/raw/master/csl-citation.json"} </w:instrText>
      </w:r>
      <w:r w:rsidR="00E82B3A">
        <w:rPr>
          <w:rFonts w:ascii="Times New Roman" w:hAnsi="Times New Roman" w:cs="Times New Roman"/>
        </w:rPr>
        <w:fldChar w:fldCharType="separate"/>
      </w:r>
      <w:r w:rsidRPr="00221E32">
        <w:rPr>
          <w:rFonts w:ascii="Times New Roman" w:hAnsi="Times New Roman" w:cs="Times New Roman"/>
        </w:rPr>
        <w:t>[32]</w:t>
      </w:r>
      <w:r w:rsidR="00E82B3A">
        <w:rPr>
          <w:rFonts w:ascii="Times New Roman" w:hAnsi="Times New Roman" w:cs="Times New Roman"/>
        </w:rPr>
        <w:fldChar w:fldCharType="end"/>
      </w:r>
      <w:r w:rsidRPr="00EB6340">
        <w:rPr>
          <w:rFonts w:ascii="Times New Roman" w:hAnsi="Times New Roman" w:cs="Times New Roman"/>
        </w:rPr>
        <w:t>.</w:t>
      </w:r>
    </w:p>
    <w:p w:rsidR="00D53C9C" w:rsidRPr="00D53C9C" w:rsidRDefault="00D53C9C" w:rsidP="00D53C9C">
      <w:pPr>
        <w:rPr>
          <w:rFonts w:ascii="Times New Roman" w:hAnsi="Times New Roman" w:cs="Times New Roman"/>
        </w:rPr>
      </w:pPr>
      <w:r w:rsidRPr="00D53C9C">
        <w:rPr>
          <w:rFonts w:ascii="Times New Roman" w:hAnsi="Times New Roman" w:cs="Times New Roman"/>
          <w:i/>
          <w:iCs/>
        </w:rPr>
        <w:t>Such a precision anthelmintic stewardship approach would enable policymakers and control programs to tailor interventions based on local resistance profiles, transmission intensity, and genomic surveillance data, thereby maximizing impact while minimizing selective pressure.”</w:t>
      </w:r>
    </w:p>
    <w:p w:rsidR="00D53C9C" w:rsidRDefault="00D53C9C" w:rsidP="006444E0">
      <w:pPr>
        <w:rPr>
          <w:rFonts w:ascii="Times New Roman" w:hAnsi="Times New Roman" w:cs="Times New Roman"/>
        </w:rPr>
      </w:pPr>
    </w:p>
    <w:p w:rsidR="00A8362C" w:rsidRDefault="00A8362C" w:rsidP="006444E0">
      <w:pPr>
        <w:rPr>
          <w:rFonts w:ascii="Times New Roman" w:hAnsi="Times New Roman" w:cs="Times New Roman"/>
        </w:rPr>
      </w:pPr>
    </w:p>
    <w:p w:rsidR="00A8362C" w:rsidRPr="00A8362C" w:rsidRDefault="00A8362C" w:rsidP="00A8362C">
      <w:pPr>
        <w:rPr>
          <w:rFonts w:ascii="Times New Roman" w:hAnsi="Times New Roman" w:cs="Times New Roman"/>
        </w:rPr>
      </w:pPr>
      <w:r w:rsidRPr="00A8362C">
        <w:rPr>
          <w:rFonts w:ascii="Times New Roman" w:hAnsi="Times New Roman" w:cs="Times New Roman"/>
        </w:rPr>
        <w:t>COMPETING INTERESTS DISCLAIMER:</w:t>
      </w:r>
    </w:p>
    <w:p w:rsidR="00A8362C" w:rsidRPr="00EB6340" w:rsidRDefault="00A8362C" w:rsidP="00A8362C">
      <w:pPr>
        <w:rPr>
          <w:rFonts w:ascii="Times New Roman" w:hAnsi="Times New Roman" w:cs="Times New Roman"/>
        </w:rPr>
      </w:pPr>
      <w:r w:rsidRPr="00A8362C">
        <w:rPr>
          <w:rFonts w:ascii="Times New Roman" w:hAnsi="Times New Roman" w:cs="Times New Roman"/>
        </w:rPr>
        <w:t>Authors have declared that they have no known competing financial interests</w:t>
      </w:r>
      <w:r w:rsidR="0087183A">
        <w:rPr>
          <w:rFonts w:ascii="Times New Roman" w:hAnsi="Times New Roman" w:cs="Times New Roman"/>
        </w:rPr>
        <w:t>,</w:t>
      </w:r>
      <w:r w:rsidRPr="00A8362C">
        <w:rPr>
          <w:rFonts w:ascii="Times New Roman" w:hAnsi="Times New Roman" w:cs="Times New Roman"/>
        </w:rPr>
        <w:t xml:space="preserve"> non-financial interests OR personal relationships that could have appeared to influence the work reported in this paper.</w:t>
      </w:r>
    </w:p>
    <w:p w:rsidR="00181E4C" w:rsidRPr="009C5487" w:rsidRDefault="00181E4C" w:rsidP="00181E4C">
      <w:pPr>
        <w:rPr>
          <w:rFonts w:ascii="Calibri" w:eastAsia="Calibri" w:hAnsi="Calibri" w:cs="Times New Roman"/>
          <w:highlight w:val="yellow"/>
        </w:rPr>
      </w:pPr>
      <w:bookmarkStart w:id="1" w:name="_Hlk197682619"/>
      <w:bookmarkStart w:id="2" w:name="_Hlk180402183"/>
      <w:bookmarkStart w:id="3" w:name="_Hlk183680988"/>
      <w:bookmarkStart w:id="4" w:name="_Hlk197351200"/>
      <w:r w:rsidRPr="009C5487">
        <w:rPr>
          <w:rFonts w:ascii="Calibri" w:eastAsia="Calibri" w:hAnsi="Calibri" w:cs="Times New Roman"/>
          <w:highlight w:val="yellow"/>
        </w:rPr>
        <w:t>Disclaimer (Artificial intelligence)</w:t>
      </w:r>
    </w:p>
    <w:p w:rsidR="00181E4C" w:rsidRPr="009C5487" w:rsidRDefault="0087183A" w:rsidP="00181E4C">
      <w:pPr>
        <w:rPr>
          <w:rFonts w:ascii="Calibri" w:eastAsia="Calibri" w:hAnsi="Calibri" w:cs="Times New Roman"/>
          <w:highlight w:val="yellow"/>
        </w:rPr>
      </w:pPr>
      <w:r>
        <w:rPr>
          <w:rFonts w:ascii="Calibri" w:eastAsia="Calibri" w:hAnsi="Calibri" w:cs="Times New Roman"/>
          <w:highlight w:val="yellow"/>
        </w:rPr>
        <w:t xml:space="preserve">The author </w:t>
      </w:r>
      <w:r w:rsidR="00181E4C" w:rsidRPr="009C5487">
        <w:rPr>
          <w:rFonts w:ascii="Calibri" w:eastAsia="Calibri" w:hAnsi="Calibri" w:cs="Times New Roman"/>
          <w:highlight w:val="yellow"/>
        </w:rPr>
        <w:t>(s) hereby declare that generative AI technologies</w:t>
      </w:r>
      <w:r>
        <w:rPr>
          <w:rFonts w:ascii="Calibri" w:eastAsia="Calibri" w:hAnsi="Calibri" w:cs="Times New Roman"/>
          <w:highlight w:val="yellow"/>
        </w:rPr>
        <w:t>,</w:t>
      </w:r>
      <w:r w:rsidR="00181E4C" w:rsidRPr="009C5487">
        <w:rPr>
          <w:rFonts w:ascii="Calibri" w:eastAsia="Calibri" w:hAnsi="Calibri" w:cs="Times New Roman"/>
          <w:highlight w:val="yellow"/>
        </w:rPr>
        <w:t xml:space="preserve"> such as Large Language Models, etc.</w:t>
      </w:r>
      <w:r>
        <w:rPr>
          <w:rFonts w:ascii="Calibri" w:eastAsia="Calibri" w:hAnsi="Calibri" w:cs="Times New Roman"/>
          <w:highlight w:val="yellow"/>
        </w:rPr>
        <w:t>,</w:t>
      </w:r>
      <w:r w:rsidR="00181E4C" w:rsidRPr="009C5487">
        <w:rPr>
          <w:rFonts w:ascii="Calibri" w:eastAsia="Calibri" w:hAnsi="Calibri" w:cs="Times New Roman"/>
          <w:highlight w:val="yellow"/>
        </w:rPr>
        <w:t xml:space="preserve"> have been used during the writing or editing of manuscripts. This explanation will include the name, version, model, and source of the generative AI technology</w:t>
      </w:r>
      <w:r>
        <w:rPr>
          <w:rFonts w:ascii="Calibri" w:eastAsia="Calibri" w:hAnsi="Calibri" w:cs="Times New Roman"/>
          <w:highlight w:val="yellow"/>
        </w:rPr>
        <w:t>,</w:t>
      </w:r>
      <w:r w:rsidR="00181E4C" w:rsidRPr="009C5487">
        <w:rPr>
          <w:rFonts w:ascii="Calibri" w:eastAsia="Calibri" w:hAnsi="Calibri" w:cs="Times New Roman"/>
          <w:highlight w:val="yellow"/>
        </w:rPr>
        <w:t xml:space="preserve"> as well as all input prompts provided to the generative AI technology</w:t>
      </w:r>
      <w:r>
        <w:rPr>
          <w:rFonts w:ascii="Calibri" w:eastAsia="Calibri" w:hAnsi="Calibri" w:cs="Times New Roman"/>
          <w:highlight w:val="yellow"/>
        </w:rPr>
        <w:t>.</w:t>
      </w:r>
    </w:p>
    <w:p w:rsidR="00B60520" w:rsidRDefault="00181E4C" w:rsidP="00631CB8">
      <w:pPr>
        <w:rPr>
          <w:rFonts w:ascii="Calibri" w:eastAsia="Calibri" w:hAnsi="Calibri" w:cs="Times New Roman"/>
        </w:rPr>
      </w:pPr>
      <w:r w:rsidRPr="009C5487">
        <w:rPr>
          <w:rFonts w:ascii="Calibri" w:eastAsia="Calibri" w:hAnsi="Calibri" w:cs="Times New Roman"/>
          <w:highlight w:val="yellow"/>
        </w:rPr>
        <w:t>Details of the AI usage are given below:</w:t>
      </w:r>
    </w:p>
    <w:p w:rsidR="00631CB8" w:rsidRPr="004F45D8" w:rsidRDefault="00631CB8" w:rsidP="00631CB8">
      <w:pPr>
        <w:rPr>
          <w:rFonts w:ascii="Calibri" w:eastAsia="Calibri" w:hAnsi="Calibri" w:cs="Times New Roman"/>
          <w:highlight w:val="yellow"/>
        </w:rPr>
      </w:pPr>
      <w:r w:rsidRPr="004F45D8">
        <w:t>The authors declare that generative artificial intelligence tools were used solely to assist with language editing and clarity. The authors take full responsibility for the scientific content, interpretation, and conclusions presented in the manuscript.</w:t>
      </w:r>
    </w:p>
    <w:bookmarkEnd w:id="1"/>
    <w:bookmarkEnd w:id="2"/>
    <w:bookmarkEnd w:id="3"/>
    <w:bookmarkEnd w:id="4"/>
    <w:p w:rsidR="00667B58" w:rsidRPr="00667B58" w:rsidRDefault="00667B58" w:rsidP="00667B58">
      <w:pPr>
        <w:rPr>
          <w:rFonts w:ascii="Times New Roman" w:hAnsi="Times New Roman" w:cs="Times New Roman"/>
          <w:b/>
          <w:bCs/>
        </w:rPr>
      </w:pPr>
      <w:r w:rsidRPr="00667B58">
        <w:rPr>
          <w:rFonts w:ascii="Times New Roman" w:hAnsi="Times New Roman" w:cs="Times New Roman"/>
          <w:b/>
          <w:bCs/>
        </w:rPr>
        <w:t xml:space="preserve">REFERENCES </w:t>
      </w:r>
    </w:p>
    <w:p w:rsidR="00667B58" w:rsidRPr="00667B58" w:rsidRDefault="00667B58" w:rsidP="00667B58">
      <w:pPr>
        <w:numPr>
          <w:ilvl w:val="0"/>
          <w:numId w:val="4"/>
        </w:numPr>
        <w:rPr>
          <w:rFonts w:ascii="Times New Roman" w:hAnsi="Times New Roman" w:cs="Times New Roman"/>
        </w:rPr>
      </w:pPr>
      <w:r w:rsidRPr="00667B58">
        <w:rPr>
          <w:rFonts w:ascii="Times New Roman" w:hAnsi="Times New Roman" w:cs="Times New Roman"/>
        </w:rPr>
        <w:lastRenderedPageBreak/>
        <w:t xml:space="preserve">Usang, A. U., </w:t>
      </w:r>
      <w:proofErr w:type="spellStart"/>
      <w:r w:rsidRPr="00667B58">
        <w:rPr>
          <w:rFonts w:ascii="Times New Roman" w:hAnsi="Times New Roman" w:cs="Times New Roman"/>
        </w:rPr>
        <w:t>Imalele</w:t>
      </w:r>
      <w:proofErr w:type="spellEnd"/>
      <w:r w:rsidRPr="00667B58">
        <w:rPr>
          <w:rFonts w:ascii="Times New Roman" w:hAnsi="Times New Roman" w:cs="Times New Roman"/>
        </w:rPr>
        <w:t xml:space="preserve">, E. E., </w:t>
      </w:r>
      <w:proofErr w:type="spellStart"/>
      <w:r w:rsidRPr="00667B58">
        <w:rPr>
          <w:rFonts w:ascii="Times New Roman" w:hAnsi="Times New Roman" w:cs="Times New Roman"/>
        </w:rPr>
        <w:t>Effanga</w:t>
      </w:r>
      <w:proofErr w:type="spellEnd"/>
      <w:r w:rsidRPr="00667B58">
        <w:rPr>
          <w:rFonts w:ascii="Times New Roman" w:hAnsi="Times New Roman" w:cs="Times New Roman"/>
        </w:rPr>
        <w:t xml:space="preserve">, E. O., </w:t>
      </w:r>
      <w:proofErr w:type="spellStart"/>
      <w:r w:rsidRPr="00667B58">
        <w:rPr>
          <w:rFonts w:ascii="Times New Roman" w:hAnsi="Times New Roman" w:cs="Times New Roman"/>
        </w:rPr>
        <w:t>Ukoha</w:t>
      </w:r>
      <w:proofErr w:type="spellEnd"/>
      <w:r w:rsidRPr="00667B58">
        <w:rPr>
          <w:rFonts w:ascii="Times New Roman" w:hAnsi="Times New Roman" w:cs="Times New Roman"/>
        </w:rPr>
        <w:t xml:space="preserve">, U. K., &amp; Eleng, I. E. (2025). Soil-transmitted helminth infections and nutritional indices among children (5–9 years) and adolescents (10–12 years) in Calabar, Nigeria. </w:t>
      </w:r>
      <w:r w:rsidRPr="00667B58">
        <w:rPr>
          <w:rFonts w:ascii="Times New Roman" w:hAnsi="Times New Roman" w:cs="Times New Roman"/>
          <w:i/>
          <w:iCs/>
        </w:rPr>
        <w:t>BMC Public Health, 25</w:t>
      </w:r>
      <w:r w:rsidRPr="00667B58">
        <w:rPr>
          <w:rFonts w:ascii="Times New Roman" w:hAnsi="Times New Roman" w:cs="Times New Roman"/>
        </w:rPr>
        <w:t>(1), 1.</w:t>
      </w:r>
      <w:hyperlink r:id="rId9" w:history="1">
        <w:r w:rsidR="007B4A17" w:rsidRPr="00F534ED">
          <w:rPr>
            <w:rStyle w:val="Hyperlink"/>
            <w:rFonts w:ascii="Times New Roman" w:hAnsi="Times New Roman" w:cs="Times New Roman"/>
          </w:rPr>
          <w:t>https://doi.org/10.1186/s12889-024-21210-4</w:t>
        </w:r>
      </w:hyperlink>
    </w:p>
    <w:p w:rsidR="00667B58" w:rsidRPr="00667B58" w:rsidRDefault="00667B58" w:rsidP="00667B58">
      <w:pPr>
        <w:numPr>
          <w:ilvl w:val="0"/>
          <w:numId w:val="4"/>
        </w:numPr>
        <w:rPr>
          <w:rFonts w:ascii="Times New Roman" w:hAnsi="Times New Roman" w:cs="Times New Roman"/>
        </w:rPr>
      </w:pPr>
      <w:r w:rsidRPr="00667B58">
        <w:rPr>
          <w:rFonts w:ascii="Times New Roman" w:hAnsi="Times New Roman" w:cs="Times New Roman"/>
        </w:rPr>
        <w:t xml:space="preserve">Schlosser-Brandenburg, J., Midha, A., Mugo, R. M., </w:t>
      </w:r>
      <w:proofErr w:type="spellStart"/>
      <w:r w:rsidRPr="00667B58">
        <w:rPr>
          <w:rFonts w:ascii="Times New Roman" w:hAnsi="Times New Roman" w:cs="Times New Roman"/>
        </w:rPr>
        <w:t>Ndombi</w:t>
      </w:r>
      <w:proofErr w:type="spellEnd"/>
      <w:r w:rsidRPr="00667B58">
        <w:rPr>
          <w:rFonts w:ascii="Times New Roman" w:hAnsi="Times New Roman" w:cs="Times New Roman"/>
        </w:rPr>
        <w:t xml:space="preserve">, E. M., Gachara, G., </w:t>
      </w:r>
      <w:proofErr w:type="spellStart"/>
      <w:r w:rsidRPr="00667B58">
        <w:rPr>
          <w:rFonts w:ascii="Times New Roman" w:hAnsi="Times New Roman" w:cs="Times New Roman"/>
        </w:rPr>
        <w:t>Njomo</w:t>
      </w:r>
      <w:proofErr w:type="spellEnd"/>
      <w:r w:rsidRPr="00667B58">
        <w:rPr>
          <w:rFonts w:ascii="Times New Roman" w:hAnsi="Times New Roman" w:cs="Times New Roman"/>
        </w:rPr>
        <w:t xml:space="preserve">, D., Rausch, S., &amp; Hartmann, S. (2023). Infection with soil-transmitted helminths and their impact on coinfections. </w:t>
      </w:r>
      <w:r w:rsidRPr="00667B58">
        <w:rPr>
          <w:rFonts w:ascii="Times New Roman" w:hAnsi="Times New Roman" w:cs="Times New Roman"/>
          <w:i/>
          <w:iCs/>
        </w:rPr>
        <w:t xml:space="preserve">Frontiers in </w:t>
      </w:r>
      <w:proofErr w:type="spellStart"/>
      <w:r w:rsidRPr="00667B58">
        <w:rPr>
          <w:rFonts w:ascii="Times New Roman" w:hAnsi="Times New Roman" w:cs="Times New Roman"/>
          <w:i/>
          <w:iCs/>
        </w:rPr>
        <w:t>Parasitology</w:t>
      </w:r>
      <w:r w:rsidRPr="00667B58">
        <w:rPr>
          <w:rFonts w:ascii="Times New Roman" w:hAnsi="Times New Roman" w:cs="Times New Roman"/>
        </w:rPr>
        <w:t>.</w:t>
      </w:r>
      <w:hyperlink r:id="rId10" w:history="1">
        <w:r w:rsidR="007B4A17" w:rsidRPr="00F534ED">
          <w:rPr>
            <w:rStyle w:val="Hyperlink"/>
            <w:rFonts w:ascii="Times New Roman" w:hAnsi="Times New Roman" w:cs="Times New Roman"/>
          </w:rPr>
          <w:t>https</w:t>
        </w:r>
        <w:proofErr w:type="spellEnd"/>
        <w:r w:rsidR="007B4A17" w:rsidRPr="00F534ED">
          <w:rPr>
            <w:rStyle w:val="Hyperlink"/>
            <w:rFonts w:ascii="Times New Roman" w:hAnsi="Times New Roman" w:cs="Times New Roman"/>
          </w:rPr>
          <w:t>://doi.org/10.3389/fpara.2023.1197956</w:t>
        </w:r>
      </w:hyperlink>
    </w:p>
    <w:p w:rsidR="00667B58" w:rsidRPr="00667B58" w:rsidRDefault="00667B58" w:rsidP="00667B58">
      <w:pPr>
        <w:numPr>
          <w:ilvl w:val="0"/>
          <w:numId w:val="4"/>
        </w:numPr>
        <w:rPr>
          <w:rFonts w:ascii="Times New Roman" w:hAnsi="Times New Roman" w:cs="Times New Roman"/>
        </w:rPr>
      </w:pPr>
      <w:r w:rsidRPr="00667B58">
        <w:rPr>
          <w:rFonts w:ascii="Times New Roman" w:hAnsi="Times New Roman" w:cs="Times New Roman"/>
        </w:rPr>
        <w:t xml:space="preserve">Agrawal, R., </w:t>
      </w:r>
      <w:proofErr w:type="spellStart"/>
      <w:r w:rsidRPr="00667B58">
        <w:rPr>
          <w:rFonts w:ascii="Times New Roman" w:hAnsi="Times New Roman" w:cs="Times New Roman"/>
        </w:rPr>
        <w:t>Pattnaik</w:t>
      </w:r>
      <w:proofErr w:type="spellEnd"/>
      <w:r w:rsidRPr="00667B58">
        <w:rPr>
          <w:rFonts w:ascii="Times New Roman" w:hAnsi="Times New Roman" w:cs="Times New Roman"/>
        </w:rPr>
        <w:t xml:space="preserve">, S., </w:t>
      </w:r>
      <w:proofErr w:type="spellStart"/>
      <w:r w:rsidRPr="00667B58">
        <w:rPr>
          <w:rFonts w:ascii="Times New Roman" w:hAnsi="Times New Roman" w:cs="Times New Roman"/>
        </w:rPr>
        <w:t>Kshatri</w:t>
      </w:r>
      <w:proofErr w:type="spellEnd"/>
      <w:r w:rsidRPr="00667B58">
        <w:rPr>
          <w:rFonts w:ascii="Times New Roman" w:hAnsi="Times New Roman" w:cs="Times New Roman"/>
        </w:rPr>
        <w:t xml:space="preserve">, J. S., Kanungo, S., Mandal, N., Palo, S. K., &amp; Pati, S. (2024). Prevalence and correlates of soil-transmitted helminths in schoolchildren aged 5–18 years in low- and middle-income countries: A systematic review and meta-analysis. </w:t>
      </w:r>
      <w:r w:rsidRPr="00667B58">
        <w:rPr>
          <w:rFonts w:ascii="Times New Roman" w:hAnsi="Times New Roman" w:cs="Times New Roman"/>
          <w:i/>
          <w:iCs/>
        </w:rPr>
        <w:t>Frontiers in Public Health, 12</w:t>
      </w:r>
      <w:r w:rsidRPr="00667B58">
        <w:rPr>
          <w:rFonts w:ascii="Times New Roman" w:hAnsi="Times New Roman" w:cs="Times New Roman"/>
        </w:rPr>
        <w:t>, 1283054.</w:t>
      </w:r>
      <w:hyperlink r:id="rId11" w:history="1">
        <w:r w:rsidR="007B4A17" w:rsidRPr="00F534ED">
          <w:rPr>
            <w:rStyle w:val="Hyperlink"/>
            <w:rFonts w:ascii="Times New Roman" w:hAnsi="Times New Roman" w:cs="Times New Roman"/>
          </w:rPr>
          <w:t>https://doi.org/10.3389/fpubh.2024.1283054</w:t>
        </w:r>
      </w:hyperlink>
    </w:p>
    <w:p w:rsidR="00667B58" w:rsidRPr="00667B58" w:rsidRDefault="00667B58" w:rsidP="00667B58">
      <w:pPr>
        <w:numPr>
          <w:ilvl w:val="0"/>
          <w:numId w:val="4"/>
        </w:numPr>
        <w:rPr>
          <w:rFonts w:ascii="Times New Roman" w:hAnsi="Times New Roman" w:cs="Times New Roman"/>
        </w:rPr>
      </w:pPr>
      <w:r w:rsidRPr="00667B58">
        <w:rPr>
          <w:rFonts w:ascii="Times New Roman" w:hAnsi="Times New Roman" w:cs="Times New Roman"/>
        </w:rPr>
        <w:t xml:space="preserve">Gibson, S. B., Ness-Cohn, E., &amp; Andersen, E. C. (2022). Benzimidazoles cause lethality by inhibiting the function of </w:t>
      </w:r>
      <w:r w:rsidRPr="00667B58">
        <w:rPr>
          <w:rFonts w:ascii="Times New Roman" w:hAnsi="Times New Roman" w:cs="Times New Roman"/>
          <w:i/>
          <w:iCs/>
        </w:rPr>
        <w:t>Caenorhabditis elegans</w:t>
      </w:r>
      <w:r w:rsidRPr="00667B58">
        <w:rPr>
          <w:rFonts w:ascii="Times New Roman" w:hAnsi="Times New Roman" w:cs="Times New Roman"/>
        </w:rPr>
        <w:t xml:space="preserve"> neuronal beta-tubulin. </w:t>
      </w:r>
      <w:r w:rsidRPr="00667B58">
        <w:rPr>
          <w:rFonts w:ascii="Times New Roman" w:hAnsi="Times New Roman" w:cs="Times New Roman"/>
          <w:i/>
          <w:iCs/>
        </w:rPr>
        <w:t>International Journal for Parasitology: Drugs and Drug Resistance, 20</w:t>
      </w:r>
      <w:r w:rsidRPr="00667B58">
        <w:rPr>
          <w:rFonts w:ascii="Times New Roman" w:hAnsi="Times New Roman" w:cs="Times New Roman"/>
        </w:rPr>
        <w:t>, 89–96.</w:t>
      </w:r>
      <w:hyperlink r:id="rId12" w:history="1">
        <w:r w:rsidR="007B4A17" w:rsidRPr="00F534ED">
          <w:rPr>
            <w:rStyle w:val="Hyperlink"/>
            <w:rFonts w:ascii="Times New Roman" w:hAnsi="Times New Roman" w:cs="Times New Roman"/>
          </w:rPr>
          <w:t>https://doi.org/10.1016/j.ijpddr.2022.10.004</w:t>
        </w:r>
      </w:hyperlink>
    </w:p>
    <w:p w:rsidR="00667B58" w:rsidRPr="00667B58" w:rsidRDefault="00667B58" w:rsidP="00667B58">
      <w:pPr>
        <w:numPr>
          <w:ilvl w:val="0"/>
          <w:numId w:val="4"/>
        </w:numPr>
        <w:rPr>
          <w:rFonts w:ascii="Times New Roman" w:hAnsi="Times New Roman" w:cs="Times New Roman"/>
        </w:rPr>
      </w:pPr>
      <w:r w:rsidRPr="00667B58">
        <w:rPr>
          <w:rFonts w:ascii="Times New Roman" w:hAnsi="Times New Roman" w:cs="Times New Roman"/>
        </w:rPr>
        <w:t xml:space="preserve">Choudhary, S., Kashyap, S. S., Martin, R. J., &amp; Robertson, A. P. (2021). Advances in our understanding of nematode ion channels as potential anthelmintic targets. </w:t>
      </w:r>
      <w:r w:rsidRPr="00667B58">
        <w:rPr>
          <w:rFonts w:ascii="Times New Roman" w:hAnsi="Times New Roman" w:cs="Times New Roman"/>
          <w:i/>
          <w:iCs/>
        </w:rPr>
        <w:t>International Journal for Parasitology: Drugs and Drug Resistance, 18</w:t>
      </w:r>
      <w:r w:rsidRPr="00667B58">
        <w:rPr>
          <w:rFonts w:ascii="Times New Roman" w:hAnsi="Times New Roman" w:cs="Times New Roman"/>
        </w:rPr>
        <w:t>, 52–86.</w:t>
      </w:r>
      <w:hyperlink r:id="rId13" w:history="1">
        <w:r w:rsidR="007B4A17" w:rsidRPr="00F534ED">
          <w:rPr>
            <w:rStyle w:val="Hyperlink"/>
            <w:rFonts w:ascii="Times New Roman" w:hAnsi="Times New Roman" w:cs="Times New Roman"/>
          </w:rPr>
          <w:t>https://doi.org/10.1016/j.ijpddr.2021.12.001</w:t>
        </w:r>
      </w:hyperlink>
    </w:p>
    <w:p w:rsidR="00667B58" w:rsidRPr="00667B58" w:rsidRDefault="00667B58" w:rsidP="00667B58">
      <w:pPr>
        <w:numPr>
          <w:ilvl w:val="0"/>
          <w:numId w:val="4"/>
        </w:numPr>
        <w:rPr>
          <w:rFonts w:ascii="Times New Roman" w:hAnsi="Times New Roman" w:cs="Times New Roman"/>
        </w:rPr>
      </w:pPr>
      <w:r w:rsidRPr="00667B58">
        <w:rPr>
          <w:rFonts w:ascii="Times New Roman" w:hAnsi="Times New Roman" w:cs="Times New Roman"/>
        </w:rPr>
        <w:t xml:space="preserve">Carlson, A. B., &amp; Kraus, G. P. (2025). Physiology, cholinergic receptors. In </w:t>
      </w:r>
      <w:proofErr w:type="spellStart"/>
      <w:r w:rsidRPr="00667B58">
        <w:rPr>
          <w:rFonts w:ascii="Times New Roman" w:hAnsi="Times New Roman" w:cs="Times New Roman"/>
          <w:i/>
          <w:iCs/>
        </w:rPr>
        <w:t>StatPearls</w:t>
      </w:r>
      <w:proofErr w:type="spellEnd"/>
      <w:r w:rsidRPr="00667B58">
        <w:rPr>
          <w:rFonts w:ascii="Times New Roman" w:hAnsi="Times New Roman" w:cs="Times New Roman"/>
        </w:rPr>
        <w:t xml:space="preserve"> [Internet]. </w:t>
      </w:r>
      <w:proofErr w:type="spellStart"/>
      <w:r w:rsidRPr="00667B58">
        <w:rPr>
          <w:rFonts w:ascii="Times New Roman" w:hAnsi="Times New Roman" w:cs="Times New Roman"/>
        </w:rPr>
        <w:t>StatPearls</w:t>
      </w:r>
      <w:proofErr w:type="spellEnd"/>
      <w:r w:rsidRPr="00667B58">
        <w:rPr>
          <w:rFonts w:ascii="Times New Roman" w:hAnsi="Times New Roman" w:cs="Times New Roman"/>
        </w:rPr>
        <w:t xml:space="preserve"> Publishing.</w:t>
      </w:r>
      <w:r w:rsidRPr="00667B58">
        <w:rPr>
          <w:rFonts w:ascii="Times New Roman" w:hAnsi="Times New Roman" w:cs="Times New Roman"/>
        </w:rPr>
        <w:br/>
        <w:t xml:space="preserve">Available from: </w:t>
      </w:r>
      <w:hyperlink r:id="rId14" w:history="1">
        <w:r w:rsidRPr="00667B58">
          <w:rPr>
            <w:rStyle w:val="Hyperlink"/>
            <w:rFonts w:ascii="Times New Roman" w:hAnsi="Times New Roman" w:cs="Times New Roman"/>
          </w:rPr>
          <w:t>https://www.ncbi.nlm.nih.gov/books/NBK526134/</w:t>
        </w:r>
      </w:hyperlink>
    </w:p>
    <w:p w:rsidR="00667B58" w:rsidRPr="00667B58" w:rsidRDefault="00667B58" w:rsidP="00667B58">
      <w:pPr>
        <w:numPr>
          <w:ilvl w:val="0"/>
          <w:numId w:val="4"/>
        </w:numPr>
        <w:rPr>
          <w:rFonts w:ascii="Times New Roman" w:hAnsi="Times New Roman" w:cs="Times New Roman"/>
        </w:rPr>
      </w:pPr>
      <w:proofErr w:type="spellStart"/>
      <w:r w:rsidRPr="00667B58">
        <w:rPr>
          <w:rFonts w:ascii="Times New Roman" w:hAnsi="Times New Roman" w:cs="Times New Roman"/>
        </w:rPr>
        <w:t>Fissiha</w:t>
      </w:r>
      <w:proofErr w:type="spellEnd"/>
      <w:r w:rsidRPr="00667B58">
        <w:rPr>
          <w:rFonts w:ascii="Times New Roman" w:hAnsi="Times New Roman" w:cs="Times New Roman"/>
        </w:rPr>
        <w:t xml:space="preserve">, W., &amp; Kinde, M. Z. (2021). Anthelmintic resistance and its mechanism: A review. </w:t>
      </w:r>
      <w:r w:rsidRPr="00667B58">
        <w:rPr>
          <w:rFonts w:ascii="Times New Roman" w:hAnsi="Times New Roman" w:cs="Times New Roman"/>
          <w:i/>
          <w:iCs/>
        </w:rPr>
        <w:t>Infection and Drug Resistance, 14</w:t>
      </w:r>
      <w:r w:rsidRPr="00667B58">
        <w:rPr>
          <w:rFonts w:ascii="Times New Roman" w:hAnsi="Times New Roman" w:cs="Times New Roman"/>
        </w:rPr>
        <w:t>, 5403–5415.</w:t>
      </w:r>
      <w:hyperlink r:id="rId15" w:history="1">
        <w:r w:rsidR="007B4A17" w:rsidRPr="00F534ED">
          <w:rPr>
            <w:rStyle w:val="Hyperlink"/>
            <w:rFonts w:ascii="Times New Roman" w:hAnsi="Times New Roman" w:cs="Times New Roman"/>
          </w:rPr>
          <w:t>https://doi.org/10.2147/IDR.S332378</w:t>
        </w:r>
      </w:hyperlink>
    </w:p>
    <w:p w:rsidR="00667B58" w:rsidRPr="00667B58" w:rsidRDefault="00667B58" w:rsidP="00667B58">
      <w:pPr>
        <w:numPr>
          <w:ilvl w:val="0"/>
          <w:numId w:val="4"/>
        </w:numPr>
        <w:rPr>
          <w:rFonts w:ascii="Times New Roman" w:hAnsi="Times New Roman" w:cs="Times New Roman"/>
        </w:rPr>
      </w:pPr>
      <w:r w:rsidRPr="00667B58">
        <w:rPr>
          <w:rFonts w:ascii="Times New Roman" w:hAnsi="Times New Roman" w:cs="Times New Roman"/>
        </w:rPr>
        <w:t xml:space="preserve">Tenorio, J. C. B., Heikal, M. F., Kafle, A., </w:t>
      </w:r>
      <w:proofErr w:type="spellStart"/>
      <w:r w:rsidRPr="00667B58">
        <w:rPr>
          <w:rFonts w:ascii="Times New Roman" w:hAnsi="Times New Roman" w:cs="Times New Roman"/>
        </w:rPr>
        <w:t>Saichua</w:t>
      </w:r>
      <w:proofErr w:type="spellEnd"/>
      <w:r w:rsidRPr="00667B58">
        <w:rPr>
          <w:rFonts w:ascii="Times New Roman" w:hAnsi="Times New Roman" w:cs="Times New Roman"/>
        </w:rPr>
        <w:t xml:space="preserve">, P., &amp; </w:t>
      </w:r>
      <w:proofErr w:type="spellStart"/>
      <w:r w:rsidRPr="00667B58">
        <w:rPr>
          <w:rFonts w:ascii="Times New Roman" w:hAnsi="Times New Roman" w:cs="Times New Roman"/>
        </w:rPr>
        <w:t>Suttiprapa</w:t>
      </w:r>
      <w:proofErr w:type="spellEnd"/>
      <w:r w:rsidRPr="00667B58">
        <w:rPr>
          <w:rFonts w:ascii="Times New Roman" w:hAnsi="Times New Roman" w:cs="Times New Roman"/>
        </w:rPr>
        <w:t xml:space="preserve">, S. (2024). Benzimidazole resistance-associated mutations in the β-tubulin gene of hookworms: A systematic review. </w:t>
      </w:r>
      <w:r w:rsidRPr="00667B58">
        <w:rPr>
          <w:rFonts w:ascii="Times New Roman" w:hAnsi="Times New Roman" w:cs="Times New Roman"/>
          <w:i/>
          <w:iCs/>
        </w:rPr>
        <w:t>Parasitology Research, 123</w:t>
      </w:r>
      <w:r w:rsidRPr="00667B58">
        <w:rPr>
          <w:rFonts w:ascii="Times New Roman" w:hAnsi="Times New Roman" w:cs="Times New Roman"/>
        </w:rPr>
        <w:t>(12), 405.</w:t>
      </w:r>
      <w:hyperlink r:id="rId16" w:history="1">
        <w:r w:rsidR="007B4A17" w:rsidRPr="00F534ED">
          <w:rPr>
            <w:rStyle w:val="Hyperlink"/>
            <w:rFonts w:ascii="Times New Roman" w:hAnsi="Times New Roman" w:cs="Times New Roman"/>
          </w:rPr>
          <w:t>https://doi.org/10.1007/s00436-024-08432-6</w:t>
        </w:r>
      </w:hyperlink>
    </w:p>
    <w:p w:rsidR="00667B58" w:rsidRPr="00667B58" w:rsidRDefault="00667B58" w:rsidP="00667B58">
      <w:pPr>
        <w:numPr>
          <w:ilvl w:val="0"/>
          <w:numId w:val="4"/>
        </w:numPr>
        <w:rPr>
          <w:rFonts w:ascii="Times New Roman" w:hAnsi="Times New Roman" w:cs="Times New Roman"/>
        </w:rPr>
      </w:pPr>
      <w:r w:rsidRPr="00667B58">
        <w:rPr>
          <w:rFonts w:ascii="Times New Roman" w:hAnsi="Times New Roman" w:cs="Times New Roman"/>
        </w:rPr>
        <w:t xml:space="preserve">Wolstenholme, A. J., &amp; Rogers, A. T. (2005). Glutamate-gated chloride channels and the mode of action of the </w:t>
      </w:r>
      <w:proofErr w:type="spellStart"/>
      <w:r w:rsidRPr="00667B58">
        <w:rPr>
          <w:rFonts w:ascii="Times New Roman" w:hAnsi="Times New Roman" w:cs="Times New Roman"/>
        </w:rPr>
        <w:t>avermectin</w:t>
      </w:r>
      <w:proofErr w:type="spellEnd"/>
      <w:r w:rsidRPr="00667B58">
        <w:rPr>
          <w:rFonts w:ascii="Times New Roman" w:hAnsi="Times New Roman" w:cs="Times New Roman"/>
        </w:rPr>
        <w:t xml:space="preserve">/milbemycin </w:t>
      </w:r>
      <w:proofErr w:type="spellStart"/>
      <w:r w:rsidRPr="00667B58">
        <w:rPr>
          <w:rFonts w:ascii="Times New Roman" w:hAnsi="Times New Roman" w:cs="Times New Roman"/>
        </w:rPr>
        <w:t>anthelmintics</w:t>
      </w:r>
      <w:proofErr w:type="spellEnd"/>
      <w:r w:rsidRPr="00667B58">
        <w:rPr>
          <w:rFonts w:ascii="Times New Roman" w:hAnsi="Times New Roman" w:cs="Times New Roman"/>
        </w:rPr>
        <w:t xml:space="preserve">. </w:t>
      </w:r>
      <w:r w:rsidRPr="00667B58">
        <w:rPr>
          <w:rFonts w:ascii="Times New Roman" w:hAnsi="Times New Roman" w:cs="Times New Roman"/>
          <w:i/>
          <w:iCs/>
        </w:rPr>
        <w:t>Parasitology, 131</w:t>
      </w:r>
      <w:r w:rsidRPr="00667B58">
        <w:rPr>
          <w:rFonts w:ascii="Times New Roman" w:hAnsi="Times New Roman" w:cs="Times New Roman"/>
        </w:rPr>
        <w:t>(Suppl. 1), S85–S95.</w:t>
      </w:r>
      <w:hyperlink r:id="rId17" w:history="1">
        <w:r w:rsidR="007B4A17" w:rsidRPr="00F534ED">
          <w:rPr>
            <w:rStyle w:val="Hyperlink"/>
            <w:rFonts w:ascii="Times New Roman" w:hAnsi="Times New Roman" w:cs="Times New Roman"/>
          </w:rPr>
          <w:t>https://doi.org/10.1017/S0031182005008218</w:t>
        </w:r>
      </w:hyperlink>
    </w:p>
    <w:p w:rsidR="00667B58" w:rsidRPr="00667B58" w:rsidRDefault="00667B58" w:rsidP="00667B58">
      <w:pPr>
        <w:numPr>
          <w:ilvl w:val="0"/>
          <w:numId w:val="4"/>
        </w:numPr>
        <w:rPr>
          <w:rFonts w:ascii="Times New Roman" w:hAnsi="Times New Roman" w:cs="Times New Roman"/>
        </w:rPr>
      </w:pPr>
      <w:proofErr w:type="spellStart"/>
      <w:r w:rsidRPr="00667B58">
        <w:rPr>
          <w:rFonts w:ascii="Times New Roman" w:hAnsi="Times New Roman" w:cs="Times New Roman"/>
        </w:rPr>
        <w:t>Nagampalli</w:t>
      </w:r>
      <w:proofErr w:type="spellEnd"/>
      <w:r w:rsidRPr="00667B58">
        <w:rPr>
          <w:rFonts w:ascii="Times New Roman" w:hAnsi="Times New Roman" w:cs="Times New Roman"/>
        </w:rPr>
        <w:t xml:space="preserve">, R. S. K., Vadla, G. P., &amp; </w:t>
      </w:r>
      <w:proofErr w:type="spellStart"/>
      <w:r w:rsidRPr="00667B58">
        <w:rPr>
          <w:rFonts w:ascii="Times New Roman" w:hAnsi="Times New Roman" w:cs="Times New Roman"/>
        </w:rPr>
        <w:t>Nadendla</w:t>
      </w:r>
      <w:proofErr w:type="spellEnd"/>
      <w:r w:rsidRPr="00667B58">
        <w:rPr>
          <w:rFonts w:ascii="Times New Roman" w:hAnsi="Times New Roman" w:cs="Times New Roman"/>
        </w:rPr>
        <w:t xml:space="preserve">, E. K. (2025). Emerging strategies to overcome chemoresistance: Structural insights and therapeutic targeting of multidrug resistance-linked ATP-binding cassette transporters. </w:t>
      </w:r>
      <w:r w:rsidRPr="00667B58">
        <w:rPr>
          <w:rFonts w:ascii="Times New Roman" w:hAnsi="Times New Roman" w:cs="Times New Roman"/>
          <w:i/>
          <w:iCs/>
        </w:rPr>
        <w:t xml:space="preserve">International Journal of Translational </w:t>
      </w:r>
      <w:proofErr w:type="spellStart"/>
      <w:r w:rsidRPr="00667B58">
        <w:rPr>
          <w:rFonts w:ascii="Times New Roman" w:hAnsi="Times New Roman" w:cs="Times New Roman"/>
          <w:i/>
          <w:iCs/>
        </w:rPr>
        <w:t>Medicine</w:t>
      </w:r>
      <w:r w:rsidRPr="00667B58">
        <w:rPr>
          <w:rFonts w:ascii="Times New Roman" w:hAnsi="Times New Roman" w:cs="Times New Roman"/>
        </w:rPr>
        <w:t>.</w:t>
      </w:r>
      <w:hyperlink r:id="rId18" w:history="1">
        <w:r w:rsidR="007B4A17" w:rsidRPr="00F534ED">
          <w:rPr>
            <w:rStyle w:val="Hyperlink"/>
            <w:rFonts w:ascii="Times New Roman" w:hAnsi="Times New Roman" w:cs="Times New Roman"/>
          </w:rPr>
          <w:t>https</w:t>
        </w:r>
        <w:proofErr w:type="spellEnd"/>
        <w:r w:rsidR="007B4A17" w:rsidRPr="00F534ED">
          <w:rPr>
            <w:rStyle w:val="Hyperlink"/>
            <w:rFonts w:ascii="Times New Roman" w:hAnsi="Times New Roman" w:cs="Times New Roman"/>
          </w:rPr>
          <w:t>://doi.org/10.3390/ijtm5010006</w:t>
        </w:r>
      </w:hyperlink>
    </w:p>
    <w:p w:rsidR="00667B58" w:rsidRPr="00667B58" w:rsidRDefault="00667B58" w:rsidP="00667B58">
      <w:pPr>
        <w:numPr>
          <w:ilvl w:val="0"/>
          <w:numId w:val="4"/>
        </w:numPr>
        <w:rPr>
          <w:rFonts w:ascii="Times New Roman" w:hAnsi="Times New Roman" w:cs="Times New Roman"/>
        </w:rPr>
      </w:pPr>
      <w:proofErr w:type="spellStart"/>
      <w:r w:rsidRPr="00667B58">
        <w:rPr>
          <w:rFonts w:ascii="Times New Roman" w:hAnsi="Times New Roman" w:cs="Times New Roman"/>
        </w:rPr>
        <w:lastRenderedPageBreak/>
        <w:t>Aborode</w:t>
      </w:r>
      <w:proofErr w:type="spellEnd"/>
      <w:r w:rsidRPr="00667B58">
        <w:rPr>
          <w:rFonts w:ascii="Times New Roman" w:hAnsi="Times New Roman" w:cs="Times New Roman"/>
        </w:rPr>
        <w:t xml:space="preserve">, A. T., Adesola, R. O., Onifade, I. A., Adesiyan, R., Ibiam, V. A., Jinadu, N. A., &amp; Bakre, A. A. (2025). Outbreak of cholera in Nigeria: The role of One Health. </w:t>
      </w:r>
      <w:r w:rsidRPr="00667B58">
        <w:rPr>
          <w:rFonts w:ascii="Times New Roman" w:hAnsi="Times New Roman" w:cs="Times New Roman"/>
          <w:i/>
          <w:iCs/>
        </w:rPr>
        <w:t>Discover Public Health, 22</w:t>
      </w:r>
      <w:r w:rsidRPr="00667B58">
        <w:rPr>
          <w:rFonts w:ascii="Times New Roman" w:hAnsi="Times New Roman" w:cs="Times New Roman"/>
        </w:rPr>
        <w:t>(1), 125.</w:t>
      </w:r>
      <w:hyperlink r:id="rId19" w:history="1">
        <w:r w:rsidR="007B4A17" w:rsidRPr="00F534ED">
          <w:rPr>
            <w:rStyle w:val="Hyperlink"/>
            <w:rFonts w:ascii="Times New Roman" w:hAnsi="Times New Roman" w:cs="Times New Roman"/>
          </w:rPr>
          <w:t>https://doi.org/10.1186/s12982-025-00526-5</w:t>
        </w:r>
      </w:hyperlink>
    </w:p>
    <w:p w:rsidR="00667B58" w:rsidRPr="00667B58" w:rsidRDefault="00667B58" w:rsidP="00667B58">
      <w:pPr>
        <w:numPr>
          <w:ilvl w:val="0"/>
          <w:numId w:val="4"/>
        </w:numPr>
        <w:rPr>
          <w:rFonts w:ascii="Times New Roman" w:hAnsi="Times New Roman" w:cs="Times New Roman"/>
        </w:rPr>
      </w:pPr>
      <w:r w:rsidRPr="00667B58">
        <w:rPr>
          <w:rFonts w:ascii="Times New Roman" w:hAnsi="Times New Roman" w:cs="Times New Roman"/>
        </w:rPr>
        <w:t xml:space="preserve">Abdelmonem, B. H., Abdelaal, N. M., Anwer, E. K. E., Rashwan, A. A., Hussein, M. A., Ahmed, Y. F., </w:t>
      </w:r>
      <w:proofErr w:type="spellStart"/>
      <w:r w:rsidRPr="00667B58">
        <w:rPr>
          <w:rFonts w:ascii="Times New Roman" w:hAnsi="Times New Roman" w:cs="Times New Roman"/>
        </w:rPr>
        <w:t>Khashana</w:t>
      </w:r>
      <w:proofErr w:type="spellEnd"/>
      <w:r w:rsidRPr="00667B58">
        <w:rPr>
          <w:rFonts w:ascii="Times New Roman" w:hAnsi="Times New Roman" w:cs="Times New Roman"/>
        </w:rPr>
        <w:t xml:space="preserve">, R., Hanna, M. M., &amp; Abdelnaser, A. (2024). Decoding the role of CYP450 enzymes in metabolism and disease: A comprehensive review. </w:t>
      </w:r>
      <w:r w:rsidRPr="00667B58">
        <w:rPr>
          <w:rFonts w:ascii="Times New Roman" w:hAnsi="Times New Roman" w:cs="Times New Roman"/>
          <w:i/>
          <w:iCs/>
        </w:rPr>
        <w:t>Biomedicines, 12</w:t>
      </w:r>
      <w:r w:rsidRPr="00667B58">
        <w:rPr>
          <w:rFonts w:ascii="Times New Roman" w:hAnsi="Times New Roman" w:cs="Times New Roman"/>
        </w:rPr>
        <w:t>(7), 1467.</w:t>
      </w:r>
      <w:hyperlink r:id="rId20" w:history="1">
        <w:r w:rsidR="007B4A17" w:rsidRPr="00F534ED">
          <w:rPr>
            <w:rStyle w:val="Hyperlink"/>
            <w:rFonts w:ascii="Times New Roman" w:hAnsi="Times New Roman" w:cs="Times New Roman"/>
          </w:rPr>
          <w:t>https://doi.org/10.3390/biomedicines12071467</w:t>
        </w:r>
      </w:hyperlink>
    </w:p>
    <w:p w:rsidR="00667B58" w:rsidRPr="00667B58" w:rsidRDefault="00667B58" w:rsidP="00667B58">
      <w:pPr>
        <w:numPr>
          <w:ilvl w:val="0"/>
          <w:numId w:val="4"/>
        </w:numPr>
        <w:rPr>
          <w:rFonts w:ascii="Times New Roman" w:hAnsi="Times New Roman" w:cs="Times New Roman"/>
        </w:rPr>
      </w:pPr>
      <w:proofErr w:type="spellStart"/>
      <w:r w:rsidRPr="00667B58">
        <w:rPr>
          <w:rFonts w:ascii="Times New Roman" w:hAnsi="Times New Roman" w:cs="Times New Roman"/>
        </w:rPr>
        <w:t>Vosála</w:t>
      </w:r>
      <w:proofErr w:type="spellEnd"/>
      <w:r w:rsidRPr="00667B58">
        <w:rPr>
          <w:rFonts w:ascii="Times New Roman" w:hAnsi="Times New Roman" w:cs="Times New Roman"/>
        </w:rPr>
        <w:t xml:space="preserve">, O., Krátký, J., Matoušková, P., </w:t>
      </w:r>
      <w:proofErr w:type="spellStart"/>
      <w:r w:rsidRPr="00667B58">
        <w:rPr>
          <w:rFonts w:ascii="Times New Roman" w:hAnsi="Times New Roman" w:cs="Times New Roman"/>
        </w:rPr>
        <w:t>Rychlá</w:t>
      </w:r>
      <w:proofErr w:type="spellEnd"/>
      <w:r w:rsidRPr="00667B58">
        <w:rPr>
          <w:rFonts w:ascii="Times New Roman" w:hAnsi="Times New Roman" w:cs="Times New Roman"/>
        </w:rPr>
        <w:t xml:space="preserve">, N., Štěrbová, K., </w:t>
      </w:r>
      <w:proofErr w:type="spellStart"/>
      <w:r w:rsidRPr="00667B58">
        <w:rPr>
          <w:rFonts w:ascii="Times New Roman" w:hAnsi="Times New Roman" w:cs="Times New Roman"/>
        </w:rPr>
        <w:t>Raisová</w:t>
      </w:r>
      <w:proofErr w:type="spellEnd"/>
      <w:r w:rsidRPr="00667B58">
        <w:rPr>
          <w:rFonts w:ascii="Times New Roman" w:hAnsi="Times New Roman" w:cs="Times New Roman"/>
        </w:rPr>
        <w:t xml:space="preserve"> </w:t>
      </w:r>
      <w:proofErr w:type="spellStart"/>
      <w:r w:rsidRPr="00667B58">
        <w:rPr>
          <w:rFonts w:ascii="Times New Roman" w:hAnsi="Times New Roman" w:cs="Times New Roman"/>
        </w:rPr>
        <w:t>Stuchlíková</w:t>
      </w:r>
      <w:proofErr w:type="spellEnd"/>
      <w:r w:rsidRPr="00667B58">
        <w:rPr>
          <w:rFonts w:ascii="Times New Roman" w:hAnsi="Times New Roman" w:cs="Times New Roman"/>
        </w:rPr>
        <w:t xml:space="preserve">, L., </w:t>
      </w:r>
      <w:proofErr w:type="spellStart"/>
      <w:r w:rsidRPr="00667B58">
        <w:rPr>
          <w:rFonts w:ascii="Times New Roman" w:hAnsi="Times New Roman" w:cs="Times New Roman"/>
        </w:rPr>
        <w:t>Vokřál</w:t>
      </w:r>
      <w:proofErr w:type="spellEnd"/>
      <w:r w:rsidRPr="00667B58">
        <w:rPr>
          <w:rFonts w:ascii="Times New Roman" w:hAnsi="Times New Roman" w:cs="Times New Roman"/>
        </w:rPr>
        <w:t xml:space="preserve">, I., &amp; Skálová, L. (2025). Biotransformation of anthelmintics in nematodes in relation to drug resistance. </w:t>
      </w:r>
      <w:r w:rsidRPr="00667B58">
        <w:rPr>
          <w:rFonts w:ascii="Times New Roman" w:hAnsi="Times New Roman" w:cs="Times New Roman"/>
          <w:i/>
          <w:iCs/>
        </w:rPr>
        <w:t>International Journal for Parasitology: Drugs and Drug Resistance, 27</w:t>
      </w:r>
      <w:r w:rsidRPr="00667B58">
        <w:rPr>
          <w:rFonts w:ascii="Times New Roman" w:hAnsi="Times New Roman" w:cs="Times New Roman"/>
        </w:rPr>
        <w:t>, 100579.</w:t>
      </w:r>
      <w:hyperlink r:id="rId21" w:history="1">
        <w:r w:rsidR="007B4A17" w:rsidRPr="00F534ED">
          <w:rPr>
            <w:rStyle w:val="Hyperlink"/>
            <w:rFonts w:ascii="Times New Roman" w:hAnsi="Times New Roman" w:cs="Times New Roman"/>
          </w:rPr>
          <w:t>https://doi.org/10.1016/j.ijpddr.2025.100579</w:t>
        </w:r>
      </w:hyperlink>
    </w:p>
    <w:p w:rsidR="00667B58" w:rsidRPr="00667B58" w:rsidRDefault="00667B58" w:rsidP="00667B58">
      <w:pPr>
        <w:numPr>
          <w:ilvl w:val="0"/>
          <w:numId w:val="4"/>
        </w:numPr>
        <w:rPr>
          <w:rFonts w:ascii="Times New Roman" w:hAnsi="Times New Roman" w:cs="Times New Roman"/>
        </w:rPr>
      </w:pPr>
      <w:r w:rsidRPr="00667B58">
        <w:rPr>
          <w:rFonts w:ascii="Times New Roman" w:hAnsi="Times New Roman" w:cs="Times New Roman"/>
        </w:rPr>
        <w:t>Ramkhelawan, T., Naidoo, P., &amp; Mkhize-</w:t>
      </w:r>
      <w:proofErr w:type="spellStart"/>
      <w:r w:rsidRPr="00667B58">
        <w:rPr>
          <w:rFonts w:ascii="Times New Roman" w:hAnsi="Times New Roman" w:cs="Times New Roman"/>
        </w:rPr>
        <w:t>Kwitshana</w:t>
      </w:r>
      <w:proofErr w:type="spellEnd"/>
      <w:r w:rsidRPr="00667B58">
        <w:rPr>
          <w:rFonts w:ascii="Times New Roman" w:hAnsi="Times New Roman" w:cs="Times New Roman"/>
        </w:rPr>
        <w:t xml:space="preserve">, Z. L. (2025). Single nucleotide polymorphisms associated with benzimidazole resistance of the β-tubulin isotype 1 gene in </w:t>
      </w:r>
      <w:r w:rsidRPr="00667B58">
        <w:rPr>
          <w:rFonts w:ascii="Times New Roman" w:hAnsi="Times New Roman" w:cs="Times New Roman"/>
          <w:i/>
          <w:iCs/>
        </w:rPr>
        <w:t>Ascaris lumbricoides</w:t>
      </w:r>
      <w:r w:rsidRPr="00667B58">
        <w:rPr>
          <w:rFonts w:ascii="Times New Roman" w:hAnsi="Times New Roman" w:cs="Times New Roman"/>
        </w:rPr>
        <w:t xml:space="preserve"> isolated in South Africa. </w:t>
      </w:r>
      <w:r w:rsidRPr="00667B58">
        <w:rPr>
          <w:rFonts w:ascii="Times New Roman" w:hAnsi="Times New Roman" w:cs="Times New Roman"/>
          <w:i/>
          <w:iCs/>
        </w:rPr>
        <w:t xml:space="preserve">Brazilian Journal of Infectious </w:t>
      </w:r>
      <w:proofErr w:type="spellStart"/>
      <w:r w:rsidRPr="00667B58">
        <w:rPr>
          <w:rFonts w:ascii="Times New Roman" w:hAnsi="Times New Roman" w:cs="Times New Roman"/>
          <w:i/>
          <w:iCs/>
        </w:rPr>
        <w:t>Diseases</w:t>
      </w:r>
      <w:r w:rsidRPr="00667B58">
        <w:rPr>
          <w:rFonts w:ascii="Times New Roman" w:hAnsi="Times New Roman" w:cs="Times New Roman"/>
        </w:rPr>
        <w:t>.</w:t>
      </w:r>
      <w:hyperlink r:id="rId22" w:history="1">
        <w:r w:rsidR="007B4A17" w:rsidRPr="00F534ED">
          <w:rPr>
            <w:rStyle w:val="Hyperlink"/>
            <w:rFonts w:ascii="Times New Roman" w:hAnsi="Times New Roman" w:cs="Times New Roman"/>
          </w:rPr>
          <w:t>https</w:t>
        </w:r>
        <w:proofErr w:type="spellEnd"/>
        <w:r w:rsidR="007B4A17" w:rsidRPr="00F534ED">
          <w:rPr>
            <w:rStyle w:val="Hyperlink"/>
            <w:rFonts w:ascii="Times New Roman" w:hAnsi="Times New Roman" w:cs="Times New Roman"/>
          </w:rPr>
          <w:t>://doi.org/10.1016/j.bjid.2025.104556</w:t>
        </w:r>
      </w:hyperlink>
    </w:p>
    <w:p w:rsidR="00667B58" w:rsidRPr="00667B58" w:rsidRDefault="00667B58" w:rsidP="00667B58">
      <w:pPr>
        <w:numPr>
          <w:ilvl w:val="0"/>
          <w:numId w:val="4"/>
        </w:numPr>
        <w:rPr>
          <w:rFonts w:ascii="Times New Roman" w:hAnsi="Times New Roman" w:cs="Times New Roman"/>
        </w:rPr>
      </w:pPr>
      <w:r w:rsidRPr="00667B58">
        <w:rPr>
          <w:rFonts w:ascii="Times New Roman" w:hAnsi="Times New Roman" w:cs="Times New Roman"/>
        </w:rPr>
        <w:t xml:space="preserve">Raza, A., Williams, A. R., &amp; Abeer, M. M. (2023). Importance of ABC transporters in the survival of parasitic nematodes and prospects for the development of novel control strategies. </w:t>
      </w:r>
      <w:r w:rsidRPr="00667B58">
        <w:rPr>
          <w:rFonts w:ascii="Times New Roman" w:hAnsi="Times New Roman" w:cs="Times New Roman"/>
          <w:i/>
          <w:iCs/>
        </w:rPr>
        <w:t>Pathogens, 12</w:t>
      </w:r>
      <w:r w:rsidRPr="00667B58">
        <w:rPr>
          <w:rFonts w:ascii="Times New Roman" w:hAnsi="Times New Roman" w:cs="Times New Roman"/>
        </w:rPr>
        <w:t>(6), 755.</w:t>
      </w:r>
      <w:hyperlink r:id="rId23" w:history="1">
        <w:r w:rsidR="007B4A17" w:rsidRPr="00F534ED">
          <w:rPr>
            <w:rStyle w:val="Hyperlink"/>
            <w:rFonts w:ascii="Times New Roman" w:hAnsi="Times New Roman" w:cs="Times New Roman"/>
          </w:rPr>
          <w:t>https://doi.org/10.3390/pathogens12060755</w:t>
        </w:r>
      </w:hyperlink>
    </w:p>
    <w:p w:rsidR="00667B58" w:rsidRPr="00667B58" w:rsidRDefault="00667B58" w:rsidP="00667B58">
      <w:pPr>
        <w:numPr>
          <w:ilvl w:val="0"/>
          <w:numId w:val="4"/>
        </w:numPr>
        <w:rPr>
          <w:rFonts w:ascii="Times New Roman" w:hAnsi="Times New Roman" w:cs="Times New Roman"/>
        </w:rPr>
      </w:pPr>
      <w:r w:rsidRPr="00667B58">
        <w:rPr>
          <w:rFonts w:ascii="Times New Roman" w:hAnsi="Times New Roman" w:cs="Times New Roman"/>
        </w:rPr>
        <w:t xml:space="preserve">World Health Organization. (2020). </w:t>
      </w:r>
      <w:r w:rsidRPr="00667B58">
        <w:rPr>
          <w:rFonts w:ascii="Times New Roman" w:hAnsi="Times New Roman" w:cs="Times New Roman"/>
          <w:i/>
          <w:iCs/>
        </w:rPr>
        <w:t>Guideline: Preventive chemotherapy to control soil-transmitted helminth infections in at-risk population groups</w:t>
      </w:r>
      <w:r w:rsidRPr="00667B58">
        <w:rPr>
          <w:rFonts w:ascii="Times New Roman" w:hAnsi="Times New Roman" w:cs="Times New Roman"/>
        </w:rPr>
        <w:t>. World Health Organization.</w:t>
      </w:r>
      <w:r w:rsidRPr="00667B58">
        <w:rPr>
          <w:rFonts w:ascii="Times New Roman" w:hAnsi="Times New Roman" w:cs="Times New Roman"/>
        </w:rPr>
        <w:br/>
        <w:t xml:space="preserve">Available from: </w:t>
      </w:r>
      <w:hyperlink r:id="rId24" w:history="1">
        <w:r w:rsidRPr="00667B58">
          <w:rPr>
            <w:rStyle w:val="Hyperlink"/>
            <w:rFonts w:ascii="Times New Roman" w:hAnsi="Times New Roman" w:cs="Times New Roman"/>
          </w:rPr>
          <w:t>https://www.who.int/publications/i/item/9789240004083</w:t>
        </w:r>
      </w:hyperlink>
    </w:p>
    <w:p w:rsidR="00667B58" w:rsidRPr="00667B58" w:rsidRDefault="00667B58" w:rsidP="00667B58">
      <w:pPr>
        <w:numPr>
          <w:ilvl w:val="0"/>
          <w:numId w:val="4"/>
        </w:numPr>
        <w:rPr>
          <w:rFonts w:ascii="Times New Roman" w:hAnsi="Times New Roman" w:cs="Times New Roman"/>
        </w:rPr>
      </w:pPr>
      <w:r w:rsidRPr="00667B58">
        <w:rPr>
          <w:rFonts w:ascii="Times New Roman" w:hAnsi="Times New Roman" w:cs="Times New Roman"/>
        </w:rPr>
        <w:t xml:space="preserve">Ramos-Martín, F., &amp; D’Amelio, N. (2023). Drug resistance: An incessant fight against evolutionary strategies of survival. </w:t>
      </w:r>
      <w:r w:rsidRPr="00667B58">
        <w:rPr>
          <w:rFonts w:ascii="Times New Roman" w:hAnsi="Times New Roman" w:cs="Times New Roman"/>
          <w:i/>
          <w:iCs/>
        </w:rPr>
        <w:t>Microbiology Research, 14</w:t>
      </w:r>
      <w:r w:rsidRPr="00667B58">
        <w:rPr>
          <w:rFonts w:ascii="Times New Roman" w:hAnsi="Times New Roman" w:cs="Times New Roman"/>
        </w:rPr>
        <w:t>(2), 507–542.</w:t>
      </w:r>
      <w:hyperlink r:id="rId25" w:history="1">
        <w:r w:rsidR="007B4A17" w:rsidRPr="00F534ED">
          <w:rPr>
            <w:rStyle w:val="Hyperlink"/>
            <w:rFonts w:ascii="Times New Roman" w:hAnsi="Times New Roman" w:cs="Times New Roman"/>
          </w:rPr>
          <w:t>https://doi.org/10.3390/microbiolres14020037</w:t>
        </w:r>
      </w:hyperlink>
    </w:p>
    <w:p w:rsidR="00667B58" w:rsidRPr="00667B58" w:rsidRDefault="00667B58" w:rsidP="00667B58">
      <w:pPr>
        <w:numPr>
          <w:ilvl w:val="0"/>
          <w:numId w:val="4"/>
        </w:numPr>
        <w:rPr>
          <w:rFonts w:ascii="Times New Roman" w:hAnsi="Times New Roman" w:cs="Times New Roman"/>
        </w:rPr>
      </w:pPr>
      <w:r w:rsidRPr="00667B58">
        <w:rPr>
          <w:rFonts w:ascii="Times New Roman" w:hAnsi="Times New Roman" w:cs="Times New Roman"/>
        </w:rPr>
        <w:t xml:space="preserve">Mordvinov, V., &amp; </w:t>
      </w:r>
      <w:proofErr w:type="spellStart"/>
      <w:r w:rsidRPr="00667B58">
        <w:rPr>
          <w:rFonts w:ascii="Times New Roman" w:hAnsi="Times New Roman" w:cs="Times New Roman"/>
        </w:rPr>
        <w:t>Pakharukova</w:t>
      </w:r>
      <w:proofErr w:type="spellEnd"/>
      <w:r w:rsidRPr="00667B58">
        <w:rPr>
          <w:rFonts w:ascii="Times New Roman" w:hAnsi="Times New Roman" w:cs="Times New Roman"/>
        </w:rPr>
        <w:t xml:space="preserve">, M. (2022). Xenobiotic-metabolizing enzymes in trematodes. </w:t>
      </w:r>
      <w:r w:rsidRPr="00667B58">
        <w:rPr>
          <w:rFonts w:ascii="Times New Roman" w:hAnsi="Times New Roman" w:cs="Times New Roman"/>
          <w:i/>
          <w:iCs/>
        </w:rPr>
        <w:t>Biomedicines, 10</w:t>
      </w:r>
      <w:r w:rsidRPr="00667B58">
        <w:rPr>
          <w:rFonts w:ascii="Times New Roman" w:hAnsi="Times New Roman" w:cs="Times New Roman"/>
        </w:rPr>
        <w:t>(12), 3039.</w:t>
      </w:r>
      <w:hyperlink r:id="rId26" w:history="1">
        <w:r w:rsidR="007B4A17" w:rsidRPr="00F534ED">
          <w:rPr>
            <w:rStyle w:val="Hyperlink"/>
            <w:rFonts w:ascii="Times New Roman" w:hAnsi="Times New Roman" w:cs="Times New Roman"/>
          </w:rPr>
          <w:t>https://doi.org/10.3390/biomedicines10123039</w:t>
        </w:r>
      </w:hyperlink>
    </w:p>
    <w:p w:rsidR="00667B58" w:rsidRPr="00667B58" w:rsidRDefault="00667B58" w:rsidP="00667B58">
      <w:pPr>
        <w:numPr>
          <w:ilvl w:val="0"/>
          <w:numId w:val="4"/>
        </w:numPr>
        <w:rPr>
          <w:rFonts w:ascii="Times New Roman" w:hAnsi="Times New Roman" w:cs="Times New Roman"/>
        </w:rPr>
      </w:pPr>
      <w:r w:rsidRPr="00667B58">
        <w:rPr>
          <w:rFonts w:ascii="Times New Roman" w:hAnsi="Times New Roman" w:cs="Times New Roman"/>
        </w:rPr>
        <w:t xml:space="preserve">Deji-Oloruntoba, O. O., </w:t>
      </w:r>
      <w:proofErr w:type="spellStart"/>
      <w:r w:rsidRPr="00667B58">
        <w:rPr>
          <w:rFonts w:ascii="Times New Roman" w:hAnsi="Times New Roman" w:cs="Times New Roman"/>
        </w:rPr>
        <w:t>Elufioye</w:t>
      </w:r>
      <w:proofErr w:type="spellEnd"/>
      <w:r w:rsidRPr="00667B58">
        <w:rPr>
          <w:rFonts w:ascii="Times New Roman" w:hAnsi="Times New Roman" w:cs="Times New Roman"/>
        </w:rPr>
        <w:t xml:space="preserve">, T. O., </w:t>
      </w:r>
      <w:proofErr w:type="spellStart"/>
      <w:r w:rsidRPr="00667B58">
        <w:rPr>
          <w:rFonts w:ascii="Times New Roman" w:hAnsi="Times New Roman" w:cs="Times New Roman"/>
        </w:rPr>
        <w:t>Adefegha</w:t>
      </w:r>
      <w:proofErr w:type="spellEnd"/>
      <w:r w:rsidRPr="00667B58">
        <w:rPr>
          <w:rFonts w:ascii="Times New Roman" w:hAnsi="Times New Roman" w:cs="Times New Roman"/>
        </w:rPr>
        <w:t xml:space="preserve">, S. A., &amp; Jang, M. (2025). Can </w:t>
      </w:r>
      <w:r w:rsidRPr="00667B58">
        <w:rPr>
          <w:rFonts w:ascii="Times New Roman" w:hAnsi="Times New Roman" w:cs="Times New Roman"/>
          <w:i/>
          <w:iCs/>
        </w:rPr>
        <w:t>Caenorhabditis elegans</w:t>
      </w:r>
      <w:r w:rsidRPr="00667B58">
        <w:rPr>
          <w:rFonts w:ascii="Times New Roman" w:hAnsi="Times New Roman" w:cs="Times New Roman"/>
        </w:rPr>
        <w:t xml:space="preserve"> serve as a reliable model for drug and nutraceutical discovery? </w:t>
      </w:r>
      <w:r w:rsidRPr="00667B58">
        <w:rPr>
          <w:rFonts w:ascii="Times New Roman" w:hAnsi="Times New Roman" w:cs="Times New Roman"/>
          <w:i/>
          <w:iCs/>
        </w:rPr>
        <w:t xml:space="preserve">Applied </w:t>
      </w:r>
      <w:proofErr w:type="spellStart"/>
      <w:r w:rsidRPr="00667B58">
        <w:rPr>
          <w:rFonts w:ascii="Times New Roman" w:hAnsi="Times New Roman" w:cs="Times New Roman"/>
          <w:i/>
          <w:iCs/>
        </w:rPr>
        <w:t>Biosciences</w:t>
      </w:r>
      <w:r w:rsidRPr="00667B58">
        <w:rPr>
          <w:rFonts w:ascii="Times New Roman" w:hAnsi="Times New Roman" w:cs="Times New Roman"/>
        </w:rPr>
        <w:t>.</w:t>
      </w:r>
      <w:hyperlink r:id="rId27" w:history="1">
        <w:r w:rsidR="007B4A17" w:rsidRPr="00F534ED">
          <w:rPr>
            <w:rStyle w:val="Hyperlink"/>
            <w:rFonts w:ascii="Times New Roman" w:hAnsi="Times New Roman" w:cs="Times New Roman"/>
          </w:rPr>
          <w:t>https</w:t>
        </w:r>
        <w:proofErr w:type="spellEnd"/>
        <w:r w:rsidR="007B4A17" w:rsidRPr="00F534ED">
          <w:rPr>
            <w:rStyle w:val="Hyperlink"/>
            <w:rFonts w:ascii="Times New Roman" w:hAnsi="Times New Roman" w:cs="Times New Roman"/>
          </w:rPr>
          <w:t>://doi.org/10.3390/applbiosci4020023</w:t>
        </w:r>
      </w:hyperlink>
    </w:p>
    <w:p w:rsidR="00667B58" w:rsidRPr="00667B58" w:rsidRDefault="00667B58" w:rsidP="00667B58">
      <w:pPr>
        <w:numPr>
          <w:ilvl w:val="0"/>
          <w:numId w:val="4"/>
        </w:numPr>
        <w:rPr>
          <w:rFonts w:ascii="Times New Roman" w:hAnsi="Times New Roman" w:cs="Times New Roman"/>
        </w:rPr>
      </w:pPr>
      <w:r w:rsidRPr="00667B58">
        <w:rPr>
          <w:rFonts w:ascii="Times New Roman" w:hAnsi="Times New Roman" w:cs="Times New Roman"/>
        </w:rPr>
        <w:t xml:space="preserve">Lawal, O. P., Babatunde, J. O., Owusu-Ansah, S., et al. (2025). Antibiogram and molecular characterization of extended-spectrum beta-lactamase-producing </w:t>
      </w:r>
      <w:r w:rsidRPr="00667B58">
        <w:rPr>
          <w:rFonts w:ascii="Times New Roman" w:hAnsi="Times New Roman" w:cs="Times New Roman"/>
          <w:i/>
          <w:iCs/>
        </w:rPr>
        <w:t>Klebsiella pneumoniae</w:t>
      </w:r>
      <w:r w:rsidRPr="00667B58">
        <w:rPr>
          <w:rFonts w:ascii="Times New Roman" w:hAnsi="Times New Roman" w:cs="Times New Roman"/>
        </w:rPr>
        <w:t xml:space="preserve"> in a Nigerian teaching hospital. </w:t>
      </w:r>
      <w:r w:rsidRPr="00667B58">
        <w:rPr>
          <w:rFonts w:ascii="Times New Roman" w:hAnsi="Times New Roman" w:cs="Times New Roman"/>
          <w:i/>
          <w:iCs/>
        </w:rPr>
        <w:t xml:space="preserve">Microbes, Infection and </w:t>
      </w:r>
      <w:proofErr w:type="spellStart"/>
      <w:r w:rsidRPr="00667B58">
        <w:rPr>
          <w:rFonts w:ascii="Times New Roman" w:hAnsi="Times New Roman" w:cs="Times New Roman"/>
          <w:i/>
          <w:iCs/>
        </w:rPr>
        <w:t>Chemotherapy</w:t>
      </w:r>
      <w:r w:rsidRPr="00667B58">
        <w:rPr>
          <w:rFonts w:ascii="Times New Roman" w:hAnsi="Times New Roman" w:cs="Times New Roman"/>
        </w:rPr>
        <w:t>.</w:t>
      </w:r>
      <w:hyperlink r:id="rId28" w:history="1">
        <w:r w:rsidR="007B4A17" w:rsidRPr="00F534ED">
          <w:rPr>
            <w:rStyle w:val="Hyperlink"/>
            <w:rFonts w:ascii="Times New Roman" w:hAnsi="Times New Roman" w:cs="Times New Roman"/>
          </w:rPr>
          <w:t>https</w:t>
        </w:r>
        <w:proofErr w:type="spellEnd"/>
        <w:r w:rsidR="007B4A17" w:rsidRPr="00F534ED">
          <w:rPr>
            <w:rStyle w:val="Hyperlink"/>
            <w:rFonts w:ascii="Times New Roman" w:hAnsi="Times New Roman" w:cs="Times New Roman"/>
          </w:rPr>
          <w:t>://doi.org/10.54034/mic.e2305</w:t>
        </w:r>
      </w:hyperlink>
    </w:p>
    <w:p w:rsidR="00667B58" w:rsidRPr="00667B58" w:rsidRDefault="00667B58" w:rsidP="00667B58">
      <w:pPr>
        <w:numPr>
          <w:ilvl w:val="0"/>
          <w:numId w:val="4"/>
        </w:numPr>
        <w:rPr>
          <w:rFonts w:ascii="Times New Roman" w:hAnsi="Times New Roman" w:cs="Times New Roman"/>
        </w:rPr>
      </w:pPr>
      <w:r w:rsidRPr="00667B58">
        <w:rPr>
          <w:rFonts w:ascii="Times New Roman" w:hAnsi="Times New Roman" w:cs="Times New Roman"/>
        </w:rPr>
        <w:t xml:space="preserve">Lawal, O., Babatunde, E. T., Muhammed, I., </w:t>
      </w:r>
      <w:proofErr w:type="spellStart"/>
      <w:r w:rsidRPr="00667B58">
        <w:rPr>
          <w:rFonts w:ascii="Times New Roman" w:hAnsi="Times New Roman" w:cs="Times New Roman"/>
        </w:rPr>
        <w:t>Okiki</w:t>
      </w:r>
      <w:proofErr w:type="spellEnd"/>
      <w:r w:rsidRPr="00667B58">
        <w:rPr>
          <w:rFonts w:ascii="Times New Roman" w:hAnsi="Times New Roman" w:cs="Times New Roman"/>
        </w:rPr>
        <w:t xml:space="preserve">, Q. N., Chibueze, E. S., David, V. O., et al. (2025). Comparative genomics of zoonotic pathogens: Genetic determinants of host </w:t>
      </w:r>
      <w:r w:rsidRPr="00667B58">
        <w:rPr>
          <w:rFonts w:ascii="Times New Roman" w:hAnsi="Times New Roman" w:cs="Times New Roman"/>
        </w:rPr>
        <w:lastRenderedPageBreak/>
        <w:t xml:space="preserve">switching and cross-species transmission. </w:t>
      </w:r>
      <w:r w:rsidRPr="00667B58">
        <w:rPr>
          <w:rFonts w:ascii="Times New Roman" w:hAnsi="Times New Roman" w:cs="Times New Roman"/>
          <w:i/>
          <w:iCs/>
        </w:rPr>
        <w:t>Journal of Clinical Medicine of Kazakhstan, 22</w:t>
      </w:r>
      <w:r w:rsidRPr="00667B58">
        <w:rPr>
          <w:rFonts w:ascii="Times New Roman" w:hAnsi="Times New Roman" w:cs="Times New Roman"/>
        </w:rPr>
        <w:t>(5), 80–92.</w:t>
      </w:r>
      <w:r w:rsidRPr="00667B58">
        <w:rPr>
          <w:rFonts w:ascii="Times New Roman" w:hAnsi="Times New Roman" w:cs="Times New Roman"/>
        </w:rPr>
        <w:br/>
        <w:t xml:space="preserve">Available from: </w:t>
      </w:r>
      <w:hyperlink r:id="rId29" w:history="1">
        <w:r w:rsidRPr="00667B58">
          <w:rPr>
            <w:rStyle w:val="Hyperlink"/>
            <w:rFonts w:ascii="Times New Roman" w:hAnsi="Times New Roman" w:cs="Times New Roman"/>
          </w:rPr>
          <w:t>https://www.clinmedkaz.org</w:t>
        </w:r>
      </w:hyperlink>
    </w:p>
    <w:p w:rsidR="00667B58" w:rsidRPr="00667B58" w:rsidRDefault="00667B58" w:rsidP="00667B58">
      <w:pPr>
        <w:numPr>
          <w:ilvl w:val="0"/>
          <w:numId w:val="4"/>
        </w:numPr>
        <w:rPr>
          <w:rFonts w:ascii="Times New Roman" w:hAnsi="Times New Roman" w:cs="Times New Roman"/>
        </w:rPr>
      </w:pPr>
      <w:r w:rsidRPr="00667B58">
        <w:rPr>
          <w:rFonts w:ascii="Times New Roman" w:hAnsi="Times New Roman" w:cs="Times New Roman"/>
        </w:rPr>
        <w:t xml:space="preserve">Lawal, O. P., Igwe, E. P., </w:t>
      </w:r>
      <w:proofErr w:type="spellStart"/>
      <w:r w:rsidRPr="00667B58">
        <w:rPr>
          <w:rFonts w:ascii="Times New Roman" w:hAnsi="Times New Roman" w:cs="Times New Roman"/>
        </w:rPr>
        <w:t>Olosunde</w:t>
      </w:r>
      <w:proofErr w:type="spellEnd"/>
      <w:r w:rsidRPr="00667B58">
        <w:rPr>
          <w:rFonts w:ascii="Times New Roman" w:hAnsi="Times New Roman" w:cs="Times New Roman"/>
        </w:rPr>
        <w:t xml:space="preserve">, A., et al. (2025). Integrating real-time data and machine learning in predicting infectious disease outbreaks: Enhancing response strategies in Sub-Saharan Africa. </w:t>
      </w:r>
      <w:r w:rsidRPr="00667B58">
        <w:rPr>
          <w:rFonts w:ascii="Times New Roman" w:hAnsi="Times New Roman" w:cs="Times New Roman"/>
          <w:i/>
          <w:iCs/>
        </w:rPr>
        <w:t>Asian Journal of Microbiology and Biotechnology, 10</w:t>
      </w:r>
      <w:r w:rsidRPr="00667B58">
        <w:rPr>
          <w:rFonts w:ascii="Times New Roman" w:hAnsi="Times New Roman" w:cs="Times New Roman"/>
        </w:rPr>
        <w:t>(1), 147–163.</w:t>
      </w:r>
      <w:hyperlink r:id="rId30" w:history="1">
        <w:r w:rsidR="007B4A17" w:rsidRPr="00F534ED">
          <w:rPr>
            <w:rStyle w:val="Hyperlink"/>
            <w:rFonts w:ascii="Times New Roman" w:hAnsi="Times New Roman" w:cs="Times New Roman"/>
          </w:rPr>
          <w:t>https://doi.org/10.56557/ajmab/2025/v10i19371</w:t>
        </w:r>
      </w:hyperlink>
    </w:p>
    <w:p w:rsidR="00667B58" w:rsidRPr="00667B58" w:rsidRDefault="00667B58" w:rsidP="00667B58">
      <w:pPr>
        <w:numPr>
          <w:ilvl w:val="0"/>
          <w:numId w:val="4"/>
        </w:numPr>
        <w:rPr>
          <w:rFonts w:ascii="Times New Roman" w:hAnsi="Times New Roman" w:cs="Times New Roman"/>
        </w:rPr>
      </w:pPr>
      <w:r w:rsidRPr="00667B58">
        <w:rPr>
          <w:rFonts w:ascii="Times New Roman" w:hAnsi="Times New Roman" w:cs="Times New Roman"/>
        </w:rPr>
        <w:t xml:space="preserve">Balogun, A. K., Ibiam, V. A., </w:t>
      </w:r>
      <w:proofErr w:type="spellStart"/>
      <w:r w:rsidRPr="00667B58">
        <w:rPr>
          <w:rFonts w:ascii="Times New Roman" w:hAnsi="Times New Roman" w:cs="Times New Roman"/>
        </w:rPr>
        <w:t>Otesanya</w:t>
      </w:r>
      <w:proofErr w:type="spellEnd"/>
      <w:r w:rsidRPr="00667B58">
        <w:rPr>
          <w:rFonts w:ascii="Times New Roman" w:hAnsi="Times New Roman" w:cs="Times New Roman"/>
        </w:rPr>
        <w:t xml:space="preserve">, O. A., &amp; Agbo-Adediran, B. E. (2025). Policy advocacy for inclusive healthcare access from a social work perspective. </w:t>
      </w:r>
      <w:r w:rsidRPr="00667B58">
        <w:rPr>
          <w:rFonts w:ascii="Times New Roman" w:hAnsi="Times New Roman" w:cs="Times New Roman"/>
          <w:i/>
          <w:iCs/>
        </w:rPr>
        <w:t>International Journal of Science and Research Archive, 14</w:t>
      </w:r>
      <w:r w:rsidRPr="00667B58">
        <w:rPr>
          <w:rFonts w:ascii="Times New Roman" w:hAnsi="Times New Roman" w:cs="Times New Roman"/>
        </w:rPr>
        <w:t>(1), 1407–1415.</w:t>
      </w:r>
      <w:hyperlink r:id="rId31" w:history="1">
        <w:r w:rsidR="007B4A17" w:rsidRPr="00F534ED">
          <w:rPr>
            <w:rStyle w:val="Hyperlink"/>
            <w:rFonts w:ascii="Times New Roman" w:hAnsi="Times New Roman" w:cs="Times New Roman"/>
          </w:rPr>
          <w:t>https://doi.org/10.30574/ijsra.2025.14.1.0224</w:t>
        </w:r>
      </w:hyperlink>
    </w:p>
    <w:p w:rsidR="00667B58" w:rsidRPr="00667B58" w:rsidRDefault="00667B58" w:rsidP="00667B58">
      <w:pPr>
        <w:numPr>
          <w:ilvl w:val="0"/>
          <w:numId w:val="4"/>
        </w:numPr>
        <w:rPr>
          <w:rFonts w:ascii="Times New Roman" w:hAnsi="Times New Roman" w:cs="Times New Roman"/>
        </w:rPr>
      </w:pPr>
      <w:r w:rsidRPr="00667B58">
        <w:rPr>
          <w:rFonts w:ascii="Times New Roman" w:hAnsi="Times New Roman" w:cs="Times New Roman"/>
        </w:rPr>
        <w:t>Nwokedi, V. U., Akanbi, O. O., Ayo-</w:t>
      </w:r>
      <w:proofErr w:type="spellStart"/>
      <w:r w:rsidRPr="00667B58">
        <w:rPr>
          <w:rFonts w:ascii="Times New Roman" w:hAnsi="Times New Roman" w:cs="Times New Roman"/>
        </w:rPr>
        <w:t>ige</w:t>
      </w:r>
      <w:proofErr w:type="spellEnd"/>
      <w:r w:rsidRPr="00667B58">
        <w:rPr>
          <w:rFonts w:ascii="Times New Roman" w:hAnsi="Times New Roman" w:cs="Times New Roman"/>
        </w:rPr>
        <w:t xml:space="preserve">, B. A., et al. (2025). Evaluating the role and impact of international collaboration and partnerships on the control, prevention, and elimination of parasitic diseases: A global health perspective. </w:t>
      </w:r>
      <w:r w:rsidRPr="00667B58">
        <w:rPr>
          <w:rFonts w:ascii="Times New Roman" w:hAnsi="Times New Roman" w:cs="Times New Roman"/>
          <w:i/>
          <w:iCs/>
        </w:rPr>
        <w:t>Australian Journal of Biomedical Research, 1</w:t>
      </w:r>
      <w:r w:rsidRPr="00667B58">
        <w:rPr>
          <w:rFonts w:ascii="Times New Roman" w:hAnsi="Times New Roman" w:cs="Times New Roman"/>
        </w:rPr>
        <w:t>(2), aubm009.</w:t>
      </w:r>
      <w:hyperlink r:id="rId32" w:history="1">
        <w:r w:rsidR="007B4A17" w:rsidRPr="00F534ED">
          <w:rPr>
            <w:rStyle w:val="Hyperlink"/>
            <w:rFonts w:ascii="Times New Roman" w:hAnsi="Times New Roman" w:cs="Times New Roman"/>
          </w:rPr>
          <w:t>https://doi.org/10.63946/aubiomed/17426</w:t>
        </w:r>
      </w:hyperlink>
    </w:p>
    <w:p w:rsidR="00667B58" w:rsidRPr="00667B58" w:rsidRDefault="00667B58" w:rsidP="00667B58">
      <w:pPr>
        <w:numPr>
          <w:ilvl w:val="0"/>
          <w:numId w:val="4"/>
        </w:numPr>
        <w:rPr>
          <w:rFonts w:ascii="Times New Roman" w:hAnsi="Times New Roman" w:cs="Times New Roman"/>
        </w:rPr>
      </w:pPr>
      <w:r w:rsidRPr="00667B58">
        <w:rPr>
          <w:rFonts w:ascii="Times New Roman" w:hAnsi="Times New Roman" w:cs="Times New Roman"/>
        </w:rPr>
        <w:t xml:space="preserve">Nwosu, P. C., Egwuatu, E. C., Wright, A. K. A., et al. (2024). Diabetic foot ulcers in Africa: A systematic review of microbial profiles and clinical outcomes in the context of multidrug resistance. </w:t>
      </w:r>
      <w:r w:rsidRPr="00667B58">
        <w:rPr>
          <w:rFonts w:ascii="Times New Roman" w:hAnsi="Times New Roman" w:cs="Times New Roman"/>
          <w:i/>
          <w:iCs/>
        </w:rPr>
        <w:t xml:space="preserve">Epidemiology and Health Data </w:t>
      </w:r>
      <w:proofErr w:type="spellStart"/>
      <w:r w:rsidRPr="00667B58">
        <w:rPr>
          <w:rFonts w:ascii="Times New Roman" w:hAnsi="Times New Roman" w:cs="Times New Roman"/>
          <w:i/>
          <w:iCs/>
        </w:rPr>
        <w:t>Insights</w:t>
      </w:r>
      <w:r w:rsidRPr="00667B58">
        <w:rPr>
          <w:rFonts w:ascii="Times New Roman" w:hAnsi="Times New Roman" w:cs="Times New Roman"/>
        </w:rPr>
        <w:t>.</w:t>
      </w:r>
      <w:hyperlink r:id="rId33" w:history="1">
        <w:r w:rsidR="007B4A17" w:rsidRPr="00F534ED">
          <w:rPr>
            <w:rStyle w:val="Hyperlink"/>
            <w:rFonts w:ascii="Times New Roman" w:hAnsi="Times New Roman" w:cs="Times New Roman"/>
          </w:rPr>
          <w:t>https</w:t>
        </w:r>
        <w:proofErr w:type="spellEnd"/>
        <w:r w:rsidR="007B4A17" w:rsidRPr="00F534ED">
          <w:rPr>
            <w:rStyle w:val="Hyperlink"/>
            <w:rFonts w:ascii="Times New Roman" w:hAnsi="Times New Roman" w:cs="Times New Roman"/>
          </w:rPr>
          <w:t>://doi.org/10.1093/ehdi/ehdi022</w:t>
        </w:r>
      </w:hyperlink>
    </w:p>
    <w:p w:rsidR="00667B58" w:rsidRPr="00667B58" w:rsidRDefault="00667B58" w:rsidP="00667B58">
      <w:pPr>
        <w:numPr>
          <w:ilvl w:val="0"/>
          <w:numId w:val="4"/>
        </w:numPr>
        <w:rPr>
          <w:rFonts w:ascii="Times New Roman" w:hAnsi="Times New Roman" w:cs="Times New Roman"/>
        </w:rPr>
      </w:pPr>
      <w:r w:rsidRPr="00667B58">
        <w:rPr>
          <w:rFonts w:ascii="Times New Roman" w:hAnsi="Times New Roman" w:cs="Times New Roman"/>
        </w:rPr>
        <w:t xml:space="preserve">Balogun, A. K., Atta, J. A., </w:t>
      </w:r>
      <w:proofErr w:type="spellStart"/>
      <w:r w:rsidRPr="00667B58">
        <w:rPr>
          <w:rFonts w:ascii="Times New Roman" w:hAnsi="Times New Roman" w:cs="Times New Roman"/>
        </w:rPr>
        <w:t>Oyetubo</w:t>
      </w:r>
      <w:proofErr w:type="spellEnd"/>
      <w:r w:rsidRPr="00667B58">
        <w:rPr>
          <w:rFonts w:ascii="Times New Roman" w:hAnsi="Times New Roman" w:cs="Times New Roman"/>
        </w:rPr>
        <w:t>, O. M., Ibiam, V. A., Bakare-</w:t>
      </w:r>
      <w:proofErr w:type="spellStart"/>
      <w:r w:rsidRPr="00667B58">
        <w:rPr>
          <w:rFonts w:ascii="Times New Roman" w:hAnsi="Times New Roman" w:cs="Times New Roman"/>
        </w:rPr>
        <w:t>Adesokan</w:t>
      </w:r>
      <w:proofErr w:type="spellEnd"/>
      <w:r w:rsidRPr="00667B58">
        <w:rPr>
          <w:rFonts w:ascii="Times New Roman" w:hAnsi="Times New Roman" w:cs="Times New Roman"/>
        </w:rPr>
        <w:t xml:space="preserve">, K. A., &amp; Ojo, T. O. (2025). Developing culturally competent models for inclusive social work and healthcare interventions. </w:t>
      </w:r>
      <w:r w:rsidRPr="00667B58">
        <w:rPr>
          <w:rFonts w:ascii="Times New Roman" w:hAnsi="Times New Roman" w:cs="Times New Roman"/>
          <w:i/>
          <w:iCs/>
        </w:rPr>
        <w:t>International Journal of Scientific Research Archive, 14</w:t>
      </w:r>
      <w:r w:rsidRPr="00667B58">
        <w:rPr>
          <w:rFonts w:ascii="Times New Roman" w:hAnsi="Times New Roman" w:cs="Times New Roman"/>
        </w:rPr>
        <w:t>(1), 1396–1406.</w:t>
      </w:r>
      <w:hyperlink r:id="rId34" w:history="1">
        <w:r w:rsidR="007B4A17" w:rsidRPr="00F534ED">
          <w:rPr>
            <w:rStyle w:val="Hyperlink"/>
            <w:rFonts w:ascii="Times New Roman" w:hAnsi="Times New Roman" w:cs="Times New Roman"/>
          </w:rPr>
          <w:t>https://doi.org/10.5281/zenodo.10460000</w:t>
        </w:r>
      </w:hyperlink>
    </w:p>
    <w:p w:rsidR="00667B58" w:rsidRPr="00667B58" w:rsidRDefault="00667B58" w:rsidP="00667B58">
      <w:pPr>
        <w:numPr>
          <w:ilvl w:val="0"/>
          <w:numId w:val="4"/>
        </w:numPr>
        <w:rPr>
          <w:rFonts w:ascii="Times New Roman" w:hAnsi="Times New Roman" w:cs="Times New Roman"/>
        </w:rPr>
      </w:pPr>
      <w:r w:rsidRPr="00667B58">
        <w:rPr>
          <w:rFonts w:ascii="Times New Roman" w:hAnsi="Times New Roman" w:cs="Times New Roman"/>
        </w:rPr>
        <w:t xml:space="preserve">Sherry, N. L., Lee, J. Y. H., </w:t>
      </w:r>
      <w:proofErr w:type="spellStart"/>
      <w:r w:rsidRPr="00667B58">
        <w:rPr>
          <w:rFonts w:ascii="Times New Roman" w:hAnsi="Times New Roman" w:cs="Times New Roman"/>
        </w:rPr>
        <w:t>Giulieri</w:t>
      </w:r>
      <w:proofErr w:type="spellEnd"/>
      <w:r w:rsidRPr="00667B58">
        <w:rPr>
          <w:rFonts w:ascii="Times New Roman" w:hAnsi="Times New Roman" w:cs="Times New Roman"/>
        </w:rPr>
        <w:t xml:space="preserve">, S. G., et al. (2025). Genomics for antimicrobial resistance—Progress and future directions. </w:t>
      </w:r>
      <w:r w:rsidRPr="00667B58">
        <w:rPr>
          <w:rFonts w:ascii="Times New Roman" w:hAnsi="Times New Roman" w:cs="Times New Roman"/>
          <w:i/>
          <w:iCs/>
        </w:rPr>
        <w:t>Antimicrobial Agents and Chemotherapy, 69</w:t>
      </w:r>
      <w:r w:rsidRPr="00667B58">
        <w:rPr>
          <w:rFonts w:ascii="Times New Roman" w:hAnsi="Times New Roman" w:cs="Times New Roman"/>
        </w:rPr>
        <w:t>(5), e01082-24.</w:t>
      </w:r>
      <w:hyperlink r:id="rId35" w:history="1">
        <w:r w:rsidR="007B4A17" w:rsidRPr="00F534ED">
          <w:rPr>
            <w:rStyle w:val="Hyperlink"/>
            <w:rFonts w:ascii="Times New Roman" w:hAnsi="Times New Roman" w:cs="Times New Roman"/>
          </w:rPr>
          <w:t>https://doi.org/10.1128/aac.01082-24</w:t>
        </w:r>
      </w:hyperlink>
    </w:p>
    <w:p w:rsidR="00667B58" w:rsidRPr="00667B58" w:rsidRDefault="00667B58" w:rsidP="00667B58">
      <w:pPr>
        <w:numPr>
          <w:ilvl w:val="0"/>
          <w:numId w:val="4"/>
        </w:numPr>
        <w:rPr>
          <w:rFonts w:ascii="Times New Roman" w:hAnsi="Times New Roman" w:cs="Times New Roman"/>
        </w:rPr>
      </w:pPr>
      <w:r w:rsidRPr="00667B58">
        <w:rPr>
          <w:rFonts w:ascii="Times New Roman" w:hAnsi="Times New Roman" w:cs="Times New Roman"/>
        </w:rPr>
        <w:t xml:space="preserve">Yussuf, M. D., Umeh, I. E., Kolawole, H. O., et al. (2025). The role of hormones in the onset and progression of endocrine and </w:t>
      </w:r>
      <w:proofErr w:type="spellStart"/>
      <w:r w:rsidRPr="00667B58">
        <w:rPr>
          <w:rFonts w:ascii="Times New Roman" w:hAnsi="Times New Roman" w:cs="Times New Roman"/>
        </w:rPr>
        <w:t>gynaecological</w:t>
      </w:r>
      <w:proofErr w:type="spellEnd"/>
      <w:r w:rsidRPr="00667B58">
        <w:rPr>
          <w:rFonts w:ascii="Times New Roman" w:hAnsi="Times New Roman" w:cs="Times New Roman"/>
        </w:rPr>
        <w:t xml:space="preserve"> cancers. </w:t>
      </w:r>
      <w:r w:rsidRPr="00667B58">
        <w:rPr>
          <w:rFonts w:ascii="Times New Roman" w:hAnsi="Times New Roman" w:cs="Times New Roman"/>
          <w:i/>
          <w:iCs/>
        </w:rPr>
        <w:t>International Journal of Advanced Biological and Biomedical Research, 13</w:t>
      </w:r>
      <w:r w:rsidRPr="00667B58">
        <w:rPr>
          <w:rFonts w:ascii="Times New Roman" w:hAnsi="Times New Roman" w:cs="Times New Roman"/>
        </w:rPr>
        <w:t>(5), 573–603.</w:t>
      </w:r>
      <w:r w:rsidRPr="00667B58">
        <w:rPr>
          <w:rFonts w:ascii="Times New Roman" w:hAnsi="Times New Roman" w:cs="Times New Roman"/>
        </w:rPr>
        <w:br/>
        <w:t xml:space="preserve">Available from: </w:t>
      </w:r>
      <w:hyperlink r:id="rId36" w:history="1">
        <w:r w:rsidRPr="00667B58">
          <w:rPr>
            <w:rStyle w:val="Hyperlink"/>
            <w:rFonts w:ascii="Times New Roman" w:hAnsi="Times New Roman" w:cs="Times New Roman"/>
          </w:rPr>
          <w:t>http://www.ijabbr.com</w:t>
        </w:r>
      </w:hyperlink>
    </w:p>
    <w:p w:rsidR="00667B58" w:rsidRPr="00667B58" w:rsidRDefault="00667B58" w:rsidP="00667B58">
      <w:pPr>
        <w:numPr>
          <w:ilvl w:val="0"/>
          <w:numId w:val="4"/>
        </w:numPr>
        <w:rPr>
          <w:rFonts w:ascii="Times New Roman" w:hAnsi="Times New Roman" w:cs="Times New Roman"/>
        </w:rPr>
      </w:pPr>
      <w:r w:rsidRPr="00667B58">
        <w:rPr>
          <w:rFonts w:ascii="Times New Roman" w:hAnsi="Times New Roman" w:cs="Times New Roman"/>
        </w:rPr>
        <w:t>Lawal, O. P., Opara, I. J., Ayo-</w:t>
      </w:r>
      <w:proofErr w:type="spellStart"/>
      <w:r w:rsidRPr="00667B58">
        <w:rPr>
          <w:rFonts w:ascii="Times New Roman" w:hAnsi="Times New Roman" w:cs="Times New Roman"/>
        </w:rPr>
        <w:t>ige</w:t>
      </w:r>
      <w:proofErr w:type="spellEnd"/>
      <w:r w:rsidRPr="00667B58">
        <w:rPr>
          <w:rFonts w:ascii="Times New Roman" w:hAnsi="Times New Roman" w:cs="Times New Roman"/>
        </w:rPr>
        <w:t xml:space="preserve">, A., et al. (2025). Artificial intelligence-integrated biosensors for antimicrobial resistance detection and surveillance: A review and future perspectives for global biosecurity. </w:t>
      </w:r>
      <w:proofErr w:type="spellStart"/>
      <w:r w:rsidRPr="00667B58">
        <w:rPr>
          <w:rFonts w:ascii="Times New Roman" w:hAnsi="Times New Roman" w:cs="Times New Roman"/>
          <w:i/>
          <w:iCs/>
        </w:rPr>
        <w:t>Cureus</w:t>
      </w:r>
      <w:r w:rsidRPr="00667B58">
        <w:rPr>
          <w:rFonts w:ascii="Times New Roman" w:hAnsi="Times New Roman" w:cs="Times New Roman"/>
        </w:rPr>
        <w:t>.</w:t>
      </w:r>
      <w:hyperlink r:id="rId37" w:history="1">
        <w:r w:rsidR="007B4A17" w:rsidRPr="00F534ED">
          <w:rPr>
            <w:rStyle w:val="Hyperlink"/>
            <w:rFonts w:ascii="Times New Roman" w:hAnsi="Times New Roman" w:cs="Times New Roman"/>
          </w:rPr>
          <w:t>https</w:t>
        </w:r>
        <w:proofErr w:type="spellEnd"/>
        <w:r w:rsidR="007B4A17" w:rsidRPr="00F534ED">
          <w:rPr>
            <w:rStyle w:val="Hyperlink"/>
            <w:rFonts w:ascii="Times New Roman" w:hAnsi="Times New Roman" w:cs="Times New Roman"/>
          </w:rPr>
          <w:t>://doi.org/10.7759/cureus.433730</w:t>
        </w:r>
      </w:hyperlink>
    </w:p>
    <w:p w:rsidR="00667B58" w:rsidRPr="00667B58" w:rsidRDefault="00667B58" w:rsidP="00667B58">
      <w:pPr>
        <w:numPr>
          <w:ilvl w:val="0"/>
          <w:numId w:val="4"/>
        </w:numPr>
        <w:rPr>
          <w:rFonts w:ascii="Times New Roman" w:hAnsi="Times New Roman" w:cs="Times New Roman"/>
        </w:rPr>
      </w:pPr>
      <w:r w:rsidRPr="00667B58">
        <w:rPr>
          <w:rFonts w:ascii="Times New Roman" w:hAnsi="Times New Roman" w:cs="Times New Roman"/>
        </w:rPr>
        <w:t xml:space="preserve">Jimoh, T. S., Mensah, E. K., Falakin, T. O., &amp; Blessing, A. A. (2025). Black soldier fly meal as a sustainable alternative to fishmeal in rainbow trout: Impacts on growth, nutrient </w:t>
      </w:r>
      <w:r w:rsidRPr="00667B58">
        <w:rPr>
          <w:rFonts w:ascii="Times New Roman" w:hAnsi="Times New Roman" w:cs="Times New Roman"/>
        </w:rPr>
        <w:lastRenderedPageBreak/>
        <w:t xml:space="preserve">utilization, and sustainability. </w:t>
      </w:r>
      <w:r w:rsidRPr="00667B58">
        <w:rPr>
          <w:rFonts w:ascii="Times New Roman" w:hAnsi="Times New Roman" w:cs="Times New Roman"/>
          <w:i/>
          <w:iCs/>
        </w:rPr>
        <w:t>Journal of Agriculture, Aquaculture, and Animal Science, 2</w:t>
      </w:r>
      <w:r w:rsidRPr="00667B58">
        <w:rPr>
          <w:rFonts w:ascii="Times New Roman" w:hAnsi="Times New Roman" w:cs="Times New Roman"/>
        </w:rPr>
        <w:t>(2), 103–111.</w:t>
      </w:r>
      <w:hyperlink r:id="rId38" w:history="1">
        <w:r w:rsidR="007B4A17" w:rsidRPr="00F534ED">
          <w:rPr>
            <w:rStyle w:val="Hyperlink"/>
            <w:rFonts w:ascii="Times New Roman" w:hAnsi="Times New Roman" w:cs="Times New Roman"/>
          </w:rPr>
          <w:t>https://doi.org/10.69739/jaaas.v2i2.1054</w:t>
        </w:r>
      </w:hyperlink>
    </w:p>
    <w:p w:rsidR="00667B58" w:rsidRPr="00667B58" w:rsidRDefault="00667B58" w:rsidP="00667B58">
      <w:pPr>
        <w:numPr>
          <w:ilvl w:val="0"/>
          <w:numId w:val="4"/>
        </w:numPr>
        <w:rPr>
          <w:rFonts w:ascii="Times New Roman" w:hAnsi="Times New Roman" w:cs="Times New Roman"/>
        </w:rPr>
      </w:pPr>
      <w:r w:rsidRPr="00667B58">
        <w:rPr>
          <w:rFonts w:ascii="Times New Roman" w:hAnsi="Times New Roman" w:cs="Times New Roman"/>
        </w:rPr>
        <w:t xml:space="preserve">Omale, L. E., Ibiam, V. A., </w:t>
      </w:r>
      <w:proofErr w:type="spellStart"/>
      <w:r w:rsidRPr="00667B58">
        <w:rPr>
          <w:rFonts w:ascii="Times New Roman" w:hAnsi="Times New Roman" w:cs="Times New Roman"/>
        </w:rPr>
        <w:t>Sidikat</w:t>
      </w:r>
      <w:proofErr w:type="spellEnd"/>
      <w:r w:rsidRPr="00667B58">
        <w:rPr>
          <w:rFonts w:ascii="Times New Roman" w:hAnsi="Times New Roman" w:cs="Times New Roman"/>
        </w:rPr>
        <w:t xml:space="preserve">, L. W., &amp; Taiwo, O. (2025). Transformative applications of artificial intelligence in infectious disease forecasting and public health decision support systems. </w:t>
      </w:r>
      <w:r w:rsidRPr="00667B58">
        <w:rPr>
          <w:rFonts w:ascii="Times New Roman" w:hAnsi="Times New Roman" w:cs="Times New Roman"/>
          <w:i/>
          <w:iCs/>
        </w:rPr>
        <w:t xml:space="preserve">World Journal of Advanced Research and </w:t>
      </w:r>
      <w:proofErr w:type="spellStart"/>
      <w:r w:rsidRPr="00667B58">
        <w:rPr>
          <w:rFonts w:ascii="Times New Roman" w:hAnsi="Times New Roman" w:cs="Times New Roman"/>
          <w:i/>
          <w:iCs/>
        </w:rPr>
        <w:t>Reviews</w:t>
      </w:r>
      <w:r w:rsidRPr="00667B58">
        <w:rPr>
          <w:rFonts w:ascii="Times New Roman" w:hAnsi="Times New Roman" w:cs="Times New Roman"/>
        </w:rPr>
        <w:t>.</w:t>
      </w:r>
      <w:hyperlink r:id="rId39" w:history="1">
        <w:r w:rsidR="007B4A17" w:rsidRPr="00F534ED">
          <w:rPr>
            <w:rStyle w:val="Hyperlink"/>
            <w:rFonts w:ascii="Times New Roman" w:hAnsi="Times New Roman" w:cs="Times New Roman"/>
          </w:rPr>
          <w:t>https</w:t>
        </w:r>
        <w:proofErr w:type="spellEnd"/>
        <w:r w:rsidR="007B4A17" w:rsidRPr="00F534ED">
          <w:rPr>
            <w:rStyle w:val="Hyperlink"/>
            <w:rFonts w:ascii="Times New Roman" w:hAnsi="Times New Roman" w:cs="Times New Roman"/>
          </w:rPr>
          <w:t>://doi.org/10.30574/wjarr.2025.25.3.1002</w:t>
        </w:r>
      </w:hyperlink>
    </w:p>
    <w:p w:rsidR="00667B58" w:rsidRPr="00667B58" w:rsidRDefault="00667B58" w:rsidP="00667B58">
      <w:pPr>
        <w:numPr>
          <w:ilvl w:val="0"/>
          <w:numId w:val="4"/>
        </w:numPr>
        <w:rPr>
          <w:rFonts w:ascii="Times New Roman" w:hAnsi="Times New Roman" w:cs="Times New Roman"/>
        </w:rPr>
      </w:pPr>
      <w:r w:rsidRPr="00667B58">
        <w:rPr>
          <w:rFonts w:ascii="Times New Roman" w:hAnsi="Times New Roman" w:cs="Times New Roman"/>
        </w:rPr>
        <w:t xml:space="preserve">Ibiam, V. A., Omale, L. E., &amp; Taiwo, O. (2025). The role of artificial intelligence models in clinical decision support for infectious disease diagnosis and personalized treatment planning. </w:t>
      </w:r>
      <w:r w:rsidRPr="00667B58">
        <w:rPr>
          <w:rFonts w:ascii="Times New Roman" w:hAnsi="Times New Roman" w:cs="Times New Roman"/>
          <w:i/>
          <w:iCs/>
        </w:rPr>
        <w:t>International Journal of Science and Research Archive, 14</w:t>
      </w:r>
      <w:r w:rsidRPr="00667B58">
        <w:rPr>
          <w:rFonts w:ascii="Times New Roman" w:hAnsi="Times New Roman" w:cs="Times New Roman"/>
        </w:rPr>
        <w:t>(3), 1337–1347.</w:t>
      </w:r>
      <w:hyperlink r:id="rId40" w:history="1">
        <w:r w:rsidR="007B4A17" w:rsidRPr="00F534ED">
          <w:rPr>
            <w:rStyle w:val="Hyperlink"/>
            <w:rFonts w:ascii="Times New Roman" w:hAnsi="Times New Roman" w:cs="Times New Roman"/>
          </w:rPr>
          <w:t>https://doi.org/10.30574/ijsra.2025.14.3.0769</w:t>
        </w:r>
      </w:hyperlink>
    </w:p>
    <w:p w:rsidR="007A7561" w:rsidRDefault="007A7561" w:rsidP="00667B58"/>
    <w:sectPr w:rsidR="007A7561" w:rsidSect="00E82B3A">
      <w:headerReference w:type="even" r:id="rId41"/>
      <w:headerReference w:type="default" r:id="rId42"/>
      <w:footerReference w:type="even" r:id="rId43"/>
      <w:footerReference w:type="default" r:id="rId44"/>
      <w:headerReference w:type="first" r:id="rId45"/>
      <w:footerReference w:type="first" r:id="rId4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C6A47" w:rsidRDefault="003C6A47" w:rsidP="00C37D4A">
      <w:pPr>
        <w:spacing w:after="0" w:line="240" w:lineRule="auto"/>
      </w:pPr>
      <w:r>
        <w:separator/>
      </w:r>
    </w:p>
  </w:endnote>
  <w:endnote w:type="continuationSeparator" w:id="0">
    <w:p w:rsidR="003C6A47" w:rsidRDefault="003C6A47" w:rsidP="00C37D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E4D27" w:rsidRDefault="00AE4D2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E4D27" w:rsidRDefault="00AE4D2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E4D27" w:rsidRDefault="00AE4D2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C6A47" w:rsidRDefault="003C6A47" w:rsidP="00C37D4A">
      <w:pPr>
        <w:spacing w:after="0" w:line="240" w:lineRule="auto"/>
      </w:pPr>
      <w:r>
        <w:separator/>
      </w:r>
    </w:p>
  </w:footnote>
  <w:footnote w:type="continuationSeparator" w:id="0">
    <w:p w:rsidR="003C6A47" w:rsidRDefault="003C6A47" w:rsidP="00C37D4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E4D27" w:rsidRDefault="003C6A47">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90044954" o:sp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E4D27" w:rsidRDefault="003C6A47">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90044955" o:sp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E4D27" w:rsidRDefault="003C6A47">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90044953"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013270F"/>
    <w:multiLevelType w:val="multilevel"/>
    <w:tmpl w:val="3D94AA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3F810C7"/>
    <w:multiLevelType w:val="multilevel"/>
    <w:tmpl w:val="C778FD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E326CB8"/>
    <w:multiLevelType w:val="multilevel"/>
    <w:tmpl w:val="1974C4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4CB52EC"/>
    <w:multiLevelType w:val="multilevel"/>
    <w:tmpl w:val="BC827D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59639A"/>
    <w:rsid w:val="00027337"/>
    <w:rsid w:val="00036ACE"/>
    <w:rsid w:val="0004444D"/>
    <w:rsid w:val="0009065C"/>
    <w:rsid w:val="000C5212"/>
    <w:rsid w:val="000D014F"/>
    <w:rsid w:val="000F1194"/>
    <w:rsid w:val="00112BA7"/>
    <w:rsid w:val="001222FE"/>
    <w:rsid w:val="00126949"/>
    <w:rsid w:val="0013453A"/>
    <w:rsid w:val="0014407D"/>
    <w:rsid w:val="001609A4"/>
    <w:rsid w:val="00181E4C"/>
    <w:rsid w:val="001B5CA0"/>
    <w:rsid w:val="001B5EE7"/>
    <w:rsid w:val="001C08D7"/>
    <w:rsid w:val="002212F3"/>
    <w:rsid w:val="00221E32"/>
    <w:rsid w:val="00281EAA"/>
    <w:rsid w:val="002A16D9"/>
    <w:rsid w:val="002C3D83"/>
    <w:rsid w:val="002C7E6D"/>
    <w:rsid w:val="002F4B40"/>
    <w:rsid w:val="002F6694"/>
    <w:rsid w:val="00374D0C"/>
    <w:rsid w:val="003C6A47"/>
    <w:rsid w:val="00403C7D"/>
    <w:rsid w:val="004570F4"/>
    <w:rsid w:val="004639AC"/>
    <w:rsid w:val="004875D2"/>
    <w:rsid w:val="004A6AA8"/>
    <w:rsid w:val="004C6E30"/>
    <w:rsid w:val="004D7448"/>
    <w:rsid w:val="005279DA"/>
    <w:rsid w:val="005539B0"/>
    <w:rsid w:val="0057409D"/>
    <w:rsid w:val="0059639A"/>
    <w:rsid w:val="005B26B1"/>
    <w:rsid w:val="005F37DD"/>
    <w:rsid w:val="00601849"/>
    <w:rsid w:val="00626A6E"/>
    <w:rsid w:val="00631CB8"/>
    <w:rsid w:val="00632A40"/>
    <w:rsid w:val="006444E0"/>
    <w:rsid w:val="00667B58"/>
    <w:rsid w:val="006C2338"/>
    <w:rsid w:val="006E547E"/>
    <w:rsid w:val="006F152D"/>
    <w:rsid w:val="00706731"/>
    <w:rsid w:val="007167F2"/>
    <w:rsid w:val="00732315"/>
    <w:rsid w:val="007835DC"/>
    <w:rsid w:val="00784448"/>
    <w:rsid w:val="007A7561"/>
    <w:rsid w:val="007B4A17"/>
    <w:rsid w:val="008143D9"/>
    <w:rsid w:val="00817693"/>
    <w:rsid w:val="00830D98"/>
    <w:rsid w:val="0087183A"/>
    <w:rsid w:val="008B1D54"/>
    <w:rsid w:val="009211BE"/>
    <w:rsid w:val="009A3723"/>
    <w:rsid w:val="009C1FD9"/>
    <w:rsid w:val="00A479AB"/>
    <w:rsid w:val="00A8362C"/>
    <w:rsid w:val="00A8516C"/>
    <w:rsid w:val="00A91706"/>
    <w:rsid w:val="00A93563"/>
    <w:rsid w:val="00A9369D"/>
    <w:rsid w:val="00AA15BA"/>
    <w:rsid w:val="00AD4C89"/>
    <w:rsid w:val="00AD780F"/>
    <w:rsid w:val="00AE4D27"/>
    <w:rsid w:val="00B00273"/>
    <w:rsid w:val="00B3412D"/>
    <w:rsid w:val="00B440CC"/>
    <w:rsid w:val="00B53F44"/>
    <w:rsid w:val="00B60520"/>
    <w:rsid w:val="00BB47BF"/>
    <w:rsid w:val="00BC16F8"/>
    <w:rsid w:val="00C017B6"/>
    <w:rsid w:val="00C03B1C"/>
    <w:rsid w:val="00C07B6A"/>
    <w:rsid w:val="00C120B5"/>
    <w:rsid w:val="00C37D4A"/>
    <w:rsid w:val="00C5330F"/>
    <w:rsid w:val="00C55F66"/>
    <w:rsid w:val="00C758D7"/>
    <w:rsid w:val="00C86CF2"/>
    <w:rsid w:val="00CB52AD"/>
    <w:rsid w:val="00CB6D4F"/>
    <w:rsid w:val="00CE5D7B"/>
    <w:rsid w:val="00D01819"/>
    <w:rsid w:val="00D23EDF"/>
    <w:rsid w:val="00D47335"/>
    <w:rsid w:val="00D53C9C"/>
    <w:rsid w:val="00D60564"/>
    <w:rsid w:val="00D73669"/>
    <w:rsid w:val="00DB180F"/>
    <w:rsid w:val="00DB2524"/>
    <w:rsid w:val="00DF4418"/>
    <w:rsid w:val="00E34434"/>
    <w:rsid w:val="00E34D38"/>
    <w:rsid w:val="00E6704E"/>
    <w:rsid w:val="00E81DAD"/>
    <w:rsid w:val="00E82B3A"/>
    <w:rsid w:val="00E90F39"/>
    <w:rsid w:val="00E91D8A"/>
    <w:rsid w:val="00EB6340"/>
    <w:rsid w:val="00F03516"/>
    <w:rsid w:val="00F133A4"/>
    <w:rsid w:val="00F23247"/>
    <w:rsid w:val="00F76BD5"/>
    <w:rsid w:val="00F96FF3"/>
    <w:rsid w:val="00F978E7"/>
    <w:rsid w:val="00FE25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E531919"/>
  <w15:docId w15:val="{CA5EAA87-4535-4ABB-B8A4-DD9759CE58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US" w:eastAsia="en-US" w:bidi="ar-SA"/>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82B3A"/>
  </w:style>
  <w:style w:type="paragraph" w:styleId="Heading1">
    <w:name w:val="heading 1"/>
    <w:basedOn w:val="Normal"/>
    <w:next w:val="Normal"/>
    <w:link w:val="Heading1Char"/>
    <w:uiPriority w:val="9"/>
    <w:qFormat/>
    <w:rsid w:val="0059639A"/>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59639A"/>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59639A"/>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59639A"/>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59639A"/>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59639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9639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9639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9639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9639A"/>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59639A"/>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59639A"/>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59639A"/>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59639A"/>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59639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9639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9639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9639A"/>
    <w:rPr>
      <w:rFonts w:eastAsiaTheme="majorEastAsia" w:cstheme="majorBidi"/>
      <w:color w:val="272727" w:themeColor="text1" w:themeTint="D8"/>
    </w:rPr>
  </w:style>
  <w:style w:type="paragraph" w:styleId="Title">
    <w:name w:val="Title"/>
    <w:basedOn w:val="Normal"/>
    <w:next w:val="Normal"/>
    <w:link w:val="TitleChar"/>
    <w:uiPriority w:val="10"/>
    <w:qFormat/>
    <w:rsid w:val="0059639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9639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9639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9639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9639A"/>
    <w:pPr>
      <w:spacing w:before="160"/>
      <w:jc w:val="center"/>
    </w:pPr>
    <w:rPr>
      <w:i/>
      <w:iCs/>
      <w:color w:val="404040" w:themeColor="text1" w:themeTint="BF"/>
    </w:rPr>
  </w:style>
  <w:style w:type="character" w:customStyle="1" w:styleId="QuoteChar">
    <w:name w:val="Quote Char"/>
    <w:basedOn w:val="DefaultParagraphFont"/>
    <w:link w:val="Quote"/>
    <w:uiPriority w:val="29"/>
    <w:rsid w:val="0059639A"/>
    <w:rPr>
      <w:i/>
      <w:iCs/>
      <w:color w:val="404040" w:themeColor="text1" w:themeTint="BF"/>
    </w:rPr>
  </w:style>
  <w:style w:type="paragraph" w:styleId="ListParagraph">
    <w:name w:val="List Paragraph"/>
    <w:basedOn w:val="Normal"/>
    <w:uiPriority w:val="34"/>
    <w:qFormat/>
    <w:rsid w:val="0059639A"/>
    <w:pPr>
      <w:ind w:left="720"/>
      <w:contextualSpacing/>
    </w:pPr>
  </w:style>
  <w:style w:type="character" w:styleId="IntenseEmphasis">
    <w:name w:val="Intense Emphasis"/>
    <w:basedOn w:val="DefaultParagraphFont"/>
    <w:uiPriority w:val="21"/>
    <w:qFormat/>
    <w:rsid w:val="0059639A"/>
    <w:rPr>
      <w:i/>
      <w:iCs/>
      <w:color w:val="2F5496" w:themeColor="accent1" w:themeShade="BF"/>
    </w:rPr>
  </w:style>
  <w:style w:type="paragraph" w:styleId="IntenseQuote">
    <w:name w:val="Intense Quote"/>
    <w:basedOn w:val="Normal"/>
    <w:next w:val="Normal"/>
    <w:link w:val="IntenseQuoteChar"/>
    <w:uiPriority w:val="30"/>
    <w:qFormat/>
    <w:rsid w:val="0059639A"/>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59639A"/>
    <w:rPr>
      <w:i/>
      <w:iCs/>
      <w:color w:val="2F5496" w:themeColor="accent1" w:themeShade="BF"/>
    </w:rPr>
  </w:style>
  <w:style w:type="character" w:styleId="IntenseReference">
    <w:name w:val="Intense Reference"/>
    <w:basedOn w:val="DefaultParagraphFont"/>
    <w:uiPriority w:val="32"/>
    <w:qFormat/>
    <w:rsid w:val="0059639A"/>
    <w:rPr>
      <w:b/>
      <w:bCs/>
      <w:smallCaps/>
      <w:color w:val="2F5496" w:themeColor="accent1" w:themeShade="BF"/>
      <w:spacing w:val="5"/>
    </w:rPr>
  </w:style>
  <w:style w:type="paragraph" w:styleId="Bibliography">
    <w:name w:val="Bibliography"/>
    <w:basedOn w:val="Normal"/>
    <w:next w:val="Normal"/>
    <w:uiPriority w:val="37"/>
    <w:unhideWhenUsed/>
    <w:rsid w:val="007A7561"/>
    <w:pPr>
      <w:tabs>
        <w:tab w:val="left" w:pos="504"/>
      </w:tabs>
      <w:spacing w:after="240" w:line="240" w:lineRule="auto"/>
      <w:ind w:left="504" w:hanging="504"/>
    </w:pPr>
  </w:style>
  <w:style w:type="character" w:styleId="Hyperlink">
    <w:name w:val="Hyperlink"/>
    <w:basedOn w:val="DefaultParagraphFont"/>
    <w:uiPriority w:val="99"/>
    <w:unhideWhenUsed/>
    <w:rsid w:val="00C017B6"/>
    <w:rPr>
      <w:color w:val="0563C1" w:themeColor="hyperlink"/>
      <w:u w:val="single"/>
    </w:rPr>
  </w:style>
  <w:style w:type="character" w:customStyle="1" w:styleId="UnresolvedMention1">
    <w:name w:val="Unresolved Mention1"/>
    <w:basedOn w:val="DefaultParagraphFont"/>
    <w:uiPriority w:val="99"/>
    <w:semiHidden/>
    <w:unhideWhenUsed/>
    <w:rsid w:val="00C017B6"/>
    <w:rPr>
      <w:color w:val="605E5C"/>
      <w:shd w:val="clear" w:color="auto" w:fill="E1DFDD"/>
    </w:rPr>
  </w:style>
  <w:style w:type="paragraph" w:styleId="Header">
    <w:name w:val="header"/>
    <w:basedOn w:val="Normal"/>
    <w:link w:val="HeaderChar"/>
    <w:uiPriority w:val="99"/>
    <w:unhideWhenUsed/>
    <w:rsid w:val="00C37D4A"/>
    <w:pPr>
      <w:tabs>
        <w:tab w:val="center" w:pos="4680"/>
        <w:tab w:val="right" w:pos="9360"/>
      </w:tabs>
      <w:spacing w:after="0" w:line="240" w:lineRule="auto"/>
    </w:pPr>
  </w:style>
  <w:style w:type="character" w:customStyle="1" w:styleId="HeaderChar">
    <w:name w:val="Header Char"/>
    <w:basedOn w:val="DefaultParagraphFont"/>
    <w:link w:val="Header"/>
    <w:uiPriority w:val="99"/>
    <w:rsid w:val="00C37D4A"/>
  </w:style>
  <w:style w:type="paragraph" w:styleId="Footer">
    <w:name w:val="footer"/>
    <w:basedOn w:val="Normal"/>
    <w:link w:val="FooterChar"/>
    <w:uiPriority w:val="99"/>
    <w:unhideWhenUsed/>
    <w:rsid w:val="00C37D4A"/>
    <w:pPr>
      <w:tabs>
        <w:tab w:val="center" w:pos="4680"/>
        <w:tab w:val="right" w:pos="9360"/>
      </w:tabs>
      <w:spacing w:after="0" w:line="240" w:lineRule="auto"/>
    </w:pPr>
  </w:style>
  <w:style w:type="character" w:customStyle="1" w:styleId="FooterChar">
    <w:name w:val="Footer Char"/>
    <w:basedOn w:val="DefaultParagraphFont"/>
    <w:link w:val="Footer"/>
    <w:uiPriority w:val="99"/>
    <w:rsid w:val="00C37D4A"/>
  </w:style>
  <w:style w:type="paragraph" w:styleId="BalloonText">
    <w:name w:val="Balloon Text"/>
    <w:basedOn w:val="Normal"/>
    <w:link w:val="BalloonTextChar"/>
    <w:uiPriority w:val="99"/>
    <w:semiHidden/>
    <w:unhideWhenUsed/>
    <w:rsid w:val="000F119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F1194"/>
    <w:rPr>
      <w:rFonts w:ascii="Tahoma" w:hAnsi="Tahoma" w:cs="Tahoma"/>
      <w:sz w:val="16"/>
      <w:szCs w:val="16"/>
    </w:rPr>
  </w:style>
  <w:style w:type="character" w:styleId="UnresolvedMention">
    <w:name w:val="Unresolved Mention"/>
    <w:basedOn w:val="DefaultParagraphFont"/>
    <w:uiPriority w:val="99"/>
    <w:semiHidden/>
    <w:unhideWhenUsed/>
    <w:rsid w:val="00667B5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i.org/10.1016/j.ijpddr.2021.12.001" TargetMode="External"/><Relationship Id="rId18" Type="http://schemas.openxmlformats.org/officeDocument/2006/relationships/hyperlink" Target="https://doi.org/10.3390/ijtm5010006" TargetMode="External"/><Relationship Id="rId26" Type="http://schemas.openxmlformats.org/officeDocument/2006/relationships/hyperlink" Target="https://doi.org/10.3390/biomedicines10123039" TargetMode="External"/><Relationship Id="rId39" Type="http://schemas.openxmlformats.org/officeDocument/2006/relationships/hyperlink" Target="https://doi.org/10.30574/wjarr.2025.25.3.1002" TargetMode="External"/><Relationship Id="rId21" Type="http://schemas.openxmlformats.org/officeDocument/2006/relationships/hyperlink" Target="https://doi.org/10.1016/j.ijpddr.2025.100579" TargetMode="External"/><Relationship Id="rId34" Type="http://schemas.openxmlformats.org/officeDocument/2006/relationships/hyperlink" Target="https://doi.org/10.5281/zenodo.10460000" TargetMode="External"/><Relationship Id="rId42" Type="http://schemas.openxmlformats.org/officeDocument/2006/relationships/header" Target="header2.xml"/><Relationship Id="rId47"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doi.org/10.1007/s00436-024-08432-6" TargetMode="External"/><Relationship Id="rId29" Type="http://schemas.openxmlformats.org/officeDocument/2006/relationships/hyperlink" Target="https://www.clinmedkaz.or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i.org/10.3389/fpubh.2024.1283054" TargetMode="External"/><Relationship Id="rId24" Type="http://schemas.openxmlformats.org/officeDocument/2006/relationships/hyperlink" Target="https://www.who.int/publications/i/item/9789240004083" TargetMode="External"/><Relationship Id="rId32" Type="http://schemas.openxmlformats.org/officeDocument/2006/relationships/hyperlink" Target="https://doi.org/10.63946/aubiomed/17426" TargetMode="External"/><Relationship Id="rId37" Type="http://schemas.openxmlformats.org/officeDocument/2006/relationships/hyperlink" Target="https://doi.org/10.7759/cureus.433730" TargetMode="External"/><Relationship Id="rId40" Type="http://schemas.openxmlformats.org/officeDocument/2006/relationships/hyperlink" Target="https://doi.org/10.30574/ijsra.2025.14.3.0769" TargetMode="External"/><Relationship Id="rId45"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yperlink" Target="https://doi.org/10.2147/IDR.S332378" TargetMode="External"/><Relationship Id="rId23" Type="http://schemas.openxmlformats.org/officeDocument/2006/relationships/hyperlink" Target="https://doi.org/10.3390/pathogens12060755" TargetMode="External"/><Relationship Id="rId28" Type="http://schemas.openxmlformats.org/officeDocument/2006/relationships/hyperlink" Target="https://doi.org/10.54034/mic.e2305" TargetMode="External"/><Relationship Id="rId36" Type="http://schemas.openxmlformats.org/officeDocument/2006/relationships/hyperlink" Target="http://www.ijabbr.com/" TargetMode="External"/><Relationship Id="rId10" Type="http://schemas.openxmlformats.org/officeDocument/2006/relationships/hyperlink" Target="https://doi.org/10.3389/fpara.2023.1197956" TargetMode="External"/><Relationship Id="rId19" Type="http://schemas.openxmlformats.org/officeDocument/2006/relationships/hyperlink" Target="https://doi.org/10.1186/s12982-025-00526-5" TargetMode="External"/><Relationship Id="rId31" Type="http://schemas.openxmlformats.org/officeDocument/2006/relationships/hyperlink" Target="https://doi.org/10.30574/ijsra.2025.14.1.0224" TargetMode="External"/><Relationship Id="rId44"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s://doi.org/10.1186/s12889-024-21210-4" TargetMode="External"/><Relationship Id="rId14" Type="http://schemas.openxmlformats.org/officeDocument/2006/relationships/hyperlink" Target="https://www.ncbi.nlm.nih.gov/books/NBK526134/" TargetMode="External"/><Relationship Id="rId22" Type="http://schemas.openxmlformats.org/officeDocument/2006/relationships/hyperlink" Target="https://doi.org/10.1016/j.bjid.2025.104556" TargetMode="External"/><Relationship Id="rId27" Type="http://schemas.openxmlformats.org/officeDocument/2006/relationships/hyperlink" Target="https://doi.org/10.3390/applbiosci4020023" TargetMode="External"/><Relationship Id="rId30" Type="http://schemas.openxmlformats.org/officeDocument/2006/relationships/hyperlink" Target="https://doi.org/10.56557/ajmab/2025/v10i19371" TargetMode="External"/><Relationship Id="rId35" Type="http://schemas.openxmlformats.org/officeDocument/2006/relationships/hyperlink" Target="https://doi.org/10.1128/aac.01082-24" TargetMode="External"/><Relationship Id="rId43" Type="http://schemas.openxmlformats.org/officeDocument/2006/relationships/footer" Target="footer1.xml"/><Relationship Id="rId48" Type="http://schemas.openxmlformats.org/officeDocument/2006/relationships/theme" Target="theme/theme1.xml"/><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hyperlink" Target="https://doi.org/10.1016/j.ijpddr.2022.10.004" TargetMode="External"/><Relationship Id="rId17" Type="http://schemas.openxmlformats.org/officeDocument/2006/relationships/hyperlink" Target="https://doi.org/10.1017/S0031182005008218" TargetMode="External"/><Relationship Id="rId25" Type="http://schemas.openxmlformats.org/officeDocument/2006/relationships/hyperlink" Target="https://doi.org/10.3390/microbiolres14020037" TargetMode="External"/><Relationship Id="rId33" Type="http://schemas.openxmlformats.org/officeDocument/2006/relationships/hyperlink" Target="https://doi.org/10.1093/ehdi/ehdi022" TargetMode="External"/><Relationship Id="rId38" Type="http://schemas.openxmlformats.org/officeDocument/2006/relationships/hyperlink" Target="https://doi.org/10.69739/jaaas.v2i2.1054" TargetMode="External"/><Relationship Id="rId46" Type="http://schemas.openxmlformats.org/officeDocument/2006/relationships/footer" Target="footer3.xml"/><Relationship Id="rId20" Type="http://schemas.openxmlformats.org/officeDocument/2006/relationships/hyperlink" Target="https://doi.org/10.3390/biomedicines12071467" TargetMode="External"/><Relationship Id="rId41"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105</TotalTime>
  <Pages>17</Pages>
  <Words>19447</Words>
  <Characters>110850</Characters>
  <Application>Microsoft Office Word</Application>
  <DocSecurity>0</DocSecurity>
  <Lines>923</Lines>
  <Paragraphs>260</Paragraphs>
  <ScaleCrop>false</ScaleCrop>
  <Company/>
  <LinksUpToDate>false</LinksUpToDate>
  <CharactersWithSpaces>130037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Olabisi Lawal</dc:creator>
  <cp:keywords/>
  <dc:description/>
  <cp:lastModifiedBy>SDI 1186</cp:lastModifiedBy>
  <cp:revision>120</cp:revision>
  <dcterms:created xsi:type="dcterms:W3CDTF">2025-12-09T02:42:00Z</dcterms:created>
  <dcterms:modified xsi:type="dcterms:W3CDTF">2025-12-19T05:55:00Z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zotero-version="7.0.16"&gt;&lt;session id="Wul5EBW7"/&gt;&lt;style id="http://www.zotero.org/styles/vancouver-brackets" locale="en-US" hasBibliography="1" bibliographyStyleHasBeenSet="1"/&gt;&lt;prefs&gt;&lt;pref name="fieldType" value="Field"/&gt;&lt;/prefs&gt;&lt;/d</vt:lpwstr>
  </property>
  <property fmtid="{D5CDD505-2E9C-101B-9397-08002B2CF9AE}" pid="3" name="ZOTERO_PREF_2">
    <vt:lpwstr>ata&gt;</vt:lpwstr>
  </property>
  <property fmtid="{D5CDD505-2E9C-101B-9397-08002B2CF9AE}" pid="4" name="GrammarlyDocumentId">
    <vt:lpwstr>852927b9-bcd6-465f-ab2e-371962b9a220</vt:lpwstr>
  </property>
</Properties>
</file>